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F839E">
      <w:pPr>
        <w:spacing w:line="480" w:lineRule="auto"/>
        <w:jc w:val="center"/>
        <w:rPr>
          <w:rFonts w:hint="eastAsia"/>
          <w:color w:val="auto"/>
          <w:sz w:val="72"/>
          <w:szCs w:val="72"/>
        </w:rPr>
      </w:pPr>
      <w:r>
        <w:rPr>
          <w:rFonts w:hint="eastAsia"/>
          <w:b/>
          <w:bCs/>
          <w:color w:val="auto"/>
          <w:sz w:val="60"/>
          <w:szCs w:val="60"/>
        </w:rPr>
        <w:t>广西合士嘉项目咨询有限公司</w:t>
      </w:r>
    </w:p>
    <w:p w14:paraId="69F34A55">
      <w:pPr>
        <w:spacing w:before="240" w:beforeLines="100" w:after="120" w:afterLines="50"/>
        <w:jc w:val="center"/>
        <w:rPr>
          <w:rFonts w:hint="eastAsia" w:ascii="宋体" w:hAnsi="宋体" w:cs="宋体"/>
          <w:b/>
          <w:color w:val="auto"/>
          <w:sz w:val="72"/>
          <w:szCs w:val="72"/>
        </w:rPr>
      </w:pPr>
      <w:r>
        <w:rPr>
          <w:rFonts w:hint="eastAsia" w:ascii="宋体" w:hAnsi="宋体" w:cs="宋体"/>
          <w:b/>
          <w:color w:val="auto"/>
          <w:sz w:val="96"/>
          <w:szCs w:val="96"/>
        </w:rPr>
        <w:t>公开招标文件</w:t>
      </w:r>
    </w:p>
    <w:p w14:paraId="2BAF7A4D">
      <w:pPr>
        <w:spacing w:before="120" w:beforeLines="50"/>
        <w:jc w:val="center"/>
        <w:rPr>
          <w:color w:val="auto"/>
          <w:sz w:val="72"/>
          <w:szCs w:val="72"/>
        </w:rPr>
      </w:pPr>
      <w:r>
        <w:rPr>
          <w:rFonts w:hint="eastAsia" w:ascii="宋体" w:hAnsi="宋体" w:cs="宋体"/>
          <w:b/>
          <w:color w:val="auto"/>
          <w:sz w:val="36"/>
          <w:szCs w:val="36"/>
        </w:rPr>
        <w:drawing>
          <wp:anchor distT="0" distB="0" distL="114300" distR="114300" simplePos="0" relativeHeight="251659264" behindDoc="1" locked="0" layoutInCell="1" allowOverlap="1">
            <wp:simplePos x="0" y="0"/>
            <wp:positionH relativeFrom="column">
              <wp:posOffset>1536065</wp:posOffset>
            </wp:positionH>
            <wp:positionV relativeFrom="page">
              <wp:posOffset>3151505</wp:posOffset>
            </wp:positionV>
            <wp:extent cx="2693670" cy="2430145"/>
            <wp:effectExtent l="0" t="0" r="11430" b="8255"/>
            <wp:wrapNone/>
            <wp:docPr id="1" name="图片 5" descr="175418403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1754184037760"/>
                    <pic:cNvPicPr>
                      <a:picLocks noChangeAspect="1"/>
                    </pic:cNvPicPr>
                  </pic:nvPicPr>
                  <pic:blipFill>
                    <a:blip r:embed="rId13"/>
                    <a:stretch>
                      <a:fillRect/>
                    </a:stretch>
                  </pic:blipFill>
                  <pic:spPr>
                    <a:xfrm>
                      <a:off x="0" y="0"/>
                      <a:ext cx="2693670" cy="2430145"/>
                    </a:xfrm>
                    <a:prstGeom prst="rect">
                      <a:avLst/>
                    </a:prstGeom>
                    <a:noFill/>
                    <a:ln>
                      <a:noFill/>
                    </a:ln>
                  </pic:spPr>
                </pic:pic>
              </a:graphicData>
            </a:graphic>
          </wp:anchor>
        </w:drawing>
      </w:r>
    </w:p>
    <w:p w14:paraId="7D97E29E">
      <w:pPr>
        <w:spacing w:before="120" w:beforeLines="50"/>
        <w:jc w:val="center"/>
        <w:rPr>
          <w:color w:val="auto"/>
          <w:sz w:val="72"/>
          <w:szCs w:val="72"/>
        </w:rPr>
      </w:pPr>
    </w:p>
    <w:p w14:paraId="4AD65A24">
      <w:pPr>
        <w:snapToGrid w:val="0"/>
        <w:spacing w:before="120" w:beforeLines="50" w:line="360" w:lineRule="auto"/>
        <w:rPr>
          <w:color w:val="auto"/>
          <w:sz w:val="30"/>
          <w:szCs w:val="72"/>
        </w:rPr>
      </w:pPr>
    </w:p>
    <w:p w14:paraId="29C463CA">
      <w:pPr>
        <w:pStyle w:val="24"/>
        <w:spacing w:line="360" w:lineRule="auto"/>
        <w:ind w:left="1590" w:hanging="1590" w:hangingChars="495"/>
        <w:jc w:val="center"/>
        <w:rPr>
          <w:rFonts w:hint="eastAsia" w:ascii="Times New Roman" w:hAnsi="宋体"/>
          <w:b/>
          <w:bCs/>
          <w:color w:val="auto"/>
          <w:sz w:val="32"/>
        </w:rPr>
      </w:pPr>
      <w:r>
        <w:rPr>
          <w:rFonts w:hint="eastAsia" w:ascii="Times New Roman" w:hAnsi="宋体"/>
          <w:b/>
          <w:bCs/>
          <w:color w:val="auto"/>
          <w:sz w:val="32"/>
        </w:rPr>
        <w:t xml:space="preserve"> </w:t>
      </w:r>
    </w:p>
    <w:p w14:paraId="68D4C6B5">
      <w:pPr>
        <w:pStyle w:val="24"/>
        <w:spacing w:line="360" w:lineRule="auto"/>
        <w:rPr>
          <w:rFonts w:ascii="Times New Roman" w:hAnsi="宋体"/>
          <w:b/>
          <w:bCs/>
          <w:color w:val="auto"/>
          <w:sz w:val="32"/>
          <w:szCs w:val="32"/>
        </w:rPr>
      </w:pPr>
    </w:p>
    <w:p w14:paraId="459A9489">
      <w:pPr>
        <w:pStyle w:val="24"/>
        <w:spacing w:line="360" w:lineRule="auto"/>
        <w:ind w:firstLine="321" w:firstLineChars="100"/>
        <w:jc w:val="center"/>
        <w:rPr>
          <w:rFonts w:ascii="Times New Roman" w:hAnsi="宋体"/>
          <w:b/>
          <w:bCs/>
          <w:color w:val="auto"/>
          <w:sz w:val="32"/>
          <w:szCs w:val="32"/>
        </w:rPr>
      </w:pPr>
    </w:p>
    <w:p w14:paraId="7832A04D">
      <w:pPr>
        <w:pStyle w:val="24"/>
        <w:spacing w:line="360" w:lineRule="auto"/>
        <w:jc w:val="center"/>
        <w:rPr>
          <w:rFonts w:ascii="Times New Roman" w:hAnsi="宋体"/>
          <w:b/>
          <w:bCs/>
          <w:color w:val="auto"/>
          <w:sz w:val="32"/>
          <w:szCs w:val="32"/>
        </w:rPr>
      </w:pPr>
    </w:p>
    <w:p w14:paraId="11542575">
      <w:pPr>
        <w:pStyle w:val="24"/>
        <w:spacing w:line="360" w:lineRule="auto"/>
        <w:jc w:val="center"/>
        <w:rPr>
          <w:rFonts w:ascii="Times New Roman" w:hAnsi="宋体"/>
          <w:b/>
          <w:bCs/>
          <w:color w:val="auto"/>
          <w:sz w:val="32"/>
          <w:szCs w:val="32"/>
        </w:rPr>
      </w:pPr>
    </w:p>
    <w:p w14:paraId="284D930F">
      <w:pPr>
        <w:pStyle w:val="24"/>
        <w:spacing w:line="360" w:lineRule="auto"/>
        <w:jc w:val="center"/>
        <w:rPr>
          <w:rFonts w:ascii="Times New Roman" w:hAnsi="宋体"/>
          <w:b/>
          <w:bCs/>
          <w:color w:val="auto"/>
          <w:sz w:val="32"/>
          <w:szCs w:val="32"/>
        </w:rPr>
      </w:pPr>
    </w:p>
    <w:p w14:paraId="6AF10097">
      <w:pPr>
        <w:pStyle w:val="24"/>
        <w:spacing w:line="360" w:lineRule="auto"/>
        <w:jc w:val="center"/>
        <w:rPr>
          <w:rFonts w:ascii="Times New Roman" w:hAnsi="宋体"/>
          <w:b/>
          <w:bCs/>
          <w:color w:val="auto"/>
          <w:sz w:val="10"/>
          <w:szCs w:val="10"/>
        </w:rPr>
      </w:pPr>
    </w:p>
    <w:p w14:paraId="67319A75">
      <w:pPr>
        <w:pStyle w:val="24"/>
        <w:spacing w:line="360" w:lineRule="auto"/>
        <w:ind w:firstLine="1285" w:firstLineChars="400"/>
        <w:rPr>
          <w:rFonts w:ascii="Times New Roman" w:hAnsi="Times New Roman"/>
          <w:b/>
          <w:bCs/>
          <w:color w:val="auto"/>
          <w:sz w:val="32"/>
          <w:szCs w:val="32"/>
        </w:rPr>
      </w:pPr>
      <w:r>
        <w:rPr>
          <w:rFonts w:ascii="Times New Roman" w:hAnsi="宋体"/>
          <w:b/>
          <w:bCs/>
          <w:color w:val="auto"/>
          <w:sz w:val="32"/>
          <w:szCs w:val="32"/>
        </w:rPr>
        <w:t>项目名称：</w:t>
      </w:r>
      <w:r>
        <w:rPr>
          <w:rFonts w:hint="eastAsia" w:ascii="Times New Roman" w:hAnsi="宋体"/>
          <w:b/>
          <w:bCs/>
          <w:color w:val="auto"/>
          <w:sz w:val="32"/>
          <w:szCs w:val="32"/>
          <w:lang w:val="en-US" w:eastAsia="zh-CN"/>
        </w:rPr>
        <w:t>彩色多普勒超声诊断仪</w:t>
      </w:r>
      <w:r>
        <w:rPr>
          <w:rFonts w:hint="eastAsia" w:ascii="Times New Roman" w:hAnsi="Times New Roman"/>
          <w:b/>
          <w:bCs/>
          <w:color w:val="auto"/>
          <w:sz w:val="32"/>
          <w:szCs w:val="32"/>
        </w:rPr>
        <w:t>采购项目</w:t>
      </w:r>
    </w:p>
    <w:p w14:paraId="6F9CCAAD">
      <w:pPr>
        <w:pStyle w:val="24"/>
        <w:spacing w:line="360" w:lineRule="auto"/>
        <w:ind w:firstLine="1285" w:firstLineChars="400"/>
        <w:rPr>
          <w:rFonts w:ascii="Times New Roman" w:hAnsi="Times New Roman"/>
          <w:b/>
          <w:bCs/>
          <w:color w:val="auto"/>
          <w:sz w:val="32"/>
          <w:szCs w:val="32"/>
        </w:rPr>
      </w:pPr>
      <w:r>
        <w:rPr>
          <w:rFonts w:ascii="Times New Roman" w:hAnsi="Times New Roman"/>
          <w:b/>
          <w:bCs/>
          <w:color w:val="auto"/>
          <w:sz w:val="32"/>
          <w:szCs w:val="32"/>
        </w:rPr>
        <w:t>项目编号：LZZC2026-G1-990608-GXHS</w:t>
      </w:r>
    </w:p>
    <w:p w14:paraId="2E3F3977">
      <w:pPr>
        <w:pStyle w:val="24"/>
        <w:spacing w:line="360" w:lineRule="auto"/>
        <w:ind w:left="840" w:hanging="840" w:hangingChars="400"/>
        <w:rPr>
          <w:rFonts w:hint="eastAsia" w:ascii="Times New Roman" w:hAnsi="Times New Roman"/>
          <w:color w:val="auto"/>
          <w:sz w:val="21"/>
          <w:u w:val="single"/>
        </w:rPr>
      </w:pPr>
      <w:r>
        <w:rPr>
          <w:rFonts w:ascii="Times New Roman" w:hAnsi="Times New Roman"/>
          <w:color w:val="auto"/>
          <w:sz w:val="21"/>
          <w:u w:val="single"/>
        </w:rPr>
        <w:t xml:space="preserve">                              </w:t>
      </w:r>
      <w:r>
        <w:rPr>
          <w:rFonts w:hint="eastAsia" w:ascii="Times New Roman" w:hAnsi="Times New Roman"/>
          <w:color w:val="auto"/>
          <w:sz w:val="21"/>
          <w:u w:val="single"/>
        </w:rPr>
        <w:t xml:space="preserve">                                                           </w:t>
      </w:r>
    </w:p>
    <w:p w14:paraId="5DBE59E5">
      <w:pPr>
        <w:pStyle w:val="24"/>
        <w:spacing w:line="360" w:lineRule="auto"/>
        <w:ind w:left="840" w:hanging="840" w:hangingChars="400"/>
        <w:rPr>
          <w:rFonts w:hint="eastAsia" w:ascii="Times New Roman" w:hAnsi="Times New Roman"/>
          <w:color w:val="auto"/>
          <w:sz w:val="21"/>
          <w:u w:val="single"/>
        </w:rPr>
      </w:pPr>
    </w:p>
    <w:p w14:paraId="31DF83FA">
      <w:pPr>
        <w:pStyle w:val="24"/>
        <w:spacing w:line="360" w:lineRule="auto"/>
        <w:ind w:firstLine="1285" w:firstLineChars="400"/>
        <w:rPr>
          <w:rFonts w:ascii="Times New Roman" w:hAnsi="宋体"/>
          <w:b/>
          <w:bCs/>
          <w:color w:val="auto"/>
          <w:sz w:val="32"/>
        </w:rPr>
      </w:pPr>
      <w:r>
        <w:rPr>
          <w:rFonts w:ascii="Times New Roman" w:hAnsi="宋体"/>
          <w:b/>
          <w:bCs/>
          <w:color w:val="auto"/>
          <w:sz w:val="32"/>
        </w:rPr>
        <w:t>采</w:t>
      </w:r>
      <w:r>
        <w:rPr>
          <w:rFonts w:hint="eastAsia" w:ascii="Times New Roman" w:hAnsi="宋体"/>
          <w:b/>
          <w:bCs/>
          <w:color w:val="auto"/>
          <w:sz w:val="32"/>
        </w:rPr>
        <w:t xml:space="preserve">   </w:t>
      </w:r>
      <w:r>
        <w:rPr>
          <w:rFonts w:ascii="Times New Roman" w:hAnsi="宋体"/>
          <w:b/>
          <w:bCs/>
          <w:color w:val="auto"/>
          <w:sz w:val="32"/>
        </w:rPr>
        <w:t>购</w:t>
      </w:r>
      <w:r>
        <w:rPr>
          <w:rFonts w:hint="eastAsia" w:ascii="Times New Roman" w:hAnsi="宋体"/>
          <w:b/>
          <w:bCs/>
          <w:color w:val="auto"/>
          <w:sz w:val="32"/>
        </w:rPr>
        <w:t xml:space="preserve">   </w:t>
      </w:r>
      <w:r>
        <w:rPr>
          <w:rFonts w:ascii="Times New Roman" w:hAnsi="宋体"/>
          <w:b/>
          <w:bCs/>
          <w:color w:val="auto"/>
          <w:sz w:val="32"/>
        </w:rPr>
        <w:t>人：</w:t>
      </w:r>
      <w:r>
        <w:rPr>
          <w:rFonts w:hint="eastAsia" w:ascii="Times New Roman" w:hAnsi="宋体"/>
          <w:b/>
          <w:bCs/>
          <w:color w:val="auto"/>
          <w:sz w:val="32"/>
          <w:lang w:val="en-US" w:eastAsia="zh-CN"/>
        </w:rPr>
        <w:t>柳州市中西医结合医院</w:t>
      </w:r>
    </w:p>
    <w:p w14:paraId="607CE2C1">
      <w:pPr>
        <w:pStyle w:val="24"/>
        <w:tabs>
          <w:tab w:val="left" w:pos="1701"/>
          <w:tab w:val="left" w:pos="2127"/>
          <w:tab w:val="left" w:pos="2552"/>
          <w:tab w:val="left" w:pos="4111"/>
        </w:tabs>
        <w:spacing w:line="360" w:lineRule="auto"/>
        <w:ind w:firstLine="1285" w:firstLineChars="400"/>
        <w:rPr>
          <w:rFonts w:hint="eastAsia" w:ascii="Times New Roman" w:hAnsi="宋体"/>
          <w:b/>
          <w:bCs/>
          <w:color w:val="auto"/>
          <w:sz w:val="32"/>
        </w:rPr>
      </w:pPr>
      <w:r>
        <w:rPr>
          <w:rFonts w:ascii="Times New Roman" w:hAnsi="宋体"/>
          <w:b/>
          <w:bCs/>
          <w:color w:val="auto"/>
          <w:sz w:val="32"/>
        </w:rPr>
        <w:t>采购代理机构：</w:t>
      </w:r>
      <w:r>
        <w:rPr>
          <w:rFonts w:hint="eastAsia" w:ascii="Times New Roman" w:hAnsi="Times New Roman"/>
          <w:b/>
          <w:bCs/>
          <w:color w:val="auto"/>
          <w:sz w:val="32"/>
        </w:rPr>
        <w:t>广西合士嘉项目咨询有限公司</w:t>
      </w:r>
    </w:p>
    <w:p w14:paraId="7DA947BF">
      <w:pPr>
        <w:pStyle w:val="24"/>
        <w:snapToGrid w:val="0"/>
        <w:spacing w:before="120" w:after="120" w:line="360" w:lineRule="auto"/>
        <w:jc w:val="center"/>
        <w:rPr>
          <w:rFonts w:hAnsi="宋体"/>
          <w:color w:val="auto"/>
        </w:rPr>
      </w:pPr>
      <w:r>
        <w:rPr>
          <w:rFonts w:hint="eastAsia" w:ascii="Times New Roman" w:hAnsi="宋体"/>
          <w:b/>
          <w:bCs/>
          <w:color w:val="auto"/>
          <w:sz w:val="32"/>
          <w:szCs w:val="32"/>
        </w:rPr>
        <w:t>2026年</w:t>
      </w:r>
      <w:r>
        <w:rPr>
          <w:rFonts w:hint="eastAsia" w:ascii="Times New Roman" w:hAnsi="宋体"/>
          <w:b/>
          <w:bCs/>
          <w:color w:val="auto"/>
          <w:sz w:val="32"/>
          <w:szCs w:val="32"/>
          <w:lang w:val="en-US" w:eastAsia="zh-CN"/>
        </w:rPr>
        <w:t>9</w:t>
      </w:r>
      <w:r>
        <w:rPr>
          <w:rFonts w:ascii="Times New Roman" w:hAnsi="宋体"/>
          <w:b/>
          <w:bCs/>
          <w:color w:val="auto"/>
          <w:sz w:val="32"/>
          <w:szCs w:val="32"/>
        </w:rPr>
        <w:t>月</w:t>
      </w:r>
    </w:p>
    <w:p w14:paraId="1606CAA7">
      <w:pPr>
        <w:spacing w:line="300" w:lineRule="auto"/>
        <w:jc w:val="center"/>
        <w:rPr>
          <w:rFonts w:hint="eastAsia" w:ascii="宋体" w:hAnsi="宋体"/>
          <w:b/>
          <w:color w:val="auto"/>
          <w:sz w:val="44"/>
          <w:szCs w:val="44"/>
        </w:rPr>
        <w:sectPr>
          <w:footerReference r:id="rId5" w:type="first"/>
          <w:headerReference r:id="rId3" w:type="default"/>
          <w:footerReference r:id="rId4" w:type="even"/>
          <w:pgSz w:w="11906" w:h="16838"/>
          <w:pgMar w:top="1440" w:right="1440" w:bottom="1440" w:left="1440" w:header="851" w:footer="992" w:gutter="0"/>
          <w:pgNumType w:start="0"/>
          <w:cols w:space="720" w:num="1"/>
          <w:titlePg/>
          <w:docGrid w:linePitch="312" w:charSpace="0"/>
        </w:sectPr>
      </w:pPr>
    </w:p>
    <w:p w14:paraId="42C54274">
      <w:pPr>
        <w:spacing w:line="300" w:lineRule="auto"/>
        <w:jc w:val="center"/>
        <w:rPr>
          <w:rFonts w:ascii="宋体" w:hAnsi="宋体"/>
          <w:b/>
          <w:color w:val="auto"/>
          <w:sz w:val="44"/>
          <w:szCs w:val="44"/>
        </w:rPr>
      </w:pPr>
      <w:r>
        <w:rPr>
          <w:rFonts w:hint="eastAsia" w:ascii="宋体" w:hAnsi="宋体"/>
          <w:b/>
          <w:color w:val="auto"/>
          <w:sz w:val="44"/>
          <w:szCs w:val="44"/>
        </w:rPr>
        <w:t>目  录</w:t>
      </w:r>
    </w:p>
    <w:p w14:paraId="02CBD686">
      <w:pPr>
        <w:pStyle w:val="32"/>
        <w:spacing w:line="480" w:lineRule="auto"/>
        <w:ind w:firstLine="280"/>
        <w:jc w:val="center"/>
        <w:rPr>
          <w:b w:val="0"/>
          <w:bCs w:val="0"/>
          <w:caps w:val="0"/>
          <w:color w:val="auto"/>
          <w:sz w:val="22"/>
        </w:rPr>
      </w:pPr>
      <w:r>
        <w:rPr>
          <w:b w:val="0"/>
          <w:color w:val="auto"/>
          <w:sz w:val="28"/>
          <w:szCs w:val="28"/>
        </w:rPr>
        <w:fldChar w:fldCharType="begin"/>
      </w:r>
      <w:r>
        <w:rPr>
          <w:rFonts w:hint="eastAsia"/>
          <w:b w:val="0"/>
          <w:color w:val="auto"/>
          <w:sz w:val="28"/>
          <w:szCs w:val="28"/>
        </w:rPr>
        <w:instrText xml:space="preserve">TOC \o "1-2" \h \z \u</w:instrText>
      </w:r>
      <w:r>
        <w:rPr>
          <w:b w:val="0"/>
          <w:color w:val="auto"/>
          <w:sz w:val="28"/>
          <w:szCs w:val="28"/>
        </w:rPr>
        <w:fldChar w:fldCharType="separate"/>
      </w:r>
      <w:r>
        <w:rPr>
          <w:color w:val="auto"/>
          <w:sz w:val="28"/>
          <w:szCs w:val="28"/>
        </w:rPr>
        <w:fldChar w:fldCharType="begin"/>
      </w:r>
      <w:r>
        <w:rPr>
          <w:color w:val="auto"/>
          <w:sz w:val="28"/>
          <w:szCs w:val="28"/>
        </w:rPr>
        <w:instrText xml:space="preserve">HYPERLINK \l "_Toc74320800"</w:instrText>
      </w:r>
      <w:r>
        <w:rPr>
          <w:color w:val="auto"/>
          <w:sz w:val="28"/>
          <w:szCs w:val="28"/>
        </w:rPr>
        <w:fldChar w:fldCharType="separate"/>
      </w:r>
      <w:r>
        <w:rPr>
          <w:rStyle w:val="58"/>
          <w:rFonts w:hint="eastAsia"/>
          <w:color w:val="auto"/>
          <w:sz w:val="28"/>
          <w:szCs w:val="28"/>
        </w:rPr>
        <w:t>第一章 招标公告</w:t>
      </w:r>
      <w:bookmarkStart w:id="0" w:name="_Hlt137045480"/>
      <w:bookmarkEnd w:id="0"/>
      <w:bookmarkStart w:id="1" w:name="_Hlt137045479"/>
      <w:bookmarkEnd w:id="1"/>
      <w:r>
        <w:rPr>
          <w:color w:val="auto"/>
          <w:sz w:val="28"/>
          <w:szCs w:val="28"/>
        </w:rPr>
        <w:tab/>
      </w:r>
      <w:r>
        <w:rPr>
          <w:color w:val="auto"/>
          <w:sz w:val="28"/>
          <w:szCs w:val="28"/>
        </w:rPr>
        <w:fldChar w:fldCharType="begin"/>
      </w:r>
      <w:r>
        <w:rPr>
          <w:color w:val="auto"/>
          <w:sz w:val="28"/>
          <w:szCs w:val="28"/>
        </w:rPr>
        <w:instrText xml:space="preserve"> PAGEREF _Toc74320800 \h </w:instrText>
      </w:r>
      <w:r>
        <w:rPr>
          <w:color w:val="auto"/>
          <w:sz w:val="28"/>
          <w:szCs w:val="28"/>
        </w:rPr>
        <w:fldChar w:fldCharType="separate"/>
      </w:r>
      <w:r>
        <w:rPr>
          <w:color w:val="auto"/>
          <w:sz w:val="28"/>
          <w:szCs w:val="28"/>
        </w:rPr>
        <w:t>2</w:t>
      </w:r>
      <w:r>
        <w:rPr>
          <w:color w:val="auto"/>
          <w:sz w:val="28"/>
          <w:szCs w:val="28"/>
        </w:rPr>
        <w:fldChar w:fldCharType="end"/>
      </w:r>
      <w:r>
        <w:rPr>
          <w:color w:val="auto"/>
          <w:sz w:val="28"/>
          <w:szCs w:val="28"/>
        </w:rPr>
        <w:fldChar w:fldCharType="end"/>
      </w:r>
    </w:p>
    <w:p w14:paraId="7D4E0AD1">
      <w:pPr>
        <w:pStyle w:val="32"/>
        <w:spacing w:line="480" w:lineRule="auto"/>
        <w:ind w:firstLine="281"/>
        <w:jc w:val="center"/>
        <w:rPr>
          <w:b w:val="0"/>
          <w:bCs w:val="0"/>
          <w:caps w:val="0"/>
          <w:color w:val="auto"/>
          <w:sz w:val="22"/>
        </w:rPr>
      </w:pPr>
      <w:r>
        <w:rPr>
          <w:color w:val="auto"/>
          <w:sz w:val="28"/>
          <w:szCs w:val="28"/>
        </w:rPr>
        <w:fldChar w:fldCharType="begin"/>
      </w:r>
      <w:r>
        <w:rPr>
          <w:color w:val="auto"/>
          <w:sz w:val="28"/>
          <w:szCs w:val="28"/>
        </w:rPr>
        <w:instrText xml:space="preserve">HYPERLINK \l "_Toc74320801"</w:instrText>
      </w:r>
      <w:r>
        <w:rPr>
          <w:color w:val="auto"/>
          <w:sz w:val="28"/>
          <w:szCs w:val="28"/>
        </w:rPr>
        <w:fldChar w:fldCharType="separate"/>
      </w:r>
      <w:r>
        <w:rPr>
          <w:rStyle w:val="58"/>
          <w:rFonts w:hint="eastAsia"/>
          <w:color w:val="auto"/>
          <w:sz w:val="28"/>
          <w:szCs w:val="28"/>
        </w:rPr>
        <w:t>第二章 采购需求</w:t>
      </w:r>
      <w:r>
        <w:rPr>
          <w:color w:val="auto"/>
          <w:sz w:val="28"/>
          <w:szCs w:val="28"/>
        </w:rPr>
        <w:tab/>
      </w:r>
      <w:r>
        <w:rPr>
          <w:rFonts w:hint="eastAsia"/>
          <w:color w:val="auto"/>
          <w:sz w:val="28"/>
          <w:szCs w:val="28"/>
        </w:rPr>
        <w:t>6</w:t>
      </w:r>
      <w:r>
        <w:rPr>
          <w:color w:val="auto"/>
          <w:sz w:val="28"/>
          <w:szCs w:val="28"/>
        </w:rPr>
        <w:fldChar w:fldCharType="end"/>
      </w:r>
    </w:p>
    <w:p w14:paraId="459168B0">
      <w:pPr>
        <w:pStyle w:val="32"/>
        <w:spacing w:line="480" w:lineRule="auto"/>
        <w:ind w:firstLine="281"/>
        <w:jc w:val="center"/>
        <w:rPr>
          <w:rFonts w:hint="eastAsia"/>
          <w:b w:val="0"/>
          <w:bCs w:val="0"/>
          <w:caps w:val="0"/>
          <w:color w:val="auto"/>
          <w:sz w:val="22"/>
        </w:rPr>
      </w:pPr>
      <w:r>
        <w:rPr>
          <w:color w:val="auto"/>
          <w:sz w:val="28"/>
          <w:szCs w:val="28"/>
        </w:rPr>
        <w:fldChar w:fldCharType="begin"/>
      </w:r>
      <w:r>
        <w:rPr>
          <w:color w:val="auto"/>
          <w:sz w:val="28"/>
          <w:szCs w:val="28"/>
        </w:rPr>
        <w:instrText xml:space="preserve">HYPERLINK \l "_Toc74320802"</w:instrText>
      </w:r>
      <w:r>
        <w:rPr>
          <w:color w:val="auto"/>
          <w:sz w:val="28"/>
          <w:szCs w:val="28"/>
        </w:rPr>
        <w:fldChar w:fldCharType="separate"/>
      </w:r>
      <w:r>
        <w:rPr>
          <w:rStyle w:val="58"/>
          <w:rFonts w:hint="eastAsia"/>
          <w:color w:val="auto"/>
          <w:sz w:val="28"/>
          <w:szCs w:val="28"/>
        </w:rPr>
        <w:t>第三章 供应商须</w:t>
      </w:r>
      <w:bookmarkStart w:id="2" w:name="_Hlt79572744"/>
      <w:bookmarkStart w:id="3" w:name="_Hlt79572745"/>
      <w:r>
        <w:rPr>
          <w:rStyle w:val="58"/>
          <w:rFonts w:hint="eastAsia"/>
          <w:color w:val="auto"/>
          <w:sz w:val="28"/>
          <w:szCs w:val="28"/>
        </w:rPr>
        <w:t>知</w:t>
      </w:r>
      <w:bookmarkEnd w:id="2"/>
      <w:bookmarkEnd w:id="3"/>
      <w:bookmarkStart w:id="4" w:name="_Hlt179528685"/>
      <w:bookmarkStart w:id="5" w:name="_Hlt179528684"/>
      <w:r>
        <w:rPr>
          <w:color w:val="auto"/>
          <w:sz w:val="28"/>
          <w:szCs w:val="28"/>
        </w:rPr>
        <w:tab/>
      </w:r>
      <w:bookmarkEnd w:id="4"/>
      <w:bookmarkEnd w:id="5"/>
      <w:r>
        <w:rPr>
          <w:rFonts w:hint="eastAsia"/>
          <w:color w:val="auto"/>
          <w:sz w:val="28"/>
          <w:szCs w:val="28"/>
        </w:rPr>
        <w:t>1</w:t>
      </w:r>
      <w:r>
        <w:rPr>
          <w:color w:val="auto"/>
          <w:sz w:val="28"/>
          <w:szCs w:val="28"/>
        </w:rPr>
        <w:fldChar w:fldCharType="end"/>
      </w:r>
      <w:r>
        <w:rPr>
          <w:rFonts w:hint="eastAsia"/>
          <w:color w:val="auto"/>
          <w:sz w:val="28"/>
          <w:szCs w:val="28"/>
        </w:rPr>
        <w:t>4</w:t>
      </w:r>
    </w:p>
    <w:p w14:paraId="7199B850">
      <w:pPr>
        <w:pStyle w:val="32"/>
        <w:spacing w:line="480" w:lineRule="auto"/>
        <w:ind w:firstLine="281"/>
        <w:jc w:val="center"/>
        <w:rPr>
          <w:b w:val="0"/>
          <w:bCs w:val="0"/>
          <w:caps w:val="0"/>
          <w:color w:val="auto"/>
          <w:sz w:val="22"/>
        </w:rPr>
      </w:pPr>
      <w:r>
        <w:rPr>
          <w:color w:val="auto"/>
          <w:sz w:val="28"/>
          <w:szCs w:val="28"/>
        </w:rPr>
        <w:fldChar w:fldCharType="begin"/>
      </w:r>
      <w:r>
        <w:rPr>
          <w:color w:val="auto"/>
          <w:sz w:val="28"/>
          <w:szCs w:val="28"/>
        </w:rPr>
        <w:instrText xml:space="preserve">HYPERLINK \l "_Toc74320803"</w:instrText>
      </w:r>
      <w:r>
        <w:rPr>
          <w:color w:val="auto"/>
          <w:sz w:val="28"/>
          <w:szCs w:val="28"/>
        </w:rPr>
        <w:fldChar w:fldCharType="separate"/>
      </w:r>
      <w:r>
        <w:rPr>
          <w:rStyle w:val="58"/>
          <w:rFonts w:hint="eastAsia"/>
          <w:color w:val="auto"/>
          <w:sz w:val="28"/>
          <w:szCs w:val="28"/>
        </w:rPr>
        <w:t>第四章 评标方</w:t>
      </w:r>
      <w:bookmarkStart w:id="6" w:name="_Hlt82186274"/>
      <w:bookmarkStart w:id="7" w:name="_Hlt82186273"/>
      <w:r>
        <w:rPr>
          <w:rStyle w:val="58"/>
          <w:rFonts w:hint="eastAsia"/>
          <w:color w:val="auto"/>
          <w:sz w:val="28"/>
          <w:szCs w:val="28"/>
        </w:rPr>
        <w:t>法</w:t>
      </w:r>
      <w:bookmarkEnd w:id="6"/>
      <w:bookmarkEnd w:id="7"/>
      <w:r>
        <w:rPr>
          <w:rStyle w:val="58"/>
          <w:rFonts w:hint="eastAsia"/>
          <w:color w:val="auto"/>
          <w:sz w:val="28"/>
          <w:szCs w:val="28"/>
        </w:rPr>
        <w:t>及评标标准</w:t>
      </w:r>
      <w:r>
        <w:rPr>
          <w:color w:val="auto"/>
          <w:sz w:val="28"/>
          <w:szCs w:val="28"/>
        </w:rPr>
        <w:tab/>
      </w:r>
      <w:r>
        <w:rPr>
          <w:color w:val="auto"/>
          <w:sz w:val="28"/>
          <w:szCs w:val="28"/>
        </w:rPr>
        <w:fldChar w:fldCharType="begin"/>
      </w:r>
      <w:r>
        <w:rPr>
          <w:color w:val="auto"/>
          <w:sz w:val="28"/>
          <w:szCs w:val="28"/>
        </w:rPr>
        <w:instrText xml:space="preserve"> PAGEREF _Toc74320803 \h </w:instrText>
      </w:r>
      <w:r>
        <w:rPr>
          <w:color w:val="auto"/>
          <w:sz w:val="28"/>
          <w:szCs w:val="28"/>
        </w:rPr>
        <w:fldChar w:fldCharType="separate"/>
      </w:r>
      <w:r>
        <w:rPr>
          <w:color w:val="auto"/>
          <w:sz w:val="28"/>
          <w:szCs w:val="28"/>
        </w:rPr>
        <w:t>34</w:t>
      </w:r>
      <w:r>
        <w:rPr>
          <w:color w:val="auto"/>
          <w:sz w:val="28"/>
          <w:szCs w:val="28"/>
        </w:rPr>
        <w:fldChar w:fldCharType="end"/>
      </w:r>
      <w:r>
        <w:rPr>
          <w:color w:val="auto"/>
          <w:sz w:val="28"/>
          <w:szCs w:val="28"/>
        </w:rPr>
        <w:fldChar w:fldCharType="end"/>
      </w:r>
    </w:p>
    <w:p w14:paraId="5249E060">
      <w:pPr>
        <w:pStyle w:val="32"/>
        <w:spacing w:line="480" w:lineRule="auto"/>
        <w:ind w:firstLine="281"/>
        <w:jc w:val="center"/>
        <w:rPr>
          <w:rFonts w:hint="eastAsia"/>
          <w:b w:val="0"/>
          <w:bCs w:val="0"/>
          <w:caps w:val="0"/>
          <w:color w:val="auto"/>
          <w:sz w:val="22"/>
        </w:rPr>
      </w:pPr>
      <w:r>
        <w:rPr>
          <w:color w:val="auto"/>
          <w:sz w:val="28"/>
          <w:szCs w:val="28"/>
        </w:rPr>
        <w:fldChar w:fldCharType="begin"/>
      </w:r>
      <w:r>
        <w:rPr>
          <w:color w:val="auto"/>
          <w:sz w:val="28"/>
          <w:szCs w:val="28"/>
        </w:rPr>
        <w:instrText xml:space="preserve">HYPERLINK \l "_Toc74320804"</w:instrText>
      </w:r>
      <w:r>
        <w:rPr>
          <w:color w:val="auto"/>
          <w:sz w:val="28"/>
          <w:szCs w:val="28"/>
        </w:rPr>
        <w:fldChar w:fldCharType="separate"/>
      </w:r>
      <w:r>
        <w:rPr>
          <w:rStyle w:val="58"/>
          <w:rFonts w:hint="eastAsia"/>
          <w:color w:val="auto"/>
          <w:sz w:val="28"/>
          <w:szCs w:val="28"/>
        </w:rPr>
        <w:t>第五章 拟签订的合同文本</w:t>
      </w:r>
      <w:bookmarkStart w:id="8" w:name="_Hlt176424572"/>
      <w:bookmarkStart w:id="9" w:name="_Hlt176424573"/>
      <w:r>
        <w:rPr>
          <w:color w:val="auto"/>
          <w:sz w:val="28"/>
          <w:szCs w:val="28"/>
        </w:rPr>
        <w:tab/>
      </w:r>
      <w:bookmarkEnd w:id="8"/>
      <w:bookmarkEnd w:id="9"/>
      <w:r>
        <w:rPr>
          <w:rFonts w:hint="eastAsia"/>
          <w:color w:val="auto"/>
          <w:sz w:val="28"/>
          <w:szCs w:val="28"/>
        </w:rPr>
        <w:t>3</w:t>
      </w:r>
      <w:r>
        <w:rPr>
          <w:color w:val="auto"/>
          <w:sz w:val="28"/>
          <w:szCs w:val="28"/>
        </w:rPr>
        <w:fldChar w:fldCharType="end"/>
      </w:r>
      <w:r>
        <w:rPr>
          <w:rFonts w:hint="eastAsia"/>
          <w:color w:val="auto"/>
          <w:sz w:val="28"/>
          <w:szCs w:val="28"/>
        </w:rPr>
        <w:t>8</w:t>
      </w:r>
    </w:p>
    <w:p w14:paraId="35A611AD">
      <w:pPr>
        <w:pStyle w:val="32"/>
        <w:spacing w:line="480" w:lineRule="auto"/>
        <w:ind w:firstLine="281"/>
        <w:jc w:val="center"/>
        <w:rPr>
          <w:rFonts w:hint="eastAsia"/>
          <w:b w:val="0"/>
          <w:bCs w:val="0"/>
          <w:caps w:val="0"/>
          <w:color w:val="auto"/>
          <w:sz w:val="22"/>
        </w:rPr>
      </w:pPr>
      <w:r>
        <w:rPr>
          <w:color w:val="auto"/>
          <w:sz w:val="28"/>
          <w:szCs w:val="28"/>
        </w:rPr>
        <w:fldChar w:fldCharType="begin"/>
      </w:r>
      <w:r>
        <w:rPr>
          <w:color w:val="auto"/>
          <w:sz w:val="28"/>
          <w:szCs w:val="28"/>
        </w:rPr>
        <w:instrText xml:space="preserve">HYPERLINK \l "_Toc74320805"</w:instrText>
      </w:r>
      <w:r>
        <w:rPr>
          <w:color w:val="auto"/>
          <w:sz w:val="28"/>
          <w:szCs w:val="28"/>
        </w:rPr>
        <w:fldChar w:fldCharType="separate"/>
      </w:r>
      <w:r>
        <w:rPr>
          <w:rStyle w:val="58"/>
          <w:rFonts w:hint="eastAsia"/>
          <w:color w:val="auto"/>
          <w:sz w:val="28"/>
          <w:szCs w:val="28"/>
        </w:rPr>
        <w:t>第六章 投标文件格式</w:t>
      </w:r>
      <w:r>
        <w:rPr>
          <w:color w:val="auto"/>
          <w:sz w:val="28"/>
          <w:szCs w:val="28"/>
        </w:rPr>
        <w:tab/>
      </w:r>
      <w:r>
        <w:rPr>
          <w:rFonts w:hint="eastAsia"/>
          <w:color w:val="auto"/>
          <w:sz w:val="28"/>
          <w:szCs w:val="28"/>
        </w:rPr>
        <w:t>4</w:t>
      </w:r>
      <w:r>
        <w:rPr>
          <w:color w:val="auto"/>
          <w:sz w:val="28"/>
          <w:szCs w:val="28"/>
        </w:rPr>
        <w:fldChar w:fldCharType="end"/>
      </w:r>
      <w:r>
        <w:rPr>
          <w:rFonts w:hint="eastAsia"/>
          <w:color w:val="auto"/>
          <w:sz w:val="28"/>
          <w:szCs w:val="28"/>
        </w:rPr>
        <w:t>7</w:t>
      </w:r>
    </w:p>
    <w:p w14:paraId="093F3B5A">
      <w:pPr>
        <w:spacing w:before="120" w:beforeLines="50" w:line="480" w:lineRule="auto"/>
        <w:jc w:val="center"/>
        <w:rPr>
          <w:rFonts w:ascii="宋体" w:hAnsi="宋体"/>
          <w:color w:val="auto"/>
          <w:sz w:val="24"/>
        </w:rPr>
      </w:pPr>
      <w:r>
        <w:rPr>
          <w:rFonts w:ascii="宋体" w:hAnsi="宋体"/>
          <w:b/>
          <w:color w:val="auto"/>
          <w:sz w:val="28"/>
          <w:szCs w:val="28"/>
        </w:rPr>
        <w:fldChar w:fldCharType="end"/>
      </w:r>
    </w:p>
    <w:p w14:paraId="0D261B80">
      <w:pPr>
        <w:spacing w:before="120" w:beforeLines="50" w:line="300" w:lineRule="auto"/>
        <w:rPr>
          <w:rFonts w:ascii="宋体" w:hAnsi="宋体"/>
          <w:color w:val="auto"/>
          <w:sz w:val="30"/>
        </w:rPr>
      </w:pPr>
    </w:p>
    <w:p w14:paraId="51C6DC1C">
      <w:pPr>
        <w:spacing w:line="300" w:lineRule="auto"/>
        <w:rPr>
          <w:rFonts w:ascii="宋体" w:hAnsi="宋体"/>
          <w:color w:val="auto"/>
        </w:rPr>
      </w:pPr>
    </w:p>
    <w:p w14:paraId="5CC77C4C">
      <w:pPr>
        <w:spacing w:before="120" w:beforeLines="50" w:line="300" w:lineRule="auto"/>
        <w:rPr>
          <w:rFonts w:ascii="宋体" w:hAnsi="宋体"/>
          <w:color w:val="auto"/>
          <w:sz w:val="30"/>
        </w:rPr>
      </w:pPr>
    </w:p>
    <w:p w14:paraId="280D09DA">
      <w:pPr>
        <w:spacing w:before="120" w:beforeLines="50" w:line="300" w:lineRule="auto"/>
        <w:rPr>
          <w:rFonts w:ascii="宋体" w:hAnsi="宋体"/>
          <w:color w:val="auto"/>
          <w:sz w:val="30"/>
        </w:rPr>
      </w:pPr>
    </w:p>
    <w:p w14:paraId="41449851">
      <w:pPr>
        <w:pStyle w:val="16"/>
        <w:spacing w:line="300" w:lineRule="auto"/>
        <w:rPr>
          <w:rFonts w:ascii="宋体" w:hAnsi="宋体" w:cs="宋体"/>
          <w:b/>
          <w:bCs/>
          <w:color w:val="auto"/>
        </w:rPr>
      </w:pPr>
      <w:bookmarkStart w:id="10" w:name="_Toc254970630"/>
      <w:bookmarkStart w:id="11" w:name="_Toc254970489"/>
    </w:p>
    <w:p w14:paraId="4910343A">
      <w:pPr>
        <w:pStyle w:val="2"/>
        <w:rPr>
          <w:rFonts w:ascii="宋体" w:hAnsi="宋体"/>
          <w:color w:val="auto"/>
        </w:rPr>
      </w:pPr>
      <w:r>
        <w:rPr>
          <w:rFonts w:ascii="宋体" w:hAnsi="宋体" w:cs="宋体"/>
          <w:b w:val="0"/>
          <w:bCs w:val="0"/>
          <w:color w:val="auto"/>
        </w:rPr>
        <w:br w:type="page"/>
      </w:r>
      <w:bookmarkStart w:id="12" w:name="_Toc74320800"/>
      <w:r>
        <w:rPr>
          <w:rFonts w:hint="eastAsia" w:ascii="宋体" w:hAnsi="宋体"/>
          <w:color w:val="auto"/>
        </w:rPr>
        <w:t>第一章</w:t>
      </w:r>
      <w:bookmarkEnd w:id="10"/>
      <w:bookmarkEnd w:id="11"/>
      <w:bookmarkStart w:id="13" w:name="_Toc35393789"/>
      <w:bookmarkStart w:id="14" w:name="_Toc28359001"/>
      <w:r>
        <w:rPr>
          <w:rFonts w:hint="eastAsia" w:ascii="宋体" w:hAnsi="宋体"/>
          <w:color w:val="auto"/>
        </w:rPr>
        <w:t xml:space="preserve"> 招标公告</w:t>
      </w:r>
      <w:bookmarkEnd w:id="12"/>
      <w:bookmarkEnd w:id="13"/>
      <w:bookmarkEnd w:id="14"/>
    </w:p>
    <w:p w14:paraId="23020DAE">
      <w:pPr>
        <w:pBdr>
          <w:top w:val="single" w:color="auto" w:sz="4" w:space="1"/>
          <w:left w:val="single" w:color="auto" w:sz="4" w:space="4"/>
          <w:bottom w:val="single" w:color="auto" w:sz="4" w:space="1"/>
          <w:right w:val="single" w:color="auto" w:sz="4" w:space="4"/>
        </w:pBdr>
        <w:spacing w:line="300" w:lineRule="auto"/>
        <w:rPr>
          <w:rFonts w:ascii="宋体" w:hAnsi="宋体"/>
          <w:color w:val="auto"/>
          <w:szCs w:val="21"/>
        </w:rPr>
      </w:pPr>
      <w:r>
        <w:rPr>
          <w:rFonts w:hint="eastAsia" w:ascii="宋体" w:hAnsi="宋体"/>
          <w:color w:val="auto"/>
          <w:szCs w:val="21"/>
        </w:rPr>
        <w:t>项目概况</w:t>
      </w:r>
    </w:p>
    <w:p w14:paraId="6FF03B4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r>
        <w:rPr>
          <w:rFonts w:hint="eastAsia" w:ascii="宋体" w:hAnsi="宋体"/>
          <w:bCs/>
          <w:color w:val="auto"/>
          <w:szCs w:val="21"/>
          <w:lang w:val="en-US" w:eastAsia="zh-CN"/>
        </w:rPr>
        <w:t>彩色多普勒超声诊断仪</w:t>
      </w:r>
      <w:r>
        <w:rPr>
          <w:rFonts w:hint="eastAsia" w:ascii="宋体" w:hAnsi="宋体"/>
          <w:bCs/>
          <w:color w:val="auto"/>
          <w:szCs w:val="21"/>
        </w:rPr>
        <w:t>采购项目</w:t>
      </w:r>
      <w:r>
        <w:rPr>
          <w:rFonts w:hint="eastAsia" w:ascii="宋体" w:hAnsi="宋体"/>
          <w:color w:val="auto"/>
          <w:szCs w:val="21"/>
        </w:rPr>
        <w:t>的潜在供应商应在广西政府采购云平台（</w:t>
      </w:r>
      <w:r>
        <w:rPr>
          <w:rFonts w:ascii="宋体" w:hAnsi="宋体"/>
          <w:color w:val="auto"/>
          <w:szCs w:val="21"/>
        </w:rPr>
        <w:t>https：//www.gcy.zfcg.gxzf.gov.cn/</w:t>
      </w:r>
      <w:r>
        <w:rPr>
          <w:rFonts w:hint="eastAsia" w:ascii="宋体" w:hAnsi="宋体"/>
          <w:color w:val="auto"/>
          <w:szCs w:val="21"/>
        </w:rPr>
        <w:t>）获取招标文件，并于2026年</w:t>
      </w:r>
      <w:r>
        <w:rPr>
          <w:rFonts w:hint="eastAsia" w:ascii="宋体" w:hAnsi="宋体"/>
          <w:color w:val="auto"/>
          <w:szCs w:val="21"/>
          <w:lang w:val="en-US" w:eastAsia="zh-CN"/>
        </w:rPr>
        <w:t>10</w:t>
      </w:r>
      <w:r>
        <w:rPr>
          <w:rFonts w:hint="eastAsia" w:ascii="宋体" w:hAnsi="宋体"/>
          <w:color w:val="auto"/>
          <w:szCs w:val="21"/>
        </w:rPr>
        <w:t>月</w:t>
      </w:r>
      <w:r>
        <w:rPr>
          <w:rFonts w:hint="eastAsia" w:ascii="宋体" w:hAnsi="宋体"/>
          <w:color w:val="auto"/>
          <w:szCs w:val="21"/>
          <w:lang w:val="en-US" w:eastAsia="zh-CN"/>
        </w:rPr>
        <w:t>19</w:t>
      </w:r>
      <w:r>
        <w:rPr>
          <w:rFonts w:hint="eastAsia" w:ascii="宋体" w:hAnsi="宋体"/>
          <w:color w:val="auto"/>
          <w:szCs w:val="21"/>
        </w:rPr>
        <w:t>日9时20分</w:t>
      </w:r>
      <w:r>
        <w:rPr>
          <w:rFonts w:hint="eastAsia" w:ascii="宋体" w:hAnsi="宋体"/>
          <w:bCs/>
          <w:color w:val="auto"/>
          <w:szCs w:val="21"/>
        </w:rPr>
        <w:t>（北京时间）前递交投标</w:t>
      </w:r>
      <w:r>
        <w:rPr>
          <w:rFonts w:ascii="宋体" w:hAnsi="宋体"/>
          <w:bCs/>
          <w:color w:val="auto"/>
          <w:szCs w:val="21"/>
        </w:rPr>
        <w:t>文件</w:t>
      </w:r>
      <w:r>
        <w:rPr>
          <w:rFonts w:hint="eastAsia" w:ascii="宋体" w:hAnsi="宋体"/>
          <w:color w:val="auto"/>
          <w:szCs w:val="21"/>
        </w:rPr>
        <w:t>。</w:t>
      </w:r>
    </w:p>
    <w:p w14:paraId="1528CFD2">
      <w:pPr>
        <w:spacing w:line="440" w:lineRule="exact"/>
        <w:ind w:firstLine="472" w:firstLineChars="196"/>
        <w:rPr>
          <w:rFonts w:hint="eastAsia" w:ascii="宋体" w:hAnsi="宋体"/>
          <w:b/>
          <w:bCs/>
          <w:color w:val="auto"/>
          <w:sz w:val="24"/>
        </w:rPr>
      </w:pPr>
      <w:bookmarkStart w:id="15" w:name="_Toc28359002"/>
      <w:bookmarkStart w:id="16" w:name="_Toc28359079"/>
      <w:bookmarkStart w:id="17" w:name="_Hlk24379207"/>
      <w:bookmarkStart w:id="18" w:name="_Toc35393621"/>
      <w:bookmarkStart w:id="19" w:name="_Toc35393790"/>
      <w:r>
        <w:rPr>
          <w:rFonts w:hint="eastAsia" w:ascii="宋体" w:hAnsi="宋体"/>
          <w:b/>
          <w:bCs/>
          <w:color w:val="auto"/>
          <w:sz w:val="24"/>
        </w:rPr>
        <w:t>一、项目基本情况</w:t>
      </w:r>
    </w:p>
    <w:p w14:paraId="1269A56B">
      <w:pPr>
        <w:spacing w:line="440" w:lineRule="exact"/>
        <w:ind w:firstLine="411" w:firstLineChars="196"/>
        <w:rPr>
          <w:rFonts w:hint="eastAsia" w:ascii="宋体" w:hAnsi="宋体"/>
          <w:bCs/>
          <w:color w:val="auto"/>
          <w:szCs w:val="21"/>
        </w:rPr>
      </w:pPr>
      <w:r>
        <w:rPr>
          <w:rFonts w:hint="eastAsia" w:ascii="宋体" w:hAnsi="宋体"/>
          <w:bCs/>
          <w:color w:val="auto"/>
          <w:szCs w:val="21"/>
        </w:rPr>
        <w:t>项目编号：LZZC2026-G1-990608-GXHS</w:t>
      </w:r>
    </w:p>
    <w:p w14:paraId="35F44EE1">
      <w:pPr>
        <w:spacing w:line="440" w:lineRule="exact"/>
        <w:ind w:firstLine="411" w:firstLineChars="196"/>
        <w:rPr>
          <w:rFonts w:hint="eastAsia" w:ascii="宋体" w:hAnsi="宋体"/>
          <w:bCs/>
          <w:color w:val="auto"/>
          <w:szCs w:val="21"/>
        </w:rPr>
      </w:pPr>
      <w:r>
        <w:rPr>
          <w:rFonts w:hint="eastAsia" w:ascii="宋体" w:hAnsi="宋体"/>
          <w:bCs/>
          <w:color w:val="auto"/>
          <w:szCs w:val="21"/>
        </w:rPr>
        <w:t>项目名称：</w:t>
      </w:r>
      <w:r>
        <w:rPr>
          <w:rFonts w:hint="eastAsia" w:ascii="宋体" w:hAnsi="宋体"/>
          <w:bCs/>
          <w:color w:val="auto"/>
          <w:szCs w:val="21"/>
          <w:lang w:val="en-US" w:eastAsia="zh-CN"/>
        </w:rPr>
        <w:t>彩色多普勒超声诊断仪</w:t>
      </w:r>
      <w:r>
        <w:rPr>
          <w:rFonts w:hint="eastAsia" w:ascii="宋体" w:hAnsi="宋体"/>
          <w:bCs/>
          <w:color w:val="auto"/>
          <w:szCs w:val="21"/>
        </w:rPr>
        <w:t>采购项目</w:t>
      </w:r>
    </w:p>
    <w:p w14:paraId="552CC655">
      <w:pPr>
        <w:spacing w:line="440" w:lineRule="exact"/>
        <w:ind w:firstLine="411" w:firstLineChars="196"/>
        <w:rPr>
          <w:rFonts w:ascii="宋体" w:hAnsi="宋体"/>
          <w:bCs/>
          <w:color w:val="auto"/>
          <w:szCs w:val="21"/>
        </w:rPr>
      </w:pPr>
      <w:r>
        <w:rPr>
          <w:rFonts w:hint="eastAsia" w:ascii="宋体" w:hAnsi="宋体"/>
          <w:bCs/>
          <w:color w:val="auto"/>
          <w:szCs w:val="21"/>
        </w:rPr>
        <w:t>预算总金额（元）：</w:t>
      </w:r>
      <w:r>
        <w:rPr>
          <w:rFonts w:hint="eastAsia" w:ascii="宋体" w:hAnsi="宋体"/>
          <w:bCs/>
          <w:color w:val="auto"/>
          <w:szCs w:val="21"/>
          <w:lang w:val="en-US" w:eastAsia="zh-CN"/>
        </w:rPr>
        <w:t>800000</w:t>
      </w:r>
      <w:r>
        <w:rPr>
          <w:rFonts w:hint="eastAsia" w:ascii="宋体" w:hAnsi="宋体"/>
          <w:bCs/>
          <w:color w:val="auto"/>
          <w:szCs w:val="21"/>
        </w:rPr>
        <w:t>.00</w:t>
      </w:r>
    </w:p>
    <w:p w14:paraId="643C7699">
      <w:pPr>
        <w:spacing w:line="440" w:lineRule="exact"/>
        <w:ind w:firstLine="411" w:firstLineChars="196"/>
        <w:rPr>
          <w:rFonts w:hint="eastAsia" w:hAnsi="宋体"/>
          <w:color w:val="auto"/>
        </w:rPr>
      </w:pPr>
      <w:r>
        <w:rPr>
          <w:rFonts w:hint="eastAsia" w:ascii="宋体" w:hAnsi="宋体"/>
          <w:bCs/>
          <w:color w:val="auto"/>
          <w:szCs w:val="21"/>
        </w:rPr>
        <w:t>采购需求：</w:t>
      </w:r>
    </w:p>
    <w:p w14:paraId="2BB7D70E">
      <w:pPr>
        <w:spacing w:line="440" w:lineRule="exact"/>
        <w:ind w:firstLine="411" w:firstLineChars="196"/>
        <w:rPr>
          <w:rFonts w:hint="eastAsia" w:hAnsi="宋体"/>
          <w:bCs/>
          <w:color w:val="auto"/>
        </w:rPr>
      </w:pPr>
      <w:r>
        <w:rPr>
          <w:rFonts w:hAnsi="宋体"/>
          <w:color w:val="auto"/>
        </w:rPr>
        <w:t>标</w:t>
      </w:r>
      <w:r>
        <w:rPr>
          <w:rFonts w:hint="eastAsia" w:hAnsi="宋体"/>
          <w:color w:val="auto"/>
          <w:lang w:val="en-US" w:eastAsia="zh-CN"/>
        </w:rPr>
        <w:t>项</w:t>
      </w:r>
      <w:r>
        <w:rPr>
          <w:rFonts w:hAnsi="宋体"/>
          <w:color w:val="auto"/>
        </w:rPr>
        <w:t>名称：</w:t>
      </w:r>
      <w:r>
        <w:rPr>
          <w:rFonts w:hint="eastAsia" w:ascii="宋体" w:hAnsi="宋体"/>
          <w:bCs/>
          <w:color w:val="auto"/>
          <w:szCs w:val="21"/>
          <w:lang w:val="en-US" w:eastAsia="zh-CN"/>
        </w:rPr>
        <w:t>彩色多普勒超声诊断仪</w:t>
      </w:r>
      <w:r>
        <w:rPr>
          <w:rFonts w:hint="eastAsia" w:ascii="宋体" w:hAnsi="宋体"/>
          <w:bCs/>
          <w:color w:val="auto"/>
          <w:szCs w:val="21"/>
        </w:rPr>
        <w:t>采购</w:t>
      </w:r>
    </w:p>
    <w:p w14:paraId="2CA02904">
      <w:pPr>
        <w:spacing w:line="440" w:lineRule="exact"/>
        <w:ind w:firstLine="411" w:firstLineChars="196"/>
        <w:rPr>
          <w:rFonts w:hint="eastAsia" w:ascii="宋体" w:hAnsi="宋体"/>
          <w:bCs/>
          <w:color w:val="auto"/>
          <w:szCs w:val="21"/>
        </w:rPr>
      </w:pPr>
      <w:r>
        <w:rPr>
          <w:rFonts w:hint="eastAsia" w:hAnsi="宋体"/>
          <w:color w:val="auto"/>
        </w:rPr>
        <w:t>数量：</w:t>
      </w:r>
      <w:r>
        <w:rPr>
          <w:rFonts w:hint="eastAsia" w:ascii="宋体" w:hAnsi="宋体" w:cs="宋体"/>
          <w:color w:val="auto"/>
        </w:rPr>
        <w:t>1</w:t>
      </w:r>
    </w:p>
    <w:p w14:paraId="091CEA46">
      <w:pPr>
        <w:spacing w:line="440" w:lineRule="exact"/>
        <w:ind w:firstLine="411" w:firstLineChars="196"/>
        <w:rPr>
          <w:rFonts w:ascii="宋体" w:hAnsi="宋体"/>
          <w:bCs/>
          <w:color w:val="auto"/>
          <w:szCs w:val="21"/>
        </w:rPr>
      </w:pPr>
      <w:r>
        <w:rPr>
          <w:rFonts w:hint="eastAsia" w:ascii="宋体" w:hAnsi="宋体"/>
          <w:bCs/>
          <w:color w:val="auto"/>
          <w:szCs w:val="21"/>
        </w:rPr>
        <w:t>预算金额（元）：</w:t>
      </w:r>
      <w:r>
        <w:rPr>
          <w:rFonts w:hint="eastAsia" w:ascii="宋体" w:hAnsi="宋体"/>
          <w:bCs/>
          <w:color w:val="auto"/>
          <w:szCs w:val="21"/>
          <w:lang w:val="en-US" w:eastAsia="zh-CN"/>
        </w:rPr>
        <w:t>800000</w:t>
      </w:r>
      <w:r>
        <w:rPr>
          <w:rFonts w:hint="eastAsia" w:ascii="宋体" w:hAnsi="宋体"/>
          <w:bCs/>
          <w:color w:val="auto"/>
          <w:szCs w:val="21"/>
        </w:rPr>
        <w:t>.00</w:t>
      </w:r>
    </w:p>
    <w:p w14:paraId="02359767">
      <w:pPr>
        <w:spacing w:line="440" w:lineRule="exact"/>
        <w:ind w:firstLine="411" w:firstLineChars="196"/>
        <w:rPr>
          <w:rFonts w:hint="eastAsia" w:ascii="宋体" w:hAnsi="宋体"/>
          <w:bCs/>
          <w:color w:val="auto"/>
          <w:szCs w:val="21"/>
        </w:rPr>
      </w:pPr>
      <w:r>
        <w:rPr>
          <w:rFonts w:hint="eastAsia" w:ascii="宋体" w:hAnsi="宋体"/>
          <w:bCs/>
          <w:color w:val="auto"/>
          <w:szCs w:val="21"/>
        </w:rPr>
        <w:t>简要规格描述或项目基本概况介绍、用途：采购</w:t>
      </w:r>
      <w:r>
        <w:rPr>
          <w:rFonts w:hint="eastAsia" w:ascii="宋体" w:hAnsi="宋体"/>
          <w:bCs/>
          <w:color w:val="auto"/>
          <w:szCs w:val="21"/>
          <w:lang w:val="en-US" w:eastAsia="zh-CN"/>
        </w:rPr>
        <w:t>彩色多普勒超声诊断仪1台</w:t>
      </w:r>
      <w:r>
        <w:rPr>
          <w:rFonts w:hint="eastAsia" w:ascii="宋体" w:hAnsi="宋体"/>
          <w:bCs/>
          <w:color w:val="auto"/>
          <w:szCs w:val="21"/>
        </w:rPr>
        <w:t>。具体内容详见招标文件。</w:t>
      </w:r>
    </w:p>
    <w:p w14:paraId="74665E03">
      <w:pPr>
        <w:spacing w:line="440" w:lineRule="exact"/>
        <w:ind w:firstLine="411" w:firstLineChars="196"/>
        <w:rPr>
          <w:rFonts w:ascii="宋体" w:hAnsi="宋体"/>
          <w:bCs/>
          <w:color w:val="auto"/>
          <w:szCs w:val="21"/>
        </w:rPr>
      </w:pPr>
      <w:r>
        <w:rPr>
          <w:rFonts w:hint="eastAsia" w:ascii="宋体" w:hAnsi="宋体"/>
          <w:bCs/>
          <w:color w:val="auto"/>
          <w:szCs w:val="21"/>
        </w:rPr>
        <w:t>最高限价（如有）：</w:t>
      </w:r>
      <w:r>
        <w:rPr>
          <w:rFonts w:hint="eastAsia" w:ascii="宋体" w:hAnsi="宋体"/>
          <w:bCs/>
          <w:color w:val="auto"/>
          <w:szCs w:val="21"/>
          <w:lang w:val="en-US" w:eastAsia="zh-CN"/>
        </w:rPr>
        <w:t>800000</w:t>
      </w:r>
      <w:r>
        <w:rPr>
          <w:rFonts w:hint="eastAsia" w:ascii="宋体" w:hAnsi="宋体"/>
          <w:bCs/>
          <w:color w:val="auto"/>
          <w:szCs w:val="21"/>
        </w:rPr>
        <w:t>.00</w:t>
      </w:r>
    </w:p>
    <w:p w14:paraId="2875968D">
      <w:pPr>
        <w:spacing w:line="440" w:lineRule="exact"/>
        <w:ind w:firstLine="411" w:firstLineChars="196"/>
        <w:rPr>
          <w:rFonts w:hint="eastAsia" w:hAnsi="宋体"/>
          <w:color w:val="auto"/>
        </w:rPr>
      </w:pPr>
      <w:r>
        <w:rPr>
          <w:rFonts w:hint="eastAsia" w:hAnsi="宋体"/>
          <w:color w:val="auto"/>
        </w:rPr>
        <w:t>合同履约期限：签订合同之日起</w:t>
      </w:r>
      <w:r>
        <w:rPr>
          <w:rFonts w:hint="eastAsia" w:hAnsi="宋体"/>
          <w:color w:val="auto"/>
          <w:u w:val="single"/>
          <w:lang w:val="en-US" w:eastAsia="zh-CN"/>
        </w:rPr>
        <w:t xml:space="preserve"> </w:t>
      </w:r>
      <w:r>
        <w:rPr>
          <w:rFonts w:hint="eastAsia" w:ascii="宋体" w:hAnsi="宋体" w:cs="宋体"/>
          <w:color w:val="auto"/>
          <w:u w:val="single"/>
        </w:rPr>
        <w:t>30</w:t>
      </w:r>
      <w:r>
        <w:rPr>
          <w:rFonts w:hint="eastAsia" w:ascii="宋体" w:hAnsi="宋体" w:cs="宋体"/>
          <w:color w:val="auto"/>
          <w:u w:val="single"/>
          <w:lang w:val="en-US" w:eastAsia="zh-CN"/>
        </w:rPr>
        <w:t xml:space="preserve"> </w:t>
      </w:r>
      <w:r>
        <w:rPr>
          <w:rFonts w:hint="eastAsia" w:hAnsi="宋体"/>
          <w:color w:val="auto"/>
        </w:rPr>
        <w:t>日内交货、安装调试完毕并验收合格交付使用。</w:t>
      </w:r>
    </w:p>
    <w:p w14:paraId="576B9F87">
      <w:pPr>
        <w:spacing w:line="440" w:lineRule="exact"/>
        <w:ind w:firstLine="411" w:firstLineChars="196"/>
        <w:rPr>
          <w:rFonts w:hint="eastAsia" w:hAnsi="宋体"/>
          <w:color w:val="auto"/>
        </w:rPr>
      </w:pPr>
      <w:r>
        <w:rPr>
          <w:rFonts w:hint="eastAsia" w:hAnsi="宋体"/>
          <w:color w:val="auto"/>
        </w:rPr>
        <w:t>本项目（否）接受联合体投标。</w:t>
      </w:r>
    </w:p>
    <w:p w14:paraId="5C983C5D">
      <w:pPr>
        <w:spacing w:line="440" w:lineRule="exact"/>
        <w:ind w:firstLine="411" w:firstLineChars="196"/>
        <w:rPr>
          <w:rFonts w:hint="eastAsia" w:ascii="宋体" w:hAnsi="宋体"/>
          <w:b/>
          <w:bCs/>
          <w:color w:val="auto"/>
          <w:szCs w:val="21"/>
        </w:rPr>
      </w:pPr>
      <w:r>
        <w:rPr>
          <w:rFonts w:hint="eastAsia" w:hAnsi="宋体"/>
          <w:color w:val="auto"/>
        </w:rPr>
        <w:t>备注：本项目为线上电子招标项目，采用远程异地评标，有意向参与本项目的供应商应当做好参与全流程电子招投标交易的充分准备。</w:t>
      </w:r>
      <w:bookmarkEnd w:id="15"/>
      <w:bookmarkEnd w:id="16"/>
      <w:bookmarkEnd w:id="17"/>
      <w:bookmarkEnd w:id="18"/>
      <w:bookmarkEnd w:id="19"/>
      <w:bookmarkStart w:id="20" w:name="_Toc35393791"/>
      <w:bookmarkStart w:id="21" w:name="_Toc35393622"/>
      <w:bookmarkStart w:id="22" w:name="_Toc28359080"/>
      <w:bookmarkStart w:id="23" w:name="_Toc28359003"/>
    </w:p>
    <w:p w14:paraId="7ED7AFB1">
      <w:pPr>
        <w:spacing w:line="440" w:lineRule="exact"/>
        <w:ind w:firstLine="472" w:firstLineChars="196"/>
        <w:rPr>
          <w:rFonts w:hint="eastAsia" w:ascii="宋体" w:hAnsi="宋体"/>
          <w:b/>
          <w:bCs/>
          <w:color w:val="auto"/>
          <w:sz w:val="24"/>
        </w:rPr>
      </w:pPr>
      <w:r>
        <w:rPr>
          <w:rFonts w:hint="eastAsia" w:ascii="宋体" w:hAnsi="宋体"/>
          <w:b/>
          <w:bCs/>
          <w:color w:val="auto"/>
          <w:sz w:val="24"/>
        </w:rPr>
        <w:t>二、申请人的资格要求：</w:t>
      </w:r>
      <w:bookmarkEnd w:id="20"/>
      <w:bookmarkEnd w:id="21"/>
      <w:bookmarkEnd w:id="22"/>
      <w:bookmarkEnd w:id="23"/>
    </w:p>
    <w:p w14:paraId="481592DE">
      <w:pPr>
        <w:spacing w:line="440" w:lineRule="exact"/>
        <w:ind w:firstLine="420" w:firstLineChars="200"/>
        <w:rPr>
          <w:rFonts w:ascii="宋体" w:hAnsi="宋体"/>
          <w:color w:val="auto"/>
          <w:szCs w:val="21"/>
        </w:rPr>
      </w:pPr>
      <w:bookmarkStart w:id="24" w:name="_Hlk51746371"/>
      <w:bookmarkStart w:id="25" w:name="_Toc28359004"/>
      <w:bookmarkStart w:id="26" w:name="_Toc28359081"/>
      <w:r>
        <w:rPr>
          <w:rFonts w:hint="eastAsia" w:ascii="宋体" w:hAnsi="宋体"/>
          <w:color w:val="auto"/>
          <w:szCs w:val="21"/>
        </w:rPr>
        <w:t>1．满足《中华人民共和国政府采购法》第二十二条规定；</w:t>
      </w:r>
    </w:p>
    <w:p w14:paraId="2B65E459">
      <w:pPr>
        <w:spacing w:line="440" w:lineRule="exact"/>
        <w:ind w:firstLine="420" w:firstLineChars="200"/>
        <w:rPr>
          <w:rFonts w:hint="eastAsia" w:ascii="宋体" w:hAnsi="宋体"/>
          <w:color w:val="auto"/>
          <w:szCs w:val="21"/>
        </w:rPr>
      </w:pPr>
      <w:r>
        <w:rPr>
          <w:rFonts w:hint="eastAsia" w:ascii="宋体" w:hAnsi="宋体"/>
          <w:color w:val="auto"/>
          <w:szCs w:val="21"/>
        </w:rPr>
        <w:t>2．落实政府采购政策需满足的资格要求：无；</w:t>
      </w:r>
    </w:p>
    <w:p w14:paraId="60E43CD2">
      <w:pPr>
        <w:spacing w:line="440" w:lineRule="exact"/>
        <w:ind w:firstLine="420" w:firstLineChars="200"/>
        <w:rPr>
          <w:rFonts w:hint="eastAsia" w:ascii="宋体" w:hAnsi="宋体" w:cs="宋体"/>
          <w:bCs/>
          <w:color w:val="auto"/>
          <w:kern w:val="0"/>
          <w:szCs w:val="21"/>
        </w:rPr>
      </w:pPr>
      <w:r>
        <w:rPr>
          <w:rFonts w:hint="eastAsia" w:ascii="宋体" w:hAnsi="宋体" w:cs="宋体"/>
          <w:bCs/>
          <w:color w:val="auto"/>
          <w:kern w:val="0"/>
          <w:szCs w:val="21"/>
        </w:rPr>
        <w:t>3．本项目的特定资格要求：</w:t>
      </w:r>
      <w:r>
        <w:rPr>
          <w:rFonts w:hint="eastAsia" w:ascii="宋体" w:hAnsi="宋体" w:cs="宋体"/>
          <w:bCs/>
          <w:color w:val="auto"/>
          <w:kern w:val="0"/>
          <w:szCs w:val="21"/>
          <w:lang w:val="en-US" w:eastAsia="zh-CN"/>
        </w:rPr>
        <w:t>供应商按符合《医疗器械监督管理条例》（国务院令第 739 号）医疗器械分类管理要求具备有效的医疗器械经营备案凭证或者经营许可证，且经营范围必须包含采购标的[符合《医疗器械监督管理条例》第四十一条第二款规定的除外]；或者</w:t>
      </w:r>
      <w:r>
        <w:rPr>
          <w:rFonts w:hint="eastAsia" w:ascii="宋体" w:hAnsi="宋体" w:cs="宋体"/>
          <w:bCs/>
          <w:color w:val="auto"/>
          <w:kern w:val="0"/>
          <w:szCs w:val="21"/>
        </w:rPr>
        <w:t>供应商符合《医疗器械监督管理条例》第四十三条规定的，仅需提供该医疗器械注册证。</w:t>
      </w:r>
    </w:p>
    <w:bookmarkEnd w:id="24"/>
    <w:p w14:paraId="6B84AB44">
      <w:pPr>
        <w:spacing w:line="440" w:lineRule="exact"/>
        <w:ind w:firstLine="472" w:firstLineChars="196"/>
        <w:rPr>
          <w:rFonts w:ascii="宋体" w:hAnsi="宋体"/>
          <w:b/>
          <w:bCs/>
          <w:color w:val="auto"/>
          <w:sz w:val="24"/>
        </w:rPr>
      </w:pPr>
      <w:bookmarkStart w:id="27" w:name="_Toc35393623"/>
      <w:bookmarkStart w:id="28" w:name="_Toc35393792"/>
      <w:r>
        <w:rPr>
          <w:rFonts w:hint="eastAsia" w:ascii="宋体" w:hAnsi="宋体"/>
          <w:b/>
          <w:bCs/>
          <w:color w:val="auto"/>
          <w:sz w:val="24"/>
        </w:rPr>
        <w:t>三、获取招标文件</w:t>
      </w:r>
      <w:bookmarkEnd w:id="25"/>
      <w:bookmarkEnd w:id="26"/>
      <w:bookmarkEnd w:id="27"/>
      <w:bookmarkEnd w:id="28"/>
    </w:p>
    <w:p w14:paraId="0FFAC55E">
      <w:pPr>
        <w:spacing w:line="440" w:lineRule="exact"/>
        <w:ind w:firstLine="420" w:firstLineChars="200"/>
        <w:rPr>
          <w:rFonts w:ascii="宋体" w:hAnsi="宋体" w:cs="宋体"/>
          <w:bCs/>
          <w:color w:val="auto"/>
          <w:kern w:val="0"/>
          <w:szCs w:val="21"/>
        </w:rPr>
      </w:pPr>
      <w:r>
        <w:rPr>
          <w:rFonts w:hint="eastAsia" w:ascii="宋体" w:hAnsi="宋体" w:cs="宋体"/>
          <w:bCs/>
          <w:color w:val="auto"/>
          <w:kern w:val="0"/>
          <w:szCs w:val="21"/>
        </w:rPr>
        <w:t>时间：</w:t>
      </w:r>
      <w:r>
        <w:rPr>
          <w:rFonts w:hint="eastAsia" w:ascii="宋体" w:hAnsi="宋体" w:cs="Arial"/>
          <w:color w:val="auto"/>
        </w:rPr>
        <w:t>2026年</w:t>
      </w:r>
      <w:r>
        <w:rPr>
          <w:rFonts w:hint="eastAsia" w:ascii="宋体" w:hAnsi="宋体" w:cs="Arial"/>
          <w:color w:val="auto"/>
          <w:lang w:val="en-US" w:eastAsia="zh-CN"/>
        </w:rPr>
        <w:t>09</w:t>
      </w:r>
      <w:r>
        <w:rPr>
          <w:rFonts w:hint="eastAsia" w:ascii="宋体" w:hAnsi="宋体" w:cs="Arial"/>
          <w:color w:val="auto"/>
        </w:rPr>
        <w:t>月</w:t>
      </w:r>
      <w:r>
        <w:rPr>
          <w:rFonts w:hint="eastAsia" w:ascii="宋体" w:hAnsi="宋体" w:cs="Arial"/>
          <w:color w:val="auto"/>
          <w:lang w:val="en-US" w:eastAsia="zh-CN"/>
        </w:rPr>
        <w:t>18</w:t>
      </w:r>
      <w:r>
        <w:rPr>
          <w:rFonts w:hint="eastAsia" w:ascii="宋体" w:hAnsi="宋体" w:cs="Arial"/>
          <w:color w:val="auto"/>
        </w:rPr>
        <w:t>日</w:t>
      </w:r>
      <w:r>
        <w:rPr>
          <w:rFonts w:hint="eastAsia" w:ascii="宋体" w:hAnsi="宋体" w:cs="Arial"/>
          <w:color w:val="auto"/>
          <w:szCs w:val="21"/>
        </w:rPr>
        <w:t>至</w:t>
      </w:r>
      <w:r>
        <w:rPr>
          <w:rFonts w:hint="eastAsia" w:ascii="宋体" w:hAnsi="宋体" w:cs="Arial"/>
          <w:color w:val="auto"/>
        </w:rPr>
        <w:t>2026年</w:t>
      </w:r>
      <w:r>
        <w:rPr>
          <w:rFonts w:hint="eastAsia" w:ascii="宋体" w:hAnsi="宋体" w:cs="Arial"/>
          <w:color w:val="auto"/>
          <w:lang w:val="en-US" w:eastAsia="zh-CN"/>
        </w:rPr>
        <w:t>09</w:t>
      </w:r>
      <w:r>
        <w:rPr>
          <w:rFonts w:hint="eastAsia" w:ascii="宋体" w:hAnsi="宋体" w:cs="Arial"/>
          <w:color w:val="auto"/>
        </w:rPr>
        <w:t>月</w:t>
      </w:r>
      <w:r>
        <w:rPr>
          <w:rFonts w:hint="eastAsia" w:ascii="宋体" w:hAnsi="宋体" w:cs="Arial"/>
          <w:color w:val="auto"/>
          <w:lang w:val="en-US" w:eastAsia="zh-CN"/>
        </w:rPr>
        <w:t>24</w:t>
      </w:r>
      <w:r>
        <w:rPr>
          <w:rFonts w:hint="eastAsia" w:ascii="宋体" w:hAnsi="宋体" w:cs="Arial"/>
          <w:color w:val="auto"/>
        </w:rPr>
        <w:t>日</w:t>
      </w:r>
      <w:r>
        <w:rPr>
          <w:rFonts w:hint="eastAsia" w:ascii="宋体" w:hAnsi="宋体" w:cs="Arial"/>
          <w:color w:val="auto"/>
          <w:szCs w:val="21"/>
        </w:rPr>
        <w:t>，每天08：00-12：00；1</w:t>
      </w:r>
      <w:r>
        <w:rPr>
          <w:rFonts w:hint="eastAsia" w:ascii="宋体" w:hAnsi="宋体" w:cs="Arial"/>
          <w:color w:val="auto"/>
        </w:rPr>
        <w:t>2</w:t>
      </w:r>
      <w:r>
        <w:rPr>
          <w:rFonts w:hint="eastAsia" w:ascii="宋体" w:hAnsi="宋体" w:cs="Arial"/>
          <w:color w:val="auto"/>
          <w:szCs w:val="21"/>
        </w:rPr>
        <w:t>：</w:t>
      </w:r>
      <w:r>
        <w:rPr>
          <w:rFonts w:hint="eastAsia" w:ascii="宋体" w:hAnsi="宋体" w:cs="Arial"/>
          <w:color w:val="auto"/>
        </w:rPr>
        <w:t>00</w:t>
      </w:r>
      <w:r>
        <w:rPr>
          <w:rFonts w:hint="eastAsia" w:ascii="宋体" w:hAnsi="宋体" w:cs="Arial"/>
          <w:color w:val="auto"/>
          <w:szCs w:val="21"/>
        </w:rPr>
        <w:t>-1</w:t>
      </w:r>
      <w:r>
        <w:rPr>
          <w:rFonts w:hint="eastAsia" w:ascii="宋体" w:hAnsi="宋体" w:cs="Arial"/>
          <w:color w:val="auto"/>
          <w:szCs w:val="21"/>
          <w:lang w:val="en-US" w:eastAsia="zh-CN"/>
        </w:rPr>
        <w:t>8</w:t>
      </w:r>
      <w:r>
        <w:rPr>
          <w:rFonts w:hint="eastAsia" w:ascii="宋体" w:hAnsi="宋体" w:cs="Arial"/>
          <w:color w:val="auto"/>
          <w:szCs w:val="21"/>
        </w:rPr>
        <w:t>：</w:t>
      </w:r>
      <w:r>
        <w:rPr>
          <w:rFonts w:hint="eastAsia" w:ascii="宋体" w:hAnsi="宋体" w:cs="Arial"/>
          <w:color w:val="auto"/>
          <w:szCs w:val="21"/>
          <w:lang w:val="en-US" w:eastAsia="zh-CN"/>
        </w:rPr>
        <w:t>0</w:t>
      </w:r>
      <w:r>
        <w:rPr>
          <w:rFonts w:hint="eastAsia" w:ascii="宋体" w:hAnsi="宋体" w:cs="Arial"/>
          <w:color w:val="auto"/>
          <w:szCs w:val="21"/>
        </w:rPr>
        <w:t>0（北京时间，</w:t>
      </w:r>
      <w:r>
        <w:rPr>
          <w:rFonts w:ascii="宋体" w:hAnsi="宋体" w:cs="Arial"/>
          <w:color w:val="auto"/>
          <w:szCs w:val="21"/>
        </w:rPr>
        <w:t>法定节假日</w:t>
      </w:r>
      <w:r>
        <w:rPr>
          <w:rFonts w:hint="eastAsia" w:ascii="宋体" w:hAnsi="宋体" w:cs="Arial"/>
          <w:color w:val="auto"/>
          <w:szCs w:val="21"/>
        </w:rPr>
        <w:t>除外）。</w:t>
      </w:r>
    </w:p>
    <w:p w14:paraId="3BE47D8C">
      <w:pPr>
        <w:spacing w:line="440" w:lineRule="exact"/>
        <w:ind w:firstLine="420" w:firstLineChars="200"/>
        <w:rPr>
          <w:rFonts w:ascii="宋体" w:hAnsi="宋体" w:cs="宋体"/>
          <w:bCs/>
          <w:color w:val="auto"/>
          <w:kern w:val="0"/>
          <w:szCs w:val="21"/>
        </w:rPr>
      </w:pPr>
      <w:r>
        <w:rPr>
          <w:rFonts w:hint="eastAsia" w:ascii="宋体" w:hAnsi="宋体" w:cs="宋体"/>
          <w:bCs/>
          <w:color w:val="auto"/>
          <w:kern w:val="0"/>
          <w:szCs w:val="21"/>
        </w:rPr>
        <w:t>地点：广西政府采购云平台（</w:t>
      </w:r>
      <w:r>
        <w:rPr>
          <w:rFonts w:ascii="宋体" w:hAnsi="宋体" w:cs="宋体"/>
          <w:bCs/>
          <w:color w:val="auto"/>
          <w:kern w:val="0"/>
          <w:szCs w:val="21"/>
        </w:rPr>
        <w:t>https：//www.gcy.zfcg.gxzf.gov.cn/</w:t>
      </w:r>
      <w:r>
        <w:rPr>
          <w:rFonts w:hint="eastAsia" w:ascii="宋体" w:hAnsi="宋体" w:cs="宋体"/>
          <w:bCs/>
          <w:color w:val="auto"/>
          <w:kern w:val="0"/>
          <w:szCs w:val="21"/>
        </w:rPr>
        <w:t>）</w:t>
      </w:r>
    </w:p>
    <w:p w14:paraId="13B29A7C">
      <w:pPr>
        <w:spacing w:line="440" w:lineRule="exact"/>
        <w:ind w:firstLine="420" w:firstLineChars="200"/>
        <w:rPr>
          <w:rFonts w:ascii="宋体" w:hAnsi="宋体" w:cs="宋体"/>
          <w:bCs/>
          <w:color w:val="auto"/>
          <w:kern w:val="0"/>
          <w:szCs w:val="21"/>
        </w:rPr>
      </w:pPr>
      <w:r>
        <w:rPr>
          <w:rFonts w:hint="eastAsia" w:ascii="宋体" w:hAnsi="宋体" w:cs="宋体"/>
          <w:bCs/>
          <w:color w:val="auto"/>
          <w:kern w:val="0"/>
          <w:szCs w:val="21"/>
        </w:rPr>
        <w:t>方式：网上下载。本项目不发放纸质文件，供应商应自行在</w:t>
      </w:r>
      <w:r>
        <w:rPr>
          <w:color w:val="auto"/>
        </w:rPr>
        <w:fldChar w:fldCharType="begin"/>
      </w:r>
      <w:r>
        <w:rPr>
          <w:color w:val="auto"/>
        </w:rPr>
        <w:instrText xml:space="preserve"> HYPERLINK </w:instrText>
      </w:r>
      <w:r>
        <w:rPr>
          <w:color w:val="auto"/>
        </w:rPr>
        <w:fldChar w:fldCharType="end"/>
      </w:r>
      <w:r>
        <w:rPr>
          <w:rFonts w:hint="eastAsia" w:ascii="宋体" w:hAnsi="宋体" w:cs="宋体"/>
          <w:bCs/>
          <w:color w:val="auto"/>
          <w:kern w:val="0"/>
          <w:szCs w:val="21"/>
        </w:rPr>
        <w:t>广西政府采购云平台（</w:t>
      </w:r>
      <w:r>
        <w:rPr>
          <w:rFonts w:ascii="宋体" w:hAnsi="宋体" w:cs="宋体"/>
          <w:bCs/>
          <w:color w:val="auto"/>
          <w:kern w:val="0"/>
          <w:szCs w:val="21"/>
        </w:rPr>
        <w:t>https：//www.gcy.zfcg.gxzf.gov.cn/</w:t>
      </w:r>
      <w:r>
        <w:rPr>
          <w:rFonts w:hint="eastAsia" w:ascii="宋体" w:hAnsi="宋体" w:cs="宋体"/>
          <w:bCs/>
          <w:color w:val="auto"/>
          <w:kern w:val="0"/>
          <w:szCs w:val="21"/>
        </w:rPr>
        <w:t>）下载招标文件（操作路径：登录“广西政府采购云平台”-项目采购-获取采购文件-找到本项目-点击“申请获取采购文件”），电子投标文件制作需要基于广西政府采购云平台获取的招标文件编制。</w:t>
      </w:r>
    </w:p>
    <w:p w14:paraId="7644571D">
      <w:pPr>
        <w:spacing w:line="440" w:lineRule="exact"/>
        <w:ind w:firstLine="420" w:firstLineChars="200"/>
        <w:rPr>
          <w:rFonts w:ascii="宋体" w:hAnsi="宋体" w:cs="宋体"/>
          <w:color w:val="auto"/>
          <w:szCs w:val="21"/>
        </w:rPr>
      </w:pPr>
      <w:r>
        <w:rPr>
          <w:rFonts w:hint="eastAsia" w:ascii="宋体" w:hAnsi="宋体" w:cs="宋体"/>
          <w:bCs/>
          <w:color w:val="auto"/>
          <w:kern w:val="0"/>
          <w:szCs w:val="21"/>
        </w:rPr>
        <w:t>售价：0元。</w:t>
      </w:r>
    </w:p>
    <w:p w14:paraId="1CF14762">
      <w:pPr>
        <w:spacing w:line="440" w:lineRule="exact"/>
        <w:ind w:firstLine="472" w:firstLineChars="196"/>
        <w:rPr>
          <w:rFonts w:ascii="宋体" w:hAnsi="宋体"/>
          <w:b/>
          <w:bCs/>
          <w:color w:val="auto"/>
          <w:sz w:val="24"/>
        </w:rPr>
      </w:pPr>
      <w:bookmarkStart w:id="29" w:name="_Toc28359005"/>
      <w:bookmarkStart w:id="30" w:name="_Toc28359082"/>
      <w:bookmarkStart w:id="31" w:name="_Toc35393793"/>
      <w:bookmarkStart w:id="32" w:name="_Toc35393624"/>
      <w:r>
        <w:rPr>
          <w:rFonts w:hint="eastAsia" w:ascii="宋体" w:hAnsi="宋体"/>
          <w:b/>
          <w:bCs/>
          <w:color w:val="auto"/>
          <w:sz w:val="24"/>
        </w:rPr>
        <w:t>四、提交投标文件</w:t>
      </w:r>
      <w:bookmarkEnd w:id="29"/>
      <w:bookmarkEnd w:id="30"/>
      <w:r>
        <w:rPr>
          <w:rFonts w:hint="eastAsia" w:ascii="宋体" w:hAnsi="宋体"/>
          <w:b/>
          <w:bCs/>
          <w:color w:val="auto"/>
          <w:sz w:val="24"/>
        </w:rPr>
        <w:t>截止时间、开标时间和地点</w:t>
      </w:r>
      <w:bookmarkEnd w:id="31"/>
      <w:bookmarkEnd w:id="32"/>
    </w:p>
    <w:p w14:paraId="5BC26B45">
      <w:pPr>
        <w:spacing w:line="440" w:lineRule="exact"/>
        <w:ind w:firstLine="420" w:firstLineChars="200"/>
        <w:jc w:val="left"/>
        <w:rPr>
          <w:rFonts w:ascii="宋体" w:hAnsi="宋体" w:cs="宋体"/>
          <w:color w:val="auto"/>
          <w:szCs w:val="21"/>
        </w:rPr>
      </w:pPr>
      <w:bookmarkStart w:id="33" w:name="_Toc28359007"/>
      <w:bookmarkStart w:id="34" w:name="_Toc35393794"/>
      <w:bookmarkStart w:id="35" w:name="_Toc35393625"/>
      <w:bookmarkStart w:id="36" w:name="_Toc28359084"/>
      <w:r>
        <w:rPr>
          <w:rFonts w:hint="eastAsia" w:ascii="宋体" w:hAnsi="宋体"/>
          <w:color w:val="auto"/>
          <w:szCs w:val="21"/>
        </w:rPr>
        <w:t>投标地点（网址）：广西政府采购云平台（www.gcy.zfcg.gxzf.gov.cn/）（供应商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未按规定编制并加密的电子投标文件，将被广西政府采购云平台拒收。）</w:t>
      </w:r>
    </w:p>
    <w:p w14:paraId="393774B9">
      <w:pPr>
        <w:spacing w:line="440" w:lineRule="exact"/>
        <w:ind w:firstLine="420" w:firstLineChars="200"/>
        <w:rPr>
          <w:rFonts w:hint="eastAsia" w:ascii="宋体" w:hAnsi="宋体"/>
          <w:color w:val="auto"/>
        </w:rPr>
      </w:pPr>
      <w:r>
        <w:rPr>
          <w:rFonts w:hint="eastAsia" w:ascii="宋体" w:hAnsi="宋体"/>
          <w:color w:val="auto"/>
        </w:rPr>
        <w:t>提交投标文件截止时间：2026年</w:t>
      </w:r>
      <w:r>
        <w:rPr>
          <w:rFonts w:hint="eastAsia" w:ascii="宋体" w:hAnsi="宋体" w:cs="Arial"/>
          <w:color w:val="auto"/>
          <w:lang w:val="en-US" w:eastAsia="zh-CN"/>
        </w:rPr>
        <w:t>10</w:t>
      </w:r>
      <w:r>
        <w:rPr>
          <w:rFonts w:hint="eastAsia" w:ascii="宋体" w:hAnsi="宋体" w:cs="Arial"/>
          <w:color w:val="auto"/>
        </w:rPr>
        <w:t>月</w:t>
      </w:r>
      <w:r>
        <w:rPr>
          <w:rFonts w:hint="eastAsia" w:ascii="宋体" w:hAnsi="宋体" w:cs="Arial"/>
          <w:color w:val="auto"/>
          <w:lang w:val="en-US" w:eastAsia="zh-CN"/>
        </w:rPr>
        <w:t>19</w:t>
      </w:r>
      <w:r>
        <w:rPr>
          <w:rFonts w:hint="eastAsia" w:ascii="宋体" w:hAnsi="宋体" w:cs="Arial"/>
          <w:color w:val="auto"/>
        </w:rPr>
        <w:t>日</w:t>
      </w:r>
      <w:r>
        <w:rPr>
          <w:rFonts w:hint="eastAsia" w:ascii="宋体" w:hAnsi="宋体"/>
          <w:color w:val="auto"/>
        </w:rPr>
        <w:t>09：20（北京时间）</w:t>
      </w:r>
    </w:p>
    <w:p w14:paraId="36060C16">
      <w:pPr>
        <w:spacing w:line="440" w:lineRule="exact"/>
        <w:ind w:firstLine="420" w:firstLineChars="200"/>
        <w:rPr>
          <w:rFonts w:hint="eastAsia" w:ascii="宋体" w:hAnsi="宋体"/>
          <w:color w:val="auto"/>
        </w:rPr>
      </w:pPr>
      <w:r>
        <w:rPr>
          <w:rFonts w:hint="eastAsia" w:ascii="宋体" w:hAnsi="宋体"/>
          <w:color w:val="auto"/>
        </w:rPr>
        <w:t>开标时间：2026年</w:t>
      </w:r>
      <w:r>
        <w:rPr>
          <w:rFonts w:hint="eastAsia" w:ascii="宋体" w:hAnsi="宋体" w:cs="Arial"/>
          <w:color w:val="auto"/>
          <w:lang w:val="en-US" w:eastAsia="zh-CN"/>
        </w:rPr>
        <w:t>10</w:t>
      </w:r>
      <w:r>
        <w:rPr>
          <w:rFonts w:hint="eastAsia" w:ascii="宋体" w:hAnsi="宋体" w:cs="Arial"/>
          <w:color w:val="auto"/>
        </w:rPr>
        <w:t>月</w:t>
      </w:r>
      <w:r>
        <w:rPr>
          <w:rFonts w:hint="eastAsia" w:ascii="宋体" w:hAnsi="宋体" w:cs="Arial"/>
          <w:color w:val="auto"/>
          <w:lang w:val="en-US" w:eastAsia="zh-CN"/>
        </w:rPr>
        <w:t>19</w:t>
      </w:r>
      <w:bookmarkStart w:id="151" w:name="_GoBack"/>
      <w:bookmarkEnd w:id="151"/>
      <w:r>
        <w:rPr>
          <w:rFonts w:hint="eastAsia" w:ascii="宋体" w:hAnsi="宋体" w:cs="Arial"/>
          <w:color w:val="auto"/>
        </w:rPr>
        <w:t>日</w:t>
      </w:r>
      <w:r>
        <w:rPr>
          <w:rFonts w:hint="eastAsia" w:ascii="宋体" w:hAnsi="宋体"/>
          <w:color w:val="auto"/>
        </w:rPr>
        <w:t>09：20</w:t>
      </w:r>
    </w:p>
    <w:p w14:paraId="67DDEADD">
      <w:pPr>
        <w:spacing w:line="440" w:lineRule="exact"/>
        <w:ind w:firstLine="420" w:firstLineChars="200"/>
        <w:rPr>
          <w:rFonts w:ascii="宋体" w:hAnsi="宋体"/>
          <w:color w:val="auto"/>
        </w:rPr>
      </w:pPr>
      <w:r>
        <w:rPr>
          <w:rFonts w:hint="eastAsia" w:ascii="宋体" w:hAnsi="宋体"/>
          <w:color w:val="auto"/>
        </w:rPr>
        <w:t>开标地点：</w:t>
      </w:r>
      <w:r>
        <w:rPr>
          <w:rFonts w:hint="eastAsia" w:ascii="宋体" w:hAnsi="宋体" w:cs="宋体"/>
          <w:bCs/>
          <w:color w:val="auto"/>
          <w:kern w:val="0"/>
          <w:szCs w:val="21"/>
        </w:rPr>
        <w:t>广西政府采购云平台（</w:t>
      </w:r>
      <w:r>
        <w:rPr>
          <w:rFonts w:ascii="宋体" w:hAnsi="宋体" w:cs="宋体"/>
          <w:bCs/>
          <w:color w:val="auto"/>
          <w:kern w:val="0"/>
          <w:szCs w:val="21"/>
        </w:rPr>
        <w:t>https：//www.gcy.zfcg.gxzf.gov.cn/</w:t>
      </w:r>
      <w:r>
        <w:rPr>
          <w:rFonts w:hint="eastAsia" w:ascii="宋体" w:hAnsi="宋体" w:cs="宋体"/>
          <w:bCs/>
          <w:color w:val="auto"/>
          <w:kern w:val="0"/>
          <w:szCs w:val="21"/>
        </w:rPr>
        <w:t>）</w:t>
      </w:r>
    </w:p>
    <w:p w14:paraId="6442AE80">
      <w:pPr>
        <w:spacing w:line="440" w:lineRule="exact"/>
        <w:ind w:firstLine="472" w:firstLineChars="196"/>
        <w:rPr>
          <w:rFonts w:ascii="宋体" w:hAnsi="宋体"/>
          <w:b/>
          <w:bCs/>
          <w:color w:val="auto"/>
          <w:sz w:val="24"/>
        </w:rPr>
      </w:pPr>
      <w:r>
        <w:rPr>
          <w:rFonts w:hint="eastAsia" w:ascii="宋体" w:hAnsi="宋体"/>
          <w:b/>
          <w:bCs/>
          <w:color w:val="auto"/>
          <w:sz w:val="24"/>
        </w:rPr>
        <w:t>五、公告期限</w:t>
      </w:r>
      <w:bookmarkEnd w:id="33"/>
      <w:bookmarkEnd w:id="34"/>
      <w:bookmarkEnd w:id="35"/>
      <w:bookmarkEnd w:id="36"/>
    </w:p>
    <w:p w14:paraId="270D2FEC">
      <w:pPr>
        <w:spacing w:line="440" w:lineRule="exact"/>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自本公告发布之日起5个工作日。</w:t>
      </w:r>
    </w:p>
    <w:p w14:paraId="4247EF93">
      <w:pPr>
        <w:spacing w:line="440" w:lineRule="exact"/>
        <w:ind w:firstLine="472" w:firstLineChars="196"/>
        <w:rPr>
          <w:rFonts w:ascii="宋体" w:hAnsi="宋体"/>
          <w:b/>
          <w:bCs/>
          <w:color w:val="auto"/>
          <w:sz w:val="24"/>
        </w:rPr>
      </w:pPr>
      <w:bookmarkStart w:id="37" w:name="_Toc35393626"/>
      <w:bookmarkStart w:id="38" w:name="_Toc35393795"/>
      <w:r>
        <w:rPr>
          <w:rFonts w:hint="eastAsia" w:ascii="宋体" w:hAnsi="宋体"/>
          <w:b/>
          <w:bCs/>
          <w:color w:val="auto"/>
          <w:sz w:val="24"/>
        </w:rPr>
        <w:t>六、其他补充事宜</w:t>
      </w:r>
      <w:bookmarkEnd w:id="37"/>
      <w:bookmarkEnd w:id="38"/>
    </w:p>
    <w:p w14:paraId="7AD43A2E">
      <w:pPr>
        <w:snapToGrid w:val="0"/>
        <w:spacing w:line="440" w:lineRule="exact"/>
        <w:ind w:firstLine="420" w:firstLineChars="200"/>
        <w:rPr>
          <w:rFonts w:ascii="宋体" w:hAnsi="宋体" w:cs="宋体"/>
          <w:color w:val="auto"/>
          <w:kern w:val="0"/>
          <w:szCs w:val="21"/>
        </w:rPr>
      </w:pPr>
      <w:bookmarkStart w:id="39" w:name="_Hlk37429674"/>
      <w:r>
        <w:rPr>
          <w:rFonts w:hint="eastAsia" w:ascii="宋体" w:hAnsi="宋体" w:cs="宋体"/>
          <w:color w:val="auto"/>
          <w:kern w:val="0"/>
          <w:szCs w:val="21"/>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019826C">
      <w:pPr>
        <w:spacing w:line="440" w:lineRule="exact"/>
        <w:ind w:firstLine="420" w:firstLineChars="200"/>
        <w:rPr>
          <w:rFonts w:ascii="宋体" w:hAnsi="宋体" w:cs="宋体"/>
          <w:color w:val="auto"/>
          <w:kern w:val="0"/>
          <w:szCs w:val="21"/>
        </w:rPr>
      </w:pPr>
      <w:r>
        <w:rPr>
          <w:rFonts w:hint="eastAsia" w:ascii="宋体" w:hAnsi="宋体" w:cs="宋体"/>
          <w:color w:val="auto"/>
          <w:kern w:val="0"/>
          <w:szCs w:val="21"/>
        </w:rPr>
        <w:t>2.根据财政部《关于在政府采购活动中查询及使用信用记录有关问题的通知》（财库〔2016〕125号）的规定，对在“信用中国”网站(www.creditchina.gov.cn)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0A7DF02">
      <w:pPr>
        <w:spacing w:line="440" w:lineRule="exact"/>
        <w:ind w:firstLine="420" w:firstLineChars="200"/>
        <w:rPr>
          <w:rFonts w:ascii="宋体" w:hAnsi="宋体" w:cs="宋体"/>
          <w:color w:val="auto"/>
          <w:kern w:val="0"/>
          <w:szCs w:val="21"/>
        </w:rPr>
      </w:pPr>
      <w:r>
        <w:rPr>
          <w:rFonts w:hint="eastAsia" w:ascii="宋体" w:hAnsi="宋体" w:cs="宋体"/>
          <w:color w:val="auto"/>
          <w:kern w:val="0"/>
          <w:szCs w:val="21"/>
        </w:rPr>
        <w:t>3.网上查询地址：中国政府采购网（www.ccgp.gov.cn）、广西政府采购网（zfcg.gxzf.gov.cn）、柳州市政府采购网（</w:t>
      </w:r>
      <w:r>
        <w:rPr>
          <w:rFonts w:ascii="宋体" w:hAnsi="宋体" w:cs="宋体"/>
          <w:color w:val="auto"/>
          <w:szCs w:val="21"/>
        </w:rPr>
        <w:t>zfcg.lzscz.liuzhou.gov.cn</w:t>
      </w:r>
      <w:r>
        <w:rPr>
          <w:rFonts w:hint="eastAsia" w:ascii="宋体" w:hAnsi="宋体" w:cs="宋体"/>
          <w:color w:val="auto"/>
          <w:kern w:val="0"/>
          <w:szCs w:val="21"/>
        </w:rPr>
        <w:t>）。</w:t>
      </w:r>
    </w:p>
    <w:p w14:paraId="359965D8">
      <w:pPr>
        <w:spacing w:line="44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4.本项目需要落实的政府采购政策：</w:t>
      </w:r>
    </w:p>
    <w:p w14:paraId="72A79F31">
      <w:pPr>
        <w:spacing w:line="44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（1）政府采购促进中小企业发展；</w:t>
      </w:r>
    </w:p>
    <w:p w14:paraId="74E16A82">
      <w:pPr>
        <w:spacing w:line="44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（2）政府采购支持采用本国产品的政策；</w:t>
      </w:r>
    </w:p>
    <w:p w14:paraId="78D9DDF6">
      <w:pPr>
        <w:spacing w:line="44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3E56DA97">
      <w:pPr>
        <w:spacing w:line="44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（4）政府采购促进残疾人就业政策；</w:t>
      </w:r>
    </w:p>
    <w:p w14:paraId="65F086D6">
      <w:pPr>
        <w:spacing w:line="44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（5）政府采购支持监狱企业发展。</w:t>
      </w:r>
    </w:p>
    <w:p w14:paraId="29585616">
      <w:pPr>
        <w:widowControl/>
        <w:spacing w:line="440" w:lineRule="exact"/>
        <w:ind w:firstLine="420" w:firstLineChars="200"/>
        <w:rPr>
          <w:rFonts w:hint="eastAsia" w:ascii="宋体" w:hAnsi="宋体" w:cs="宋体"/>
          <w:color w:val="auto"/>
          <w:szCs w:val="21"/>
        </w:rPr>
      </w:pPr>
      <w:r>
        <w:rPr>
          <w:rFonts w:hint="eastAsia" w:ascii="宋体" w:hAnsi="宋体" w:cs="宋体"/>
          <w:color w:val="auto"/>
          <w:szCs w:val="21"/>
        </w:rPr>
        <w:t>5.投标注意事项：</w:t>
      </w:r>
    </w:p>
    <w:p w14:paraId="1DC949EF">
      <w:pPr>
        <w:widowControl/>
        <w:spacing w:line="440" w:lineRule="exact"/>
        <w:ind w:firstLine="420" w:firstLineChars="200"/>
        <w:rPr>
          <w:rFonts w:ascii="宋体" w:hAnsi="宋体" w:cs="宋体"/>
          <w:color w:val="auto"/>
          <w:kern w:val="0"/>
          <w:szCs w:val="21"/>
        </w:rPr>
      </w:pPr>
      <w:r>
        <w:rPr>
          <w:rFonts w:hint="eastAsia" w:ascii="宋体" w:hAnsi="宋体" w:cs="宋体"/>
          <w:color w:val="auto"/>
          <w:kern w:val="0"/>
          <w:szCs w:val="21"/>
        </w:rPr>
        <w:t>（1）本项目为全流程电子化采购项目，通过广西政府采购云平台（https://www.gcy.zfcg.gxzf.gov.cn/）实行在线电子投标，供应商应先安装“广西政府采购云电子投标客户端”（请自行前往广西政府采购云平台进行下载），并按照本项目招标文件和广西政府采购云平台的要求编制、加密后在投标截止时间前通过网络上传至广西政府采购云平台（加密的电子投标文件是指后缀名为“jmbs”的文件），供应商在广西政府采购云平台提交电子投标文件时，请填写参加远程开标活动经办人联系方式。供应商登录广西政府采购云平台，依次进入“服务中心-项目采购-操作流程-电子招投标-政府采购项目电子交易管理操作指南-供应商”查看电子投标具体操作流程。</w:t>
      </w:r>
      <w:r>
        <w:rPr>
          <w:rFonts w:hint="eastAsia" w:ascii="宋体" w:hAnsi="宋体" w:cs="宋体"/>
          <w:color w:val="auto"/>
          <w:kern w:val="0"/>
          <w:szCs w:val="21"/>
        </w:rPr>
        <w:br w:type="textWrapping"/>
      </w:r>
      <w:r>
        <w:rPr>
          <w:rFonts w:hint="eastAsia" w:ascii="宋体" w:hAnsi="宋体" w:cs="宋体"/>
          <w:color w:val="auto"/>
          <w:kern w:val="0"/>
          <w:szCs w:val="21"/>
        </w:rPr>
        <w:t xml:space="preserve">   （2）未进行网上注册并办理数字证书（CA认证）的供应商将无法参与本项目政府采购活动，供应商应当在投标截止时间前，完成电子交易平台上的CA数字证书办理及投标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客服热线：95763或者0771-3381253）。</w:t>
      </w:r>
      <w:r>
        <w:rPr>
          <w:rFonts w:hint="eastAsia" w:ascii="宋体" w:hAnsi="宋体" w:cs="宋体"/>
          <w:color w:val="auto"/>
          <w:kern w:val="0"/>
          <w:szCs w:val="21"/>
        </w:rPr>
        <w:br w:type="textWrapping"/>
      </w:r>
      <w:r>
        <w:rPr>
          <w:rFonts w:hint="eastAsia" w:ascii="宋体" w:hAnsi="宋体" w:cs="宋体"/>
          <w:color w:val="auto"/>
          <w:kern w:val="0"/>
          <w:szCs w:val="21"/>
        </w:rPr>
        <w:t xml:space="preserve">   （3）CA证书在线解密：供应商投标时，需凭制作投标文件时用来加密的有效数字证书（CA认证）登录广西政府采购云平台电子开标大厅现场按规定时间对加密的投标文件进行解密，否则后果自负。</w:t>
      </w:r>
      <w:r>
        <w:rPr>
          <w:rFonts w:hint="eastAsia" w:ascii="宋体" w:hAnsi="宋体" w:cs="宋体"/>
          <w:color w:val="auto"/>
          <w:kern w:val="0"/>
          <w:szCs w:val="21"/>
        </w:rPr>
        <w:br w:type="textWrapping"/>
      </w:r>
      <w:r>
        <w:rPr>
          <w:rFonts w:hint="eastAsia" w:ascii="宋体" w:hAnsi="宋体" w:cs="宋体"/>
          <w:color w:val="auto"/>
          <w:kern w:val="0"/>
          <w:szCs w:val="21"/>
        </w:rPr>
        <w:t xml:space="preserve">    注：1）为确保网上操作合法、有效和安全，请供应商确保在电子投标过程中能够对相关数据电文进行加密和使用电子签章，妥善保管CA数字证书并使用有效的CA数字证书参与整个招标活动。2）供应商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auto"/>
          <w:kern w:val="0"/>
          <w:szCs w:val="21"/>
        </w:rPr>
        <w:br w:type="textWrapping"/>
      </w:r>
      <w:r>
        <w:rPr>
          <w:rFonts w:hint="eastAsia" w:ascii="宋体" w:hAnsi="宋体" w:cs="宋体"/>
          <w:color w:val="auto"/>
          <w:kern w:val="0"/>
          <w:szCs w:val="21"/>
        </w:rPr>
        <w:t xml:space="preserve">  （4）电子标项目不要求参与投标的供应商到达现场，但供应商应派法定代表人或委托代理人准时在线出席电子开评标会议，随时关注开评标进度，如在开评标过程中有电子询标，应在规定的时间内对电子询标函进行澄清回复。</w:t>
      </w:r>
    </w:p>
    <w:bookmarkEnd w:id="39"/>
    <w:p w14:paraId="0C1479DA">
      <w:pPr>
        <w:spacing w:line="440" w:lineRule="exact"/>
        <w:ind w:firstLine="472" w:firstLineChars="196"/>
        <w:rPr>
          <w:rFonts w:ascii="宋体" w:hAnsi="宋体"/>
          <w:b/>
          <w:bCs/>
          <w:color w:val="auto"/>
          <w:sz w:val="24"/>
        </w:rPr>
      </w:pPr>
      <w:bookmarkStart w:id="40" w:name="_Toc28359008"/>
      <w:bookmarkStart w:id="41" w:name="_Toc35393796"/>
      <w:bookmarkStart w:id="42" w:name="_Toc35393627"/>
      <w:bookmarkStart w:id="43" w:name="_Toc28359085"/>
      <w:r>
        <w:rPr>
          <w:rFonts w:hint="eastAsia" w:ascii="宋体" w:hAnsi="宋体"/>
          <w:b/>
          <w:bCs/>
          <w:color w:val="auto"/>
          <w:sz w:val="24"/>
        </w:rPr>
        <w:t>七、对本次招标提出询问，请按</w:t>
      </w:r>
      <w:r>
        <w:rPr>
          <w:rFonts w:ascii="宋体" w:hAnsi="宋体"/>
          <w:b/>
          <w:bCs/>
          <w:color w:val="auto"/>
          <w:sz w:val="24"/>
        </w:rPr>
        <w:t>以下方式</w:t>
      </w:r>
      <w:r>
        <w:rPr>
          <w:rFonts w:hint="eastAsia" w:ascii="宋体" w:hAnsi="宋体"/>
          <w:b/>
          <w:bCs/>
          <w:color w:val="auto"/>
          <w:sz w:val="24"/>
        </w:rPr>
        <w:t>联系。</w:t>
      </w:r>
      <w:bookmarkEnd w:id="40"/>
      <w:bookmarkEnd w:id="41"/>
      <w:bookmarkEnd w:id="42"/>
      <w:bookmarkEnd w:id="43"/>
    </w:p>
    <w:p w14:paraId="7C22DE1A">
      <w:pPr>
        <w:spacing w:line="440" w:lineRule="exact"/>
        <w:ind w:firstLine="420" w:firstLineChars="200"/>
        <w:rPr>
          <w:rFonts w:hint="eastAsia" w:ascii="宋体" w:hAnsi="宋体" w:cs="Arial"/>
          <w:color w:val="auto"/>
          <w:szCs w:val="21"/>
        </w:rPr>
      </w:pPr>
      <w:r>
        <w:rPr>
          <w:rFonts w:hint="eastAsia" w:ascii="宋体" w:hAnsi="宋体" w:cs="Arial"/>
          <w:color w:val="auto"/>
          <w:szCs w:val="21"/>
        </w:rPr>
        <w:t>1．采购人信息</w:t>
      </w:r>
    </w:p>
    <w:p w14:paraId="67CEF005">
      <w:pPr>
        <w:spacing w:line="440" w:lineRule="exact"/>
        <w:ind w:firstLine="420" w:firstLineChars="200"/>
        <w:rPr>
          <w:rFonts w:hint="eastAsia" w:ascii="宋体" w:hAnsi="宋体" w:cs="Arial"/>
          <w:color w:val="auto"/>
          <w:szCs w:val="21"/>
        </w:rPr>
      </w:pPr>
      <w:r>
        <w:rPr>
          <w:rFonts w:hint="eastAsia" w:ascii="宋体" w:hAnsi="宋体" w:cs="Arial"/>
          <w:color w:val="auto"/>
          <w:szCs w:val="21"/>
        </w:rPr>
        <w:t>名称：</w:t>
      </w:r>
      <w:r>
        <w:rPr>
          <w:rFonts w:hint="eastAsia" w:ascii="宋体" w:hAnsi="宋体" w:cs="Arial"/>
          <w:color w:val="auto"/>
          <w:szCs w:val="21"/>
          <w:lang w:val="en-US" w:eastAsia="zh-CN"/>
        </w:rPr>
        <w:t>柳州市中西医结合医院</w:t>
      </w:r>
    </w:p>
    <w:p w14:paraId="3870340E">
      <w:pPr>
        <w:spacing w:line="440" w:lineRule="exact"/>
        <w:ind w:firstLine="420" w:firstLineChars="200"/>
        <w:rPr>
          <w:rFonts w:hint="eastAsia" w:ascii="宋体" w:hAnsi="宋体" w:cs="Arial"/>
          <w:color w:val="auto"/>
          <w:szCs w:val="21"/>
        </w:rPr>
      </w:pPr>
      <w:r>
        <w:rPr>
          <w:rFonts w:hint="eastAsia" w:ascii="宋体" w:hAnsi="宋体" w:cs="Arial"/>
          <w:color w:val="auto"/>
          <w:szCs w:val="21"/>
        </w:rPr>
        <w:t>地址：柳州市城中区高新南路12号</w:t>
      </w:r>
    </w:p>
    <w:p w14:paraId="28E7F378">
      <w:pPr>
        <w:spacing w:line="440" w:lineRule="exact"/>
        <w:ind w:firstLine="420" w:firstLineChars="200"/>
        <w:rPr>
          <w:rFonts w:hint="eastAsia" w:ascii="宋体" w:hAnsi="宋体" w:cs="Arial"/>
          <w:color w:val="auto"/>
          <w:szCs w:val="21"/>
          <w:lang w:eastAsia="zh-CN"/>
        </w:rPr>
      </w:pPr>
      <w:r>
        <w:rPr>
          <w:rFonts w:hint="eastAsia" w:ascii="宋体" w:hAnsi="宋体" w:cs="Arial"/>
          <w:color w:val="auto"/>
          <w:szCs w:val="21"/>
        </w:rPr>
        <w:t>项目联系人：</w:t>
      </w:r>
      <w:r>
        <w:rPr>
          <w:rFonts w:hint="eastAsia" w:ascii="宋体" w:hAnsi="宋体" w:cs="Arial"/>
          <w:color w:val="auto"/>
          <w:szCs w:val="21"/>
          <w:lang w:val="en-US" w:eastAsia="zh-CN"/>
        </w:rPr>
        <w:t xml:space="preserve">苏伶 </w:t>
      </w:r>
    </w:p>
    <w:p w14:paraId="2C066C4E">
      <w:pPr>
        <w:spacing w:line="440" w:lineRule="exact"/>
        <w:ind w:firstLine="420" w:firstLineChars="200"/>
        <w:rPr>
          <w:rFonts w:hint="eastAsia" w:ascii="宋体" w:hAnsi="宋体" w:cs="Arial"/>
          <w:color w:val="auto"/>
          <w:szCs w:val="21"/>
          <w:lang w:eastAsia="zh-CN"/>
        </w:rPr>
      </w:pPr>
      <w:r>
        <w:rPr>
          <w:rFonts w:hint="eastAsia" w:ascii="宋体" w:hAnsi="宋体" w:cs="Arial"/>
          <w:color w:val="auto"/>
          <w:szCs w:val="21"/>
        </w:rPr>
        <w:t>项目联系方式：</w:t>
      </w:r>
      <w:r>
        <w:rPr>
          <w:rFonts w:hint="eastAsia" w:ascii="宋体" w:hAnsi="宋体" w:cs="Arial"/>
          <w:color w:val="auto"/>
          <w:szCs w:val="21"/>
          <w:lang w:val="en-US" w:eastAsia="zh-CN"/>
        </w:rPr>
        <w:t xml:space="preserve">0772-2601061 </w:t>
      </w:r>
    </w:p>
    <w:p w14:paraId="7574D1AD">
      <w:pPr>
        <w:spacing w:line="440" w:lineRule="exact"/>
        <w:ind w:firstLine="420" w:firstLineChars="200"/>
        <w:rPr>
          <w:rFonts w:hint="eastAsia" w:ascii="宋体" w:hAnsi="宋体" w:cs="Arial"/>
          <w:color w:val="auto"/>
          <w:szCs w:val="21"/>
        </w:rPr>
      </w:pPr>
      <w:r>
        <w:rPr>
          <w:rFonts w:hint="eastAsia" w:ascii="宋体" w:hAnsi="宋体" w:cs="Arial"/>
          <w:color w:val="auto"/>
          <w:szCs w:val="21"/>
        </w:rPr>
        <w:t>2．采购代理机构信息</w:t>
      </w:r>
    </w:p>
    <w:p w14:paraId="71E33549">
      <w:pPr>
        <w:spacing w:line="440" w:lineRule="exact"/>
        <w:ind w:firstLine="420" w:firstLineChars="200"/>
        <w:rPr>
          <w:rFonts w:hint="eastAsia" w:ascii="宋体" w:hAnsi="宋体" w:cs="Arial"/>
          <w:color w:val="auto"/>
          <w:szCs w:val="21"/>
        </w:rPr>
      </w:pPr>
      <w:r>
        <w:rPr>
          <w:rFonts w:hint="eastAsia" w:ascii="宋体" w:hAnsi="宋体" w:cs="Arial"/>
          <w:color w:val="auto"/>
          <w:szCs w:val="21"/>
        </w:rPr>
        <w:t>名称：广西合士嘉项目咨询有限公司</w:t>
      </w:r>
    </w:p>
    <w:p w14:paraId="401AD871">
      <w:pPr>
        <w:spacing w:line="440" w:lineRule="exact"/>
        <w:ind w:firstLine="420" w:firstLineChars="200"/>
        <w:rPr>
          <w:rFonts w:hint="eastAsia" w:ascii="宋体" w:hAnsi="宋体" w:cs="Arial"/>
          <w:color w:val="auto"/>
          <w:szCs w:val="21"/>
        </w:rPr>
      </w:pPr>
      <w:r>
        <w:rPr>
          <w:rFonts w:hint="eastAsia" w:ascii="宋体" w:hAnsi="宋体" w:cs="Arial"/>
          <w:color w:val="auto"/>
          <w:szCs w:val="21"/>
        </w:rPr>
        <w:t xml:space="preserve">地址：柳州市桂中大道89号B-3区3-1号 </w:t>
      </w:r>
    </w:p>
    <w:p w14:paraId="08AADE93">
      <w:pPr>
        <w:spacing w:line="440" w:lineRule="exact"/>
        <w:ind w:firstLine="420" w:firstLineChars="200"/>
        <w:rPr>
          <w:rFonts w:hint="default" w:ascii="宋体" w:hAnsi="宋体" w:eastAsia="宋体" w:cs="Arial"/>
          <w:color w:val="auto"/>
          <w:szCs w:val="21"/>
          <w:lang w:val="en-US" w:eastAsia="zh-CN"/>
        </w:rPr>
      </w:pPr>
      <w:r>
        <w:rPr>
          <w:rFonts w:hint="eastAsia" w:ascii="宋体" w:hAnsi="宋体" w:cs="Arial"/>
          <w:color w:val="auto"/>
          <w:szCs w:val="21"/>
        </w:rPr>
        <w:t>项目联系人：朱海、</w:t>
      </w:r>
      <w:r>
        <w:rPr>
          <w:rFonts w:hint="eastAsia" w:ascii="宋体" w:hAnsi="宋体" w:cs="Arial"/>
          <w:color w:val="auto"/>
          <w:szCs w:val="21"/>
          <w:lang w:val="en-US" w:eastAsia="zh-CN"/>
        </w:rPr>
        <w:t>余军</w:t>
      </w:r>
    </w:p>
    <w:p w14:paraId="6D9BE487">
      <w:pPr>
        <w:spacing w:line="440" w:lineRule="exact"/>
        <w:ind w:firstLine="420" w:firstLineChars="200"/>
        <w:rPr>
          <w:rFonts w:hint="eastAsia" w:ascii="宋体" w:hAnsi="宋体" w:cs="Arial"/>
          <w:color w:val="auto"/>
          <w:szCs w:val="21"/>
        </w:rPr>
      </w:pPr>
      <w:r>
        <w:rPr>
          <w:rFonts w:hint="eastAsia" w:ascii="宋体" w:hAnsi="宋体" w:cs="Arial"/>
          <w:color w:val="auto"/>
          <w:szCs w:val="21"/>
        </w:rPr>
        <w:t>项目联系方式：0772-2999348</w:t>
      </w:r>
    </w:p>
    <w:p w14:paraId="325577D3">
      <w:pPr>
        <w:pStyle w:val="2"/>
        <w:rPr>
          <w:rFonts w:ascii="宋体" w:hAnsi="宋体"/>
          <w:color w:val="auto"/>
        </w:rPr>
      </w:pPr>
      <w:bookmarkStart w:id="44" w:name="_Toc74320801"/>
      <w:r>
        <w:rPr>
          <w:rFonts w:hint="eastAsia" w:ascii="宋体" w:hAnsi="宋体"/>
          <w:color w:val="auto"/>
        </w:rPr>
        <w:br w:type="page"/>
      </w:r>
      <w:r>
        <w:rPr>
          <w:rFonts w:hint="eastAsia" w:ascii="宋体" w:hAnsi="宋体"/>
          <w:color w:val="auto"/>
        </w:rPr>
        <w:t>第二章 采购需求</w:t>
      </w:r>
      <w:bookmarkEnd w:id="44"/>
      <w:bookmarkStart w:id="45" w:name="_Toc254970631"/>
      <w:bookmarkStart w:id="46" w:name="_Toc254970490"/>
    </w:p>
    <w:bookmarkEnd w:id="45"/>
    <w:bookmarkEnd w:id="46"/>
    <w:p w14:paraId="37B7FE99">
      <w:pPr>
        <w:spacing w:line="440" w:lineRule="exact"/>
        <w:ind w:firstLine="435"/>
        <w:rPr>
          <w:rFonts w:hint="eastAsia" w:ascii="宋体" w:hAnsi="宋体"/>
          <w:color w:val="auto"/>
          <w:szCs w:val="21"/>
        </w:rPr>
      </w:pPr>
      <w:r>
        <w:rPr>
          <w:rFonts w:hint="eastAsia" w:ascii="宋体" w:hAnsi="宋体"/>
          <w:color w:val="auto"/>
          <w:szCs w:val="21"/>
        </w:rPr>
        <w:t>说明：</w:t>
      </w:r>
    </w:p>
    <w:p w14:paraId="3BD222A6">
      <w:pPr>
        <w:spacing w:line="440" w:lineRule="exact"/>
        <w:ind w:firstLine="435"/>
        <w:rPr>
          <w:rFonts w:hint="eastAsia" w:ascii="宋体" w:hAnsi="宋体"/>
          <w:color w:val="auto"/>
          <w:szCs w:val="21"/>
        </w:rPr>
      </w:pPr>
      <w:r>
        <w:rPr>
          <w:rFonts w:hint="eastAsia" w:ascii="宋体" w:hAnsi="宋体"/>
          <w:color w:val="auto"/>
          <w:szCs w:val="21"/>
        </w:rPr>
        <w:t>1.本招标文件所称中小企业必须符合《政府采购促进中小企业发展管理办法》第二条规定。按照《财政部、司法部关于政府采购支持监狱企业发展有关问题的通知》（财库〔2014〕68 号）之规定，监狱企业视同小型、微型企业。按照《财政部 民政部 中国残疾人联合会关于促进残疾人就业政府采购政策的通知》（财库〔2017〕141 号）之规定，残疾人福利性单位视同小型、微型企业。</w:t>
      </w:r>
    </w:p>
    <w:p w14:paraId="02060371">
      <w:pPr>
        <w:spacing w:line="440" w:lineRule="exact"/>
        <w:ind w:firstLine="435"/>
        <w:rPr>
          <w:rFonts w:hint="eastAsia" w:ascii="宋体" w:hAnsi="宋体"/>
          <w:color w:val="auto"/>
          <w:szCs w:val="21"/>
        </w:rPr>
      </w:pPr>
      <w:r>
        <w:rPr>
          <w:rFonts w:hint="eastAsia" w:ascii="宋体" w:hAnsi="宋体"/>
          <w:color w:val="auto"/>
          <w:szCs w:val="21"/>
        </w:rPr>
        <w:t xml:space="preserve">2.根据财库〔2019〕9 号及财库〔2019〕19 号文件规定，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的品目，属于政府强制采购节能产品。若采购货物属于以上品目清单的产品时，供应商的投标货物必须使用政府强制采购的节能产品，供应商必须在投标文件中提供由国家确定的认证机构出具的处于有效期之内的节能产品认证证书复印件[加盖供应商电子公章]，否则相应投标无效。 </w:t>
      </w:r>
    </w:p>
    <w:p w14:paraId="5C091F62">
      <w:pPr>
        <w:spacing w:line="440" w:lineRule="exact"/>
        <w:ind w:firstLine="435"/>
        <w:rPr>
          <w:rFonts w:hint="eastAsia" w:ascii="宋体" w:hAnsi="宋体"/>
          <w:color w:val="auto"/>
          <w:szCs w:val="21"/>
        </w:rPr>
      </w:pPr>
      <w:r>
        <w:rPr>
          <w:rFonts w:hint="eastAsia" w:ascii="宋体" w:hAnsi="宋体"/>
          <w:b/>
          <w:bCs/>
          <w:color w:val="auto"/>
          <w:szCs w:val="21"/>
        </w:rPr>
        <w:t>3.</w:t>
      </w:r>
      <w:r>
        <w:rPr>
          <w:rFonts w:hint="eastAsia" w:ascii="宋体" w:hAnsi="宋体"/>
          <w:b/>
          <w:bCs/>
          <w:color w:val="auto"/>
        </w:rPr>
        <w:t>本项目不接受进口产品</w:t>
      </w:r>
      <w:r>
        <w:rPr>
          <w:rFonts w:hint="eastAsia" w:ascii="宋体" w:hAnsi="宋体"/>
          <w:b/>
          <w:bCs/>
          <w:color w:val="auto"/>
          <w:lang w:eastAsia="zh-CN"/>
        </w:rPr>
        <w:t>，</w:t>
      </w:r>
      <w:r>
        <w:rPr>
          <w:rFonts w:hint="eastAsia" w:ascii="宋体" w:hAnsi="宋体"/>
          <w:b/>
          <w:bCs/>
          <w:color w:val="auto"/>
        </w:rPr>
        <w:t>如有此类产品参与投标的做无效投标处理。</w:t>
      </w:r>
      <w:r>
        <w:rPr>
          <w:rFonts w:hint="eastAsia" w:ascii="宋体" w:hAnsi="宋体"/>
          <w:color w:val="auto"/>
          <w:szCs w:val="21"/>
        </w:rPr>
        <w:t xml:space="preserve"> </w:t>
      </w:r>
    </w:p>
    <w:p w14:paraId="40A7B7CA">
      <w:pPr>
        <w:spacing w:line="440" w:lineRule="exact"/>
        <w:ind w:firstLine="435"/>
        <w:rPr>
          <w:rFonts w:hint="eastAsia" w:ascii="宋体" w:hAnsi="宋体"/>
          <w:color w:val="auto"/>
          <w:szCs w:val="21"/>
        </w:rPr>
      </w:pPr>
      <w:r>
        <w:rPr>
          <w:rFonts w:hint="eastAsia" w:ascii="宋体" w:hAnsi="宋体"/>
          <w:color w:val="auto"/>
          <w:szCs w:val="21"/>
        </w:rPr>
        <w:t xml:space="preserve">4.供应商必须自行为其投标产品侵犯其他供应商或专利人的专利成果承担相应法律责任；同时，具有产品专利的供应商应在其投标文件中提供与其自有产品专利相关的有效证明材料，否则，不能就其产品的专利在本项目投标过程中被侵权问题提出异议。 </w:t>
      </w:r>
    </w:p>
    <w:p w14:paraId="4E440D1C">
      <w:pPr>
        <w:spacing w:line="440" w:lineRule="exact"/>
        <w:ind w:firstLine="435"/>
        <w:rPr>
          <w:rFonts w:hint="eastAsia" w:ascii="宋体" w:hAnsi="宋体"/>
          <w:color w:val="auto"/>
          <w:szCs w:val="21"/>
        </w:rPr>
      </w:pPr>
      <w:r>
        <w:rPr>
          <w:rFonts w:hint="eastAsia" w:ascii="宋体" w:hAnsi="宋体"/>
          <w:color w:val="auto"/>
          <w:szCs w:val="21"/>
        </w:rPr>
        <w:t xml:space="preserve">5.招标文件中所要求提供的证明材料，如为英文文本的请同时提供中文译本。 </w:t>
      </w:r>
    </w:p>
    <w:p w14:paraId="43CD77FE">
      <w:pPr>
        <w:spacing w:line="440" w:lineRule="exact"/>
        <w:ind w:firstLine="435"/>
        <w:rPr>
          <w:rFonts w:hint="eastAsia" w:ascii="宋体" w:hAnsi="宋体"/>
          <w:color w:val="auto"/>
          <w:szCs w:val="21"/>
        </w:rPr>
      </w:pPr>
      <w:r>
        <w:rPr>
          <w:rFonts w:hint="eastAsia" w:ascii="宋体" w:hAnsi="宋体"/>
          <w:color w:val="auto"/>
          <w:szCs w:val="21"/>
        </w:rPr>
        <w:t>6.本采购需求中技术要求所使用的标准或应用标准如与供应商所执行的标准不一致时，按最新标准或较高标准执行。</w:t>
      </w:r>
    </w:p>
    <w:p w14:paraId="5514BAF6">
      <w:pPr>
        <w:spacing w:line="440" w:lineRule="exact"/>
        <w:ind w:firstLine="435"/>
        <w:rPr>
          <w:rFonts w:hint="eastAsia" w:ascii="宋体" w:hAnsi="宋体"/>
          <w:b/>
          <w:bCs/>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w:t>
      </w:r>
      <w:r>
        <w:rPr>
          <w:rFonts w:hint="eastAsia" w:ascii="宋体" w:hAnsi="宋体"/>
          <w:b/>
          <w:bCs/>
          <w:color w:val="auto"/>
          <w:szCs w:val="21"/>
          <w:highlight w:val="none"/>
        </w:rPr>
        <w:t>标注</w:t>
      </w:r>
      <w:r>
        <w:rPr>
          <w:rFonts w:hint="eastAsia" w:ascii="宋体" w:hAnsi="宋体"/>
          <w:b/>
          <w:bCs/>
          <w:color w:val="auto"/>
          <w:szCs w:val="21"/>
          <w:highlight w:val="none"/>
          <w:lang w:eastAsia="zh-CN"/>
        </w:rPr>
        <w:t>“</w:t>
      </w:r>
      <w:r>
        <w:rPr>
          <w:rFonts w:hint="eastAsia" w:ascii="宋体" w:hAnsi="宋体"/>
          <w:b/>
          <w:bCs/>
          <w:color w:val="auto"/>
          <w:szCs w:val="21"/>
          <w:highlight w:val="none"/>
        </w:rPr>
        <w:t>▲</w:t>
      </w:r>
      <w:r>
        <w:rPr>
          <w:rFonts w:hint="eastAsia" w:ascii="宋体" w:hAnsi="宋体"/>
          <w:b/>
          <w:bCs/>
          <w:color w:val="auto"/>
          <w:szCs w:val="21"/>
          <w:highlight w:val="none"/>
          <w:lang w:eastAsia="zh-CN"/>
        </w:rPr>
        <w:t>”</w:t>
      </w:r>
      <w:r>
        <w:rPr>
          <w:rFonts w:hint="eastAsia" w:ascii="宋体" w:hAnsi="宋体"/>
          <w:b/>
          <w:bCs/>
          <w:color w:val="auto"/>
          <w:szCs w:val="21"/>
          <w:highlight w:val="none"/>
        </w:rPr>
        <w:t>为实质性要求，任一项不满足</w:t>
      </w:r>
      <w:r>
        <w:rPr>
          <w:rFonts w:hint="eastAsia" w:ascii="宋体" w:hAnsi="宋体"/>
          <w:b/>
          <w:bCs/>
          <w:color w:val="auto"/>
          <w:szCs w:val="21"/>
          <w:highlight w:val="none"/>
          <w:lang w:val="en-US" w:eastAsia="zh-CN"/>
        </w:rPr>
        <w:t>则按</w:t>
      </w:r>
      <w:r>
        <w:rPr>
          <w:rFonts w:hint="eastAsia" w:ascii="宋体" w:hAnsi="宋体"/>
          <w:b/>
          <w:bCs/>
          <w:color w:val="auto"/>
          <w:szCs w:val="21"/>
          <w:highlight w:val="none"/>
        </w:rPr>
        <w:t>投标无效</w:t>
      </w:r>
      <w:r>
        <w:rPr>
          <w:rFonts w:hint="eastAsia" w:ascii="宋体" w:hAnsi="宋体"/>
          <w:b/>
          <w:bCs/>
          <w:color w:val="auto"/>
          <w:szCs w:val="21"/>
          <w:highlight w:val="none"/>
          <w:lang w:val="en-US" w:eastAsia="zh-CN"/>
        </w:rPr>
        <w:t>处理</w:t>
      </w:r>
      <w:r>
        <w:rPr>
          <w:rFonts w:hint="eastAsia" w:ascii="宋体" w:hAnsi="宋体"/>
          <w:b/>
          <w:bCs/>
          <w:color w:val="auto"/>
          <w:szCs w:val="21"/>
          <w:highlight w:val="none"/>
        </w:rPr>
        <w:t>；</w:t>
      </w:r>
    </w:p>
    <w:p w14:paraId="0B3C5EF8">
      <w:pPr>
        <w:spacing w:line="440" w:lineRule="exact"/>
        <w:ind w:firstLine="435"/>
        <w:rPr>
          <w:rFonts w:hint="eastAsia" w:ascii="宋体" w:hAnsi="宋体" w:eastAsia="宋体" w:cs="宋体"/>
          <w:b/>
          <w:bCs/>
          <w:i w:val="0"/>
          <w:iCs w:val="0"/>
          <w:color w:val="auto"/>
          <w:kern w:val="0"/>
          <w:sz w:val="21"/>
          <w:szCs w:val="21"/>
          <w:lang w:val="en-US" w:eastAsia="zh-CN" w:bidi="ar"/>
        </w:rPr>
      </w:pPr>
      <w:r>
        <w:rPr>
          <w:rFonts w:hint="eastAsia" w:ascii="宋体" w:hAnsi="宋体"/>
          <w:b/>
          <w:bCs/>
          <w:color w:val="auto"/>
          <w:szCs w:val="21"/>
          <w:highlight w:val="none"/>
          <w:lang w:val="en-US" w:eastAsia="zh-CN"/>
        </w:rPr>
        <w:t>8.</w:t>
      </w:r>
      <w:r>
        <w:rPr>
          <w:rFonts w:hint="eastAsia" w:ascii="宋体" w:hAnsi="宋体" w:cs="宋体"/>
          <w:b/>
          <w:bCs/>
          <w:i w:val="0"/>
          <w:iCs w:val="0"/>
          <w:color w:val="auto"/>
          <w:kern w:val="0"/>
          <w:sz w:val="21"/>
          <w:szCs w:val="21"/>
          <w:lang w:val="en-US" w:eastAsia="zh-CN" w:bidi="ar"/>
        </w:rPr>
        <w:t>标注“</w:t>
      </w:r>
      <w:r>
        <w:rPr>
          <w:rFonts w:hint="eastAsia" w:ascii="宋体" w:hAnsi="宋体" w:eastAsia="宋体" w:cs="宋体"/>
          <w:b/>
          <w:bCs/>
          <w:i w:val="0"/>
          <w:iCs w:val="0"/>
          <w:color w:val="auto"/>
          <w:kern w:val="0"/>
          <w:sz w:val="21"/>
          <w:szCs w:val="21"/>
          <w:lang w:val="en-US" w:eastAsia="zh-CN" w:bidi="ar"/>
        </w:rPr>
        <w:t>★”</w:t>
      </w:r>
      <w:r>
        <w:rPr>
          <w:rFonts w:hint="eastAsia" w:ascii="宋体" w:hAnsi="宋体" w:cs="宋体"/>
          <w:b/>
          <w:bCs/>
          <w:i w:val="0"/>
          <w:iCs w:val="0"/>
          <w:color w:val="auto"/>
          <w:kern w:val="0"/>
          <w:sz w:val="21"/>
          <w:szCs w:val="21"/>
          <w:lang w:val="en-US" w:eastAsia="zh-CN" w:bidi="ar"/>
        </w:rPr>
        <w:t>的代表重要参数</w:t>
      </w:r>
      <w:r>
        <w:rPr>
          <w:rFonts w:hint="eastAsia" w:ascii="宋体" w:hAnsi="宋体" w:cs="宋体"/>
          <w:b w:val="0"/>
          <w:bCs w:val="0"/>
          <w:i w:val="0"/>
          <w:iCs w:val="0"/>
          <w:color w:val="auto"/>
          <w:kern w:val="0"/>
          <w:sz w:val="21"/>
          <w:szCs w:val="21"/>
          <w:lang w:val="en-US" w:eastAsia="zh-CN" w:bidi="ar"/>
        </w:rPr>
        <w:t>，</w:t>
      </w:r>
      <w:r>
        <w:rPr>
          <w:rFonts w:hint="eastAsia" w:ascii="宋体" w:hAnsi="宋体" w:eastAsia="宋体" w:cs="宋体"/>
          <w:b/>
          <w:bCs/>
          <w:i w:val="0"/>
          <w:iCs w:val="0"/>
          <w:color w:val="auto"/>
          <w:kern w:val="0"/>
          <w:sz w:val="21"/>
          <w:szCs w:val="21"/>
          <w:lang w:val="en-US" w:eastAsia="zh-CN" w:bidi="ar"/>
        </w:rPr>
        <w:t>技术要求评审中允许负偏离的条款数为</w:t>
      </w:r>
      <w:r>
        <w:rPr>
          <w:rFonts w:hint="eastAsia" w:ascii="宋体" w:hAnsi="宋体" w:eastAsia="宋体" w:cs="宋体"/>
          <w:b/>
          <w:bCs/>
          <w:i w:val="0"/>
          <w:iCs w:val="0"/>
          <w:color w:val="auto"/>
          <w:kern w:val="0"/>
          <w:sz w:val="21"/>
          <w:szCs w:val="21"/>
          <w:u w:val="single"/>
          <w:lang w:val="en-US" w:eastAsia="zh-CN" w:bidi="ar"/>
        </w:rPr>
        <w:t xml:space="preserve"> 4 </w:t>
      </w:r>
      <w:r>
        <w:rPr>
          <w:rFonts w:hint="eastAsia" w:ascii="宋体" w:hAnsi="宋体" w:eastAsia="宋体" w:cs="宋体"/>
          <w:b/>
          <w:bCs/>
          <w:i w:val="0"/>
          <w:iCs w:val="0"/>
          <w:color w:val="auto"/>
          <w:kern w:val="0"/>
          <w:sz w:val="21"/>
          <w:szCs w:val="21"/>
          <w:lang w:val="en-US" w:eastAsia="zh-CN" w:bidi="ar"/>
        </w:rPr>
        <w:t>项。</w:t>
      </w:r>
    </w:p>
    <w:p w14:paraId="368DDA96">
      <w:pPr>
        <w:spacing w:line="440" w:lineRule="exact"/>
        <w:ind w:firstLine="435"/>
        <w:rPr>
          <w:rFonts w:hint="eastAsia" w:ascii="宋体" w:hAnsi="宋体" w:eastAsia="宋体" w:cs="宋体"/>
          <w:b/>
          <w:bCs/>
          <w:i w:val="0"/>
          <w:iCs w:val="0"/>
          <w:color w:val="auto"/>
          <w:kern w:val="0"/>
          <w:sz w:val="21"/>
          <w:szCs w:val="21"/>
          <w:lang w:val="en-US" w:eastAsia="zh-CN" w:bidi="ar"/>
        </w:rPr>
      </w:pPr>
      <w:r>
        <w:rPr>
          <w:rFonts w:hint="eastAsia" w:ascii="宋体" w:hAnsi="宋体" w:eastAsia="宋体" w:cs="宋体"/>
          <w:b/>
          <w:bCs/>
          <w:i w:val="0"/>
          <w:iCs w:val="0"/>
          <w:color w:val="auto"/>
          <w:kern w:val="0"/>
          <w:sz w:val="21"/>
          <w:szCs w:val="21"/>
          <w:lang w:val="en-US" w:eastAsia="zh-CN" w:bidi="ar"/>
        </w:rPr>
        <w:t>9.非标注“★”的代表普通参数，技术要求评审中允许负偏离的条款数为</w:t>
      </w:r>
      <w:r>
        <w:rPr>
          <w:rFonts w:hint="eastAsia" w:ascii="宋体" w:hAnsi="宋体" w:eastAsia="宋体" w:cs="宋体"/>
          <w:b/>
          <w:bCs/>
          <w:i w:val="0"/>
          <w:iCs w:val="0"/>
          <w:color w:val="auto"/>
          <w:kern w:val="0"/>
          <w:sz w:val="21"/>
          <w:szCs w:val="21"/>
          <w:u w:val="single"/>
          <w:lang w:val="en-US" w:eastAsia="zh-CN" w:bidi="ar"/>
        </w:rPr>
        <w:t xml:space="preserve"> 5 </w:t>
      </w:r>
      <w:r>
        <w:rPr>
          <w:rFonts w:hint="eastAsia" w:ascii="宋体" w:hAnsi="宋体" w:eastAsia="宋体" w:cs="宋体"/>
          <w:b/>
          <w:bCs/>
          <w:i w:val="0"/>
          <w:iCs w:val="0"/>
          <w:color w:val="auto"/>
          <w:kern w:val="0"/>
          <w:sz w:val="21"/>
          <w:szCs w:val="21"/>
          <w:lang w:val="en-US" w:eastAsia="zh-CN" w:bidi="ar"/>
        </w:rPr>
        <w:t>项。</w:t>
      </w:r>
    </w:p>
    <w:p w14:paraId="6E199B70">
      <w:pPr>
        <w:spacing w:line="440" w:lineRule="exact"/>
        <w:ind w:firstLine="435"/>
        <w:rPr>
          <w:rFonts w:hint="eastAsia" w:ascii="宋体" w:hAnsi="宋体" w:cs="Times New Roman"/>
          <w:b/>
          <w:bCs/>
          <w:strike w:val="0"/>
          <w:color w:val="auto"/>
          <w:szCs w:val="21"/>
        </w:rPr>
      </w:pPr>
      <w:r>
        <w:rPr>
          <w:rFonts w:hint="eastAsia" w:ascii="宋体" w:hAnsi="宋体" w:cs="Times New Roman"/>
          <w:b/>
          <w:bCs/>
          <w:strike w:val="0"/>
          <w:dstrike w:val="0"/>
          <w:color w:val="auto"/>
          <w:szCs w:val="21"/>
          <w:lang w:val="en-US" w:eastAsia="zh-CN"/>
        </w:rPr>
        <w:t>10.</w:t>
      </w:r>
      <w:r>
        <w:rPr>
          <w:rFonts w:hint="eastAsia" w:ascii="宋体" w:hAnsi="宋体" w:cs="Times New Roman"/>
          <w:b/>
          <w:bCs/>
          <w:strike w:val="0"/>
          <w:dstrike w:val="0"/>
          <w:color w:val="auto"/>
          <w:szCs w:val="21"/>
        </w:rPr>
        <w:t>商务要求评审中允许负偏离的条款数为</w:t>
      </w:r>
      <w:r>
        <w:rPr>
          <w:rFonts w:hint="eastAsia" w:ascii="宋体" w:hAnsi="宋体" w:cs="Times New Roman"/>
          <w:b/>
          <w:bCs/>
          <w:strike w:val="0"/>
          <w:dstrike w:val="0"/>
          <w:color w:val="auto"/>
          <w:szCs w:val="21"/>
          <w:u w:val="single"/>
        </w:rPr>
        <w:t xml:space="preserve"> 0 </w:t>
      </w:r>
      <w:r>
        <w:rPr>
          <w:rFonts w:hint="eastAsia" w:ascii="宋体" w:hAnsi="宋体" w:cs="Times New Roman"/>
          <w:b/>
          <w:bCs/>
          <w:strike w:val="0"/>
          <w:dstrike w:val="0"/>
          <w:color w:val="auto"/>
          <w:szCs w:val="21"/>
        </w:rPr>
        <w:t>项。</w:t>
      </w:r>
    </w:p>
    <w:p w14:paraId="398A8F91">
      <w:pPr>
        <w:spacing w:line="440" w:lineRule="exact"/>
        <w:ind w:firstLine="435"/>
        <w:rPr>
          <w:rFonts w:hint="eastAsia" w:ascii="宋体" w:hAnsi="宋体" w:cs="Times New Roman"/>
          <w:color w:val="auto"/>
          <w:szCs w:val="21"/>
        </w:rPr>
      </w:pPr>
      <w:r>
        <w:rPr>
          <w:rFonts w:hint="eastAsia" w:ascii="宋体" w:hAnsi="宋体" w:cs="Times New Roman"/>
          <w:color w:val="auto"/>
          <w:szCs w:val="21"/>
          <w:lang w:val="en-US" w:eastAsia="zh-CN"/>
        </w:rPr>
        <w:t>11</w:t>
      </w:r>
      <w:r>
        <w:rPr>
          <w:rFonts w:hint="eastAsia" w:ascii="宋体" w:hAnsi="宋体" w:cs="Times New Roman"/>
          <w:color w:val="auto"/>
          <w:szCs w:val="21"/>
        </w:rPr>
        <w:t>.以下所列货物所属行业为：工业。</w:t>
      </w:r>
    </w:p>
    <w:p w14:paraId="664F200C">
      <w:pPr>
        <w:spacing w:line="440" w:lineRule="exact"/>
        <w:ind w:firstLine="435"/>
        <w:rPr>
          <w:rFonts w:hint="eastAsia" w:ascii="宋体" w:hAnsi="宋体" w:cs="Times New Roman"/>
          <w:b/>
          <w:bCs/>
          <w:color w:val="auto"/>
          <w:szCs w:val="21"/>
          <w:lang w:val="en-US" w:eastAsia="zh-CN"/>
        </w:rPr>
      </w:pPr>
    </w:p>
    <w:tbl>
      <w:tblPr>
        <w:tblStyle w:val="47"/>
        <w:tblpPr w:leftFromText="180" w:rightFromText="180" w:vertAnchor="text" w:horzAnchor="margin" w:tblpXSpec="center" w:tblpY="257"/>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321"/>
        <w:gridCol w:w="5938"/>
        <w:gridCol w:w="856"/>
        <w:gridCol w:w="1121"/>
      </w:tblGrid>
      <w:tr w14:paraId="16B7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9938" w:type="dxa"/>
            <w:gridSpan w:val="5"/>
            <w:noWrap w:val="0"/>
            <w:vAlign w:val="center"/>
          </w:tcPr>
          <w:p w14:paraId="71958A3F">
            <w:pPr>
              <w:tabs>
                <w:tab w:val="left" w:pos="5595"/>
              </w:tabs>
              <w:spacing w:line="360" w:lineRule="auto"/>
              <w:jc w:val="center"/>
              <w:rPr>
                <w:rFonts w:hint="eastAsia" w:ascii="宋体" w:hAnsi="宋体" w:cs="宋体"/>
                <w:b/>
                <w:color w:val="auto"/>
                <w:szCs w:val="21"/>
                <w:highlight w:val="none"/>
              </w:rPr>
            </w:pPr>
            <w:r>
              <w:rPr>
                <w:rFonts w:hint="eastAsia" w:ascii="宋体" w:hAnsi="宋体" w:cs="宋体"/>
                <w:b/>
                <w:bCs/>
                <w:color w:val="auto"/>
                <w:kern w:val="0"/>
                <w:szCs w:val="21"/>
                <w:highlight w:val="none"/>
                <w:lang w:bidi="ar"/>
              </w:rPr>
              <w:t>一、技术需求</w:t>
            </w:r>
          </w:p>
        </w:tc>
      </w:tr>
      <w:tr w14:paraId="1A55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702" w:type="dxa"/>
            <w:noWrap w:val="0"/>
            <w:vAlign w:val="center"/>
          </w:tcPr>
          <w:p w14:paraId="290B3A19">
            <w:pPr>
              <w:tabs>
                <w:tab w:val="left" w:pos="5595"/>
              </w:tabs>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1321" w:type="dxa"/>
            <w:noWrap w:val="0"/>
            <w:vAlign w:val="center"/>
          </w:tcPr>
          <w:p w14:paraId="7C4BA93F">
            <w:pPr>
              <w:tabs>
                <w:tab w:val="left" w:pos="5595"/>
              </w:tabs>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标的名称</w:t>
            </w:r>
          </w:p>
        </w:tc>
        <w:tc>
          <w:tcPr>
            <w:tcW w:w="5938" w:type="dxa"/>
            <w:noWrap w:val="0"/>
            <w:vAlign w:val="center"/>
          </w:tcPr>
          <w:p w14:paraId="07A00C33">
            <w:pPr>
              <w:tabs>
                <w:tab w:val="left" w:pos="5595"/>
              </w:tabs>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技术参数及</w:t>
            </w:r>
            <w:r>
              <w:rPr>
                <w:rFonts w:hint="eastAsia" w:ascii="宋体" w:hAnsi="宋体" w:cs="宋体"/>
                <w:b/>
                <w:color w:val="auto"/>
                <w:kern w:val="0"/>
                <w:szCs w:val="21"/>
                <w:highlight w:val="none"/>
                <w:lang w:val="en-US" w:eastAsia="zh-CN"/>
              </w:rPr>
              <w:t>性能（配置）</w:t>
            </w:r>
            <w:r>
              <w:rPr>
                <w:rFonts w:hint="eastAsia" w:ascii="宋体" w:hAnsi="宋体" w:cs="宋体"/>
                <w:b/>
                <w:color w:val="auto"/>
                <w:kern w:val="0"/>
                <w:szCs w:val="21"/>
                <w:highlight w:val="none"/>
              </w:rPr>
              <w:t>要求</w:t>
            </w:r>
          </w:p>
        </w:tc>
        <w:tc>
          <w:tcPr>
            <w:tcW w:w="856" w:type="dxa"/>
            <w:noWrap w:val="0"/>
            <w:vAlign w:val="center"/>
          </w:tcPr>
          <w:p w14:paraId="0CAF8A78">
            <w:pPr>
              <w:tabs>
                <w:tab w:val="left" w:pos="5595"/>
              </w:tabs>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数量/单位</w:t>
            </w:r>
          </w:p>
        </w:tc>
        <w:tc>
          <w:tcPr>
            <w:tcW w:w="1121" w:type="dxa"/>
            <w:noWrap w:val="0"/>
            <w:vAlign w:val="center"/>
          </w:tcPr>
          <w:p w14:paraId="24CCABBF">
            <w:pPr>
              <w:tabs>
                <w:tab w:val="left" w:pos="5595"/>
              </w:tabs>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控制总价（万元）</w:t>
            </w:r>
          </w:p>
        </w:tc>
      </w:tr>
      <w:tr w14:paraId="2544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2" w:type="dxa"/>
            <w:noWrap w:val="0"/>
            <w:vAlign w:val="center"/>
          </w:tcPr>
          <w:p w14:paraId="6D066947">
            <w:pPr>
              <w:tabs>
                <w:tab w:val="left" w:pos="5595"/>
              </w:tabs>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w:t>
            </w:r>
          </w:p>
        </w:tc>
        <w:tc>
          <w:tcPr>
            <w:tcW w:w="1321" w:type="dxa"/>
            <w:noWrap w:val="0"/>
            <w:vAlign w:val="center"/>
          </w:tcPr>
          <w:p w14:paraId="39BB3968">
            <w:pPr>
              <w:widowControl/>
              <w:spacing w:line="360" w:lineRule="auto"/>
              <w:jc w:val="center"/>
              <w:textAlignment w:val="center"/>
              <w:rPr>
                <w:rFonts w:hint="eastAsia" w:ascii="宋体" w:hAnsi="宋体" w:cs="宋体"/>
                <w:b/>
                <w:color w:val="auto"/>
                <w:szCs w:val="21"/>
                <w:highlight w:val="none"/>
              </w:rPr>
            </w:pPr>
            <w:r>
              <w:rPr>
                <w:rFonts w:hint="eastAsia" w:ascii="宋体" w:hAnsi="宋体" w:cs="宋体"/>
                <w:b w:val="0"/>
                <w:bCs/>
                <w:color w:val="auto"/>
                <w:szCs w:val="21"/>
                <w:highlight w:val="none"/>
              </w:rPr>
              <w:t>彩色多普勒超声诊断仪</w:t>
            </w:r>
          </w:p>
        </w:tc>
        <w:tc>
          <w:tcPr>
            <w:tcW w:w="5938" w:type="dxa"/>
            <w:noWrap w:val="0"/>
            <w:vAlign w:val="center"/>
          </w:tcPr>
          <w:p w14:paraId="43D8E7DB">
            <w:pPr>
              <w:autoSpaceDE w:val="0"/>
              <w:autoSpaceDN w:val="0"/>
              <w:adjustRightInd w:val="0"/>
              <w:spacing w:line="360" w:lineRule="auto"/>
              <w:ind w:firstLine="422" w:firstLineChars="200"/>
              <w:jc w:val="left"/>
              <w:rPr>
                <w:rFonts w:hint="eastAsia" w:ascii="宋体" w:hAnsi="宋体" w:cs="宋体"/>
                <w:bCs/>
                <w:color w:val="auto"/>
                <w:kern w:val="0"/>
                <w:szCs w:val="21"/>
                <w:highlight w:val="none"/>
              </w:rPr>
            </w:pPr>
            <w:r>
              <w:rPr>
                <w:rFonts w:hint="eastAsia" w:ascii="宋体" w:hAnsi="宋体" w:cs="宋体"/>
                <w:b/>
                <w:bCs w:val="0"/>
                <w:color w:val="auto"/>
                <w:kern w:val="0"/>
                <w:szCs w:val="21"/>
                <w:highlight w:val="none"/>
                <w:lang w:val="en-US" w:eastAsia="zh-CN"/>
              </w:rPr>
              <w:t>1.设备用途：</w:t>
            </w:r>
            <w:r>
              <w:rPr>
                <w:rFonts w:hint="eastAsia" w:ascii="宋体" w:hAnsi="宋体" w:cs="宋体"/>
                <w:bCs/>
                <w:color w:val="auto"/>
                <w:kern w:val="0"/>
                <w:szCs w:val="21"/>
                <w:highlight w:val="none"/>
                <w:lang w:val="en-US" w:eastAsia="zh-CN"/>
              </w:rPr>
              <w:t>主要用于腹部、产科、妇科、心脏、小器官、骨骼肌肉、泌尿、血管、儿科、神经、急重症、造影等方面的临床诊断和科研教学工作，具备行业先进技术水平，拥有持续软件升级能力，可满足医院新增临床检查、科研教学的业务拓展需求。</w:t>
            </w:r>
          </w:p>
          <w:p w14:paraId="0CAEC426">
            <w:pPr>
              <w:autoSpaceDE w:val="0"/>
              <w:autoSpaceDN w:val="0"/>
              <w:adjustRightInd w:val="0"/>
              <w:spacing w:line="360" w:lineRule="auto"/>
              <w:ind w:firstLine="422" w:firstLineChars="200"/>
              <w:jc w:val="left"/>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lang w:val="en-US" w:eastAsia="zh-CN"/>
              </w:rPr>
              <w:t>2.</w:t>
            </w:r>
            <w:r>
              <w:rPr>
                <w:rFonts w:hint="eastAsia" w:ascii="宋体" w:hAnsi="宋体" w:cs="宋体"/>
                <w:b/>
                <w:bCs w:val="0"/>
                <w:color w:val="auto"/>
                <w:kern w:val="0"/>
                <w:szCs w:val="21"/>
                <w:highlight w:val="none"/>
              </w:rPr>
              <w:t>系统技术规格及概述</w:t>
            </w:r>
          </w:p>
          <w:p w14:paraId="7328F344">
            <w:pPr>
              <w:autoSpaceDE w:val="0"/>
              <w:autoSpaceDN w:val="0"/>
              <w:adjustRightInd w:val="0"/>
              <w:spacing w:line="360" w:lineRule="auto"/>
              <w:ind w:firstLine="422" w:firstLineChars="200"/>
              <w:jc w:val="left"/>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lang w:val="en-US" w:eastAsia="zh-CN"/>
              </w:rPr>
              <w:t>2</w:t>
            </w:r>
            <w:r>
              <w:rPr>
                <w:rFonts w:hint="eastAsia" w:ascii="宋体" w:hAnsi="宋体" w:cs="宋体"/>
                <w:b/>
                <w:bCs w:val="0"/>
                <w:color w:val="auto"/>
                <w:kern w:val="0"/>
                <w:szCs w:val="21"/>
                <w:highlight w:val="none"/>
              </w:rPr>
              <w:t>.1 主机成像系统</w:t>
            </w:r>
          </w:p>
          <w:p w14:paraId="2B34FD61">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2.1.1 主机一体化高分辨率液晶显示系统≥</w:t>
            </w:r>
            <w:r>
              <w:rPr>
                <w:rFonts w:hint="eastAsia" w:ascii="宋体" w:hAnsi="宋体" w:cs="宋体"/>
                <w:bCs/>
                <w:strike w:val="0"/>
                <w:dstrike w:val="0"/>
                <w:color w:val="auto"/>
                <w:kern w:val="0"/>
                <w:szCs w:val="21"/>
                <w:highlight w:val="none"/>
                <w:lang w:val="en-US" w:eastAsia="zh-CN"/>
              </w:rPr>
              <w:t>23</w:t>
            </w:r>
            <w:r>
              <w:rPr>
                <w:rFonts w:hint="eastAsia" w:ascii="宋体" w:hAnsi="宋体" w:cs="宋体"/>
                <w:bCs/>
                <w:color w:val="auto"/>
                <w:kern w:val="0"/>
                <w:szCs w:val="21"/>
                <w:highlight w:val="none"/>
                <w:lang w:val="en-US" w:eastAsia="zh-CN"/>
              </w:rPr>
              <w:t>英寸（非外接独立显示器），分辨率≥1920×1080，可上下左右前后旋转多维调节。</w:t>
            </w:r>
          </w:p>
          <w:p w14:paraId="3E7A649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 操作面板配备液晶触摸屏≥13英寸。</w:t>
            </w:r>
          </w:p>
          <w:p w14:paraId="1ADC12F2">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2.1.3 触摸屏支持手指滑动翻页、图像投屏放大、手动描迹测量功能，支持自定义手势操作。</w:t>
            </w:r>
          </w:p>
          <w:p w14:paraId="478649A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2.1.4 控制面板支持旋转、升降，前后拉升多维调节，旋转角度 ≥100度，前后拉升≥25cm，上下移动≥20cm，可自定义功能按键≥10个，按键可显示自定义功能名称。</w:t>
            </w:r>
          </w:p>
          <w:p w14:paraId="5E429B53">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2.1.5 设备内置一体化超声工作站，支持基础图像存储、报告编辑功能。</w:t>
            </w:r>
          </w:p>
          <w:p w14:paraId="7A9F40E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2.1.6 支持外接主流品牌超声工作站，可通过面板快捷键直接存储静态、动态超声图像。</w:t>
            </w:r>
          </w:p>
          <w:p w14:paraId="69A1195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2.1.7 内置数字录像机，视频存储时长≥60分钟。</w:t>
            </w:r>
          </w:p>
          <w:p w14:paraId="0CB71B1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2.1.8 耦合剂加热装置支持三档温度可调。</w:t>
            </w:r>
          </w:p>
          <w:p w14:paraId="3F4FC0EA">
            <w:pPr>
              <w:autoSpaceDE w:val="0"/>
              <w:autoSpaceDN w:val="0"/>
              <w:adjustRightInd w:val="0"/>
              <w:spacing w:line="360" w:lineRule="auto"/>
              <w:ind w:firstLine="210" w:firstLineChars="1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▲2.1.9 探头接口≥4个(必备腹部凸阵探头、 经阴道腔内凸阵探头、 高频线阵探头、心脏相控阵探头）支持全接口激活。</w:t>
            </w:r>
          </w:p>
          <w:p w14:paraId="5F261EF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2.1.10 采用数字化全程动态聚焦、数字化可变孔径及动态变迹技术，A/D采样位数≥12bit。</w:t>
            </w:r>
          </w:p>
          <w:p w14:paraId="65171346">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2.1.11 支持多倍信号并行处理技术。</w:t>
            </w:r>
          </w:p>
          <w:p w14:paraId="73CE819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2.1.12 配备数字化二维灰阶成像及M型显像单元。</w:t>
            </w:r>
          </w:p>
          <w:p w14:paraId="65AA5091">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2.1.13 具备数字化彩色多普勒成像功能。</w:t>
            </w:r>
          </w:p>
          <w:p w14:paraId="3643C652">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2.1.14 具备数字化彩色多普勒能量图成像技术。</w:t>
            </w:r>
          </w:p>
          <w:p w14:paraId="66894EBC">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2.1.15 具备方向性能量图成像技术。</w:t>
            </w:r>
          </w:p>
          <w:p w14:paraId="6E4D17A4">
            <w:pPr>
              <w:autoSpaceDE w:val="0"/>
              <w:autoSpaceDN w:val="0"/>
              <w:adjustRightInd w:val="0"/>
              <w:spacing w:line="360" w:lineRule="auto"/>
              <w:ind w:firstLine="210" w:firstLineChars="1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 xml:space="preserve">▲2.1.16 </w:t>
            </w:r>
            <w:r>
              <w:rPr>
                <w:rFonts w:hint="eastAsia" w:ascii="宋体" w:hAnsi="宋体" w:cs="宋体"/>
                <w:bCs/>
                <w:strike w:val="0"/>
                <w:dstrike w:val="0"/>
                <w:color w:val="auto"/>
                <w:kern w:val="0"/>
                <w:szCs w:val="21"/>
                <w:highlight w:val="none"/>
                <w:lang w:val="en-US" w:eastAsia="zh-CN"/>
              </w:rPr>
              <w:t>支持解剖M型技术≥3条取样线，可360度任意角度旋转</w:t>
            </w:r>
            <w:r>
              <w:rPr>
                <w:rFonts w:hint="eastAsia" w:ascii="宋体" w:hAnsi="宋体" w:cs="宋体"/>
                <w:bCs/>
                <w:color w:val="auto"/>
                <w:kern w:val="0"/>
                <w:szCs w:val="21"/>
                <w:highlight w:val="none"/>
                <w:lang w:val="en-US" w:eastAsia="zh-CN"/>
              </w:rPr>
              <w:t>。</w:t>
            </w:r>
          </w:p>
          <w:p w14:paraId="4502F96E">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2.1.17 配备数字化频谱多普勒显示分析单元，包含PW、CW、HPRF工作模式。</w:t>
            </w:r>
          </w:p>
          <w:p w14:paraId="2E4B8B34">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2.1.18 搭载斑点噪声抑制成像技术，适配二维、造影、三维成像模式。</w:t>
            </w:r>
          </w:p>
          <w:p w14:paraId="54D57877">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2.1.19 支持一键图像智能优化，可自动优化二维灰阶、彩色多普勒、频谱多普勒、造影图像参数；频谱模式下可自动校正偏转角度、取样容积、探测角度。</w:t>
            </w:r>
          </w:p>
          <w:p w14:paraId="2E42897D">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2.1.20 具备自动血流跟踪技术，一键优化彩色/能量多普勒、PW频谱图像及取样框、取样门的位置、角度、大小。</w:t>
            </w:r>
          </w:p>
          <w:p w14:paraId="26DC9F92">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2.1.21 支持穿刺针增强成像技术，适配凸阵、线阵探头，具备双屏对比显示、角度自适应校正功能。</w:t>
            </w:r>
          </w:p>
          <w:p w14:paraId="2435FC7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2.1.22 具备血流速度标识功能，可区分血流速度边界。</w:t>
            </w:r>
          </w:p>
          <w:p w14:paraId="5633F8CF">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2.1.23 支持前端、后端双模式图像放大，最大放大倍数≥10倍。</w:t>
            </w:r>
          </w:p>
          <w:p w14:paraId="4D06832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2.1.24 支持放大功能，支持≥2种放大模式。</w:t>
            </w:r>
          </w:p>
          <w:p w14:paraId="65DF922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2.1.25 线阵探头支持双B图像拼接成像功能。</w:t>
            </w:r>
          </w:p>
          <w:p w14:paraId="5BFB2F5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2.1.26 声功率连续可调。</w:t>
            </w:r>
          </w:p>
          <w:p w14:paraId="76A2E7E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2.1.27 支持自动化工作流，可自动注释、标记体位图、切换成像模式。</w:t>
            </w:r>
          </w:p>
          <w:p w14:paraId="2224F7E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2.1.28 支持语音注释功能，语音信息可同步保存至电影文件，支持设备端、PC端回放查看。</w:t>
            </w:r>
          </w:p>
          <w:p w14:paraId="45130A6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 xml:space="preserve">2.1.29 </w:t>
            </w:r>
            <w:r>
              <w:rPr>
                <w:rFonts w:hint="eastAsia"/>
                <w:color w:val="auto"/>
                <w:highlight w:val="none"/>
                <w:lang w:val="en-US" w:eastAsia="zh-CN"/>
              </w:rPr>
              <w:t>配备超声操作教学与指导功能模块，内置常见检查部位（至少包括腹部、浅表器官等）的标准切面扫查流程与手法示意图，辅助操作人员进行规范化扫查。</w:t>
            </w:r>
          </w:p>
          <w:p w14:paraId="71F6D850">
            <w:pPr>
              <w:autoSpaceDE w:val="0"/>
              <w:autoSpaceDN w:val="0"/>
              <w:adjustRightInd w:val="0"/>
              <w:spacing w:line="360" w:lineRule="auto"/>
              <w:ind w:firstLine="210" w:firstLineChars="100"/>
              <w:jc w:val="left"/>
              <w:rPr>
                <w:rFonts w:hint="eastAsia" w:ascii="宋体" w:hAnsi="宋体" w:cs="宋体"/>
                <w:bCs/>
                <w:strike/>
                <w:dstrike w:val="0"/>
                <w:color w:val="auto"/>
                <w:kern w:val="0"/>
                <w:szCs w:val="21"/>
                <w:highlight w:val="none"/>
                <w:lang w:val="en-US" w:eastAsia="zh-CN"/>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 w:val="0"/>
                <w:bCs w:val="0"/>
                <w:i w:val="0"/>
                <w:iCs w:val="0"/>
                <w:color w:val="auto"/>
                <w:kern w:val="0"/>
                <w:sz w:val="21"/>
                <w:szCs w:val="21"/>
                <w:highlight w:val="none"/>
                <w:lang w:val="en-US" w:eastAsia="zh-CN" w:bidi="ar"/>
              </w:rPr>
              <w:t xml:space="preserve">2.1.30 </w:t>
            </w:r>
            <w:r>
              <w:rPr>
                <w:rFonts w:hint="eastAsia" w:ascii="宋体" w:hAnsi="宋体" w:cs="宋体"/>
                <w:bCs/>
                <w:strike w:val="0"/>
                <w:dstrike w:val="0"/>
                <w:color w:val="auto"/>
                <w:kern w:val="0"/>
                <w:szCs w:val="21"/>
                <w:highlight w:val="none"/>
                <w:lang w:val="en-US" w:eastAsia="zh-CN"/>
              </w:rPr>
              <w:t>具备乳腺病灶智能辅助分析功能，能对病灶进行形态学测量与特征描述，并可依据BI-RADS指南提供分类参与意见。</w:t>
            </w:r>
          </w:p>
          <w:p w14:paraId="2DA0E598">
            <w:pPr>
              <w:autoSpaceDE w:val="0"/>
              <w:autoSpaceDN w:val="0"/>
              <w:adjustRightInd w:val="0"/>
              <w:spacing w:line="360" w:lineRule="auto"/>
              <w:ind w:firstLine="210" w:firstLineChars="100"/>
              <w:jc w:val="left"/>
              <w:rPr>
                <w:rFonts w:hint="default" w:ascii="宋体" w:hAnsi="宋体" w:cs="宋体"/>
                <w:bCs/>
                <w:strike w:val="0"/>
                <w:dstrike w:val="0"/>
                <w:color w:val="auto"/>
                <w:kern w:val="0"/>
                <w:szCs w:val="21"/>
                <w:highlight w:val="none"/>
                <w:lang w:val="en-US" w:eastAsia="zh-CN"/>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 w:val="0"/>
                <w:bCs w:val="0"/>
                <w:i w:val="0"/>
                <w:iCs w:val="0"/>
                <w:color w:val="auto"/>
                <w:kern w:val="0"/>
                <w:sz w:val="21"/>
                <w:szCs w:val="21"/>
                <w:highlight w:val="none"/>
                <w:lang w:val="en-US" w:eastAsia="zh-CN" w:bidi="ar"/>
              </w:rPr>
              <w:t>2.1.31</w:t>
            </w:r>
            <w:r>
              <w:rPr>
                <w:rFonts w:hint="eastAsia" w:ascii="宋体" w:hAnsi="宋体" w:cs="宋体"/>
                <w:bCs/>
                <w:strike w:val="0"/>
                <w:dstrike w:val="0"/>
                <w:color w:val="auto"/>
                <w:kern w:val="0"/>
                <w:szCs w:val="21"/>
                <w:highlight w:val="none"/>
                <w:lang w:val="en-US" w:eastAsia="zh-CN"/>
              </w:rPr>
              <w:t>具备甲状腺病灶智能辅助分析功能，能对病灶进行形态学测量与特征描述，并可依据TI-RADS指南提供分类参与意见。</w:t>
            </w:r>
          </w:p>
          <w:p w14:paraId="699C96BB">
            <w:pPr>
              <w:autoSpaceDE w:val="0"/>
              <w:autoSpaceDN w:val="0"/>
              <w:adjustRightInd w:val="0"/>
              <w:spacing w:line="360" w:lineRule="auto"/>
              <w:ind w:firstLine="422" w:firstLineChars="200"/>
              <w:jc w:val="left"/>
              <w:rPr>
                <w:rFonts w:hint="eastAsia" w:ascii="宋体" w:hAnsi="宋体" w:cs="宋体"/>
                <w:b/>
                <w:bCs w:val="0"/>
                <w:color w:val="auto"/>
                <w:kern w:val="0"/>
                <w:szCs w:val="21"/>
                <w:highlight w:val="none"/>
                <w:lang w:val="en-US" w:eastAsia="zh-CN"/>
              </w:rPr>
            </w:pPr>
            <w:r>
              <w:rPr>
                <w:rFonts w:hint="eastAsia" w:ascii="宋体" w:hAnsi="宋体" w:cs="宋体"/>
                <w:b/>
                <w:bCs w:val="0"/>
                <w:color w:val="auto"/>
                <w:kern w:val="0"/>
                <w:szCs w:val="21"/>
                <w:highlight w:val="none"/>
                <w:lang w:val="en-US" w:eastAsia="zh-CN"/>
              </w:rPr>
              <w:t>2</w:t>
            </w:r>
            <w:r>
              <w:rPr>
                <w:rFonts w:hint="eastAsia" w:ascii="宋体" w:hAnsi="宋体" w:cs="宋体"/>
                <w:b/>
                <w:bCs w:val="0"/>
                <w:color w:val="auto"/>
                <w:kern w:val="0"/>
                <w:szCs w:val="21"/>
                <w:highlight w:val="none"/>
              </w:rPr>
              <w:t>.</w:t>
            </w:r>
            <w:r>
              <w:rPr>
                <w:rFonts w:hint="eastAsia" w:ascii="宋体" w:hAnsi="宋体" w:cs="宋体"/>
                <w:b/>
                <w:bCs w:val="0"/>
                <w:color w:val="auto"/>
                <w:kern w:val="0"/>
                <w:szCs w:val="21"/>
                <w:highlight w:val="none"/>
                <w:lang w:val="en-US" w:eastAsia="zh-CN"/>
              </w:rPr>
              <w:t>2</w:t>
            </w:r>
            <w:r>
              <w:rPr>
                <w:rFonts w:hint="eastAsia" w:ascii="宋体" w:hAnsi="宋体" w:cs="宋体"/>
                <w:b/>
                <w:bCs w:val="0"/>
                <w:color w:val="auto"/>
                <w:kern w:val="0"/>
                <w:szCs w:val="21"/>
                <w:highlight w:val="none"/>
              </w:rPr>
              <w:t xml:space="preserve"> 测量/分析和报告系统</w:t>
            </w:r>
          </w:p>
          <w:p w14:paraId="43858557">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2.2.1 基础测量功能：支持距离、周长、面积、体积、角度、自动频谱测量等常规临床测量。</w:t>
            </w:r>
          </w:p>
          <w:p w14:paraId="79C8CAFD">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2.2.2 配备全科专用测量软件包，覆盖腹部、妇科、产科、心脏、泌尿、小器官、儿科、血管、神经等科室，可自动生成标准化诊断报告。</w:t>
            </w:r>
          </w:p>
          <w:p w14:paraId="42B0E4A4">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2.2.3 产科自动测量功能，可自动完成≥4项胎儿发育核心指标评估。</w:t>
            </w:r>
          </w:p>
          <w:p w14:paraId="448D937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2.2.4 血管内中膜自动测量，可自动描记血管前后壁内中膜，生成≥6项临床测量参数。</w:t>
            </w:r>
          </w:p>
          <w:p w14:paraId="5AF57B9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2.2.5 支持血管内中膜实时自动测量，可自动采集6组IMT内膜厚度数据并实时更新结果，满足血管筛查需求。</w:t>
            </w:r>
          </w:p>
          <w:p w14:paraId="180950F2">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2.2.6 支持血管体位图手动编辑功能，可手动标注病变位置，适配临床诊断记录。</w:t>
            </w:r>
          </w:p>
          <w:p w14:paraId="57DA8524">
            <w:pPr>
              <w:autoSpaceDE w:val="0"/>
              <w:autoSpaceDN w:val="0"/>
              <w:adjustRightInd w:val="0"/>
              <w:spacing w:line="360" w:lineRule="auto"/>
              <w:ind w:firstLine="210" w:firstLineChars="100"/>
              <w:jc w:val="left"/>
              <w:rPr>
                <w:rFonts w:hint="default" w:ascii="宋体" w:hAnsi="宋体" w:cs="宋体"/>
                <w:bCs/>
                <w:color w:val="auto"/>
                <w:kern w:val="0"/>
                <w:szCs w:val="21"/>
                <w:highlight w:val="none"/>
                <w:lang w:val="en-US"/>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 w:val="0"/>
                <w:bCs w:val="0"/>
                <w:i w:val="0"/>
                <w:iCs w:val="0"/>
                <w:color w:val="auto"/>
                <w:kern w:val="0"/>
                <w:sz w:val="21"/>
                <w:szCs w:val="21"/>
                <w:highlight w:val="none"/>
                <w:lang w:val="en-US" w:eastAsia="zh-CN" w:bidi="ar"/>
              </w:rPr>
              <w:t>2</w:t>
            </w:r>
            <w:r>
              <w:rPr>
                <w:rFonts w:hint="eastAsia" w:ascii="宋体" w:hAnsi="宋体" w:cs="宋体"/>
                <w:bCs/>
                <w:color w:val="auto"/>
                <w:kern w:val="0"/>
                <w:szCs w:val="21"/>
                <w:highlight w:val="none"/>
                <w:lang w:val="en-US" w:eastAsia="zh-CN"/>
              </w:rPr>
              <w:t>.2.7 配备IVF卵泡专业分析软件，支持卵泡发育趋势分析，输出专业评估报告及多项筛查指标。</w:t>
            </w:r>
          </w:p>
          <w:p w14:paraId="3A7AEEF3">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2.2.8 心功能自动测量软件，完成心功能参数自动测算。</w:t>
            </w:r>
          </w:p>
          <w:p w14:paraId="14CA7118">
            <w:pPr>
              <w:autoSpaceDE w:val="0"/>
              <w:autoSpaceDN w:val="0"/>
              <w:adjustRightInd w:val="0"/>
              <w:spacing w:line="360" w:lineRule="auto"/>
              <w:ind w:firstLine="422" w:firstLineChars="200"/>
              <w:jc w:val="left"/>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lang w:val="en-US" w:eastAsia="zh-CN"/>
              </w:rPr>
              <w:t>2</w:t>
            </w:r>
            <w:r>
              <w:rPr>
                <w:rFonts w:hint="eastAsia" w:ascii="宋体" w:hAnsi="宋体" w:cs="宋体"/>
                <w:b/>
                <w:bCs w:val="0"/>
                <w:color w:val="auto"/>
                <w:kern w:val="0"/>
                <w:szCs w:val="21"/>
                <w:highlight w:val="none"/>
              </w:rPr>
              <w:t>.</w:t>
            </w:r>
            <w:r>
              <w:rPr>
                <w:rFonts w:hint="eastAsia" w:ascii="宋体" w:hAnsi="宋体" w:cs="宋体"/>
                <w:b/>
                <w:bCs w:val="0"/>
                <w:color w:val="auto"/>
                <w:kern w:val="0"/>
                <w:szCs w:val="21"/>
                <w:highlight w:val="none"/>
                <w:lang w:val="en-US" w:eastAsia="zh-CN"/>
              </w:rPr>
              <w:t>3</w:t>
            </w:r>
            <w:r>
              <w:rPr>
                <w:rFonts w:hint="eastAsia" w:ascii="宋体" w:hAnsi="宋体" w:cs="宋体"/>
                <w:b/>
                <w:bCs w:val="0"/>
                <w:color w:val="auto"/>
                <w:kern w:val="0"/>
                <w:szCs w:val="21"/>
                <w:highlight w:val="none"/>
              </w:rPr>
              <w:t xml:space="preserve"> 电影回放和数据存储</w:t>
            </w:r>
          </w:p>
          <w:p w14:paraId="01544160">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2.3.1 支持二维、彩色、造影、3D/4D等全模式图像手动/自动回放，支持电影片段编辑、剪接。</w:t>
            </w:r>
          </w:p>
          <w:p w14:paraId="43ACEE3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2.3.2 电影回放总时长≥1000秒。</w:t>
            </w:r>
          </w:p>
          <w:p w14:paraId="40394A2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2.3.3 支持前后双向预置存储，向后存储时长≥6分钟；冻结/实时图像均可直接存储，配备独立存储快捷键，支持多次编辑、重复存储。</w:t>
            </w:r>
          </w:p>
          <w:p w14:paraId="7B90F5BC">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2.3.4 支持多模式图像同屏动态/静态对比显示。</w:t>
            </w:r>
          </w:p>
          <w:p w14:paraId="23ED30F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2.3.5 支持原始数据离线处理，图像冻结后可调节≥32项成像参数，支持二维图像离线生成M型成像。</w:t>
            </w:r>
          </w:p>
          <w:p w14:paraId="02D27472">
            <w:pPr>
              <w:autoSpaceDE w:val="0"/>
              <w:autoSpaceDN w:val="0"/>
              <w:adjustRightInd w:val="0"/>
              <w:spacing w:line="360" w:lineRule="auto"/>
              <w:ind w:firstLine="210" w:firstLineChars="1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▲2.3.6 存储配置：SSD固态硬盘≥128G，机械硬盘≥1T。</w:t>
            </w:r>
          </w:p>
          <w:p w14:paraId="6CC6E6A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2.3.7 支持通用PC格式动态、静态图像导出。</w:t>
            </w:r>
          </w:p>
          <w:p w14:paraId="4807A19B">
            <w:pPr>
              <w:autoSpaceDE w:val="0"/>
              <w:autoSpaceDN w:val="0"/>
              <w:adjustRightInd w:val="0"/>
              <w:spacing w:line="360" w:lineRule="auto"/>
              <w:ind w:firstLine="422" w:firstLineChars="200"/>
              <w:jc w:val="left"/>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lang w:val="en-US" w:eastAsia="zh-CN"/>
              </w:rPr>
              <w:t>2</w:t>
            </w:r>
            <w:r>
              <w:rPr>
                <w:rFonts w:hint="eastAsia" w:ascii="宋体" w:hAnsi="宋体" w:cs="宋体"/>
                <w:b/>
                <w:bCs w:val="0"/>
                <w:color w:val="auto"/>
                <w:kern w:val="0"/>
                <w:szCs w:val="21"/>
                <w:highlight w:val="none"/>
              </w:rPr>
              <w:t>.</w:t>
            </w:r>
            <w:r>
              <w:rPr>
                <w:rFonts w:hint="eastAsia" w:ascii="宋体" w:hAnsi="宋体" w:cs="宋体"/>
                <w:b/>
                <w:bCs w:val="0"/>
                <w:color w:val="auto"/>
                <w:kern w:val="0"/>
                <w:szCs w:val="21"/>
                <w:highlight w:val="none"/>
                <w:lang w:val="en-US" w:eastAsia="zh-CN"/>
              </w:rPr>
              <w:t>4</w:t>
            </w:r>
            <w:r>
              <w:rPr>
                <w:rFonts w:hint="eastAsia" w:ascii="宋体" w:hAnsi="宋体" w:cs="宋体"/>
                <w:b/>
                <w:bCs w:val="0"/>
                <w:color w:val="auto"/>
                <w:kern w:val="0"/>
                <w:szCs w:val="21"/>
                <w:highlight w:val="none"/>
              </w:rPr>
              <w:t xml:space="preserve"> 连通性要求</w:t>
            </w:r>
          </w:p>
          <w:p w14:paraId="3563E1D8">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2.4.1 标配标准DICOM 3.0接口，全面兼容市面所有主流品牌PACS系统。</w:t>
            </w:r>
          </w:p>
          <w:p w14:paraId="77DF4D40">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2.4.2 支持远程影像传输与数据共享功能，可通过标准网络协议传输静态、动态超声图像，支持电脑、移动终端远程查看、备注归档。</w:t>
            </w:r>
          </w:p>
          <w:p w14:paraId="510E8196">
            <w:pPr>
              <w:autoSpaceDE w:val="0"/>
              <w:autoSpaceDN w:val="0"/>
              <w:adjustRightInd w:val="0"/>
              <w:spacing w:line="360" w:lineRule="auto"/>
              <w:ind w:firstLine="422" w:firstLineChars="200"/>
              <w:jc w:val="left"/>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rPr>
              <w:t>3. 系统核心技术参数</w:t>
            </w:r>
          </w:p>
          <w:p w14:paraId="41A2A19E">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3.1 二维灰阶成像模式</w:t>
            </w:r>
          </w:p>
          <w:p w14:paraId="502F70D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3.1.1 内置多脏器成像预设方案，可一键适配不同检查部位最佳成像参数。</w:t>
            </w:r>
          </w:p>
          <w:p w14:paraId="1A973A2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3.1.2支持复合成像技术，有效消除伪像、提升图像边界清晰度与细节分辨率。</w:t>
            </w:r>
          </w:p>
          <w:p w14:paraId="6579B53F">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3.1.3 配备组织特异性成像预设，适配不同人体脏器声波传播特性，减少图像失真。</w:t>
            </w:r>
          </w:p>
          <w:p w14:paraId="54DD1AA7">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3.1.4 支持超声声速自动矫正技术，可一键适配人体组织最佳成像声速，屏幕实时显示参数数值。</w:t>
            </w:r>
          </w:p>
          <w:p w14:paraId="5B98B2F5">
            <w:pPr>
              <w:autoSpaceDE w:val="0"/>
              <w:autoSpaceDN w:val="0"/>
              <w:adjustRightInd w:val="0"/>
              <w:spacing w:line="360" w:lineRule="auto"/>
              <w:ind w:firstLine="210" w:firstLineChars="1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▲3.1.5 最大成像显示深度≥38cm。</w:t>
            </w:r>
          </w:p>
          <w:p w14:paraId="2EA47C24">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3.1.6 TGC增益分段≥8段，LGC增益分段≥8段。</w:t>
            </w:r>
          </w:p>
          <w:p w14:paraId="373FC4B4">
            <w:pPr>
              <w:autoSpaceDE w:val="0"/>
              <w:autoSpaceDN w:val="0"/>
              <w:adjustRightInd w:val="0"/>
              <w:spacing w:line="360" w:lineRule="auto"/>
              <w:ind w:firstLine="210" w:firstLineChars="1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▲3.1.7 图像动态范围≥200dB。</w:t>
            </w:r>
          </w:p>
          <w:p w14:paraId="1722BE33">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3.1.8 B/M/D模式增益独立可调，总档位≥100档，最小调节步进≤1db。</w:t>
            </w:r>
          </w:p>
          <w:p w14:paraId="4D9CD08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3.1.9 内置伪彩图谱≥8种。</w:t>
            </w:r>
          </w:p>
          <w:p w14:paraId="79E151A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3.2 彩色多普勒成像</w:t>
            </w:r>
          </w:p>
          <w:p w14:paraId="546FEC3F">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3.2.1 支持血流速度、方差、能量、方向能量多模式显示。</w:t>
            </w:r>
          </w:p>
          <w:p w14:paraId="0C7F212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3.2.2 支持B/C、B/C/M、B/POWER、B/C/PW等多种组合成像模式。</w:t>
            </w:r>
          </w:p>
          <w:p w14:paraId="07C27C60">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3.2.3 彩色取样框偏转角度≥±30度，支持自适应血流方向调节。</w:t>
            </w:r>
          </w:p>
          <w:p w14:paraId="1FF6EAEE">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3.2.4 彩色多普勒最大成像帧率≥260帧/秒。</w:t>
            </w:r>
          </w:p>
          <w:p w14:paraId="7FD34288">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3.3 频谱多普勒模式</w:t>
            </w:r>
          </w:p>
          <w:p w14:paraId="2D87B607">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3.3.1 集成脉冲多普勒(PW)、高脉冲重复频率(HPRF)、连续多普勒(CW)模式。</w:t>
            </w:r>
          </w:p>
          <w:p w14:paraId="011F5CB4">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3.3.2 支持B、PW、B/PW、B/C/PW、B/CW、B/C/CW等多种组合显示模式。</w:t>
            </w:r>
          </w:p>
          <w:p w14:paraId="38256F03">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3.3.3 脉冲多普勒最大探测速度≥7.60m/s，连续多普勒最大探测速度≥30m/s。</w:t>
            </w:r>
          </w:p>
          <w:p w14:paraId="0D3D8C2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3.3.4 可识别最小有效血流速度≤1mm/s。</w:t>
            </w:r>
          </w:p>
          <w:p w14:paraId="083ECA2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3.3.5 取样容积可调范围0.5-30mm。</w:t>
            </w:r>
          </w:p>
          <w:p w14:paraId="7D1E5281">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3.3.6 线阵探头频谱偏转角度≥±30度。</w:t>
            </w:r>
          </w:p>
          <w:p w14:paraId="28ED4F1C">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3.3.7 频谱零位移动档位≥8级。</w:t>
            </w:r>
          </w:p>
          <w:p w14:paraId="199D5D0D">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3.3.8 支持频谱参数自动测量、自动分析。</w:t>
            </w:r>
          </w:p>
          <w:p w14:paraId="16D9A207">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3.4 探头规格（通用频段，多品牌适配）</w:t>
            </w:r>
          </w:p>
          <w:p w14:paraId="7F53872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3.4.1 腹部凸阵探头：带宽2-5.0MHz，扫描角度≥72°，单晶体设计。</w:t>
            </w:r>
          </w:p>
          <w:p w14:paraId="084CC726">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3.4.2 腔内凸阵探头：带宽3.0-11MHz，扫描角度≥180°。</w:t>
            </w:r>
          </w:p>
          <w:p w14:paraId="645502B4">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3.4.3 高频线阵探头：带宽3-13MHz。</w:t>
            </w:r>
          </w:p>
          <w:p w14:paraId="1D319FF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3.4.4 心脏相控阵探头：带宽1.5-4.5MHz，单晶体设计。</w:t>
            </w:r>
          </w:p>
          <w:p w14:paraId="02FBA0A5">
            <w:pPr>
              <w:autoSpaceDE w:val="0"/>
              <w:autoSpaceDN w:val="0"/>
              <w:adjustRightInd w:val="0"/>
              <w:spacing w:line="360" w:lineRule="auto"/>
              <w:ind w:firstLine="210" w:firstLineChars="1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▲3.4.5 超宽频带探头技术支持持不同探头变频1MHz到20MHz之间选择。</w:t>
            </w:r>
          </w:p>
          <w:p w14:paraId="6F7955A6">
            <w:pPr>
              <w:autoSpaceDE w:val="0"/>
              <w:autoSpaceDN w:val="0"/>
              <w:adjustRightInd w:val="0"/>
              <w:spacing w:line="360" w:lineRule="auto"/>
              <w:ind w:firstLine="210" w:firstLineChars="100"/>
              <w:jc w:val="left"/>
              <w:rPr>
                <w:rFonts w:hint="default" w:ascii="宋体" w:hAnsi="宋体" w:cs="宋体"/>
                <w:bCs/>
                <w:color w:val="auto"/>
                <w:kern w:val="0"/>
                <w:szCs w:val="21"/>
                <w:highlight w:val="none"/>
                <w:lang w:val="en-US" w:eastAsia="zh-CN"/>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Cs/>
                <w:color w:val="auto"/>
                <w:kern w:val="0"/>
                <w:szCs w:val="21"/>
                <w:highlight w:val="none"/>
                <w:lang w:val="en-US" w:eastAsia="zh-CN"/>
              </w:rPr>
              <w:t>3.4.6 腹部、线阵及腔内二维探头支持自由壁三维重建功能。</w:t>
            </w:r>
          </w:p>
          <w:p w14:paraId="62D735C1">
            <w:pPr>
              <w:autoSpaceDE w:val="0"/>
              <w:autoSpaceDN w:val="0"/>
              <w:adjustRightInd w:val="0"/>
              <w:spacing w:line="360" w:lineRule="auto"/>
              <w:ind w:firstLine="210" w:firstLineChars="100"/>
              <w:jc w:val="left"/>
              <w:rPr>
                <w:rFonts w:hint="eastAsia" w:ascii="宋体" w:hAnsi="宋体" w:cs="宋体"/>
                <w:bCs/>
                <w:color w:val="auto"/>
                <w:kern w:val="0"/>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Cs/>
                <w:color w:val="auto"/>
                <w:kern w:val="0"/>
                <w:szCs w:val="21"/>
                <w:highlight w:val="none"/>
              </w:rPr>
              <w:t xml:space="preserve">3.5 </w:t>
            </w:r>
            <w:r>
              <w:rPr>
                <w:rFonts w:hint="eastAsia" w:ascii="宋体" w:hAnsi="宋体" w:cs="宋体"/>
                <w:bCs/>
                <w:color w:val="auto"/>
                <w:kern w:val="0"/>
                <w:szCs w:val="21"/>
                <w:highlight w:val="none"/>
                <w:lang w:val="en-US" w:eastAsia="zh-CN"/>
              </w:rPr>
              <w:t>压力式</w:t>
            </w:r>
            <w:r>
              <w:rPr>
                <w:rFonts w:hint="eastAsia" w:ascii="宋体" w:hAnsi="宋体" w:cs="宋体"/>
                <w:bCs/>
                <w:color w:val="auto"/>
                <w:kern w:val="0"/>
                <w:szCs w:val="21"/>
                <w:highlight w:val="none"/>
              </w:rPr>
              <w:t>应变弹性成像</w:t>
            </w:r>
          </w:p>
          <w:p w14:paraId="18816982">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3.5.1 支持凸阵、线阵探头适配使用。</w:t>
            </w:r>
          </w:p>
          <w:p w14:paraId="590A6D1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3.5.2 内置弹性成像图谱≥5种。</w:t>
            </w:r>
          </w:p>
          <w:p w14:paraId="463CBCE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3.5.3 弹性成像模式配备压力实时提示图标。</w:t>
            </w:r>
          </w:p>
          <w:p w14:paraId="19474EE6">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3.5.4 具备组织硬度定量分析功能，支持比值分析、柱状图数据分析。</w:t>
            </w:r>
          </w:p>
          <w:p w14:paraId="5E38E9AE">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3.5.5 支持肿块周边组织弹性定量检测分析。</w:t>
            </w:r>
          </w:p>
          <w:p w14:paraId="16A9FCA4">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3.5.6 支持弹性图与二维图像同步映射测量，实时同步采集数据。</w:t>
            </w:r>
          </w:p>
          <w:p w14:paraId="49013F9E">
            <w:pPr>
              <w:autoSpaceDE w:val="0"/>
              <w:autoSpaceDN w:val="0"/>
              <w:adjustRightInd w:val="0"/>
              <w:spacing w:line="360" w:lineRule="auto"/>
              <w:ind w:firstLine="210" w:firstLineChars="100"/>
              <w:jc w:val="left"/>
              <w:rPr>
                <w:rFonts w:hint="eastAsia" w:ascii="宋体" w:hAnsi="宋体" w:cs="宋体"/>
                <w:bCs/>
                <w:color w:val="auto"/>
                <w:kern w:val="0"/>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Cs/>
                <w:color w:val="auto"/>
                <w:kern w:val="0"/>
                <w:szCs w:val="21"/>
                <w:highlight w:val="none"/>
              </w:rPr>
              <w:t>3.6 剪切波弹性成像</w:t>
            </w:r>
          </w:p>
          <w:p w14:paraId="4EF55BAE">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3.6.1 支持凸阵、线阵探头适配剪切波弹性成像。</w:t>
            </w:r>
          </w:p>
          <w:p w14:paraId="67DC49BD">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3.6.2 支持二维实时剪切波、单点式剪切波双成像模式。</w:t>
            </w:r>
          </w:p>
          <w:p w14:paraId="7CEEBEE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3.6.3 剪切波取样框大小可调，可输出取样框内杨氏模量等定量硬度参数。</w:t>
            </w:r>
          </w:p>
          <w:p w14:paraId="48862DDB">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3.6.4 支持二维图像与剪切波弹性图像双实时同步显示，支持上下、左右多布局切换。</w:t>
            </w:r>
          </w:p>
          <w:p w14:paraId="7957654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3.6.5 可同时输出kPa、m/s双单位组织硬度数据。</w:t>
            </w:r>
          </w:p>
          <w:p w14:paraId="0E4D19FD">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3.6.6 支持肿块核心及周边组织全方位定量硬度分析功能。</w:t>
            </w:r>
          </w:p>
          <w:p w14:paraId="1D71B1A6">
            <w:pPr>
              <w:autoSpaceDE w:val="0"/>
              <w:autoSpaceDN w:val="0"/>
              <w:adjustRightInd w:val="0"/>
              <w:spacing w:line="360" w:lineRule="auto"/>
              <w:ind w:firstLine="210" w:firstLineChars="100"/>
              <w:jc w:val="left"/>
              <w:rPr>
                <w:rFonts w:hint="eastAsia" w:ascii="宋体" w:hAnsi="宋体" w:cs="宋体"/>
                <w:bCs/>
                <w:color w:val="auto"/>
                <w:kern w:val="0"/>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w:t>
            </w:r>
            <w:r>
              <w:rPr>
                <w:rFonts w:hint="eastAsia" w:ascii="宋体" w:hAnsi="宋体" w:cs="宋体"/>
                <w:bCs/>
                <w:color w:val="auto"/>
                <w:kern w:val="0"/>
                <w:szCs w:val="21"/>
                <w:highlight w:val="none"/>
              </w:rPr>
              <w:t>3.7 造影成像及定量分析功能</w:t>
            </w:r>
          </w:p>
          <w:p w14:paraId="02F18C72">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3.7.1 支持凸阵、线阵、腔内探头造影成像适配。</w:t>
            </w:r>
          </w:p>
          <w:p w14:paraId="74611535">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3.7.2 具备微血管造影增强成像功能。</w:t>
            </w:r>
          </w:p>
          <w:p w14:paraId="259DAAF9">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3.7.3 配备造影双计时器。</w:t>
            </w:r>
          </w:p>
          <w:p w14:paraId="7983E15E">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3.7.4 支持造影图像前后双向存储，向后存储时长≥6分钟。</w:t>
            </w:r>
          </w:p>
          <w:p w14:paraId="00030C01">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3.7.5 支持造影与组织成像混合模式。</w:t>
            </w:r>
          </w:p>
          <w:p w14:paraId="72813F01">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3.7.6 支持造影图像与二维组织图像位置互换对比显示。</w:t>
            </w:r>
          </w:p>
          <w:p w14:paraId="4D32F111">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3.7.7 具备专业造影定量分析功能，支持感兴趣区运动跟踪、TIC时间强度曲线分析、原始/拟合曲线切换，可输出标准化分析报表。</w:t>
            </w:r>
          </w:p>
          <w:p w14:paraId="7DC3602A">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3.8 TDI组织多普勒成像</w:t>
            </w:r>
          </w:p>
          <w:p w14:paraId="0F881646">
            <w:pPr>
              <w:autoSpaceDE w:val="0"/>
              <w:autoSpaceDN w:val="0"/>
              <w:adjustRightIn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3.8.1 TDI组织多普勒支持彩色速度图、能量图、频谱图、M型图四大成像模式。</w:t>
            </w:r>
          </w:p>
          <w:p w14:paraId="49BCE563">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3.8.2 配备TDI心肌定量分析软件，支持心肌运动追踪，可同步显示≥6段心肌组织运动速度曲线。</w:t>
            </w:r>
          </w:p>
          <w:p w14:paraId="77335C68">
            <w:pPr>
              <w:autoSpaceDE w:val="0"/>
              <w:autoSpaceDN w:val="0"/>
              <w:adjustRightInd w:val="0"/>
              <w:spacing w:line="360" w:lineRule="auto"/>
              <w:ind w:firstLine="420" w:firstLineChars="200"/>
              <w:jc w:val="left"/>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4.配套超声工作站一套，具有显示功能，屏幕尺寸≥23.8英寸，内置高清采集卡。</w:t>
            </w:r>
          </w:p>
          <w:p w14:paraId="3295CAB4">
            <w:pPr>
              <w:autoSpaceDE w:val="0"/>
              <w:autoSpaceDN w:val="0"/>
              <w:adjustRightInd w:val="0"/>
              <w:spacing w:line="360" w:lineRule="auto"/>
              <w:ind w:firstLine="420" w:firstLineChars="200"/>
              <w:jc w:val="left"/>
              <w:rPr>
                <w:rFonts w:hint="default"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5.配置稳压电源≥2000VA。</w:t>
            </w:r>
          </w:p>
        </w:tc>
        <w:tc>
          <w:tcPr>
            <w:tcW w:w="856" w:type="dxa"/>
            <w:noWrap w:val="0"/>
            <w:vAlign w:val="center"/>
          </w:tcPr>
          <w:p w14:paraId="6610E005">
            <w:pPr>
              <w:widowControl/>
              <w:spacing w:line="360" w:lineRule="auto"/>
              <w:jc w:val="center"/>
              <w:textAlignment w:val="center"/>
              <w:rPr>
                <w:rFonts w:ascii="宋体" w:hAnsi="宋体" w:cs="宋体"/>
                <w:b/>
                <w:color w:val="auto"/>
                <w:kern w:val="0"/>
                <w:szCs w:val="21"/>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台</w:t>
            </w:r>
          </w:p>
        </w:tc>
        <w:tc>
          <w:tcPr>
            <w:tcW w:w="1121" w:type="dxa"/>
            <w:noWrap w:val="0"/>
            <w:vAlign w:val="center"/>
          </w:tcPr>
          <w:p w14:paraId="295C2948">
            <w:pPr>
              <w:widowControl/>
              <w:spacing w:line="360" w:lineRule="auto"/>
              <w:jc w:val="center"/>
              <w:textAlignment w:val="center"/>
              <w:rPr>
                <w:rFonts w:hint="default" w:ascii="宋体" w:hAnsi="宋体" w:eastAsia="宋体" w:cs="宋体"/>
                <w:b/>
                <w:color w:val="auto"/>
                <w:szCs w:val="21"/>
                <w:highlight w:val="none"/>
                <w:lang w:val="en-US" w:eastAsia="zh-CN"/>
              </w:rPr>
            </w:pPr>
            <w:r>
              <w:rPr>
                <w:rFonts w:hint="eastAsia" w:ascii="宋体" w:hAnsi="宋体" w:cs="宋体"/>
                <w:color w:val="auto"/>
                <w:highlight w:val="none"/>
                <w:lang w:val="en-US" w:eastAsia="zh-CN"/>
              </w:rPr>
              <w:t>80.00</w:t>
            </w:r>
          </w:p>
        </w:tc>
      </w:tr>
      <w:tr w14:paraId="2588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38" w:type="dxa"/>
            <w:gridSpan w:val="5"/>
            <w:noWrap w:val="0"/>
            <w:vAlign w:val="center"/>
          </w:tcPr>
          <w:p w14:paraId="09D9A67D">
            <w:pPr>
              <w:tabs>
                <w:tab w:val="left" w:pos="5595"/>
              </w:tabs>
              <w:spacing w:line="360" w:lineRule="auto"/>
              <w:jc w:val="center"/>
              <w:rPr>
                <w:rFonts w:hint="eastAsia" w:ascii="宋体" w:hAnsi="宋体" w:eastAsia="宋体" w:cs="宋体"/>
                <w:color w:val="auto"/>
                <w:kern w:val="0"/>
                <w:szCs w:val="21"/>
                <w:highlight w:val="none"/>
                <w:lang w:eastAsia="zh-CN" w:bidi="ar"/>
              </w:rPr>
            </w:pPr>
            <w:bookmarkStart w:id="47" w:name="_Toc74320802"/>
            <w:r>
              <w:rPr>
                <w:rFonts w:hint="eastAsia" w:hAnsi="宋体"/>
                <w:b/>
                <w:color w:val="auto"/>
                <w:highlight w:val="none"/>
              </w:rPr>
              <w:t>▲</w:t>
            </w:r>
            <w:r>
              <w:rPr>
                <w:rFonts w:hint="eastAsia" w:ascii="宋体" w:hAnsi="宋体" w:cs="宋体"/>
                <w:b/>
                <w:bCs/>
                <w:color w:val="auto"/>
                <w:kern w:val="0"/>
                <w:szCs w:val="21"/>
                <w:highlight w:val="none"/>
                <w:lang w:bidi="ar"/>
              </w:rPr>
              <w:t>二、商务要求</w:t>
            </w:r>
          </w:p>
        </w:tc>
      </w:tr>
      <w:tr w14:paraId="2FA8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0" w:hRule="atLeast"/>
          <w:jc w:val="center"/>
        </w:trPr>
        <w:tc>
          <w:tcPr>
            <w:tcW w:w="2023" w:type="dxa"/>
            <w:gridSpan w:val="2"/>
            <w:shd w:val="clear" w:color="auto" w:fill="auto"/>
            <w:noWrap w:val="0"/>
            <w:vAlign w:val="center"/>
          </w:tcPr>
          <w:p w14:paraId="4A666D93">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（一）基本要求</w:t>
            </w:r>
          </w:p>
          <w:p w14:paraId="65B4F477">
            <w:pPr>
              <w:widowControl/>
              <w:spacing w:line="360" w:lineRule="auto"/>
              <w:jc w:val="center"/>
              <w:textAlignment w:val="center"/>
              <w:rPr>
                <w:rFonts w:hint="eastAsia" w:ascii="宋体" w:hAnsi="宋体" w:eastAsia="宋体" w:cs="宋体"/>
                <w:color w:val="auto"/>
                <w:kern w:val="0"/>
                <w:sz w:val="21"/>
                <w:szCs w:val="21"/>
                <w:highlight w:val="none"/>
                <w:lang w:val="en-US" w:eastAsia="zh-CN" w:bidi="ar"/>
              </w:rPr>
            </w:pPr>
          </w:p>
        </w:tc>
        <w:tc>
          <w:tcPr>
            <w:tcW w:w="7915" w:type="dxa"/>
            <w:gridSpan w:val="3"/>
            <w:shd w:val="clear" w:color="auto" w:fill="auto"/>
            <w:noWrap w:val="0"/>
            <w:vAlign w:val="center"/>
          </w:tcPr>
          <w:p w14:paraId="09C84330">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1.成交供应商提供的彩色多普勒超声诊断</w:t>
            </w:r>
            <w:r>
              <w:rPr>
                <w:rFonts w:hint="eastAsia" w:ascii="宋体" w:hAnsi="宋体" w:eastAsia="宋体" w:cs="宋体"/>
                <w:color w:val="auto"/>
                <w:highlight w:val="none"/>
                <w:lang w:eastAsia="zh-CN"/>
              </w:rPr>
              <w:t>仪</w:t>
            </w:r>
            <w:r>
              <w:rPr>
                <w:rFonts w:hint="eastAsia" w:ascii="宋体" w:hAnsi="宋体" w:eastAsia="宋体" w:cs="宋体"/>
                <w:color w:val="auto"/>
                <w:highlight w:val="none"/>
                <w:lang w:eastAsia="en-US"/>
              </w:rPr>
              <w:t>，必须是全新、完整、未使用过的原装产品，严禁翻新、样机、返修机等设备。</w:t>
            </w:r>
          </w:p>
          <w:p w14:paraId="74211063">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2.成交供应商提供详细完整的中文说明书、产品合格证明材料、简易操作规程等资料交给采购人。</w:t>
            </w:r>
          </w:p>
          <w:p w14:paraId="0704C37D">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产品及服务应符合本采购文件的技术要求，如没有提及适用标准，则应符合中国人民共和国国家标准或行业标准，如果中华人民共和国没有相关标准的，则采用货物来源国适用的官方标准。这些标准必须是有关机构发布的最新版本的标准。</w:t>
            </w:r>
          </w:p>
          <w:p w14:paraId="2A73569E">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4.供应商应保证产品涉及到的知识产权和所提供的相关技术资料是合法取得，并享有完整的知识产权，不会因为采购人的使用而被责令停止使用、追偿或要求赔偿损失，如出现此情况，一切经济和法律责任均由供应商承担。</w:t>
            </w:r>
          </w:p>
          <w:p w14:paraId="1F2F64BD">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5.供应商的投标文件应列明详细的产品及相关产品及部件名称、品牌、材质、型号规格、产地和生产厂家及提供完整的技术文件（技术文件应与实物一致），技术文件包括产品的主要性能技术参数、适用范围以及外形图样、安装尺寸、设计图型等。</w:t>
            </w:r>
          </w:p>
          <w:p w14:paraId="147ADFF0">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6.投标文件应正确反映所投产品的技术水平和科技含量，所投产品如包括必备的随机附件及零配件、易损易耗备品备件和专用工具，供应商应提供其清单。</w:t>
            </w:r>
          </w:p>
          <w:p w14:paraId="3307744A">
            <w:pPr>
              <w:widowControl/>
              <w:spacing w:line="360" w:lineRule="auto"/>
              <w:ind w:firstLine="420" w:firstLineChars="200"/>
              <w:jc w:val="left"/>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en-US"/>
              </w:rPr>
              <w:t>7.未尽事宜按设计图及国家现行有关规范、标准执行。</w:t>
            </w:r>
          </w:p>
        </w:tc>
      </w:tr>
      <w:tr w14:paraId="3392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3" w:type="dxa"/>
            <w:gridSpan w:val="2"/>
            <w:shd w:val="clear" w:color="auto" w:fill="auto"/>
            <w:noWrap w:val="0"/>
            <w:vAlign w:val="center"/>
          </w:tcPr>
          <w:p w14:paraId="4DC88041">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（二）设备质量保修要求</w:t>
            </w:r>
          </w:p>
        </w:tc>
        <w:tc>
          <w:tcPr>
            <w:tcW w:w="7915" w:type="dxa"/>
            <w:gridSpan w:val="3"/>
            <w:shd w:val="clear" w:color="auto" w:fill="auto"/>
            <w:noWrap w:val="0"/>
            <w:vAlign w:val="center"/>
          </w:tcPr>
          <w:p w14:paraId="0AB4F3D8">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w:t>
            </w:r>
            <w:r>
              <w:rPr>
                <w:rFonts w:hint="eastAsia" w:ascii="宋体" w:hAnsi="宋体" w:cs="宋体"/>
                <w:bCs/>
                <w:strike w:val="0"/>
                <w:dstrike w:val="0"/>
                <w:color w:val="auto"/>
                <w:kern w:val="0"/>
                <w:szCs w:val="21"/>
                <w:highlight w:val="none"/>
                <w:lang w:val="en-US" w:eastAsia="zh-CN"/>
              </w:rPr>
              <w:t>设备使用年限≥10年，</w:t>
            </w:r>
            <w:r>
              <w:rPr>
                <w:rFonts w:hint="eastAsia" w:ascii="宋体" w:hAnsi="宋体" w:eastAsia="宋体" w:cs="宋体"/>
                <w:color w:val="auto"/>
                <w:highlight w:val="none"/>
                <w:lang w:eastAsia="en-US"/>
              </w:rPr>
              <w:t>彩色多普勒</w:t>
            </w:r>
            <w:r>
              <w:rPr>
                <w:rFonts w:hint="eastAsia" w:ascii="宋体" w:hAnsi="宋体" w:eastAsia="宋体" w:cs="宋体"/>
                <w:color w:val="auto"/>
                <w:highlight w:val="none"/>
                <w:lang w:eastAsia="zh-CN"/>
              </w:rPr>
              <w:t>超声仪</w:t>
            </w:r>
            <w:r>
              <w:rPr>
                <w:rFonts w:hint="eastAsia" w:ascii="宋体" w:hAnsi="宋体" w:cs="宋体"/>
                <w:bCs/>
                <w:strike w:val="0"/>
                <w:dstrike w:val="0"/>
                <w:color w:val="auto"/>
                <w:kern w:val="0"/>
                <w:szCs w:val="21"/>
                <w:highlight w:val="none"/>
                <w:lang w:val="en-US" w:eastAsia="zh-CN"/>
              </w:rPr>
              <w:t>（整机含探头）≥5年</w:t>
            </w:r>
            <w:r>
              <w:rPr>
                <w:rFonts w:hint="eastAsia" w:ascii="宋体" w:hAnsi="宋体" w:eastAsia="宋体" w:cs="宋体"/>
                <w:color w:val="auto"/>
                <w:highlight w:val="none"/>
                <w:lang w:eastAsia="en-US"/>
              </w:rPr>
              <w:t>保修服务，保修期从双方共同签署设备验收报告之日算起，保修期内不收取任何费用，质保期过后的维修只能收取零配件费，终身维护。</w:t>
            </w:r>
          </w:p>
          <w:p w14:paraId="7FC4EC5F">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保修期内设备发生一般故障时，供应商应负责维修、更换零配件；设备发生大故障（指主要部件出现质量问题）时，供应商应负责更换相同品牌、型号的新设备，设备维修或更换后其保修期相应顺延。所有非故意性损坏以及在要求质量标准范围内的正常使用造成的损坏，供应商均要维修。保修期内发生的故障维修服务及更换配件均包含在投标报价中，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不另外支付费用。对因采购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人员的不正当使用所造成的设备损坏不在供应商保修范围，但供应商也要积极帮助采购方修理设备，并保证提供优惠价格的配件和服务。质保期后，成交供应商须提供终身维修服务。定期随访、解决使用过程中的问题。</w:t>
            </w:r>
          </w:p>
        </w:tc>
      </w:tr>
      <w:tr w14:paraId="1B06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3" w:type="dxa"/>
            <w:gridSpan w:val="2"/>
            <w:shd w:val="clear" w:color="auto" w:fill="auto"/>
            <w:noWrap w:val="0"/>
            <w:vAlign w:val="center"/>
          </w:tcPr>
          <w:p w14:paraId="31AAB81B">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（三）维护保修售要求后服务</w:t>
            </w:r>
          </w:p>
        </w:tc>
        <w:tc>
          <w:tcPr>
            <w:tcW w:w="7915" w:type="dxa"/>
            <w:gridSpan w:val="3"/>
            <w:shd w:val="clear" w:color="auto" w:fill="auto"/>
            <w:noWrap w:val="0"/>
            <w:vAlign w:val="center"/>
          </w:tcPr>
          <w:p w14:paraId="11A5AE60">
            <w:pPr>
              <w:widowControl/>
              <w:spacing w:line="360" w:lineRule="auto"/>
              <w:ind w:firstLine="420" w:firstLineChars="200"/>
              <w:jc w:val="left"/>
              <w:textAlignment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eastAsia="en-US"/>
              </w:rPr>
              <w:t>1.设备在国内有维修中心及零配件库。</w:t>
            </w:r>
          </w:p>
          <w:p w14:paraId="33AE3758">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2.供应商提供24小时响应维护服务，接到采购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设备报修通知后</w:t>
            </w:r>
            <w:r>
              <w:rPr>
                <w:rFonts w:hint="eastAsia" w:ascii="宋体" w:hAnsi="宋体" w:cs="宋体"/>
                <w:strike w:val="0"/>
                <w:dstrike w:val="0"/>
                <w:color w:val="auto"/>
                <w:highlight w:val="none"/>
                <w:lang w:eastAsia="zh-CN"/>
              </w:rPr>
              <w:t>：</w:t>
            </w:r>
            <w:r>
              <w:rPr>
                <w:rFonts w:hint="eastAsia" w:ascii="宋体" w:hAnsi="宋体" w:eastAsia="宋体" w:cs="宋体"/>
                <w:strike w:val="0"/>
                <w:dstrike w:val="0"/>
                <w:color w:val="auto"/>
                <w:highlight w:val="none"/>
                <w:lang w:eastAsia="en-US"/>
              </w:rPr>
              <w:t>立即响应，</w:t>
            </w:r>
            <w:r>
              <w:rPr>
                <w:rFonts w:hint="eastAsia" w:ascii="宋体" w:hAnsi="宋体" w:eastAsia="宋体" w:cs="宋体"/>
                <w:color w:val="auto"/>
                <w:highlight w:val="none"/>
                <w:lang w:eastAsia="en-US"/>
              </w:rPr>
              <w:t>电话指导采购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工程师维修</w:t>
            </w:r>
            <w:r>
              <w:rPr>
                <w:rFonts w:hint="eastAsia" w:ascii="宋体" w:hAnsi="宋体" w:cs="宋体"/>
                <w:color w:val="auto"/>
                <w:highlight w:val="none"/>
                <w:lang w:val="en-US" w:eastAsia="zh-CN"/>
              </w:rPr>
              <w:t>；</w:t>
            </w:r>
            <w:r>
              <w:rPr>
                <w:rFonts w:hint="eastAsia" w:ascii="宋体" w:hAnsi="宋体" w:eastAsia="宋体" w:cs="宋体"/>
                <w:color w:val="auto"/>
                <w:highlight w:val="none"/>
                <w:lang w:eastAsia="en-US"/>
              </w:rPr>
              <w:t>若4小时内不能修复，供应商在24小时内派工程师到达设备现场及时维修</w:t>
            </w:r>
            <w:r>
              <w:rPr>
                <w:rFonts w:hint="eastAsia" w:ascii="宋体" w:hAnsi="宋体" w:cs="宋体"/>
                <w:color w:val="auto"/>
                <w:highlight w:val="none"/>
                <w:lang w:val="en-US" w:eastAsia="zh-CN"/>
              </w:rPr>
              <w:t>；</w:t>
            </w:r>
            <w:r>
              <w:rPr>
                <w:rFonts w:hint="eastAsia" w:ascii="宋体" w:hAnsi="宋体" w:eastAsia="宋体" w:cs="宋体"/>
                <w:color w:val="auto"/>
                <w:highlight w:val="none"/>
                <w:lang w:eastAsia="en-US"/>
              </w:rPr>
              <w:t>按国家及行业标准对故障进行及时处理，保证不影响采购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正常使用</w:t>
            </w:r>
            <w:r>
              <w:rPr>
                <w:rFonts w:hint="eastAsia" w:ascii="宋体" w:hAnsi="宋体" w:cs="宋体"/>
                <w:color w:val="auto"/>
                <w:highlight w:val="none"/>
                <w:lang w:val="en-US" w:eastAsia="zh-CN"/>
              </w:rPr>
              <w:t>；</w:t>
            </w:r>
            <w:r>
              <w:rPr>
                <w:rFonts w:hint="eastAsia" w:ascii="宋体" w:hAnsi="宋体" w:eastAsia="宋体" w:cs="宋体"/>
                <w:color w:val="auto"/>
                <w:highlight w:val="none"/>
                <w:lang w:eastAsia="en-US"/>
              </w:rPr>
              <w:t>每次维修应提供维修报告交给采购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备案。规定时限内供应商未能按时响应，采购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有权聘请第三方进行维修处理，由此产生的相关费用由供应商承担。</w:t>
            </w:r>
          </w:p>
          <w:p w14:paraId="3577F658">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3.保修期内开机率：≥98%(按365日计算)。如果保修期内停机时间超过2%（停机故障日/365日×100%≥2%），则超出天数按1：2加倍延长保修期限；超出10%（停机故障日/365日×100%≥10%）</w:t>
            </w:r>
            <w:r>
              <w:rPr>
                <w:rFonts w:hint="eastAsia" w:ascii="宋体" w:hAnsi="宋体" w:cs="宋体"/>
                <w:color w:val="auto"/>
                <w:highlight w:val="none"/>
                <w:lang w:val="en-US" w:eastAsia="zh-CN"/>
              </w:rPr>
              <w:t>供应商</w:t>
            </w:r>
            <w:r>
              <w:rPr>
                <w:rFonts w:hint="eastAsia" w:ascii="宋体" w:hAnsi="宋体" w:eastAsia="宋体" w:cs="宋体"/>
                <w:color w:val="auto"/>
                <w:highlight w:val="none"/>
                <w:lang w:eastAsia="en-US"/>
              </w:rPr>
              <w:t>应无条件为</w:t>
            </w:r>
            <w:r>
              <w:rPr>
                <w:rFonts w:hint="eastAsia" w:ascii="宋体" w:hAnsi="宋体" w:cs="宋体"/>
                <w:color w:val="auto"/>
                <w:highlight w:val="none"/>
                <w:lang w:val="en-US" w:eastAsia="zh-CN"/>
              </w:rPr>
              <w:t>采购人</w:t>
            </w:r>
            <w:r>
              <w:rPr>
                <w:rFonts w:hint="eastAsia" w:ascii="宋体" w:hAnsi="宋体" w:eastAsia="宋体" w:cs="宋体"/>
                <w:color w:val="auto"/>
                <w:highlight w:val="none"/>
                <w:lang w:eastAsia="en-US"/>
              </w:rPr>
              <w:t>更换相同品牌型号的新设备，并承担因换货产生的相关费用和所造成</w:t>
            </w:r>
            <w:r>
              <w:rPr>
                <w:rFonts w:hint="eastAsia" w:ascii="宋体" w:hAnsi="宋体" w:cs="宋体"/>
                <w:color w:val="auto"/>
                <w:highlight w:val="none"/>
                <w:lang w:val="en-US" w:eastAsia="zh-CN"/>
              </w:rPr>
              <w:t>采购人</w:t>
            </w:r>
            <w:r>
              <w:rPr>
                <w:rFonts w:hint="eastAsia" w:ascii="宋体" w:hAnsi="宋体" w:eastAsia="宋体" w:cs="宋体"/>
                <w:color w:val="auto"/>
                <w:highlight w:val="none"/>
                <w:lang w:eastAsia="en-US"/>
              </w:rPr>
              <w:t>的直接经济损失及可预期收益。（不足12小时算半日，超过12小时不足24小时算一日，以此类推）</w:t>
            </w:r>
          </w:p>
          <w:p w14:paraId="30919BC3">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5.设备保修期内，成交供应商负责对设备进行定期维护保养，每年至少二次，包括设备的安全检查、质量检查，运行状态检查，提供设备维护保养情况书面报告。并承担所发生的一切费用（包括更换零部件费、人工费和差旅费等）。</w:t>
            </w:r>
          </w:p>
        </w:tc>
      </w:tr>
      <w:tr w14:paraId="7282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7" w:hRule="atLeast"/>
          <w:jc w:val="center"/>
        </w:trPr>
        <w:tc>
          <w:tcPr>
            <w:tcW w:w="2023" w:type="dxa"/>
            <w:gridSpan w:val="2"/>
            <w:shd w:val="clear" w:color="auto" w:fill="auto"/>
            <w:noWrap w:val="0"/>
            <w:vAlign w:val="center"/>
          </w:tcPr>
          <w:p w14:paraId="16F0061D">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（四）其他要求</w:t>
            </w:r>
          </w:p>
        </w:tc>
        <w:tc>
          <w:tcPr>
            <w:tcW w:w="7915" w:type="dxa"/>
            <w:gridSpan w:val="3"/>
            <w:shd w:val="clear" w:color="auto" w:fill="auto"/>
            <w:noWrap w:val="0"/>
            <w:vAlign w:val="center"/>
          </w:tcPr>
          <w:p w14:paraId="18CCA9B4">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1.供应商负责设备的包装、运输、卸货、就位、安装、调试、保险及通过相关部门的检测验收，并承担相关的一切费用。</w:t>
            </w:r>
          </w:p>
          <w:p w14:paraId="22ED7E62">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 xml:space="preserve">2.如仪器具有配套的耗材，提供配套耗材的名称、规格、单位、单价、总价。 </w:t>
            </w:r>
          </w:p>
          <w:p w14:paraId="5D238026">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3.供应商所投设备须预留接入采购人信息网络（含信息网、无线网、设备网、物联网等）的通信接口，接口相关配套服务不得另行收取任何费用。若采购人后续需要将设备接入其他医疗信息网络系统，供应商须无</w:t>
            </w:r>
            <w:r>
              <w:rPr>
                <w:rFonts w:hint="eastAsia" w:ascii="宋体" w:hAnsi="宋体" w:cs="宋体"/>
                <w:color w:val="auto"/>
                <w:highlight w:val="none"/>
                <w:lang w:val="en-US" w:eastAsia="zh-CN"/>
              </w:rPr>
              <w:t>条件</w:t>
            </w:r>
            <w:r>
              <w:rPr>
                <w:rFonts w:hint="eastAsia" w:ascii="宋体" w:hAnsi="宋体" w:eastAsia="宋体" w:cs="宋体"/>
                <w:color w:val="auto"/>
                <w:highlight w:val="none"/>
                <w:lang w:eastAsia="en-US"/>
              </w:rPr>
              <w:t>积极配合完成对接调试工作。</w:t>
            </w:r>
          </w:p>
          <w:p w14:paraId="15870C6A">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4.</w:t>
            </w:r>
            <w:r>
              <w:rPr>
                <w:rFonts w:hint="eastAsia" w:ascii="宋体" w:hAnsi="宋体" w:cs="宋体"/>
                <w:color w:val="auto"/>
                <w:highlight w:val="none"/>
                <w:lang w:val="en-US" w:eastAsia="zh-CN"/>
              </w:rPr>
              <w:t>供应商</w:t>
            </w:r>
            <w:r>
              <w:rPr>
                <w:rFonts w:hint="eastAsia" w:ascii="宋体" w:hAnsi="宋体" w:eastAsia="宋体" w:cs="宋体"/>
                <w:color w:val="auto"/>
                <w:highlight w:val="none"/>
                <w:lang w:eastAsia="en-US"/>
              </w:rPr>
              <w:t>供货产品为生产厂家6个月内生产的设备（自设备出厂日期起至交货日期止不超6个月）。</w:t>
            </w:r>
          </w:p>
        </w:tc>
      </w:tr>
      <w:tr w14:paraId="26AD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3" w:type="dxa"/>
            <w:gridSpan w:val="2"/>
            <w:shd w:val="clear" w:color="auto" w:fill="auto"/>
            <w:noWrap w:val="0"/>
            <w:vAlign w:val="center"/>
          </w:tcPr>
          <w:p w14:paraId="1BF38F09">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（五）合同签订时间</w:t>
            </w:r>
          </w:p>
        </w:tc>
        <w:tc>
          <w:tcPr>
            <w:tcW w:w="7915" w:type="dxa"/>
            <w:gridSpan w:val="3"/>
            <w:shd w:val="clear" w:color="auto" w:fill="auto"/>
            <w:noWrap w:val="0"/>
            <w:vAlign w:val="center"/>
          </w:tcPr>
          <w:p w14:paraId="0881310D">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自成交通知书发出之日起 25 日内。</w:t>
            </w:r>
          </w:p>
        </w:tc>
      </w:tr>
      <w:tr w14:paraId="7EA9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3" w:type="dxa"/>
            <w:gridSpan w:val="2"/>
            <w:shd w:val="clear" w:color="auto" w:fill="auto"/>
            <w:noWrap w:val="0"/>
            <w:vAlign w:val="center"/>
          </w:tcPr>
          <w:p w14:paraId="2A869FCA">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（六）交付和安装</w:t>
            </w:r>
          </w:p>
          <w:p w14:paraId="79EBDA40">
            <w:pPr>
              <w:widowControl/>
              <w:spacing w:line="360" w:lineRule="auto"/>
              <w:jc w:val="center"/>
              <w:textAlignment w:val="center"/>
              <w:rPr>
                <w:rFonts w:hint="eastAsia" w:ascii="宋体" w:hAnsi="宋体" w:eastAsia="宋体" w:cs="宋体"/>
                <w:color w:val="auto"/>
                <w:highlight w:val="none"/>
                <w:lang w:eastAsia="en-US"/>
              </w:rPr>
            </w:pPr>
          </w:p>
        </w:tc>
        <w:tc>
          <w:tcPr>
            <w:tcW w:w="7915" w:type="dxa"/>
            <w:gridSpan w:val="3"/>
            <w:shd w:val="clear" w:color="auto" w:fill="auto"/>
            <w:noWrap w:val="0"/>
            <w:vAlign w:val="center"/>
          </w:tcPr>
          <w:p w14:paraId="5ADC2B4D">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1.设备供货时间要求：</w:t>
            </w:r>
            <w:r>
              <w:rPr>
                <w:rFonts w:hint="eastAsia" w:hAnsi="宋体"/>
                <w:color w:val="auto"/>
                <w:highlight w:val="none"/>
              </w:rPr>
              <w:t>签订合同之日起</w:t>
            </w:r>
            <w:r>
              <w:rPr>
                <w:rFonts w:hint="eastAsia" w:hAnsi="宋体"/>
                <w:color w:val="auto"/>
                <w:highlight w:val="none"/>
                <w:u w:val="single"/>
                <w:lang w:val="en-US" w:eastAsia="zh-CN"/>
              </w:rPr>
              <w:t xml:space="preserve"> </w:t>
            </w:r>
            <w:r>
              <w:rPr>
                <w:rFonts w:hint="eastAsia" w:ascii="宋体" w:hAnsi="宋体" w:cs="宋体"/>
                <w:color w:val="auto"/>
                <w:highlight w:val="none"/>
                <w:u w:val="single"/>
              </w:rPr>
              <w:t>30</w:t>
            </w:r>
            <w:r>
              <w:rPr>
                <w:rFonts w:hint="eastAsia" w:ascii="宋体" w:hAnsi="宋体" w:cs="宋体"/>
                <w:color w:val="auto"/>
                <w:highlight w:val="none"/>
                <w:u w:val="single"/>
                <w:lang w:val="en-US" w:eastAsia="zh-CN"/>
              </w:rPr>
              <w:t xml:space="preserve"> </w:t>
            </w:r>
            <w:r>
              <w:rPr>
                <w:rFonts w:hint="eastAsia" w:hAnsi="宋体"/>
                <w:color w:val="auto"/>
                <w:highlight w:val="none"/>
              </w:rPr>
              <w:t>日内交货、安装调试完毕并验收合格交付使用。</w:t>
            </w:r>
          </w:p>
          <w:p w14:paraId="20A70ED0">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2.交付地点：广西柳州市内采购人院内指定地点。</w:t>
            </w:r>
          </w:p>
          <w:p w14:paraId="38226E4A">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3.成交供应商提供不符合响应文件和签订的合同规定的货物，采购人有权拒绝接收。</w:t>
            </w:r>
          </w:p>
          <w:p w14:paraId="1ABF0975">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4.成交供应商应将所提供货物的装箱清单、用户手册、原厂保修卡、随附资料、工具和备品、备件等一并交付给采购人，如有缺失应及时补齐，否则视为逾期交货。</w:t>
            </w:r>
          </w:p>
          <w:p w14:paraId="71122747">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5.成交供应商交货前应对产品作出全面检查和对验收文件进行整理，并列出清单，作为采购人收货验收和使用的技术条件依据，检验的结果应随货物交采购人。</w:t>
            </w:r>
          </w:p>
          <w:p w14:paraId="3E733807">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6.成交供应商负责货物的卸货、搬运及安装，按照采购人要求将货物搬运至指定地点并由安装技术人员负责安装、组合成套。</w:t>
            </w:r>
          </w:p>
          <w:p w14:paraId="43499F0A">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7.设备安装完毕，由成交供应商工程师对采购人操作人员和维修人员现场进行设备的应用、保养和维护培训，培训主要内容包括设备的基本结构、性能、主要部件的构造，日常使用保养与管理，常见故障的维修，使相关人员掌握常规操作规程和各种功能的使用，并能处理简单故障，由此产生的一切支出，由成交供应商负担。</w:t>
            </w:r>
          </w:p>
        </w:tc>
      </w:tr>
      <w:tr w14:paraId="3553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3" w:type="dxa"/>
            <w:gridSpan w:val="2"/>
            <w:shd w:val="clear" w:color="auto" w:fill="auto"/>
            <w:noWrap w:val="0"/>
            <w:vAlign w:val="center"/>
          </w:tcPr>
          <w:p w14:paraId="07C7FACD">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（七）付款方式</w:t>
            </w:r>
          </w:p>
          <w:p w14:paraId="39EE19C4">
            <w:pPr>
              <w:widowControl/>
              <w:spacing w:line="360" w:lineRule="auto"/>
              <w:jc w:val="center"/>
              <w:textAlignment w:val="center"/>
              <w:rPr>
                <w:rFonts w:hint="eastAsia" w:ascii="宋体" w:hAnsi="宋体" w:eastAsia="宋体" w:cs="宋体"/>
                <w:color w:val="auto"/>
                <w:highlight w:val="none"/>
                <w:lang w:eastAsia="en-US"/>
              </w:rPr>
            </w:pPr>
          </w:p>
        </w:tc>
        <w:tc>
          <w:tcPr>
            <w:tcW w:w="7915" w:type="dxa"/>
            <w:gridSpan w:val="3"/>
            <w:shd w:val="clear" w:color="auto" w:fill="auto"/>
            <w:noWrap w:val="0"/>
            <w:vAlign w:val="center"/>
          </w:tcPr>
          <w:p w14:paraId="62987323">
            <w:pPr>
              <w:widowControl/>
              <w:spacing w:line="360" w:lineRule="auto"/>
              <w:ind w:firstLine="420" w:firstLineChars="200"/>
              <w:jc w:val="left"/>
              <w:textAlignment w:val="center"/>
              <w:rPr>
                <w:rFonts w:hint="eastAsia" w:ascii="宋体" w:hAnsi="宋体" w:cs="宋体"/>
                <w:b w:val="0"/>
                <w:bCs w:val="0"/>
                <w:i w:val="0"/>
                <w:iCs w:val="0"/>
                <w:strike w:val="0"/>
                <w:dstrike w:val="0"/>
                <w:color w:val="auto"/>
                <w:kern w:val="0"/>
                <w:sz w:val="21"/>
                <w:szCs w:val="21"/>
                <w:highlight w:val="none"/>
                <w:lang w:val="en-US" w:eastAsia="en-US" w:bidi="ar"/>
              </w:rPr>
            </w:pPr>
            <w:r>
              <w:rPr>
                <w:rFonts w:hint="eastAsia" w:ascii="宋体" w:hAnsi="宋体" w:eastAsia="宋体" w:cs="宋体"/>
                <w:color w:val="auto"/>
                <w:highlight w:val="none"/>
                <w:lang w:eastAsia="en-US"/>
              </w:rPr>
              <w:t>1.由采购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eastAsia="en-US"/>
              </w:rPr>
              <w:t>通过银行转账方式向成交供应商结算货款的，设备验收合格使用第3个月后首年付</w:t>
            </w:r>
            <w:r>
              <w:rPr>
                <w:rFonts w:hint="eastAsia" w:ascii="宋体" w:hAnsi="宋体" w:cs="宋体"/>
                <w:color w:val="auto"/>
                <w:highlight w:val="none"/>
                <w:lang w:val="en-US" w:eastAsia="zh-CN"/>
              </w:rPr>
              <w:t>5</w:t>
            </w:r>
            <w:r>
              <w:rPr>
                <w:rFonts w:hint="eastAsia" w:ascii="宋体" w:hAnsi="宋体" w:eastAsia="宋体" w:cs="宋体"/>
                <w:color w:val="auto"/>
                <w:highlight w:val="none"/>
                <w:lang w:eastAsia="en-US"/>
              </w:rPr>
              <w:t>0%、</w:t>
            </w:r>
            <w:r>
              <w:rPr>
                <w:rFonts w:hint="eastAsia" w:ascii="宋体" w:hAnsi="宋体" w:cs="宋体"/>
                <w:color w:val="auto"/>
                <w:highlight w:val="none"/>
                <w:lang w:val="en-US" w:eastAsia="zh-CN"/>
              </w:rPr>
              <w:t>验收合格使用满一年</w:t>
            </w:r>
            <w:r>
              <w:rPr>
                <w:rFonts w:hint="eastAsia" w:ascii="宋体" w:hAnsi="宋体" w:cs="宋体"/>
                <w:b w:val="0"/>
                <w:bCs w:val="0"/>
                <w:i w:val="0"/>
                <w:iCs w:val="0"/>
                <w:strike w:val="0"/>
                <w:dstrike w:val="0"/>
                <w:color w:val="auto"/>
                <w:kern w:val="0"/>
                <w:sz w:val="21"/>
                <w:szCs w:val="21"/>
                <w:highlight w:val="none"/>
                <w:lang w:val="en-US" w:eastAsia="zh-CN" w:bidi="ar"/>
              </w:rPr>
              <w:t>并以乙方的投标服务承诺进行考核通过后</w:t>
            </w:r>
            <w:r>
              <w:rPr>
                <w:rFonts w:hint="eastAsia" w:ascii="宋体" w:hAnsi="宋体" w:cs="宋体"/>
                <w:b w:val="0"/>
                <w:bCs w:val="0"/>
                <w:i w:val="0"/>
                <w:iCs w:val="0"/>
                <w:strike w:val="0"/>
                <w:dstrike w:val="0"/>
                <w:color w:val="auto"/>
                <w:kern w:val="0"/>
                <w:sz w:val="21"/>
                <w:szCs w:val="21"/>
                <w:highlight w:val="none"/>
                <w:lang w:val="en-US" w:eastAsia="en-US" w:bidi="ar"/>
              </w:rPr>
              <w:t>付</w:t>
            </w:r>
            <w:r>
              <w:rPr>
                <w:rFonts w:hint="eastAsia" w:ascii="宋体" w:hAnsi="宋体" w:cs="宋体"/>
                <w:b w:val="0"/>
                <w:bCs w:val="0"/>
                <w:i w:val="0"/>
                <w:iCs w:val="0"/>
                <w:strike w:val="0"/>
                <w:dstrike w:val="0"/>
                <w:color w:val="auto"/>
                <w:kern w:val="0"/>
                <w:sz w:val="21"/>
                <w:szCs w:val="21"/>
                <w:highlight w:val="none"/>
                <w:lang w:val="en-US" w:eastAsia="zh-CN" w:bidi="ar"/>
              </w:rPr>
              <w:t>剩余5</w:t>
            </w:r>
            <w:r>
              <w:rPr>
                <w:rFonts w:hint="eastAsia" w:ascii="宋体" w:hAnsi="宋体" w:cs="宋体"/>
                <w:b w:val="0"/>
                <w:bCs w:val="0"/>
                <w:i w:val="0"/>
                <w:iCs w:val="0"/>
                <w:strike w:val="0"/>
                <w:dstrike w:val="0"/>
                <w:color w:val="auto"/>
                <w:kern w:val="0"/>
                <w:sz w:val="21"/>
                <w:szCs w:val="21"/>
                <w:highlight w:val="none"/>
                <w:lang w:val="en-US" w:eastAsia="en-US" w:bidi="ar"/>
              </w:rPr>
              <w:t>0%。</w:t>
            </w:r>
          </w:p>
          <w:p w14:paraId="03930ED4">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2.付款前成交供应商</w:t>
            </w:r>
            <w:r>
              <w:rPr>
                <w:rFonts w:hint="eastAsia" w:ascii="宋体" w:hAnsi="宋体" w:eastAsia="宋体" w:cs="宋体"/>
                <w:color w:val="auto"/>
                <w:highlight w:val="none"/>
                <w:lang w:eastAsia="zh-CN"/>
              </w:rPr>
              <w:t>提供</w:t>
            </w:r>
            <w:r>
              <w:rPr>
                <w:rFonts w:hint="eastAsia" w:ascii="宋体" w:hAnsi="宋体" w:eastAsia="宋体" w:cs="宋体"/>
                <w:color w:val="auto"/>
                <w:highlight w:val="none"/>
                <w:lang w:eastAsia="en-US"/>
              </w:rPr>
              <w:t>合法有效的全额正式发票</w:t>
            </w:r>
            <w:r>
              <w:rPr>
                <w:rFonts w:hint="eastAsia" w:ascii="宋体" w:hAnsi="宋体" w:eastAsia="宋体" w:cs="宋体"/>
                <w:color w:val="auto"/>
                <w:highlight w:val="none"/>
                <w:lang w:eastAsia="zh-CN"/>
              </w:rPr>
              <w:t>。</w:t>
            </w:r>
          </w:p>
        </w:tc>
      </w:tr>
      <w:tr w14:paraId="0A8A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3" w:type="dxa"/>
            <w:gridSpan w:val="2"/>
            <w:shd w:val="clear" w:color="auto" w:fill="auto"/>
            <w:noWrap w:val="0"/>
            <w:vAlign w:val="center"/>
          </w:tcPr>
          <w:p w14:paraId="5363B9F0">
            <w:pPr>
              <w:widowControl/>
              <w:spacing w:line="360" w:lineRule="auto"/>
              <w:jc w:val="center"/>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（八）验收标准</w:t>
            </w:r>
          </w:p>
        </w:tc>
        <w:tc>
          <w:tcPr>
            <w:tcW w:w="7915" w:type="dxa"/>
            <w:gridSpan w:val="3"/>
            <w:shd w:val="clear" w:color="auto" w:fill="auto"/>
            <w:noWrap w:val="0"/>
            <w:vAlign w:val="center"/>
          </w:tcPr>
          <w:p w14:paraId="09801EB7">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交付验收标准依次序对照适用标准为：①符合中华人民共和国国家安全质量标准、环保标准或行业标准；②符合招标文件和投标文件承诺中采购人认可的合理最佳配置、参数及各项要求；③货物符合国家合格标准。</w:t>
            </w:r>
          </w:p>
          <w:p w14:paraId="6705298C">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2.成交供应商须确保货物为原制造商制造的全新产品，无污染，无侵权行为、表面无划损、无任何缺陷隐患，在中国境内可依常规安全合法使用。</w:t>
            </w:r>
          </w:p>
          <w:p w14:paraId="113A4BFC">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3.供货时成交供应商应将关键货物的用户手册、保修手册、有关单证资料及配备件等交付给采购人，使用操作及安全须知等重要资料应附有中文说明。</w:t>
            </w:r>
          </w:p>
          <w:p w14:paraId="7A33BF7A">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4.采购人按国家有关规定、规范进行验收，必要时邀请相关的专业人员或机构参与验收。因货物质量问题发生争议时，由本地质量技术监督部门鉴定，鉴定费由成交供应商承担。</w:t>
            </w:r>
          </w:p>
          <w:p w14:paraId="79923A94">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5.成交供应商必须依照招标文件的要求和投标文件的承诺，将设备、系统安装并调试至正常运行的最佳状态。</w:t>
            </w:r>
          </w:p>
          <w:p w14:paraId="32C1E5B4">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6.采购人对成交供应商提交的货物依据招标（或投标）文件及签订的合同上的技术规格要求和国家有关质量标准进行现场初步验收，外观、说明书符合招标文件技术要求的，给予签收，初步验收不合格的不予签收。</w:t>
            </w:r>
          </w:p>
          <w:p w14:paraId="64F429AF">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7.采购人对成交供应商提供的货物验收前，成交供应商需负责安装完毕、培训采购人的使用操作人员并协助采购人一起调试，直到符合招投标文件及签订的合同规定的技术要求，采购人才做最终验收。在验收过程中发现成交供应商有违约问题，可暂缓资金结算，待违约问题解决后，方可办理资金结算事宜。</w:t>
            </w:r>
          </w:p>
          <w:p w14:paraId="4778D6E1">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8.对技术复杂的货物，采购人可聘请国家认可的第三方检测机构参与初步验收及最终验收并由其出具质量检测报告，检测费用由成交供应商承担。</w:t>
            </w:r>
          </w:p>
          <w:p w14:paraId="390F1938">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9.验收时成交供应商代表必须在现场，验收完毕后作出验收结果报告；验收费用由成交供应商承担。</w:t>
            </w:r>
          </w:p>
          <w:p w14:paraId="650458BC">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10.成交供应商对验收结果有异议的，须在验收后五个工作日内以书面形式向采购人提出，采购人自收到成交供应商书面异议后 5 个工作日内及时予以复核并书面回复最终验收结果。</w:t>
            </w:r>
          </w:p>
          <w:p w14:paraId="04E6D783">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11.如成交供应商有下列情况之一的，采购人有权拒绝验收和支付款项，并依照处罚条款作出相应处罚：</w:t>
            </w:r>
          </w:p>
          <w:p w14:paraId="2A0480A0">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（1）提供的货物规格、技术标准、材料未达到其投标文件所承诺的，导致无法通过验收交付使用的；</w:t>
            </w:r>
          </w:p>
          <w:p w14:paraId="488DF4E6">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（2）提供的货物经查证无法得到生产厂家正规售后服务的；</w:t>
            </w:r>
          </w:p>
          <w:p w14:paraId="73022B85">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（3）提供的货物未经正规合法经销渠道的；</w:t>
            </w:r>
          </w:p>
          <w:p w14:paraId="5C3A5115">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（4）提供的货物侵犯了第三方合法权益而引发了纠纷或诉讼，导致无法按期交付使用的；</w:t>
            </w:r>
          </w:p>
          <w:p w14:paraId="34FFEBE1">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（5）所交的货物品种、型号、规格、质量等不符合投标文件提供的技术数据经实际测试发现不真实的。</w:t>
            </w:r>
          </w:p>
          <w:p w14:paraId="53B9AD68">
            <w:pPr>
              <w:widowControl/>
              <w:spacing w:line="360" w:lineRule="auto"/>
              <w:ind w:firstLine="420" w:firstLineChars="200"/>
              <w:jc w:val="left"/>
              <w:textAlignment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val="en-US" w:eastAsia="en-US"/>
              </w:rPr>
              <w:t>发现所提供的产品有弄虚作假的行为的</w:t>
            </w:r>
            <w:r>
              <w:rPr>
                <w:rFonts w:hint="eastAsia" w:ascii="宋体" w:hAnsi="宋体" w:cs="宋体"/>
                <w:color w:val="auto"/>
                <w:highlight w:val="none"/>
                <w:lang w:val="en-US" w:eastAsia="zh-CN"/>
              </w:rPr>
              <w:t>。</w:t>
            </w:r>
          </w:p>
        </w:tc>
      </w:tr>
    </w:tbl>
    <w:p w14:paraId="40B27DB7">
      <w:pPr>
        <w:pStyle w:val="2"/>
        <w:spacing w:line="360" w:lineRule="auto"/>
        <w:rPr>
          <w:rFonts w:hint="eastAsia" w:ascii="宋体" w:hAnsi="宋体"/>
          <w:color w:val="auto"/>
          <w:szCs w:val="36"/>
        </w:rPr>
      </w:pPr>
      <w:r>
        <w:rPr>
          <w:rFonts w:hint="eastAsia"/>
          <w:color w:val="auto"/>
        </w:rPr>
        <w:br w:type="page"/>
      </w:r>
      <w:r>
        <w:rPr>
          <w:rFonts w:hint="eastAsia"/>
          <w:color w:val="auto"/>
        </w:rPr>
        <w:t>第三章  供应商须知</w:t>
      </w:r>
      <w:bookmarkEnd w:id="47"/>
    </w:p>
    <w:p w14:paraId="57A136CA">
      <w:pPr>
        <w:spacing w:line="360" w:lineRule="auto"/>
        <w:jc w:val="center"/>
        <w:rPr>
          <w:rFonts w:ascii="宋体" w:hAnsi="宋体"/>
          <w:color w:val="auto"/>
          <w:sz w:val="36"/>
          <w:szCs w:val="36"/>
        </w:rPr>
      </w:pPr>
      <w:bookmarkStart w:id="48" w:name="_Toc254970667"/>
      <w:bookmarkStart w:id="49" w:name="_Toc254970526"/>
      <w:r>
        <w:rPr>
          <w:rFonts w:hint="eastAsia" w:ascii="宋体" w:hAnsi="宋体"/>
          <w:color w:val="auto"/>
          <w:sz w:val="36"/>
          <w:szCs w:val="36"/>
        </w:rPr>
        <w:t>供应商须知前附表</w:t>
      </w:r>
      <w:bookmarkEnd w:id="48"/>
      <w:bookmarkEnd w:id="49"/>
    </w:p>
    <w:tbl>
      <w:tblPr>
        <w:tblStyle w:val="47"/>
        <w:tblW w:w="960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708"/>
      </w:tblGrid>
      <w:tr w14:paraId="16DCA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70A62C09">
            <w:pPr>
              <w:spacing w:line="360" w:lineRule="auto"/>
              <w:jc w:val="center"/>
              <w:rPr>
                <w:rFonts w:hint="eastAsia" w:ascii="宋体" w:hAnsi="宋体" w:cs="宋体"/>
                <w:b/>
                <w:bCs/>
                <w:color w:val="auto"/>
              </w:rPr>
            </w:pPr>
            <w:r>
              <w:rPr>
                <w:rFonts w:hint="eastAsia" w:ascii="宋体" w:hAnsi="宋体" w:cs="宋体"/>
                <w:b/>
                <w:bCs/>
                <w:color w:val="auto"/>
              </w:rPr>
              <w:t>条款号</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4392A122">
            <w:pPr>
              <w:spacing w:line="360" w:lineRule="auto"/>
              <w:jc w:val="center"/>
              <w:rPr>
                <w:rFonts w:hint="eastAsia"/>
                <w:b/>
                <w:bCs/>
                <w:color w:val="auto"/>
              </w:rPr>
            </w:pPr>
            <w:r>
              <w:rPr>
                <w:rFonts w:hint="eastAsia"/>
                <w:b/>
                <w:bCs/>
                <w:color w:val="auto"/>
              </w:rPr>
              <w:t>编列内容</w:t>
            </w:r>
          </w:p>
        </w:tc>
      </w:tr>
      <w:tr w14:paraId="488554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0EDE7836">
            <w:pPr>
              <w:spacing w:line="360" w:lineRule="auto"/>
              <w:jc w:val="center"/>
              <w:rPr>
                <w:rFonts w:hint="eastAsia" w:ascii="宋体" w:hAnsi="宋体" w:cs="宋体"/>
                <w:color w:val="auto"/>
              </w:rPr>
            </w:pPr>
            <w:r>
              <w:rPr>
                <w:rFonts w:hint="eastAsia" w:ascii="宋体" w:hAnsi="宋体" w:cs="宋体"/>
                <w:color w:val="auto"/>
              </w:rPr>
              <w:t>3</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528F709F">
            <w:pPr>
              <w:spacing w:line="360" w:lineRule="auto"/>
              <w:rPr>
                <w:rFonts w:hint="eastAsia"/>
                <w:color w:val="auto"/>
              </w:rPr>
            </w:pPr>
            <w:r>
              <w:rPr>
                <w:rFonts w:hint="eastAsia"/>
                <w:color w:val="auto"/>
              </w:rPr>
              <w:t>供应商的资格要求：详见招标公告。</w:t>
            </w:r>
          </w:p>
        </w:tc>
      </w:tr>
      <w:tr w14:paraId="32BD8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52282823">
            <w:pPr>
              <w:spacing w:line="360" w:lineRule="auto"/>
              <w:jc w:val="center"/>
              <w:rPr>
                <w:rFonts w:hint="eastAsia" w:ascii="宋体" w:hAnsi="宋体" w:cs="宋体"/>
                <w:color w:val="auto"/>
              </w:rPr>
            </w:pPr>
            <w:bookmarkStart w:id="50" w:name="_5"/>
            <w:bookmarkEnd w:id="50"/>
            <w:bookmarkStart w:id="51" w:name="_9.2"/>
            <w:bookmarkEnd w:id="51"/>
            <w:bookmarkStart w:id="52" w:name="_8.1"/>
            <w:bookmarkEnd w:id="52"/>
            <w:r>
              <w:rPr>
                <w:rFonts w:hint="eastAsia" w:ascii="宋体" w:hAnsi="宋体" w:cs="宋体"/>
                <w:color w:val="auto"/>
              </w:rPr>
              <w:t>6.1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0835D14D">
            <w:pPr>
              <w:spacing w:line="360" w:lineRule="auto"/>
              <w:rPr>
                <w:rFonts w:hint="eastAsia"/>
                <w:color w:val="auto"/>
              </w:rPr>
            </w:pPr>
            <w:r>
              <w:rPr>
                <w:rFonts w:hint="eastAsia"/>
                <w:color w:val="auto"/>
              </w:rPr>
              <w:t>本项目是否接受联合体投标：不接受。</w:t>
            </w:r>
          </w:p>
        </w:tc>
      </w:tr>
      <w:tr w14:paraId="66807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46F0AE22">
            <w:pPr>
              <w:spacing w:line="360" w:lineRule="auto"/>
              <w:jc w:val="center"/>
              <w:rPr>
                <w:rFonts w:hint="eastAsia" w:ascii="宋体" w:hAnsi="宋体" w:cs="宋体"/>
                <w:color w:val="auto"/>
              </w:rPr>
            </w:pPr>
            <w:r>
              <w:rPr>
                <w:rFonts w:hint="eastAsia" w:ascii="宋体" w:hAnsi="宋体" w:cs="宋体"/>
                <w:color w:val="auto"/>
              </w:rPr>
              <w:t>7.2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1F6804F6">
            <w:pPr>
              <w:spacing w:line="360" w:lineRule="auto"/>
              <w:rPr>
                <w:rFonts w:hint="eastAsia"/>
                <w:color w:val="auto"/>
              </w:rPr>
            </w:pPr>
            <w:r>
              <w:rPr>
                <w:rFonts w:hint="eastAsia"/>
                <w:color w:val="auto"/>
              </w:rPr>
              <w:t>本项目不允许转包。</w:t>
            </w:r>
          </w:p>
          <w:p w14:paraId="162F5D88">
            <w:pPr>
              <w:spacing w:line="360" w:lineRule="auto"/>
              <w:rPr>
                <w:rFonts w:hint="eastAsia"/>
                <w:color w:val="auto"/>
              </w:rPr>
            </w:pPr>
            <w:r>
              <w:rPr>
                <w:rFonts w:hint="eastAsia"/>
                <w:color w:val="auto"/>
              </w:rPr>
              <w:t>本项目不允许分包。</w:t>
            </w:r>
          </w:p>
        </w:tc>
      </w:tr>
      <w:tr w14:paraId="24595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right w:val="single" w:color="auto" w:sz="4" w:space="0"/>
            </w:tcBorders>
            <w:noWrap w:val="0"/>
            <w:vAlign w:val="center"/>
          </w:tcPr>
          <w:p w14:paraId="6EE17D0E">
            <w:pPr>
              <w:spacing w:line="360" w:lineRule="auto"/>
              <w:jc w:val="center"/>
              <w:rPr>
                <w:rFonts w:hint="eastAsia" w:ascii="宋体" w:hAnsi="宋体" w:cs="宋体"/>
                <w:color w:val="auto"/>
              </w:rPr>
            </w:pPr>
            <w:r>
              <w:rPr>
                <w:rFonts w:hint="eastAsia" w:ascii="宋体" w:hAnsi="宋体" w:cs="宋体"/>
                <w:color w:val="auto"/>
              </w:rPr>
              <w:t>11.5</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407E3597">
            <w:pPr>
              <w:spacing w:line="360" w:lineRule="auto"/>
              <w:rPr>
                <w:rFonts w:hint="eastAsia"/>
                <w:color w:val="auto"/>
              </w:rPr>
            </w:pPr>
            <w:r>
              <w:rPr>
                <w:rFonts w:hint="eastAsia"/>
                <w:color w:val="auto"/>
              </w:rPr>
              <w:t>本项目不组织召开开标前答疑会。</w:t>
            </w:r>
          </w:p>
        </w:tc>
      </w:tr>
      <w:tr w14:paraId="782AB7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vMerge w:val="restart"/>
            <w:tcBorders>
              <w:top w:val="single" w:color="auto" w:sz="4" w:space="0"/>
              <w:left w:val="single" w:color="auto" w:sz="4" w:space="0"/>
              <w:right w:val="single" w:color="auto" w:sz="4" w:space="0"/>
            </w:tcBorders>
            <w:noWrap w:val="0"/>
            <w:vAlign w:val="center"/>
          </w:tcPr>
          <w:p w14:paraId="77D34801">
            <w:pPr>
              <w:spacing w:line="360" w:lineRule="auto"/>
              <w:jc w:val="center"/>
              <w:rPr>
                <w:rFonts w:hint="eastAsia" w:ascii="宋体" w:hAnsi="宋体" w:cs="宋体"/>
                <w:color w:val="auto"/>
              </w:rPr>
            </w:pPr>
            <w:bookmarkStart w:id="53" w:name="_13.1"/>
            <w:bookmarkEnd w:id="53"/>
            <w:r>
              <w:rPr>
                <w:rFonts w:hint="eastAsia" w:ascii="宋体" w:hAnsi="宋体" w:cs="宋体"/>
                <w:color w:val="auto"/>
              </w:rPr>
              <w:t>13.</w:t>
            </w:r>
            <w:bookmarkStart w:id="54" w:name="_Hlt19632543"/>
            <w:r>
              <w:rPr>
                <w:rFonts w:hint="eastAsia" w:ascii="宋体" w:hAnsi="宋体" w:cs="宋体"/>
                <w:color w:val="auto"/>
              </w:rPr>
              <w:t>1</w:t>
            </w:r>
            <w:bookmarkEnd w:id="54"/>
          </w:p>
        </w:tc>
        <w:tc>
          <w:tcPr>
            <w:tcW w:w="8708" w:type="dxa"/>
            <w:tcBorders>
              <w:top w:val="single" w:color="auto" w:sz="4" w:space="0"/>
              <w:left w:val="single" w:color="auto" w:sz="4" w:space="0"/>
              <w:bottom w:val="single" w:color="auto" w:sz="4" w:space="0"/>
              <w:right w:val="single" w:color="auto" w:sz="4" w:space="0"/>
            </w:tcBorders>
            <w:noWrap w:val="0"/>
            <w:vAlign w:val="center"/>
          </w:tcPr>
          <w:p w14:paraId="0D1E051A">
            <w:pPr>
              <w:spacing w:line="360" w:lineRule="auto"/>
              <w:rPr>
                <w:rFonts w:hint="eastAsia" w:ascii="宋体" w:hAnsi="宋体" w:cs="宋体"/>
                <w:color w:val="auto"/>
              </w:rPr>
            </w:pPr>
            <w:r>
              <w:rPr>
                <w:rFonts w:hint="eastAsia" w:ascii="宋体" w:hAnsi="宋体" w:cs="宋体"/>
                <w:b/>
                <w:bCs/>
                <w:color w:val="auto"/>
              </w:rPr>
              <w:t>资格证明文件</w:t>
            </w:r>
            <w:r>
              <w:rPr>
                <w:rFonts w:hint="eastAsia" w:ascii="宋体" w:hAnsi="宋体" w:cs="宋体"/>
                <w:color w:val="auto"/>
              </w:rPr>
              <w:t xml:space="preserve">： </w:t>
            </w:r>
          </w:p>
          <w:p w14:paraId="0047ED4F">
            <w:pPr>
              <w:spacing w:line="360" w:lineRule="auto"/>
              <w:ind w:firstLine="420" w:firstLineChars="200"/>
              <w:rPr>
                <w:rFonts w:hint="eastAsia" w:ascii="宋体" w:hAnsi="宋体" w:cs="宋体"/>
                <w:color w:val="auto"/>
              </w:rPr>
            </w:pPr>
            <w:r>
              <w:rPr>
                <w:rFonts w:hint="eastAsia" w:ascii="宋体" w:hAnsi="宋体" w:cs="宋体"/>
                <w:color w:val="auto"/>
              </w:rPr>
              <w:t>1、供应商为法人或者其他组织的，证明文件为其主体资格证明材料复印件（如营业执照或者事业单位法人证书或者执业许可证等）；分支机构投标的，须提供总公司和分公司营业执照副本复印件，总公司出具给分支机构的授权书；供应商为自然人的，证明文件为其身份证复印件；</w:t>
            </w:r>
            <w:r>
              <w:rPr>
                <w:rFonts w:hint="eastAsia" w:ascii="宋体" w:hAnsi="宋体" w:cs="宋体"/>
                <w:b/>
                <w:bCs/>
                <w:color w:val="auto"/>
              </w:rPr>
              <w:t>（必须提供，否则按无效响应处理）</w:t>
            </w:r>
          </w:p>
          <w:p w14:paraId="6A0540C4">
            <w:pPr>
              <w:autoSpaceDE w:val="0"/>
              <w:autoSpaceDN w:val="0"/>
              <w:snapToGrid w:val="0"/>
              <w:spacing w:line="360" w:lineRule="auto"/>
              <w:ind w:left="420" w:leftChars="200"/>
              <w:textAlignment w:val="bottom"/>
              <w:rPr>
                <w:rFonts w:hint="eastAsia" w:ascii="宋体" w:hAnsi="宋体" w:cs="宋体"/>
                <w:b/>
                <w:color w:val="auto"/>
                <w:szCs w:val="21"/>
              </w:rPr>
            </w:pPr>
            <w:r>
              <w:rPr>
                <w:rFonts w:hint="eastAsia" w:ascii="宋体" w:hAnsi="宋体" w:cs="宋体"/>
                <w:color w:val="auto"/>
                <w:szCs w:val="21"/>
              </w:rPr>
              <w:t>2、</w:t>
            </w:r>
            <w:r>
              <w:rPr>
                <w:rFonts w:hint="eastAsia" w:ascii="宋体" w:hAnsi="宋体" w:cs="宋体"/>
                <w:color w:val="auto"/>
              </w:rPr>
              <w:t>供应商</w:t>
            </w:r>
            <w:r>
              <w:rPr>
                <w:rFonts w:hint="eastAsia" w:ascii="宋体" w:hAnsi="宋体" w:cs="宋体"/>
                <w:color w:val="auto"/>
                <w:szCs w:val="21"/>
              </w:rPr>
              <w:t>按以下要求提供医疗器械的有关证明材料复印件：</w:t>
            </w:r>
            <w:r>
              <w:rPr>
                <w:rFonts w:hint="eastAsia" w:ascii="宋体" w:hAnsi="宋体" w:cs="宋体"/>
                <w:b/>
                <w:color w:val="auto"/>
                <w:szCs w:val="21"/>
              </w:rPr>
              <w:t>（必须提供，否则按无效投</w:t>
            </w:r>
          </w:p>
          <w:p w14:paraId="69839FAC">
            <w:pPr>
              <w:autoSpaceDE w:val="0"/>
              <w:autoSpaceDN w:val="0"/>
              <w:snapToGrid w:val="0"/>
              <w:spacing w:line="360" w:lineRule="auto"/>
              <w:textAlignment w:val="bottom"/>
              <w:rPr>
                <w:rFonts w:hint="eastAsia" w:ascii="宋体" w:hAnsi="宋体" w:cs="宋体"/>
                <w:b/>
                <w:color w:val="auto"/>
                <w:szCs w:val="21"/>
              </w:rPr>
            </w:pPr>
            <w:r>
              <w:rPr>
                <w:rFonts w:hint="eastAsia" w:ascii="宋体" w:hAnsi="宋体" w:cs="宋体"/>
                <w:b/>
                <w:color w:val="auto"/>
                <w:szCs w:val="21"/>
              </w:rPr>
              <w:t>标处理）</w:t>
            </w:r>
          </w:p>
          <w:p w14:paraId="1DE48584">
            <w:pPr>
              <w:spacing w:line="360" w:lineRule="auto"/>
              <w:ind w:firstLine="420" w:firstLineChars="200"/>
              <w:rPr>
                <w:rFonts w:hint="eastAsia" w:ascii="宋体" w:hAnsi="宋体" w:cs="宋体"/>
                <w:bCs/>
                <w:color w:val="auto"/>
                <w:kern w:val="0"/>
                <w:szCs w:val="21"/>
              </w:rPr>
            </w:pPr>
            <w:r>
              <w:rPr>
                <w:rFonts w:hint="eastAsia" w:ascii="宋体" w:hAnsi="宋体" w:cs="宋体"/>
                <w:bCs/>
                <w:color w:val="auto"/>
                <w:kern w:val="0"/>
                <w:szCs w:val="21"/>
                <w:lang w:val="en-US" w:eastAsia="zh-CN"/>
              </w:rPr>
              <w:t>按符合《医疗器械监督管理条例》（国务院令第 739 号）医疗器械分类管理要求具备有效的医疗器械经营备案凭证或者经营许可证，且经营范围必须包含采购标的[符合《医疗器械监督管理条例》第四十一条第二款规定的除外]；或者</w:t>
            </w:r>
            <w:r>
              <w:rPr>
                <w:rFonts w:hint="eastAsia" w:ascii="宋体" w:hAnsi="宋体" w:cs="宋体"/>
                <w:bCs/>
                <w:color w:val="auto"/>
                <w:kern w:val="0"/>
                <w:szCs w:val="21"/>
              </w:rPr>
              <w:t>供应商符合《医疗器械监督管理条例》第四十三条规定的，仅需提供该医疗器械注册证。</w:t>
            </w:r>
          </w:p>
          <w:p w14:paraId="32EFD692">
            <w:pPr>
              <w:spacing w:line="360" w:lineRule="auto"/>
              <w:ind w:firstLine="420" w:firstLineChars="200"/>
              <w:rPr>
                <w:rFonts w:hint="eastAsia" w:ascii="宋体" w:hAnsi="宋体" w:cs="宋体"/>
                <w:color w:val="auto"/>
              </w:rPr>
            </w:pPr>
            <w:r>
              <w:rPr>
                <w:rFonts w:hint="eastAsia" w:ascii="宋体" w:hAnsi="宋体" w:cs="宋体"/>
                <w:color w:val="auto"/>
              </w:rPr>
              <w:t>3、政府采购供应商资格信用承诺函（格式后附）；</w:t>
            </w:r>
            <w:r>
              <w:rPr>
                <w:rFonts w:hint="eastAsia" w:ascii="宋体" w:hAnsi="宋体" w:cs="宋体"/>
                <w:b/>
                <w:bCs/>
                <w:color w:val="auto"/>
              </w:rPr>
              <w:t>（必须提供，否则按无效投标处理）</w:t>
            </w:r>
          </w:p>
          <w:p w14:paraId="538E6BCA">
            <w:pPr>
              <w:spacing w:line="360" w:lineRule="auto"/>
              <w:ind w:firstLine="420" w:firstLineChars="200"/>
              <w:rPr>
                <w:rFonts w:hint="eastAsia" w:ascii="宋体" w:hAnsi="宋体" w:cs="宋体"/>
                <w:color w:val="auto"/>
              </w:rPr>
            </w:pPr>
            <w:r>
              <w:rPr>
                <w:rFonts w:hint="eastAsia" w:ascii="宋体" w:hAnsi="宋体" w:cs="宋体"/>
                <w:color w:val="auto"/>
              </w:rPr>
              <w:t>4、供应商直接控股股东信息表（格式后附）；</w:t>
            </w:r>
            <w:r>
              <w:rPr>
                <w:rFonts w:hint="eastAsia" w:ascii="宋体" w:hAnsi="宋体" w:cs="宋体"/>
                <w:b/>
                <w:bCs/>
                <w:color w:val="auto"/>
              </w:rPr>
              <w:t>（必须提供，否则按无效投标处理）</w:t>
            </w:r>
          </w:p>
          <w:p w14:paraId="69350232">
            <w:pPr>
              <w:spacing w:line="360" w:lineRule="auto"/>
              <w:ind w:firstLine="420" w:firstLineChars="200"/>
              <w:rPr>
                <w:rFonts w:hint="eastAsia" w:ascii="宋体" w:hAnsi="宋体" w:cs="宋体"/>
                <w:color w:val="auto"/>
              </w:rPr>
            </w:pPr>
            <w:r>
              <w:rPr>
                <w:rFonts w:hint="eastAsia" w:ascii="宋体" w:hAnsi="宋体" w:cs="宋体"/>
                <w:color w:val="auto"/>
              </w:rPr>
              <w:t>5、供应商直接管理关系信息表（格式后附）；</w:t>
            </w:r>
            <w:r>
              <w:rPr>
                <w:rFonts w:hint="eastAsia" w:ascii="宋体" w:hAnsi="宋体" w:cs="宋体"/>
                <w:b/>
                <w:bCs/>
                <w:color w:val="auto"/>
              </w:rPr>
              <w:t>（必须提供，否则按无效投标处理）</w:t>
            </w:r>
          </w:p>
          <w:p w14:paraId="36A63709">
            <w:pPr>
              <w:spacing w:line="360" w:lineRule="auto"/>
              <w:ind w:firstLine="420" w:firstLineChars="200"/>
              <w:rPr>
                <w:rFonts w:hint="eastAsia" w:ascii="宋体" w:hAnsi="宋体" w:cs="宋体"/>
                <w:color w:val="auto"/>
              </w:rPr>
            </w:pPr>
            <w:r>
              <w:rPr>
                <w:rFonts w:hint="eastAsia" w:ascii="宋体" w:hAnsi="宋体" w:cs="宋体"/>
                <w:color w:val="auto"/>
              </w:rPr>
              <w:t>6、投标声明（格式后附）；</w:t>
            </w:r>
            <w:r>
              <w:rPr>
                <w:rFonts w:hint="eastAsia" w:ascii="宋体" w:hAnsi="宋体" w:cs="宋体"/>
                <w:b/>
                <w:bCs/>
                <w:color w:val="auto"/>
              </w:rPr>
              <w:t>（必须提供，否则按无效投标处理）</w:t>
            </w:r>
          </w:p>
          <w:p w14:paraId="7ED77711">
            <w:pPr>
              <w:spacing w:line="360" w:lineRule="auto"/>
              <w:ind w:firstLine="420" w:firstLineChars="200"/>
              <w:rPr>
                <w:rFonts w:hint="eastAsia" w:ascii="宋体" w:hAnsi="宋体" w:cs="宋体"/>
                <w:color w:val="auto"/>
              </w:rPr>
            </w:pPr>
            <w:r>
              <w:rPr>
                <w:rFonts w:hint="eastAsia" w:ascii="宋体" w:hAnsi="宋体" w:cs="宋体"/>
                <w:color w:val="auto"/>
              </w:rPr>
              <w:t>7、除招标文件规定必须提供以外，供应商认为需要提供的其他证明材料。</w:t>
            </w:r>
          </w:p>
          <w:p w14:paraId="767C684F">
            <w:pPr>
              <w:spacing w:line="360" w:lineRule="auto"/>
              <w:ind w:firstLine="422" w:firstLineChars="200"/>
              <w:rPr>
                <w:rFonts w:hint="eastAsia" w:ascii="宋体" w:hAnsi="宋体" w:cs="宋体"/>
                <w:b/>
                <w:bCs/>
                <w:color w:val="auto"/>
              </w:rPr>
            </w:pPr>
            <w:r>
              <w:rPr>
                <w:rFonts w:hint="eastAsia" w:ascii="宋体" w:hAnsi="宋体" w:cs="宋体"/>
                <w:b/>
                <w:bCs/>
                <w:color w:val="auto"/>
              </w:rPr>
              <w:t>注：</w:t>
            </w:r>
          </w:p>
          <w:p w14:paraId="7595AE37">
            <w:pPr>
              <w:spacing w:line="360" w:lineRule="auto"/>
              <w:ind w:firstLine="422" w:firstLineChars="200"/>
              <w:rPr>
                <w:rFonts w:hint="eastAsia" w:ascii="宋体" w:hAnsi="宋体" w:cs="宋体"/>
                <w:b/>
                <w:bCs/>
                <w:color w:val="auto"/>
              </w:rPr>
            </w:pPr>
            <w:r>
              <w:rPr>
                <w:rFonts w:hint="eastAsia" w:ascii="宋体" w:hAnsi="宋体" w:cs="宋体"/>
                <w:b/>
                <w:bCs/>
                <w:color w:val="auto"/>
              </w:rPr>
              <w:t>1、以上标明“必须提供”的材料属于复印件的，必须加盖供应商</w:t>
            </w:r>
            <w:r>
              <w:rPr>
                <w:rFonts w:hint="eastAsia" w:ascii="宋体" w:hAnsi="宋体" w:cs="宋体"/>
                <w:b/>
                <w:bCs/>
                <w:color w:val="auto"/>
                <w:lang w:val="en-US" w:eastAsia="zh-CN"/>
              </w:rPr>
              <w:t>电子</w:t>
            </w:r>
            <w:r>
              <w:rPr>
                <w:rFonts w:hint="eastAsia" w:ascii="宋体" w:hAnsi="宋体" w:cs="宋体"/>
                <w:b/>
                <w:bCs/>
                <w:color w:val="auto"/>
              </w:rPr>
              <w:t>公章，否则按无效投标处理。</w:t>
            </w:r>
          </w:p>
          <w:p w14:paraId="1685F143">
            <w:pP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2、投标声明必须由法定代表人或者委托代理人在规定签章处签字并加盖供应商公章，否则按无效投标处理。</w:t>
            </w:r>
          </w:p>
          <w:p w14:paraId="25C99504">
            <w:pPr>
              <w:spacing w:line="360" w:lineRule="auto"/>
              <w:ind w:firstLine="422" w:firstLineChars="200"/>
              <w:rPr>
                <w:rFonts w:hint="eastAsia"/>
                <w:color w:val="auto"/>
              </w:rPr>
            </w:pPr>
            <w:r>
              <w:rPr>
                <w:rFonts w:hint="eastAsia" w:ascii="宋体" w:hAnsi="宋体" w:eastAsia="宋体" w:cs="宋体"/>
                <w:b/>
                <w:bCs/>
                <w:color w:val="auto"/>
              </w:rPr>
              <w:t>3、供应商直接控股、管理关系信息表必须由法定代表人或者委托代理人在规定签章处签字并加盖供应商公章，否则按无效投标处理。</w:t>
            </w:r>
          </w:p>
        </w:tc>
      </w:tr>
      <w:tr w14:paraId="327063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vMerge w:val="continue"/>
            <w:tcBorders>
              <w:left w:val="single" w:color="auto" w:sz="4" w:space="0"/>
              <w:right w:val="single" w:color="auto" w:sz="4" w:space="0"/>
            </w:tcBorders>
            <w:noWrap w:val="0"/>
            <w:vAlign w:val="center"/>
          </w:tcPr>
          <w:p w14:paraId="3857513B">
            <w:pPr>
              <w:spacing w:line="360" w:lineRule="auto"/>
              <w:jc w:val="center"/>
              <w:rPr>
                <w:rFonts w:hint="eastAsia" w:ascii="宋体" w:hAnsi="宋体" w:cs="宋体"/>
                <w:color w:val="auto"/>
              </w:rPr>
            </w:pPr>
            <w:bookmarkStart w:id="55" w:name="_13.2"/>
            <w:bookmarkEnd w:id="55"/>
          </w:p>
        </w:tc>
        <w:tc>
          <w:tcPr>
            <w:tcW w:w="8708" w:type="dxa"/>
            <w:tcBorders>
              <w:top w:val="single" w:color="auto" w:sz="4" w:space="0"/>
              <w:left w:val="single" w:color="auto" w:sz="4" w:space="0"/>
              <w:bottom w:val="single" w:color="auto" w:sz="4" w:space="0"/>
              <w:right w:val="single" w:color="auto" w:sz="4" w:space="0"/>
            </w:tcBorders>
            <w:noWrap w:val="0"/>
            <w:vAlign w:val="center"/>
          </w:tcPr>
          <w:p w14:paraId="5C973A8E">
            <w:pPr>
              <w:spacing w:line="360" w:lineRule="auto"/>
              <w:rPr>
                <w:rFonts w:hint="eastAsia" w:ascii="宋体" w:hAnsi="宋体" w:cs="宋体"/>
                <w:b/>
                <w:bCs/>
                <w:color w:val="auto"/>
              </w:rPr>
            </w:pPr>
            <w:r>
              <w:rPr>
                <w:rFonts w:hint="eastAsia" w:ascii="宋体" w:hAnsi="宋体" w:cs="宋体"/>
                <w:b/>
                <w:bCs/>
                <w:color w:val="auto"/>
              </w:rPr>
              <w:t xml:space="preserve">报价文件： </w:t>
            </w:r>
          </w:p>
          <w:p w14:paraId="1E8798AA">
            <w:pPr>
              <w:spacing w:line="360" w:lineRule="auto"/>
              <w:ind w:firstLine="420" w:firstLineChars="200"/>
              <w:rPr>
                <w:rFonts w:hint="eastAsia" w:ascii="宋体" w:hAnsi="宋体" w:cs="宋体"/>
                <w:color w:val="auto"/>
              </w:rPr>
            </w:pPr>
            <w:r>
              <w:rPr>
                <w:rFonts w:hint="eastAsia" w:ascii="宋体" w:hAnsi="宋体" w:cs="宋体"/>
                <w:color w:val="auto"/>
              </w:rPr>
              <w:t>1、投标函（格式后附）；</w:t>
            </w:r>
            <w:r>
              <w:rPr>
                <w:rFonts w:hint="eastAsia" w:ascii="宋体" w:hAnsi="宋体" w:cs="宋体"/>
                <w:b/>
                <w:bCs/>
                <w:color w:val="auto"/>
              </w:rPr>
              <w:t>（必须提供，否则按无效投标处理）</w:t>
            </w:r>
          </w:p>
          <w:p w14:paraId="41822F04">
            <w:pPr>
              <w:spacing w:line="360" w:lineRule="auto"/>
              <w:ind w:firstLine="420" w:firstLineChars="200"/>
              <w:rPr>
                <w:rFonts w:hint="eastAsia" w:ascii="宋体" w:hAnsi="宋体" w:cs="宋体"/>
                <w:color w:val="auto"/>
              </w:rPr>
            </w:pPr>
            <w:bookmarkStart w:id="56" w:name="_Hlk71299233"/>
            <w:r>
              <w:rPr>
                <w:rFonts w:hint="eastAsia" w:ascii="宋体" w:hAnsi="宋体" w:cs="宋体"/>
                <w:color w:val="auto"/>
              </w:rPr>
              <w:t>2、开标一览表</w:t>
            </w:r>
            <w:bookmarkEnd w:id="56"/>
            <w:r>
              <w:rPr>
                <w:rFonts w:hint="eastAsia" w:ascii="宋体" w:hAnsi="宋体" w:cs="宋体"/>
                <w:color w:val="auto"/>
              </w:rPr>
              <w:t>（格式后附）；</w:t>
            </w:r>
            <w:r>
              <w:rPr>
                <w:rFonts w:hint="eastAsia" w:ascii="宋体" w:hAnsi="宋体" w:cs="宋体"/>
                <w:b/>
                <w:bCs/>
                <w:color w:val="auto"/>
              </w:rPr>
              <w:t>（必须提供，否则按无效投标处理）</w:t>
            </w:r>
          </w:p>
          <w:p w14:paraId="773D7E2B">
            <w:pPr>
              <w:tabs>
                <w:tab w:val="left" w:pos="459"/>
              </w:tabs>
              <w:snapToGrid w:val="0"/>
              <w:spacing w:line="360" w:lineRule="auto"/>
              <w:ind w:firstLine="420" w:firstLineChars="200"/>
              <w:jc w:val="left"/>
              <w:rPr>
                <w:rFonts w:hint="default" w:ascii="宋体" w:hAnsi="宋体"/>
                <w:color w:val="auto"/>
                <w:szCs w:val="21"/>
                <w:lang w:val="en-US" w:eastAsia="zh-CN"/>
              </w:rPr>
            </w:pPr>
            <w:r>
              <w:rPr>
                <w:rFonts w:hint="eastAsia" w:ascii="宋体" w:hAnsi="宋体"/>
                <w:color w:val="auto"/>
                <w:szCs w:val="21"/>
                <w:lang w:val="en-US" w:eastAsia="zh-CN"/>
              </w:rPr>
              <w:t>3、中小企业声明函（格式后附）；（如有）</w:t>
            </w:r>
          </w:p>
          <w:p w14:paraId="2A9C9642">
            <w:pPr>
              <w:spacing w:line="360" w:lineRule="auto"/>
              <w:ind w:firstLine="420" w:firstLineChars="200"/>
              <w:rPr>
                <w:rFonts w:hint="eastAsia" w:ascii="宋体" w:hAnsi="宋体"/>
                <w:color w:val="auto"/>
                <w:szCs w:val="21"/>
              </w:rPr>
            </w:pPr>
            <w:r>
              <w:rPr>
                <w:rFonts w:hint="eastAsia" w:ascii="宋体" w:hAnsi="宋体"/>
                <w:color w:val="auto"/>
                <w:szCs w:val="21"/>
              </w:rPr>
              <w:t>（1）中小企业声明函（</w:t>
            </w:r>
            <w:r>
              <w:rPr>
                <w:rFonts w:hint="eastAsia" w:ascii="宋体" w:hAnsi="宋体" w:cs="宋体"/>
                <w:color w:val="auto"/>
              </w:rPr>
              <w:t>供应商</w:t>
            </w:r>
            <w:r>
              <w:rPr>
                <w:rFonts w:hint="eastAsia" w:ascii="宋体" w:hAnsi="宋体"/>
                <w:color w:val="auto"/>
                <w:szCs w:val="21"/>
              </w:rPr>
              <w:t>如为中小微型企业的请按第六章要求的格式填写）；或（2）监狱企业由省级以上监狱管理局、戒毒管理局（含新疆生产建设兵团）出具的属于监狱企业的证明文件；或（3）残疾人福利性单位声明函（</w:t>
            </w:r>
            <w:r>
              <w:rPr>
                <w:rFonts w:hint="eastAsia" w:ascii="宋体" w:hAnsi="宋体" w:cs="宋体"/>
                <w:color w:val="auto"/>
              </w:rPr>
              <w:t>供应商</w:t>
            </w:r>
            <w:r>
              <w:rPr>
                <w:rFonts w:hint="eastAsia" w:ascii="宋体" w:hAnsi="宋体"/>
                <w:color w:val="auto"/>
                <w:szCs w:val="21"/>
              </w:rPr>
              <w:t>如为残疾人福利性单位的请按第六章要求的格式填写，否则不予享受优惠政策）；</w:t>
            </w:r>
          </w:p>
          <w:p w14:paraId="67DBDD02">
            <w:pPr>
              <w:spacing w:line="360" w:lineRule="auto"/>
              <w:ind w:firstLine="420" w:firstLineChars="200"/>
              <w:rPr>
                <w:rFonts w:hint="default" w:ascii="宋体" w:hAnsi="宋体"/>
                <w:color w:val="auto"/>
                <w:szCs w:val="21"/>
                <w:lang w:val="en-US" w:eastAsia="zh-CN"/>
              </w:rPr>
            </w:pPr>
            <w:r>
              <w:rPr>
                <w:rFonts w:hint="eastAsia" w:ascii="宋体" w:hAnsi="宋体"/>
                <w:color w:val="auto"/>
                <w:szCs w:val="21"/>
                <w:lang w:val="en-US" w:eastAsia="zh-CN"/>
              </w:rPr>
              <w:t>4、关于符合本国产品标准的声明函；</w:t>
            </w:r>
          </w:p>
          <w:p w14:paraId="49D81CDE">
            <w:pPr>
              <w:spacing w:line="360" w:lineRule="auto"/>
              <w:ind w:firstLine="420" w:firstLineChars="200"/>
              <w:rPr>
                <w:rFonts w:hint="eastAsia" w:ascii="宋体" w:hAnsi="宋体" w:cs="宋体"/>
                <w:color w:val="auto"/>
              </w:rPr>
            </w:pPr>
            <w:r>
              <w:rPr>
                <w:rFonts w:hint="eastAsia" w:ascii="宋体" w:hAnsi="宋体" w:cs="宋体"/>
                <w:color w:val="auto"/>
              </w:rPr>
              <w:t>关于符合本国产品标准的声明函（按第六章要求格式填写）或财政部会同有关部门规定的有关证明文件；供应商不符合条件或不提供或不按要求提供的，不享受本国产品扶持政策。</w:t>
            </w:r>
          </w:p>
          <w:p w14:paraId="73F0236F">
            <w:pPr>
              <w:tabs>
                <w:tab w:val="left" w:pos="459"/>
              </w:tabs>
              <w:snapToGrid w:val="0"/>
              <w:spacing w:line="360" w:lineRule="auto"/>
              <w:ind w:firstLine="420" w:firstLineChars="200"/>
              <w:jc w:val="left"/>
              <w:rPr>
                <w:rFonts w:hint="eastAsia" w:eastAsia="宋体"/>
                <w:color w:val="auto"/>
                <w:szCs w:val="21"/>
                <w:lang w:eastAsia="zh-CN"/>
              </w:rPr>
            </w:pPr>
            <w:r>
              <w:rPr>
                <w:rFonts w:hint="eastAsia" w:ascii="宋体" w:hAnsi="宋体"/>
                <w:color w:val="auto"/>
                <w:szCs w:val="21"/>
                <w:lang w:val="en-US" w:eastAsia="zh-CN"/>
              </w:rPr>
              <w:t>5</w:t>
            </w:r>
            <w:r>
              <w:rPr>
                <w:rFonts w:hint="eastAsia" w:ascii="宋体" w:hAnsi="宋体"/>
                <w:color w:val="auto"/>
                <w:szCs w:val="21"/>
              </w:rPr>
              <w:t>、</w:t>
            </w:r>
            <w:r>
              <w:rPr>
                <w:rFonts w:hint="eastAsia" w:ascii="宋体" w:hAnsi="宋体"/>
                <w:color w:val="auto"/>
                <w:szCs w:val="21"/>
                <w:lang w:val="en-US" w:eastAsia="zh-CN"/>
              </w:rPr>
              <w:t>供应商认为需要提供的其他有关资料</w:t>
            </w:r>
            <w:r>
              <w:rPr>
                <w:rFonts w:hint="eastAsia"/>
                <w:color w:val="auto"/>
                <w:szCs w:val="21"/>
                <w:lang w:eastAsia="zh-CN"/>
              </w:rPr>
              <w:t>。</w:t>
            </w:r>
          </w:p>
          <w:p w14:paraId="59BF5A7F">
            <w:pPr>
              <w:spacing w:line="360" w:lineRule="auto"/>
              <w:ind w:firstLine="422" w:firstLineChars="200"/>
              <w:rPr>
                <w:rFonts w:hint="eastAsia" w:ascii="宋体" w:hAnsi="宋体" w:cs="宋体"/>
                <w:color w:val="auto"/>
              </w:rPr>
            </w:pPr>
            <w:r>
              <w:rPr>
                <w:rFonts w:hint="eastAsia" w:ascii="宋体" w:hAnsi="宋体" w:cs="宋体"/>
                <w:b/>
                <w:bCs/>
                <w:color w:val="auto"/>
              </w:rPr>
              <w:t>注：投标函、开标一览表必须由法定代表人或者委托代理人在规定签章处逐一签字并加盖供应商公章，否则按无效投标处理。</w:t>
            </w:r>
          </w:p>
        </w:tc>
      </w:tr>
      <w:tr w14:paraId="1F581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vMerge w:val="continue"/>
            <w:tcBorders>
              <w:left w:val="single" w:color="auto" w:sz="4" w:space="0"/>
              <w:right w:val="single" w:color="auto" w:sz="4" w:space="0"/>
            </w:tcBorders>
            <w:noWrap w:val="0"/>
            <w:vAlign w:val="center"/>
          </w:tcPr>
          <w:p w14:paraId="75C382ED">
            <w:pPr>
              <w:spacing w:line="360" w:lineRule="auto"/>
              <w:jc w:val="center"/>
              <w:rPr>
                <w:rFonts w:hint="eastAsia" w:ascii="宋体" w:hAnsi="宋体" w:cs="宋体"/>
                <w:color w:val="auto"/>
              </w:rPr>
            </w:pPr>
            <w:bookmarkStart w:id="57" w:name="_13.3"/>
            <w:bookmarkEnd w:id="57"/>
          </w:p>
        </w:tc>
        <w:tc>
          <w:tcPr>
            <w:tcW w:w="8708" w:type="dxa"/>
            <w:tcBorders>
              <w:top w:val="single" w:color="auto" w:sz="4" w:space="0"/>
              <w:left w:val="single" w:color="auto" w:sz="4" w:space="0"/>
              <w:right w:val="single" w:color="auto" w:sz="4" w:space="0"/>
            </w:tcBorders>
            <w:noWrap w:val="0"/>
            <w:vAlign w:val="center"/>
          </w:tcPr>
          <w:p w14:paraId="39159E63">
            <w:pPr>
              <w:spacing w:line="360" w:lineRule="auto"/>
              <w:rPr>
                <w:rFonts w:hint="eastAsia" w:ascii="宋体" w:hAnsi="宋体" w:cs="宋体"/>
                <w:color w:val="auto"/>
              </w:rPr>
            </w:pPr>
            <w:r>
              <w:rPr>
                <w:rFonts w:hint="eastAsia" w:ascii="宋体" w:hAnsi="宋体" w:cs="宋体"/>
                <w:b/>
                <w:bCs/>
                <w:color w:val="auto"/>
              </w:rPr>
              <w:t>商务技术文件：</w:t>
            </w:r>
            <w:r>
              <w:rPr>
                <w:rFonts w:hint="eastAsia" w:ascii="宋体" w:hAnsi="宋体" w:cs="宋体"/>
                <w:color w:val="auto"/>
              </w:rPr>
              <w:t xml:space="preserve"> </w:t>
            </w:r>
          </w:p>
          <w:p w14:paraId="0AE0BF57">
            <w:pPr>
              <w:spacing w:line="360" w:lineRule="auto"/>
              <w:ind w:firstLine="420" w:firstLineChars="200"/>
              <w:rPr>
                <w:rFonts w:hint="eastAsia" w:ascii="宋体" w:hAnsi="宋体" w:cs="宋体"/>
                <w:color w:val="auto"/>
              </w:rPr>
            </w:pPr>
            <w:r>
              <w:rPr>
                <w:rFonts w:hint="eastAsia" w:ascii="宋体" w:hAnsi="宋体" w:cs="宋体"/>
                <w:color w:val="auto"/>
              </w:rPr>
              <w:t>1、无串通投标行为的承诺函（格式后附）；</w:t>
            </w:r>
            <w:r>
              <w:rPr>
                <w:rFonts w:hint="eastAsia" w:ascii="宋体" w:hAnsi="宋体" w:cs="宋体"/>
                <w:b/>
                <w:bCs/>
                <w:color w:val="auto"/>
              </w:rPr>
              <w:t>（必须提供，否则按无效投标处理）</w:t>
            </w:r>
          </w:p>
          <w:p w14:paraId="282BFCD9">
            <w:pPr>
              <w:spacing w:line="360" w:lineRule="auto"/>
              <w:ind w:firstLine="420" w:firstLineChars="200"/>
              <w:rPr>
                <w:rFonts w:hint="eastAsia" w:ascii="宋体" w:hAnsi="宋体" w:cs="宋体"/>
                <w:b/>
                <w:bCs/>
                <w:color w:val="auto"/>
              </w:rPr>
            </w:pPr>
            <w:r>
              <w:rPr>
                <w:rFonts w:hint="eastAsia" w:ascii="宋体" w:hAnsi="宋体" w:cs="宋体"/>
                <w:color w:val="auto"/>
              </w:rPr>
              <w:t>2、法定代表人身份证明及法定代表人有效身份证正反面复印件（格式后附）；</w:t>
            </w:r>
            <w:r>
              <w:rPr>
                <w:rFonts w:hint="eastAsia" w:ascii="宋体" w:hAnsi="宋体" w:cs="宋体"/>
                <w:b/>
                <w:bCs/>
                <w:color w:val="auto"/>
              </w:rPr>
              <w:t>（除自然人投标外必须提供，否则按无效投标处理）</w:t>
            </w:r>
          </w:p>
          <w:p w14:paraId="2770EF17">
            <w:pPr>
              <w:spacing w:line="360" w:lineRule="auto"/>
              <w:ind w:firstLine="420" w:firstLineChars="200"/>
              <w:rPr>
                <w:rFonts w:hint="eastAsia" w:ascii="宋体" w:hAnsi="宋体" w:cs="宋体"/>
                <w:b/>
                <w:bCs/>
                <w:color w:val="auto"/>
              </w:rPr>
            </w:pPr>
            <w:r>
              <w:rPr>
                <w:rFonts w:hint="eastAsia" w:ascii="宋体" w:hAnsi="宋体" w:cs="宋体"/>
                <w:color w:val="auto"/>
              </w:rPr>
              <w:t>3、授权委托书及委托代理人有效身份证正反面复印件（格式后附）；</w:t>
            </w:r>
            <w:r>
              <w:rPr>
                <w:rFonts w:hint="eastAsia" w:ascii="宋体" w:hAnsi="宋体" w:cs="宋体"/>
                <w:b/>
                <w:bCs/>
                <w:color w:val="auto"/>
              </w:rPr>
              <w:t>（委托时必须提供，否则按无效投标处理）</w:t>
            </w:r>
          </w:p>
          <w:p w14:paraId="38C25915">
            <w:pPr>
              <w:spacing w:line="360" w:lineRule="auto"/>
              <w:ind w:firstLine="420" w:firstLineChars="200"/>
              <w:rPr>
                <w:rFonts w:hint="eastAsia" w:ascii="宋体" w:hAnsi="宋体" w:cs="宋体"/>
                <w:color w:val="auto"/>
              </w:rPr>
            </w:pPr>
            <w:r>
              <w:rPr>
                <w:rFonts w:hint="eastAsia" w:ascii="宋体" w:hAnsi="宋体" w:cs="宋体"/>
                <w:color w:val="auto"/>
              </w:rPr>
              <w:t>4、商务要求偏离表（格式后附）；</w:t>
            </w:r>
            <w:r>
              <w:rPr>
                <w:rFonts w:hint="eastAsia" w:ascii="宋体" w:hAnsi="宋体" w:cs="宋体"/>
                <w:b/>
                <w:bCs/>
                <w:color w:val="auto"/>
              </w:rPr>
              <w:t>（必须提供，否则按无效投标处理）</w:t>
            </w:r>
          </w:p>
          <w:p w14:paraId="49A438CB">
            <w:pPr>
              <w:spacing w:line="360" w:lineRule="auto"/>
              <w:ind w:firstLine="420" w:firstLineChars="200"/>
              <w:rPr>
                <w:rFonts w:hint="eastAsia" w:ascii="宋体" w:hAnsi="宋体" w:cs="宋体"/>
                <w:color w:val="auto"/>
              </w:rPr>
            </w:pPr>
            <w:r>
              <w:rPr>
                <w:rFonts w:hint="eastAsia" w:ascii="宋体" w:hAnsi="宋体" w:cs="宋体"/>
                <w:color w:val="auto"/>
              </w:rPr>
              <w:t>5、技术要求偏离表（格式后附）；</w:t>
            </w:r>
            <w:r>
              <w:rPr>
                <w:rFonts w:hint="eastAsia" w:ascii="宋体" w:hAnsi="宋体" w:cs="宋体"/>
                <w:b/>
                <w:bCs/>
                <w:color w:val="auto"/>
              </w:rPr>
              <w:t>（必须提供，否则按无效投标处理）</w:t>
            </w:r>
          </w:p>
          <w:p w14:paraId="6CBA23C8">
            <w:pPr>
              <w:spacing w:line="360" w:lineRule="auto"/>
              <w:ind w:firstLine="420" w:firstLineChars="200"/>
              <w:rPr>
                <w:rFonts w:hint="eastAsia" w:ascii="宋体" w:hAnsi="宋体" w:cs="宋体"/>
                <w:color w:val="auto"/>
              </w:rPr>
            </w:pPr>
            <w:r>
              <w:rPr>
                <w:rFonts w:hint="eastAsia" w:ascii="宋体" w:hAnsi="宋体" w:cs="宋体"/>
                <w:color w:val="auto"/>
              </w:rPr>
              <w:t>6、项目实施方案（格式自拟）；</w:t>
            </w:r>
          </w:p>
          <w:p w14:paraId="56EB9267">
            <w:pPr>
              <w:spacing w:line="360" w:lineRule="auto"/>
              <w:ind w:firstLine="420" w:firstLineChars="200"/>
              <w:rPr>
                <w:rFonts w:hint="default" w:ascii="宋体" w:hAnsi="宋体" w:eastAsia="宋体" w:cs="宋体"/>
                <w:color w:val="auto"/>
                <w:lang w:val="en-US" w:eastAsia="zh-CN"/>
              </w:rPr>
            </w:pPr>
            <w:r>
              <w:rPr>
                <w:rFonts w:hint="eastAsia" w:ascii="宋体" w:hAnsi="宋体" w:cs="宋体"/>
                <w:color w:val="auto"/>
                <w:lang w:val="en-US" w:eastAsia="zh-CN"/>
              </w:rPr>
              <w:t>7、培训方案</w:t>
            </w:r>
            <w:r>
              <w:rPr>
                <w:rFonts w:hint="eastAsia" w:ascii="宋体" w:hAnsi="宋体" w:cs="宋体"/>
                <w:color w:val="auto"/>
              </w:rPr>
              <w:t>（格式自拟）；</w:t>
            </w:r>
          </w:p>
          <w:p w14:paraId="7FD67805">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8</w:t>
            </w:r>
            <w:r>
              <w:rPr>
                <w:rFonts w:hint="eastAsia" w:ascii="宋体" w:hAnsi="宋体" w:eastAsia="宋体" w:cs="宋体"/>
                <w:color w:val="auto"/>
              </w:rPr>
              <w:t>、售后服务方案及承诺（格式自拟）；</w:t>
            </w:r>
          </w:p>
          <w:p w14:paraId="06287CFB">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9</w:t>
            </w:r>
            <w:r>
              <w:rPr>
                <w:rFonts w:hint="eastAsia" w:ascii="宋体" w:hAnsi="宋体" w:eastAsia="宋体" w:cs="宋体"/>
                <w:color w:val="auto"/>
              </w:rPr>
              <w:t>、投标产品性能配置清单；（格式后附）；</w:t>
            </w:r>
          </w:p>
          <w:p w14:paraId="68C306BD">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10</w:t>
            </w:r>
            <w:r>
              <w:rPr>
                <w:rFonts w:hint="eastAsia" w:ascii="宋体" w:hAnsi="宋体" w:eastAsia="宋体" w:cs="宋体"/>
                <w:color w:val="auto"/>
              </w:rPr>
              <w:t>、除招标文件规定必须提供以外，供应商需要说明的其他文件和说明。（格式自拟）</w:t>
            </w:r>
          </w:p>
          <w:p w14:paraId="516F82C5">
            <w:pPr>
              <w:spacing w:line="360" w:lineRule="auto"/>
              <w:ind w:firstLine="422" w:firstLineChars="200"/>
              <w:rPr>
                <w:rFonts w:hint="eastAsia" w:ascii="宋体" w:hAnsi="宋体" w:cs="宋体"/>
                <w:color w:val="auto"/>
              </w:rPr>
            </w:pPr>
            <w:r>
              <w:rPr>
                <w:rFonts w:hint="eastAsia" w:ascii="宋体" w:hAnsi="宋体" w:cs="宋体"/>
                <w:b/>
                <w:bCs/>
                <w:color w:val="auto"/>
              </w:rPr>
              <w:t>注：以上标明“必须提供”的材料属于复印件的，必须加盖供应商</w:t>
            </w:r>
            <w:r>
              <w:rPr>
                <w:rFonts w:hint="eastAsia" w:ascii="宋体" w:hAnsi="宋体" w:cs="宋体"/>
                <w:b/>
                <w:bCs/>
                <w:color w:val="auto"/>
                <w:lang w:val="en-US" w:eastAsia="zh-CN"/>
              </w:rPr>
              <w:t>电子公</w:t>
            </w:r>
            <w:r>
              <w:rPr>
                <w:rFonts w:hint="eastAsia" w:ascii="宋体" w:hAnsi="宋体" w:cs="宋体"/>
                <w:b/>
                <w:bCs/>
                <w:color w:val="auto"/>
              </w:rPr>
              <w:t>章，否则按无效投标处理。</w:t>
            </w:r>
          </w:p>
        </w:tc>
      </w:tr>
      <w:tr w14:paraId="21DB78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641F88E2">
            <w:pPr>
              <w:spacing w:line="360" w:lineRule="auto"/>
              <w:jc w:val="center"/>
              <w:rPr>
                <w:rFonts w:hint="eastAsia" w:ascii="宋体" w:hAnsi="宋体" w:cs="宋体"/>
                <w:color w:val="auto"/>
              </w:rPr>
            </w:pPr>
            <w:bookmarkStart w:id="58" w:name="_13.5"/>
            <w:bookmarkEnd w:id="58"/>
            <w:bookmarkStart w:id="59" w:name="_16.2"/>
            <w:bookmarkEnd w:id="59"/>
            <w:r>
              <w:rPr>
                <w:rFonts w:hint="eastAsia" w:ascii="宋体" w:hAnsi="宋体" w:cs="宋体"/>
                <w:color w:val="auto"/>
              </w:rPr>
              <w:t>16</w:t>
            </w:r>
            <w:bookmarkStart w:id="60" w:name="_Hlt19693759"/>
            <w:bookmarkStart w:id="61" w:name="_Hlt19693758"/>
            <w:bookmarkStart w:id="62" w:name="_Hlt19194066"/>
            <w:bookmarkStart w:id="63" w:name="_Hlt19194067"/>
            <w:r>
              <w:rPr>
                <w:rFonts w:hint="eastAsia" w:ascii="宋体" w:hAnsi="宋体" w:cs="宋体"/>
                <w:color w:val="auto"/>
              </w:rPr>
              <w:t>.</w:t>
            </w:r>
            <w:bookmarkEnd w:id="60"/>
            <w:bookmarkEnd w:id="61"/>
            <w:bookmarkEnd w:id="62"/>
            <w:bookmarkEnd w:id="63"/>
            <w:r>
              <w:rPr>
                <w:rFonts w:hint="eastAsia" w:ascii="宋体" w:hAnsi="宋体" w:cs="宋体"/>
                <w:color w:val="auto"/>
              </w:rPr>
              <w:t>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461D5006">
            <w:pPr>
              <w:widowControl/>
              <w:spacing w:line="360" w:lineRule="auto"/>
              <w:ind w:firstLine="420" w:firstLineChars="200"/>
              <w:jc w:val="left"/>
              <w:textAlignment w:val="center"/>
              <w:rPr>
                <w:rFonts w:hint="eastAsia" w:ascii="宋体" w:hAnsi="宋体" w:cs="宋体"/>
                <w:color w:val="auto"/>
                <w:szCs w:val="21"/>
              </w:rPr>
            </w:pPr>
            <w:r>
              <w:rPr>
                <w:rFonts w:hint="eastAsia" w:ascii="宋体" w:hAnsi="宋体" w:cs="宋体"/>
                <w:color w:val="auto"/>
                <w:szCs w:val="21"/>
              </w:rPr>
              <w:t>1.本次报价须为人民币报价，</w:t>
            </w:r>
            <w:r>
              <w:rPr>
                <w:rFonts w:hint="eastAsia" w:ascii="宋体" w:hAnsi="宋体" w:cs="宋体"/>
                <w:color w:val="auto"/>
              </w:rPr>
              <w:t>供应商</w:t>
            </w:r>
            <w:r>
              <w:rPr>
                <w:rFonts w:hint="eastAsia" w:ascii="宋体" w:hAnsi="宋体" w:cs="宋体"/>
                <w:color w:val="auto"/>
                <w:szCs w:val="21"/>
              </w:rPr>
              <w:t>必须就所投的全部内容作完整唯一总价报价。投标总报价是履行合同的最终价格，应包含设备本身费用以及设备调试至可正常使用前，发生的运输费、安装调试费、税费、培训、维修保养、验</w:t>
            </w:r>
            <w:r>
              <w:rPr>
                <w:rFonts w:hint="eastAsia" w:ascii="宋体" w:hAnsi="宋体" w:cs="宋体"/>
                <w:color w:val="auto"/>
                <w:szCs w:val="21"/>
                <w:highlight w:val="none"/>
              </w:rPr>
              <w:t>收、接入采购人信息系统</w:t>
            </w:r>
            <w:r>
              <w:rPr>
                <w:rFonts w:hint="eastAsia" w:ascii="宋体" w:hAnsi="宋体" w:cs="宋体"/>
                <w:color w:val="auto"/>
                <w:szCs w:val="21"/>
              </w:rPr>
              <w:t>以及其他所有可能发生的费用。</w:t>
            </w:r>
          </w:p>
          <w:p w14:paraId="1F4B7405">
            <w:pPr>
              <w:widowControl/>
              <w:spacing w:line="360" w:lineRule="auto"/>
              <w:ind w:firstLine="422" w:firstLineChars="200"/>
              <w:jc w:val="left"/>
              <w:textAlignment w:val="center"/>
              <w:rPr>
                <w:rFonts w:hint="eastAsia"/>
                <w:color w:val="auto"/>
              </w:rPr>
            </w:pPr>
            <w:r>
              <w:rPr>
                <w:rFonts w:hint="eastAsia" w:ascii="宋体" w:hAnsi="宋体" w:cs="宋体"/>
                <w:b/>
                <w:bCs/>
                <w:color w:val="auto"/>
                <w:szCs w:val="21"/>
              </w:rPr>
              <w:t>2.本项目报价不能超出招标文件所规定的上限控制价（最高限价），否则投标作无效处理。</w:t>
            </w:r>
          </w:p>
        </w:tc>
      </w:tr>
      <w:tr w14:paraId="272C76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60551BB5">
            <w:pPr>
              <w:spacing w:line="360" w:lineRule="auto"/>
              <w:jc w:val="center"/>
              <w:rPr>
                <w:rFonts w:hint="eastAsia" w:ascii="宋体" w:hAnsi="宋体" w:cs="宋体"/>
                <w:color w:val="auto"/>
              </w:rPr>
            </w:pPr>
            <w:bookmarkStart w:id="64" w:name="_17.1"/>
            <w:bookmarkEnd w:id="64"/>
            <w:r>
              <w:rPr>
                <w:rFonts w:hint="eastAsia" w:ascii="宋体" w:hAnsi="宋体" w:cs="宋体"/>
                <w:color w:val="auto"/>
              </w:rPr>
              <w:t>17.2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683D0EAD">
            <w:pPr>
              <w:spacing w:line="360" w:lineRule="auto"/>
              <w:rPr>
                <w:rFonts w:hint="eastAsia" w:ascii="宋体" w:hAnsi="宋体" w:cs="宋体"/>
                <w:color w:val="auto"/>
              </w:rPr>
            </w:pPr>
            <w:r>
              <w:rPr>
                <w:rFonts w:hint="eastAsia" w:ascii="宋体" w:hAnsi="宋体" w:cs="宋体"/>
                <w:color w:val="auto"/>
              </w:rPr>
              <w:t>投标有效期：投标截止之日起</w:t>
            </w:r>
            <w:r>
              <w:rPr>
                <w:rFonts w:hint="eastAsia" w:ascii="宋体" w:hAnsi="宋体" w:cs="宋体"/>
                <w:color w:val="auto"/>
                <w:lang w:val="en-US" w:eastAsia="zh-CN"/>
              </w:rPr>
              <w:t>9</w:t>
            </w:r>
            <w:r>
              <w:rPr>
                <w:rFonts w:hint="eastAsia" w:ascii="宋体" w:hAnsi="宋体" w:cs="宋体"/>
                <w:color w:val="auto"/>
              </w:rPr>
              <w:t>0天内。</w:t>
            </w:r>
          </w:p>
        </w:tc>
      </w:tr>
      <w:tr w14:paraId="0927CA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68536A2E">
            <w:pPr>
              <w:spacing w:line="360" w:lineRule="auto"/>
              <w:jc w:val="center"/>
              <w:rPr>
                <w:rFonts w:hint="eastAsia" w:ascii="宋体" w:hAnsi="宋体" w:cs="宋体"/>
                <w:color w:val="auto"/>
              </w:rPr>
            </w:pPr>
            <w:bookmarkStart w:id="65" w:name="_18"/>
            <w:bookmarkEnd w:id="65"/>
            <w:r>
              <w:rPr>
                <w:rFonts w:hint="eastAsia" w:ascii="宋体" w:hAnsi="宋体" w:cs="宋体"/>
                <w:color w:val="auto"/>
              </w:rPr>
              <w:t>18.1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6E5A53AB">
            <w:pPr>
              <w:spacing w:line="360" w:lineRule="auto"/>
              <w:rPr>
                <w:rFonts w:hint="eastAsia" w:ascii="宋体" w:hAnsi="宋体" w:cs="宋体"/>
                <w:color w:val="auto"/>
              </w:rPr>
            </w:pPr>
            <w:r>
              <w:rPr>
                <w:rFonts w:hint="eastAsia" w:ascii="宋体" w:hAnsi="宋体" w:cs="宋体"/>
                <w:color w:val="auto"/>
              </w:rPr>
              <w:t>本项目不收取投标保证金。</w:t>
            </w:r>
          </w:p>
        </w:tc>
      </w:tr>
      <w:tr w14:paraId="43B805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2A23D015">
            <w:pPr>
              <w:spacing w:line="360" w:lineRule="auto"/>
              <w:jc w:val="center"/>
              <w:rPr>
                <w:rFonts w:hint="eastAsia" w:ascii="宋体" w:hAnsi="宋体" w:cs="宋体"/>
                <w:color w:val="auto"/>
              </w:rPr>
            </w:pPr>
            <w:bookmarkStart w:id="66" w:name="_19.2"/>
            <w:bookmarkEnd w:id="66"/>
            <w:r>
              <w:rPr>
                <w:rFonts w:hint="eastAsia" w:ascii="宋体" w:hAnsi="宋体" w:cs="宋体"/>
                <w:color w:val="auto"/>
              </w:rPr>
              <w:t>19.2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7A9D6173">
            <w:pPr>
              <w:spacing w:line="360" w:lineRule="auto"/>
              <w:rPr>
                <w:rFonts w:hint="eastAsia" w:ascii="宋体" w:hAnsi="宋体" w:cs="宋体"/>
                <w:color w:val="auto"/>
              </w:rPr>
            </w:pPr>
            <w:r>
              <w:rPr>
                <w:rFonts w:hint="eastAsia" w:ascii="宋体" w:hAnsi="宋体" w:cs="宋体"/>
                <w:color w:val="auto"/>
              </w:rPr>
              <w:t>投标文件应按报价文件、资格证明文件、商务技术文件分别编制，并按</w:t>
            </w:r>
            <w:r>
              <w:rPr>
                <w:rFonts w:hint="eastAsia"/>
                <w:color w:val="auto"/>
              </w:rPr>
              <w:t>广西政府</w:t>
            </w:r>
            <w:r>
              <w:rPr>
                <w:rFonts w:hint="eastAsia" w:ascii="宋体" w:hAnsi="宋体" w:cs="宋体"/>
                <w:color w:val="auto"/>
              </w:rPr>
              <w:t>采购云平台的要求编制、加密、上传。</w:t>
            </w:r>
          </w:p>
        </w:tc>
      </w:tr>
      <w:tr w14:paraId="3981B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5846A3A9">
            <w:pPr>
              <w:spacing w:line="360" w:lineRule="auto"/>
              <w:jc w:val="center"/>
              <w:rPr>
                <w:rFonts w:hint="eastAsia" w:ascii="宋体" w:hAnsi="宋体" w:cs="宋体"/>
                <w:color w:val="auto"/>
              </w:rPr>
            </w:pPr>
            <w:r>
              <w:rPr>
                <w:rFonts w:hint="eastAsia" w:ascii="宋体" w:hAnsi="宋体" w:cs="宋体"/>
                <w:color w:val="auto"/>
              </w:rPr>
              <w:t>20.1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0F3CF60E">
            <w:pPr>
              <w:spacing w:line="360" w:lineRule="auto"/>
              <w:rPr>
                <w:rFonts w:hint="eastAsia" w:ascii="宋体" w:hAnsi="宋体" w:cs="宋体"/>
                <w:color w:val="auto"/>
              </w:rPr>
            </w:pPr>
            <w:r>
              <w:rPr>
                <w:rFonts w:hint="eastAsia" w:ascii="宋体" w:hAnsi="宋体" w:cs="宋体"/>
                <w:color w:val="auto"/>
              </w:rPr>
              <w:t>电子投标文件应在制作完成后，供应商应按广西政府采购云平台的要求进行加密，并在规定时间内解密，否则，由此产生的后果由供应商自行负责。</w:t>
            </w:r>
          </w:p>
        </w:tc>
      </w:tr>
      <w:tr w14:paraId="42C30A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40F6DBFE">
            <w:pPr>
              <w:spacing w:line="360" w:lineRule="auto"/>
              <w:jc w:val="center"/>
              <w:rPr>
                <w:rFonts w:hint="eastAsia" w:ascii="宋体" w:hAnsi="宋体" w:cs="宋体"/>
                <w:color w:val="auto"/>
              </w:rPr>
            </w:pPr>
            <w:bookmarkStart w:id="67" w:name="_21.1"/>
            <w:bookmarkEnd w:id="67"/>
            <w:r>
              <w:rPr>
                <w:rFonts w:hint="eastAsia" w:ascii="宋体" w:hAnsi="宋体" w:cs="宋体"/>
                <w:color w:val="auto"/>
              </w:rPr>
              <w:t>21.1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7E9D47C7">
            <w:pPr>
              <w:spacing w:line="360" w:lineRule="auto"/>
              <w:rPr>
                <w:rFonts w:hint="eastAsia" w:ascii="宋体" w:hAnsi="宋体" w:cs="宋体"/>
                <w:color w:val="auto"/>
              </w:rPr>
            </w:pPr>
            <w:r>
              <w:rPr>
                <w:rFonts w:hint="eastAsia" w:ascii="宋体" w:hAnsi="宋体" w:cs="宋体"/>
                <w:color w:val="auto"/>
              </w:rPr>
              <w:t>1、投标截止时间：详见招标公告</w:t>
            </w:r>
          </w:p>
          <w:p w14:paraId="4E495D94">
            <w:pPr>
              <w:spacing w:line="360" w:lineRule="auto"/>
              <w:rPr>
                <w:rFonts w:hint="eastAsia" w:ascii="宋体" w:hAnsi="宋体" w:cs="宋体"/>
                <w:color w:val="auto"/>
              </w:rPr>
            </w:pPr>
            <w:r>
              <w:rPr>
                <w:rFonts w:hint="eastAsia" w:ascii="宋体" w:hAnsi="宋体" w:cs="宋体"/>
                <w:color w:val="auto"/>
              </w:rPr>
              <w:t>2、投标地点：详见招标公告</w:t>
            </w:r>
          </w:p>
        </w:tc>
      </w:tr>
      <w:tr w14:paraId="17839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19B47D11">
            <w:pPr>
              <w:spacing w:line="360" w:lineRule="auto"/>
              <w:jc w:val="center"/>
              <w:rPr>
                <w:rFonts w:hint="eastAsia" w:ascii="宋体" w:hAnsi="宋体" w:cs="宋体"/>
                <w:color w:val="auto"/>
              </w:rPr>
            </w:pPr>
            <w:bookmarkStart w:id="68" w:name="_23"/>
            <w:bookmarkEnd w:id="68"/>
            <w:r>
              <w:rPr>
                <w:rFonts w:hint="eastAsia" w:ascii="宋体" w:hAnsi="宋体" w:cs="宋体"/>
                <w:color w:val="auto"/>
              </w:rPr>
              <w:t>23</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32D5FCF2">
            <w:pPr>
              <w:spacing w:line="360" w:lineRule="auto"/>
              <w:rPr>
                <w:rFonts w:hint="eastAsia" w:ascii="宋体" w:hAnsi="宋体" w:cs="宋体"/>
                <w:color w:val="auto"/>
              </w:rPr>
            </w:pPr>
            <w:r>
              <w:rPr>
                <w:rFonts w:hint="eastAsia" w:ascii="宋体" w:hAnsi="宋体" w:cs="宋体"/>
                <w:color w:val="auto"/>
              </w:rPr>
              <w:t>1、开标时间：详见招标公告</w:t>
            </w:r>
          </w:p>
          <w:p w14:paraId="4F6EE4C8">
            <w:pPr>
              <w:spacing w:line="360" w:lineRule="auto"/>
              <w:rPr>
                <w:rFonts w:hint="eastAsia" w:ascii="宋体" w:hAnsi="宋体" w:cs="宋体"/>
                <w:color w:val="auto"/>
              </w:rPr>
            </w:pPr>
            <w:r>
              <w:rPr>
                <w:rFonts w:hint="eastAsia" w:ascii="宋体" w:hAnsi="宋体" w:cs="宋体"/>
                <w:color w:val="auto"/>
              </w:rPr>
              <w:t>2、开标地点：详见招标公告</w:t>
            </w:r>
          </w:p>
        </w:tc>
      </w:tr>
      <w:tr w14:paraId="45632F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7AD066A0">
            <w:pPr>
              <w:spacing w:line="360" w:lineRule="auto"/>
              <w:jc w:val="center"/>
              <w:rPr>
                <w:rFonts w:hint="eastAsia" w:ascii="宋体" w:hAnsi="宋体" w:cs="宋体"/>
                <w:color w:val="auto"/>
              </w:rPr>
            </w:pPr>
            <w:r>
              <w:rPr>
                <w:rFonts w:hint="eastAsia" w:ascii="宋体" w:hAnsi="宋体" w:cs="宋体"/>
                <w:color w:val="auto"/>
              </w:rPr>
              <w:t>24.2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130A6755">
            <w:pPr>
              <w:spacing w:line="360" w:lineRule="auto"/>
              <w:rPr>
                <w:rFonts w:hint="eastAsia"/>
                <w:color w:val="auto"/>
              </w:rPr>
            </w:pPr>
            <w:r>
              <w:rPr>
                <w:rFonts w:hint="eastAsia"/>
                <w:color w:val="auto"/>
              </w:rPr>
              <w:t>广西政府采购云平台按开标时间自动提取所有投标文件。采购代理机构依托广西政府采购云平台向各供应商发出电子加密投标文件【开始解密】通知，由供应商进行投标文件解密。供应商的法定代表人或其委托代理人须携带加密时所用的CA锁准时登录到广西政府采购云平台电子开标大厅签到并在发起解密通知之时起30分钟内完成对电子投标文件解密。投标文件未按时解密的，视为无效投标。</w:t>
            </w:r>
          </w:p>
        </w:tc>
      </w:tr>
      <w:tr w14:paraId="3CEEE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08193C25">
            <w:pPr>
              <w:spacing w:line="360" w:lineRule="auto"/>
              <w:jc w:val="center"/>
              <w:rPr>
                <w:rFonts w:hint="eastAsia" w:ascii="宋体" w:hAnsi="宋体" w:cs="宋体"/>
                <w:color w:val="auto"/>
              </w:rPr>
            </w:pPr>
            <w:bookmarkStart w:id="69" w:name="_25.3"/>
            <w:bookmarkEnd w:id="69"/>
            <w:r>
              <w:rPr>
                <w:rFonts w:hint="eastAsia" w:ascii="宋体" w:hAnsi="宋体" w:cs="宋体"/>
                <w:color w:val="auto"/>
              </w:rPr>
              <w:t>25.3（3）</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320F4A95">
            <w:pPr>
              <w:spacing w:line="360" w:lineRule="auto"/>
              <w:rPr>
                <w:rFonts w:hint="eastAsia"/>
                <w:color w:val="auto"/>
              </w:rPr>
            </w:pPr>
            <w:r>
              <w:rPr>
                <w:rFonts w:hint="eastAsia"/>
                <w:color w:val="auto"/>
              </w:rPr>
              <w:t>采购人或者采购代理机构在资格审查结束前，对供应商进行信用查询。</w:t>
            </w:r>
          </w:p>
          <w:p w14:paraId="6F328061">
            <w:pPr>
              <w:spacing w:line="360" w:lineRule="auto"/>
              <w:rPr>
                <w:rFonts w:hint="eastAsia"/>
                <w:color w:val="auto"/>
              </w:rPr>
            </w:pPr>
            <w:r>
              <w:rPr>
                <w:rFonts w:hint="eastAsia"/>
                <w:color w:val="auto"/>
              </w:rPr>
              <w:t>查询渠道：“信用中国”网站（www.creditchina.gov.cn）、中国政府采购网（</w:t>
            </w:r>
            <w:r>
              <w:rPr>
                <w:rFonts w:hint="eastAsia"/>
                <w:color w:val="auto"/>
              </w:rPr>
              <w:fldChar w:fldCharType="begin"/>
            </w:r>
            <w:r>
              <w:rPr>
                <w:rFonts w:hint="eastAsia"/>
                <w:color w:val="auto"/>
              </w:rPr>
              <w:instrText xml:space="preserve">HYPERLINK "http://www.ccgp.gov.cn"</w:instrText>
            </w:r>
            <w:r>
              <w:rPr>
                <w:rFonts w:hint="eastAsia"/>
                <w:color w:val="auto"/>
              </w:rPr>
              <w:fldChar w:fldCharType="separate"/>
            </w:r>
            <w:r>
              <w:rPr>
                <w:rFonts w:hint="eastAsia"/>
                <w:color w:val="auto"/>
              </w:rPr>
              <w:t>www.ccgp.gov.cn</w:t>
            </w:r>
            <w:r>
              <w:rPr>
                <w:rFonts w:hint="eastAsia"/>
                <w:color w:val="auto"/>
              </w:rPr>
              <w:fldChar w:fldCharType="end"/>
            </w:r>
            <w:r>
              <w:rPr>
                <w:rFonts w:hint="eastAsia"/>
                <w:color w:val="auto"/>
              </w:rPr>
              <w:t>）。</w:t>
            </w:r>
          </w:p>
          <w:p w14:paraId="459857A3">
            <w:pPr>
              <w:spacing w:line="360" w:lineRule="auto"/>
              <w:rPr>
                <w:rFonts w:hint="eastAsia"/>
                <w:color w:val="auto"/>
              </w:rPr>
            </w:pPr>
            <w:r>
              <w:rPr>
                <w:rFonts w:hint="eastAsia"/>
                <w:color w:val="auto"/>
              </w:rPr>
              <w:t>信用查询截止时点：资格审查结束前。</w:t>
            </w:r>
          </w:p>
          <w:p w14:paraId="752A91AA">
            <w:pPr>
              <w:spacing w:line="360" w:lineRule="auto"/>
              <w:rPr>
                <w:rFonts w:hint="eastAsia"/>
                <w:color w:val="auto"/>
              </w:rPr>
            </w:pPr>
            <w:r>
              <w:rPr>
                <w:rFonts w:hint="eastAsia"/>
                <w:color w:val="auto"/>
              </w:rPr>
              <w:t>查询记录和证据留存方式：将查询网站中的查询记录截图并作为评审资料保存。</w:t>
            </w:r>
          </w:p>
          <w:p w14:paraId="24971C40">
            <w:pPr>
              <w:spacing w:line="360" w:lineRule="auto"/>
              <w:rPr>
                <w:rFonts w:hint="eastAsia"/>
                <w:color w:val="auto"/>
              </w:rPr>
            </w:pPr>
            <w:r>
              <w:rPr>
                <w:rFonts w:hint="eastAsia"/>
                <w:color w:val="auto"/>
              </w:rPr>
              <w:t>信用信息使用规则：根据财政部《关于在政府采购活动中查询及使用信用记录有关问题的通知》（财库〔2016〕125号）的规定，对在“信用中国”网站（www.creditchina.gov.cn）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2A01F4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1ABCF2B5">
            <w:pPr>
              <w:spacing w:line="360" w:lineRule="auto"/>
              <w:jc w:val="center"/>
              <w:rPr>
                <w:rFonts w:hint="eastAsia" w:ascii="宋体" w:hAnsi="宋体" w:cs="宋体"/>
                <w:color w:val="auto"/>
              </w:rPr>
            </w:pPr>
            <w:bookmarkStart w:id="70" w:name="_26"/>
            <w:bookmarkEnd w:id="70"/>
            <w:r>
              <w:rPr>
                <w:rFonts w:hint="eastAsia" w:ascii="宋体" w:hAnsi="宋体" w:cs="宋体"/>
                <w:color w:val="auto"/>
              </w:rPr>
              <w:t>26</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5A5748DC">
            <w:pPr>
              <w:spacing w:line="360" w:lineRule="auto"/>
              <w:rPr>
                <w:rFonts w:hint="eastAsia"/>
                <w:color w:val="auto"/>
              </w:rPr>
            </w:pPr>
            <w:r>
              <w:rPr>
                <w:rFonts w:hint="eastAsia"/>
                <w:color w:val="auto"/>
              </w:rPr>
              <w:t>评标委员会的人数：5人。</w:t>
            </w:r>
          </w:p>
        </w:tc>
      </w:tr>
      <w:tr w14:paraId="66D5A9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71E4A78F">
            <w:pPr>
              <w:spacing w:line="360" w:lineRule="auto"/>
              <w:jc w:val="center"/>
              <w:rPr>
                <w:rFonts w:hint="eastAsia" w:ascii="宋体" w:hAnsi="宋体" w:cs="宋体"/>
                <w:color w:val="auto"/>
              </w:rPr>
            </w:pPr>
            <w:bookmarkStart w:id="71" w:name="_28.3"/>
            <w:bookmarkEnd w:id="71"/>
            <w:r>
              <w:rPr>
                <w:rFonts w:hint="eastAsia" w:ascii="宋体" w:hAnsi="宋体" w:cs="宋体"/>
                <w:color w:val="auto"/>
              </w:rPr>
              <w:t>29.1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6C49DD0C">
            <w:pPr>
              <w:spacing w:line="360" w:lineRule="auto"/>
              <w:rPr>
                <w:rFonts w:hint="eastAsia"/>
                <w:color w:val="auto"/>
              </w:rPr>
            </w:pPr>
            <w:r>
              <w:rPr>
                <w:rFonts w:hint="eastAsia"/>
                <w:color w:val="auto"/>
              </w:rPr>
              <w:t>评标方法：综合评分法</w:t>
            </w:r>
          </w:p>
        </w:tc>
      </w:tr>
      <w:tr w14:paraId="5D219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895" w:type="dxa"/>
            <w:tcBorders>
              <w:top w:val="single" w:color="auto" w:sz="4" w:space="0"/>
              <w:left w:val="single" w:color="auto" w:sz="4" w:space="0"/>
              <w:right w:val="single" w:color="auto" w:sz="4" w:space="0"/>
            </w:tcBorders>
            <w:noWrap w:val="0"/>
            <w:vAlign w:val="center"/>
          </w:tcPr>
          <w:p w14:paraId="2CA0E144">
            <w:pPr>
              <w:spacing w:line="360" w:lineRule="auto"/>
              <w:jc w:val="center"/>
              <w:rPr>
                <w:rFonts w:hint="eastAsia" w:ascii="宋体" w:hAnsi="宋体" w:cs="宋体"/>
                <w:color w:val="auto"/>
              </w:rPr>
            </w:pPr>
            <w:bookmarkStart w:id="72" w:name="_29.2.2（2）"/>
            <w:bookmarkEnd w:id="72"/>
            <w:r>
              <w:rPr>
                <w:rFonts w:hint="eastAsia" w:ascii="宋体" w:hAnsi="宋体" w:cs="宋体"/>
                <w:color w:val="auto"/>
              </w:rPr>
              <w:t>29.2</w:t>
            </w:r>
          </w:p>
        </w:tc>
        <w:tc>
          <w:tcPr>
            <w:tcW w:w="8708" w:type="dxa"/>
            <w:tcBorders>
              <w:top w:val="single" w:color="auto" w:sz="4" w:space="0"/>
              <w:left w:val="single" w:color="auto" w:sz="4" w:space="0"/>
              <w:right w:val="single" w:color="auto" w:sz="4" w:space="0"/>
            </w:tcBorders>
            <w:noWrap w:val="0"/>
            <w:vAlign w:val="center"/>
          </w:tcPr>
          <w:p w14:paraId="572151E1">
            <w:pPr>
              <w:spacing w:line="360" w:lineRule="auto"/>
              <w:rPr>
                <w:rFonts w:hint="eastAsia"/>
                <w:color w:val="auto"/>
              </w:rPr>
            </w:pPr>
            <w:r>
              <w:rPr>
                <w:rFonts w:hint="eastAsia"/>
                <w:color w:val="auto"/>
              </w:rPr>
              <w:t>中标候选人推荐数量：3家</w:t>
            </w:r>
          </w:p>
        </w:tc>
      </w:tr>
      <w:tr w14:paraId="743149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26CA8D2C">
            <w:pPr>
              <w:spacing w:line="360" w:lineRule="auto"/>
              <w:jc w:val="center"/>
              <w:rPr>
                <w:rFonts w:hint="eastAsia" w:ascii="宋体" w:hAnsi="宋体" w:cs="宋体"/>
                <w:color w:val="auto"/>
              </w:rPr>
            </w:pPr>
            <w:r>
              <w:rPr>
                <w:rFonts w:hint="eastAsia" w:ascii="宋体" w:hAnsi="宋体" w:cs="宋体"/>
                <w:color w:val="auto"/>
              </w:rPr>
              <w:t>30.1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28727E1E">
            <w:pPr>
              <w:spacing w:line="360" w:lineRule="auto"/>
              <w:rPr>
                <w:rFonts w:hint="eastAsia"/>
                <w:color w:val="auto"/>
              </w:rPr>
            </w:pPr>
            <w:r>
              <w:rPr>
                <w:rFonts w:hint="eastAsia"/>
                <w:color w:val="auto"/>
              </w:rPr>
              <w:t>采用综合评分法的采购项目，采购人确定中标人时，出现中标候选人并列的情形，采购人按以下的方式确定中标人：评标委员会按投标报价低的原则确定，投标报价相同的按综合评分中技术分、商务分高低依次确定。如再相同，则采取随机抽取的方式确定。</w:t>
            </w:r>
          </w:p>
        </w:tc>
      </w:tr>
      <w:tr w14:paraId="70C5FF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37EC1C72">
            <w:pPr>
              <w:spacing w:line="360" w:lineRule="auto"/>
              <w:jc w:val="center"/>
              <w:rPr>
                <w:rFonts w:hint="eastAsia" w:ascii="宋体" w:hAnsi="宋体" w:cs="宋体"/>
                <w:color w:val="auto"/>
              </w:rPr>
            </w:pPr>
            <w:bookmarkStart w:id="73" w:name="_39.1"/>
            <w:bookmarkEnd w:id="73"/>
            <w:r>
              <w:rPr>
                <w:rFonts w:hint="eastAsia" w:ascii="宋体" w:hAnsi="宋体" w:cs="宋体"/>
                <w:color w:val="auto"/>
              </w:rPr>
              <w:t>35.1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07665DA1">
            <w:pPr>
              <w:spacing w:line="360" w:lineRule="auto"/>
              <w:rPr>
                <w:rFonts w:hint="eastAsia"/>
                <w:color w:val="auto"/>
              </w:rPr>
            </w:pPr>
            <w:r>
              <w:rPr>
                <w:rFonts w:hint="eastAsia"/>
                <w:color w:val="auto"/>
              </w:rPr>
              <w:sym w:font="Wingdings" w:char="00FE"/>
            </w:r>
            <w:r>
              <w:rPr>
                <w:rFonts w:hint="eastAsia"/>
                <w:color w:val="auto"/>
              </w:rPr>
              <w:t>本项目不收取履约保证金。</w:t>
            </w:r>
          </w:p>
          <w:p w14:paraId="76E98D9F">
            <w:pPr>
              <w:spacing w:line="360" w:lineRule="auto"/>
              <w:rPr>
                <w:rFonts w:hint="default" w:ascii="Times New Roman" w:hAnsi="Times New Roman" w:eastAsia="宋体" w:cs="Times New Roman"/>
                <w:color w:val="auto"/>
                <w:lang w:val="en-US" w:eastAsia="zh-CN"/>
              </w:rPr>
            </w:pPr>
            <w:r>
              <w:rPr>
                <w:rFonts w:hint="eastAsia"/>
                <w:color w:val="auto"/>
              </w:rPr>
              <w:sym w:font="Wingdings" w:char="00A8"/>
            </w:r>
            <w:r>
              <w:rPr>
                <w:rFonts w:hint="eastAsia"/>
                <w:color w:val="auto"/>
                <w:lang w:val="en-US" w:eastAsia="zh-CN"/>
              </w:rPr>
              <w:t>本项目收取</w:t>
            </w:r>
            <w:r>
              <w:rPr>
                <w:rFonts w:hint="eastAsia" w:ascii="Times New Roman" w:hAnsi="Times New Roman" w:eastAsia="宋体" w:cs="Times New Roman"/>
                <w:color w:val="auto"/>
                <w:lang w:val="en-US" w:eastAsia="zh-CN"/>
              </w:rPr>
              <w:t>履约保证金，具体规定如下：</w:t>
            </w:r>
          </w:p>
          <w:p w14:paraId="76EF0D8F">
            <w:pPr>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（一）中标供应商为大型企业须缴纳履约保证金金额：合同金额的5%。</w:t>
            </w:r>
          </w:p>
          <w:p w14:paraId="3D11FE05">
            <w:pPr>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（二）中标供应商为中小型企业须缴纳履约保证金金额：合同金额的2%。</w:t>
            </w:r>
          </w:p>
          <w:p w14:paraId="532EBD5F">
            <w:pPr>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（三）中标供应商为小微企业或监狱企业或残疾人福利性单位</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无须缴纳约保证金。</w:t>
            </w:r>
          </w:p>
          <w:p w14:paraId="2D1F3F76">
            <w:pPr>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中标供应商接到中标通知后，合同签订前5日内，中标供应商必须以银行转账、支票、汇票、本票或者金融机构、担保机构出具的保函、保险等非现金方式向采购人提交履约保证金。履约保证金在中标供应商提供所承诺的货物及服务期满收到中标供应商申请后5个工作日内退还全部履约保证金（不计利息，如在合同执行过程中违反合同规定或违约，则扣除相应履约保证金后退还剩下履约保证金）。若因中标供应商的原因未在规定时限内缴纳履约保证金的，则视为违约，采购人有权取消其中标供应商资格、拒绝签订合同。若因中标供应商的原因不能签订合同的，不退还履约保证金。在履约保证金退还日期前，若中标供应商的开户名称、开户银行、账号有变动的，请以书面形式通知采购人，否则由此产生的后果由中标供应商自负。</w:t>
            </w:r>
          </w:p>
          <w:p w14:paraId="5A295B48">
            <w:pPr>
              <w:spacing w:line="360" w:lineRule="auto"/>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履约保证金指定账户：</w:t>
            </w:r>
          </w:p>
          <w:p w14:paraId="0A176D5E">
            <w:pPr>
              <w:spacing w:line="360" w:lineRule="auto"/>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开户名称：</w:t>
            </w:r>
          </w:p>
          <w:p w14:paraId="7ADBAA20">
            <w:pPr>
              <w:spacing w:line="360" w:lineRule="auto"/>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开户银行：</w:t>
            </w:r>
          </w:p>
          <w:p w14:paraId="51FE4DCD">
            <w:pPr>
              <w:spacing w:line="360" w:lineRule="auto"/>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银行账号：</w:t>
            </w:r>
          </w:p>
          <w:p w14:paraId="54CF7ADC">
            <w:pPr>
              <w:spacing w:line="360" w:lineRule="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注：</w:t>
            </w:r>
          </w:p>
          <w:p w14:paraId="25A20D73">
            <w:pPr>
              <w:spacing w:line="360" w:lineRule="auto"/>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08A6DC36">
            <w:pPr>
              <w:spacing w:line="360" w:lineRule="auto"/>
              <w:ind w:firstLine="42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所称中小微企业</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含小型、微型企业，下同</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应当同时符合以下条件</w:t>
            </w:r>
            <w:r>
              <w:rPr>
                <w:rFonts w:hint="eastAsia" w:ascii="Times New Roman" w:hAnsi="Times New Roman" w:eastAsia="宋体" w:cs="Times New Roman"/>
                <w:color w:val="auto"/>
                <w:lang w:val="en-US" w:eastAsia="zh-CN"/>
              </w:rPr>
              <w:t>：</w:t>
            </w:r>
          </w:p>
          <w:p w14:paraId="63FC7599">
            <w:pPr>
              <w:spacing w:line="360" w:lineRule="auto"/>
              <w:ind w:firstLine="42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1</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符合《关于印发中小企业划型标准规定的通知》</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工信部联企业</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2011</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300号</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，中小微企业划分标准</w:t>
            </w:r>
            <w:r>
              <w:rPr>
                <w:rFonts w:hint="eastAsia" w:ascii="Times New Roman" w:hAnsi="Times New Roman" w:eastAsia="宋体" w:cs="Times New Roman"/>
                <w:color w:val="auto"/>
                <w:lang w:val="en-US" w:eastAsia="zh-CN"/>
              </w:rPr>
              <w:t>；</w:t>
            </w:r>
          </w:p>
          <w:p w14:paraId="3516016D">
            <w:pPr>
              <w:spacing w:line="360" w:lineRule="auto"/>
              <w:ind w:firstLine="42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提供本企业制造的货物、承担的工程或者服务，或者提供其他中小微企业制造的货物。本项所称货物不包括使用大型企业注册商标的货物。中型、小型、微型企业提供大型企业制造的货物的，视同为大型企业。</w:t>
            </w:r>
          </w:p>
          <w:p w14:paraId="330EACD7">
            <w:pPr>
              <w:spacing w:line="360" w:lineRule="auto"/>
              <w:ind w:firstLine="42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3</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以投标人在投标文件中提供的中小微企业声明函为认定标准，不提供的一律视为大型</w:t>
            </w:r>
            <w:r>
              <w:rPr>
                <w:rFonts w:hint="eastAsia" w:ascii="Times New Roman" w:hAnsi="Times New Roman" w:eastAsia="宋体" w:cs="Times New Roman"/>
                <w:color w:val="auto"/>
                <w:lang w:val="en-US" w:eastAsia="zh-CN"/>
              </w:rPr>
              <w:t>。</w:t>
            </w:r>
          </w:p>
        </w:tc>
      </w:tr>
      <w:tr w14:paraId="314DC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2476E76D">
            <w:pPr>
              <w:spacing w:line="360" w:lineRule="auto"/>
              <w:jc w:val="center"/>
              <w:rPr>
                <w:rFonts w:hint="eastAsia" w:ascii="宋体" w:hAnsi="宋体" w:cs="宋体"/>
                <w:color w:val="auto"/>
              </w:rPr>
            </w:pPr>
            <w:bookmarkStart w:id="74" w:name="_40.1"/>
            <w:bookmarkEnd w:id="74"/>
            <w:r>
              <w:rPr>
                <w:rFonts w:hint="eastAsia" w:ascii="宋体" w:hAnsi="宋体" w:cs="宋体"/>
                <w:color w:val="auto"/>
              </w:rPr>
              <w:t>36.1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0AEE3BA6">
            <w:pPr>
              <w:spacing w:line="360" w:lineRule="auto"/>
              <w:rPr>
                <w:rFonts w:hint="eastAsia"/>
                <w:color w:val="auto"/>
              </w:rPr>
            </w:pPr>
            <w:r>
              <w:rPr>
                <w:rFonts w:hint="eastAsia"/>
                <w:color w:val="auto"/>
              </w:rPr>
              <w:t>签订合同携带的证明材料：</w:t>
            </w:r>
          </w:p>
          <w:p w14:paraId="5E5F5862">
            <w:pPr>
              <w:spacing w:line="360" w:lineRule="auto"/>
              <w:rPr>
                <w:rFonts w:hint="eastAsia"/>
                <w:color w:val="auto"/>
              </w:rPr>
            </w:pPr>
            <w:r>
              <w:rPr>
                <w:rFonts w:hint="eastAsia"/>
                <w:color w:val="auto"/>
              </w:rPr>
              <w:t>1、委托代理人负责签订合同的，须携带授权委托书及委托代理人身份证原件等其他资格证件。</w:t>
            </w:r>
          </w:p>
          <w:p w14:paraId="69541D8D">
            <w:pPr>
              <w:spacing w:line="360" w:lineRule="auto"/>
              <w:rPr>
                <w:rFonts w:hint="eastAsia"/>
                <w:color w:val="auto"/>
              </w:rPr>
            </w:pPr>
            <w:r>
              <w:rPr>
                <w:rFonts w:hint="eastAsia"/>
                <w:color w:val="auto"/>
              </w:rPr>
              <w:t>2、法定代表人负责签订合同的，须携带法定代表人身份证明原件及身份证原件等其他证明材料。</w:t>
            </w:r>
          </w:p>
        </w:tc>
      </w:tr>
      <w:tr w14:paraId="6DAA0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42AD5FDD">
            <w:pPr>
              <w:spacing w:line="360" w:lineRule="auto"/>
              <w:jc w:val="center"/>
              <w:rPr>
                <w:rFonts w:hint="eastAsia" w:ascii="宋体" w:hAnsi="宋体" w:cs="宋体"/>
                <w:color w:val="auto"/>
              </w:rPr>
            </w:pPr>
            <w:r>
              <w:rPr>
                <w:rFonts w:hint="eastAsia" w:ascii="宋体" w:hAnsi="宋体" w:cs="宋体"/>
                <w:color w:val="auto"/>
              </w:rPr>
              <w:t>38.2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4EE4DA74">
            <w:pPr>
              <w:spacing w:line="360" w:lineRule="auto"/>
              <w:rPr>
                <w:rFonts w:hint="eastAsia"/>
                <w:color w:val="auto"/>
              </w:rPr>
            </w:pPr>
            <w:r>
              <w:rPr>
                <w:rFonts w:hint="eastAsia"/>
                <w:color w:val="auto"/>
              </w:rPr>
              <w:t>接收质疑函方式：以纸质书面形式</w:t>
            </w:r>
          </w:p>
          <w:p w14:paraId="66D4EDB1">
            <w:pPr>
              <w:spacing w:line="360" w:lineRule="auto"/>
              <w:rPr>
                <w:rFonts w:hint="eastAsia"/>
                <w:color w:val="auto"/>
              </w:rPr>
            </w:pPr>
            <w:r>
              <w:rPr>
                <w:rFonts w:hint="eastAsia"/>
                <w:color w:val="auto"/>
              </w:rPr>
              <w:t>质疑联系部门及联系方式：广西合士嘉项目咨询有限公司柳州分公司招标部，联系电话：0772-2999348，通讯地址：柳州市桂中大道89号B-3区3-1号</w:t>
            </w:r>
          </w:p>
          <w:p w14:paraId="44F06B2C">
            <w:pPr>
              <w:spacing w:line="360" w:lineRule="auto"/>
              <w:rPr>
                <w:rFonts w:hint="eastAsia"/>
                <w:color w:val="auto"/>
              </w:rPr>
            </w:pPr>
            <w:r>
              <w:rPr>
                <w:rFonts w:hint="eastAsia"/>
                <w:color w:val="auto"/>
              </w:rPr>
              <w:t>现场提交质疑办理业务时间：工作日，9：00-12：00；15：00-17：30（北京时间）</w:t>
            </w:r>
          </w:p>
        </w:tc>
      </w:tr>
      <w:tr w14:paraId="46742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7329A238">
            <w:pPr>
              <w:spacing w:line="360" w:lineRule="auto"/>
              <w:jc w:val="center"/>
              <w:rPr>
                <w:rFonts w:hint="eastAsia" w:ascii="宋体" w:hAnsi="宋体" w:cs="宋体"/>
                <w:color w:val="auto"/>
              </w:rPr>
            </w:pPr>
            <w:bookmarkStart w:id="75" w:name="_42"/>
            <w:bookmarkEnd w:id="75"/>
            <w:bookmarkStart w:id="76" w:name="_41"/>
            <w:bookmarkEnd w:id="76"/>
            <w:bookmarkStart w:id="77" w:name="_Hlt17709148"/>
            <w:r>
              <w:rPr>
                <w:rFonts w:hint="eastAsia" w:ascii="宋体" w:hAnsi="宋体" w:cs="宋体"/>
                <w:color w:val="auto"/>
              </w:rPr>
              <w:t>3</w:t>
            </w:r>
            <w:bookmarkEnd w:id="77"/>
            <w:r>
              <w:rPr>
                <w:rFonts w:hint="eastAsia" w:ascii="宋体" w:hAnsi="宋体" w:cs="宋体"/>
                <w:color w:val="auto"/>
              </w:rPr>
              <w:t>9.1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390FEBA6">
            <w:pPr>
              <w:spacing w:line="360" w:lineRule="auto"/>
              <w:ind w:firstLine="420" w:firstLineChars="200"/>
              <w:rPr>
                <w:rFonts w:hint="eastAsia"/>
                <w:color w:val="auto"/>
              </w:rPr>
            </w:pPr>
            <w:r>
              <w:rPr>
                <w:rFonts w:hint="eastAsia"/>
                <w:color w:val="auto"/>
              </w:rPr>
              <w:t>本项目为货物招标，代理服务收费标准按原国家发展计划委员会《招标代理服务收费管理暂行办法》（计价格[2002]1980号）收费标准及《国家发展改革委关于降低部分建设项目收费标准规范收费行为等有关问题的通知》（发改价格[2011]534号）标准费率的规定*80%收取。由中标人在领取中标人通知书时，一次性向采购代理机构支付代理服务费。</w:t>
            </w:r>
          </w:p>
        </w:tc>
      </w:tr>
      <w:tr w14:paraId="4CC02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0C8D89EA">
            <w:pPr>
              <w:spacing w:line="360" w:lineRule="auto"/>
              <w:jc w:val="center"/>
              <w:rPr>
                <w:rFonts w:hint="eastAsia" w:ascii="宋体" w:hAnsi="宋体" w:cs="宋体"/>
                <w:color w:val="auto"/>
              </w:rPr>
            </w:pPr>
            <w:r>
              <w:rPr>
                <w:rFonts w:hint="eastAsia" w:ascii="宋体" w:hAnsi="宋体" w:cs="宋体"/>
                <w:color w:val="auto"/>
              </w:rPr>
              <w:t>40.1</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38C4A329">
            <w:pPr>
              <w:spacing w:line="360" w:lineRule="auto"/>
              <w:rPr>
                <w:rFonts w:hint="eastAsia"/>
                <w:color w:val="auto"/>
              </w:rPr>
            </w:pPr>
            <w:r>
              <w:rPr>
                <w:rFonts w:hint="eastAsia"/>
                <w:color w:val="auto"/>
              </w:rPr>
              <w:t>解释：构成本招标文件的各个组成文件应互为解释，互为说明；除招标文件中有特别规定外，仅适用于招标投标阶段的规定，按更正公告（澄清公告）、招标公告、采购需求、</w:t>
            </w:r>
            <w:r>
              <w:rPr>
                <w:rFonts w:hint="eastAsia" w:ascii="宋体" w:hAnsi="宋体" w:cs="宋体"/>
                <w:color w:val="auto"/>
              </w:rPr>
              <w:t>供应商</w:t>
            </w:r>
            <w:r>
              <w:rPr>
                <w:rFonts w:hint="eastAsia"/>
                <w:color w:val="auto"/>
              </w:rPr>
              <w:t>须知、评标方法及评标标准、投标文件格式</w:t>
            </w:r>
            <w:r>
              <w:rPr>
                <w:rFonts w:hint="eastAsia"/>
                <w:color w:val="auto"/>
                <w:lang w:eastAsia="zh-CN"/>
              </w:rPr>
              <w:t>、</w:t>
            </w:r>
            <w:r>
              <w:rPr>
                <w:rFonts w:hint="eastAsia"/>
                <w:color w:val="auto"/>
              </w:rPr>
              <w:t>拟签订的合同文本的先后顺序解释</w:t>
            </w:r>
            <w:r>
              <w:rPr>
                <w:rFonts w:hint="eastAsia"/>
                <w:color w:val="auto"/>
                <w:lang w:eastAsia="zh-CN"/>
              </w:rPr>
              <w:t>，</w:t>
            </w:r>
            <w:r>
              <w:rPr>
                <w:rFonts w:hint="eastAsia"/>
                <w:color w:val="auto"/>
                <w:lang w:val="en-US" w:eastAsia="zh-CN"/>
              </w:rPr>
              <w:t>拟签订的政府采购合同不得对招标文件确定的实质性要求作出变更</w:t>
            </w:r>
            <w:r>
              <w:rPr>
                <w:rFonts w:hint="eastAsia"/>
                <w:color w:val="auto"/>
              </w:rPr>
              <w:t>；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6C2BD0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02585E82">
            <w:pPr>
              <w:spacing w:line="360" w:lineRule="auto"/>
              <w:jc w:val="center"/>
              <w:rPr>
                <w:rFonts w:hint="eastAsia" w:ascii="宋体" w:hAnsi="宋体" w:cs="宋体"/>
                <w:color w:val="auto"/>
              </w:rPr>
            </w:pPr>
            <w:r>
              <w:rPr>
                <w:rFonts w:hint="eastAsia" w:ascii="宋体" w:hAnsi="宋体" w:cs="宋体"/>
                <w:color w:val="auto"/>
              </w:rPr>
              <w:t>40.2</w:t>
            </w:r>
          </w:p>
        </w:tc>
        <w:tc>
          <w:tcPr>
            <w:tcW w:w="8708" w:type="dxa"/>
            <w:tcBorders>
              <w:top w:val="single" w:color="auto" w:sz="4" w:space="0"/>
              <w:left w:val="single" w:color="auto" w:sz="4" w:space="0"/>
              <w:bottom w:val="single" w:color="auto" w:sz="4" w:space="0"/>
              <w:right w:val="single" w:color="auto" w:sz="4" w:space="0"/>
            </w:tcBorders>
            <w:noWrap w:val="0"/>
            <w:vAlign w:val="center"/>
          </w:tcPr>
          <w:p w14:paraId="3F8D0EE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rPr>
            </w:pPr>
            <w:r>
              <w:rPr>
                <w:rFonts w:hint="eastAsia" w:ascii="宋体" w:hAnsi="宋体" w:cs="宋体"/>
                <w:color w:val="auto"/>
              </w:rPr>
              <w:t>1、本招标文件中描述供应商的“公章”是指根据我国对公章的管理规定，用供应商法定主体行为名称制作的印章（含电子印章），除本招标文件有特殊规定外，供应商的财务章、部门章、分公司章、工会章、合同章、投标专用章、业务专用章及银行的转账章、现金收讫章、现金付讫章等其他形式印章均不能代替公章。</w:t>
            </w:r>
          </w:p>
          <w:p w14:paraId="0F33C5C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rPr>
            </w:pPr>
            <w:r>
              <w:rPr>
                <w:rFonts w:hint="eastAsia" w:ascii="宋体" w:hAnsi="宋体" w:cs="宋体"/>
                <w:color w:val="auto"/>
              </w:rPr>
              <w:t>2、供应商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05DBFA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rPr>
            </w:pPr>
            <w:r>
              <w:rPr>
                <w:rFonts w:hint="eastAsia" w:ascii="宋体" w:hAnsi="宋体" w:cs="宋体"/>
                <w:color w:val="auto"/>
              </w:rPr>
              <w:t>3、本招标文件中描述供应商的“签字”是指供应商的法定代表人或者委托代理人在文件规定签署处签名（含电子签名）的行为，私章、印鉴等其他形式均不能代替签字。</w:t>
            </w:r>
          </w:p>
          <w:p w14:paraId="6D16049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rPr>
            </w:pPr>
            <w:r>
              <w:rPr>
                <w:rFonts w:hint="eastAsia" w:ascii="宋体" w:hAnsi="宋体" w:cs="宋体"/>
                <w:color w:val="auto"/>
              </w:rPr>
              <w:t>4、自然人投标的，招标文件规定盖公章处由自然人摁手指指印。</w:t>
            </w:r>
          </w:p>
          <w:p w14:paraId="2A0C443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rPr>
            </w:pPr>
            <w:r>
              <w:rPr>
                <w:rFonts w:hint="eastAsia" w:ascii="宋体" w:hAnsi="宋体" w:cs="宋体"/>
                <w:color w:val="auto"/>
              </w:rPr>
              <w:t>5、本招标文件所称的“以上”“以下”“以内”“届满”，包括本数；所称的“不满”“超过”“以外”，不包括本数。</w:t>
            </w:r>
          </w:p>
        </w:tc>
      </w:tr>
    </w:tbl>
    <w:p w14:paraId="6B4D6E80">
      <w:pPr>
        <w:snapToGrid w:val="0"/>
        <w:spacing w:line="360" w:lineRule="auto"/>
        <w:rPr>
          <w:rFonts w:ascii="宋体" w:hAnsi="宋体"/>
          <w:color w:val="auto"/>
          <w:szCs w:val="21"/>
        </w:rPr>
      </w:pPr>
    </w:p>
    <w:p w14:paraId="0D15B134">
      <w:pPr>
        <w:spacing w:line="360" w:lineRule="auto"/>
        <w:jc w:val="center"/>
        <w:rPr>
          <w:rFonts w:ascii="宋体" w:hAnsi="宋体"/>
          <w:color w:val="auto"/>
        </w:rPr>
      </w:pPr>
      <w:r>
        <w:rPr>
          <w:rFonts w:hint="eastAsia" w:ascii="宋体" w:hAnsi="宋体"/>
          <w:b/>
          <w:bCs/>
          <w:color w:val="auto"/>
          <w:sz w:val="44"/>
          <w:szCs w:val="44"/>
        </w:rPr>
        <w:br w:type="page"/>
      </w:r>
      <w:r>
        <w:rPr>
          <w:rFonts w:hint="eastAsia" w:ascii="宋体" w:hAnsi="宋体"/>
          <w:b/>
          <w:bCs/>
          <w:color w:val="auto"/>
          <w:sz w:val="44"/>
          <w:szCs w:val="44"/>
        </w:rPr>
        <w:t>供应商须知正文</w:t>
      </w:r>
    </w:p>
    <w:p w14:paraId="142F13F9">
      <w:pPr>
        <w:pStyle w:val="3"/>
        <w:keepNext w:val="0"/>
        <w:keepLines w:val="0"/>
        <w:spacing w:line="360" w:lineRule="auto"/>
        <w:jc w:val="center"/>
        <w:rPr>
          <w:rFonts w:ascii="宋体" w:hAnsi="宋体" w:eastAsia="宋体"/>
          <w:color w:val="auto"/>
        </w:rPr>
      </w:pPr>
      <w:r>
        <w:rPr>
          <w:rFonts w:hint="eastAsia" w:ascii="宋体" w:hAnsi="宋体" w:eastAsia="宋体"/>
          <w:color w:val="auto"/>
        </w:rPr>
        <w:t>一、总  则</w:t>
      </w:r>
    </w:p>
    <w:p w14:paraId="2FF18615">
      <w:pPr>
        <w:pStyle w:val="6"/>
        <w:keepNext w:val="0"/>
        <w:keepLines w:val="0"/>
        <w:spacing w:before="0" w:after="0" w:line="360" w:lineRule="auto"/>
        <w:ind w:left="420" w:leftChars="200"/>
        <w:rPr>
          <w:rFonts w:ascii="宋体" w:hAnsi="宋体"/>
          <w:color w:val="auto"/>
          <w:sz w:val="24"/>
        </w:rPr>
      </w:pPr>
      <w:bookmarkStart w:id="78" w:name="_Toc254970668"/>
      <w:bookmarkStart w:id="79" w:name="_Toc254970527"/>
      <w:r>
        <w:rPr>
          <w:rFonts w:hint="eastAsia" w:ascii="宋体" w:hAnsi="宋体"/>
          <w:color w:val="auto"/>
          <w:sz w:val="24"/>
        </w:rPr>
        <w:t>1.适用范围</w:t>
      </w:r>
      <w:bookmarkEnd w:id="78"/>
      <w:bookmarkEnd w:id="79"/>
    </w:p>
    <w:p w14:paraId="5BBA5394">
      <w:pPr>
        <w:snapToGrid w:val="0"/>
        <w:spacing w:line="360" w:lineRule="auto"/>
        <w:ind w:firstLine="420" w:firstLineChars="200"/>
        <w:jc w:val="left"/>
        <w:rPr>
          <w:rFonts w:ascii="宋体" w:hAnsi="宋体"/>
          <w:color w:val="auto"/>
          <w:szCs w:val="21"/>
        </w:rPr>
      </w:pPr>
      <w:r>
        <w:rPr>
          <w:rFonts w:hint="eastAsia" w:ascii="宋体" w:hAnsi="宋体"/>
          <w:color w:val="auto"/>
          <w:szCs w:val="21"/>
        </w:rPr>
        <w:t>1.1适用法律：本项目采购人、采购代理机构、投标人/供应商、评标委员会的相关行为均受《中华人民共和国政府采购法》、《中华人民共和国政府采购法实施条例》、《政府采购货物和服务招标投标管理办法》及本项目本级和上级财政部门政府采购有关规定的约束和保护。</w:t>
      </w:r>
    </w:p>
    <w:p w14:paraId="26471295">
      <w:pPr>
        <w:snapToGrid w:val="0"/>
        <w:spacing w:line="360" w:lineRule="auto"/>
        <w:ind w:firstLine="420" w:firstLineChars="200"/>
        <w:jc w:val="left"/>
        <w:rPr>
          <w:rFonts w:ascii="宋体" w:hAnsi="宋体"/>
          <w:color w:val="auto"/>
          <w:szCs w:val="21"/>
        </w:rPr>
      </w:pPr>
      <w:r>
        <w:rPr>
          <w:rFonts w:hint="eastAsia" w:ascii="宋体" w:hAnsi="宋体"/>
          <w:color w:val="auto"/>
          <w:szCs w:val="21"/>
        </w:rPr>
        <w:t>1.2本招标文件</w:t>
      </w:r>
      <w:r>
        <w:rPr>
          <w:rFonts w:hint="eastAsia" w:ascii="宋体" w:hAnsi="宋体" w:cs="宋体"/>
          <w:color w:val="auto"/>
          <w:spacing w:val="-6"/>
          <w:szCs w:val="21"/>
        </w:rPr>
        <w:t>适用于本项目的所有采购程序和环节（法律、法规另有规定的，从其规定）。</w:t>
      </w:r>
    </w:p>
    <w:p w14:paraId="24E56C3A">
      <w:pPr>
        <w:pStyle w:val="6"/>
        <w:keepNext w:val="0"/>
        <w:keepLines w:val="0"/>
        <w:spacing w:before="0" w:after="0" w:line="360" w:lineRule="auto"/>
        <w:ind w:left="420" w:leftChars="200"/>
        <w:rPr>
          <w:rFonts w:ascii="宋体" w:hAnsi="宋体"/>
          <w:color w:val="auto"/>
          <w:sz w:val="24"/>
        </w:rPr>
      </w:pPr>
      <w:bookmarkStart w:id="80" w:name="_Toc254970669"/>
      <w:bookmarkStart w:id="81" w:name="_Toc254970528"/>
      <w:r>
        <w:rPr>
          <w:rFonts w:hint="eastAsia" w:ascii="宋体" w:hAnsi="宋体"/>
          <w:color w:val="auto"/>
          <w:sz w:val="24"/>
        </w:rPr>
        <w:t>2.定义</w:t>
      </w:r>
      <w:bookmarkEnd w:id="80"/>
      <w:bookmarkEnd w:id="81"/>
    </w:p>
    <w:p w14:paraId="6E825BAE">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2.1“采购人”是指依法进行政府采购的国家机关、事业单位、团体组织。</w:t>
      </w:r>
    </w:p>
    <w:p w14:paraId="40DAEAA0">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2.2“采购代理机构”是指政府采购集中采购机构和集中采购机构以外的采购代理机构。</w:t>
      </w:r>
    </w:p>
    <w:p w14:paraId="23127973">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2.3“供应商”是指向采购人提供货物、工程或者服务的法人、其他组织或者自然人。</w:t>
      </w:r>
    </w:p>
    <w:p w14:paraId="11ED39A5">
      <w:pPr>
        <w:pStyle w:val="7"/>
        <w:spacing w:line="360" w:lineRule="auto"/>
        <w:rPr>
          <w:rFonts w:ascii="宋体" w:hAnsi="宋体"/>
          <w:color w:val="auto"/>
          <w:szCs w:val="21"/>
        </w:rPr>
      </w:pPr>
      <w:r>
        <w:rPr>
          <w:rFonts w:hint="eastAsia" w:ascii="宋体" w:hAnsi="宋体"/>
          <w:color w:val="auto"/>
          <w:szCs w:val="21"/>
        </w:rPr>
        <w:t>2.4“投标人”是指响应招标、参加投标竞争的法人、其他组织或者自然人。</w:t>
      </w:r>
    </w:p>
    <w:p w14:paraId="591E4701">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2.5“货物”是指各种形态和种类的物品，包括原材料、燃料、设备、产品等；“服务”是指除货物和工程以外的其他政府采购对象。</w:t>
      </w:r>
    </w:p>
    <w:p w14:paraId="2302A440">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2.6“售后服务” 是指商品出售以后所提供的各种服务，包含但不限于供应商须承担的备品备件、包装、运输、装卸、保险、货到就位以及安装、调试、培训、保修以及其他各种服务。</w:t>
      </w:r>
    </w:p>
    <w:p w14:paraId="78EA896C">
      <w:pPr>
        <w:pStyle w:val="6"/>
        <w:keepNext w:val="0"/>
        <w:keepLines w:val="0"/>
        <w:spacing w:before="0" w:after="0" w:line="360" w:lineRule="auto"/>
        <w:rPr>
          <w:rFonts w:ascii="宋体" w:hAnsi="宋体"/>
          <w:b w:val="0"/>
          <w:color w:val="auto"/>
          <w:sz w:val="21"/>
          <w:szCs w:val="21"/>
        </w:rPr>
      </w:pPr>
      <w:r>
        <w:rPr>
          <w:rFonts w:hint="eastAsia" w:ascii="宋体" w:hAnsi="宋体"/>
          <w:b w:val="0"/>
          <w:color w:val="auto"/>
          <w:sz w:val="21"/>
          <w:szCs w:val="21"/>
        </w:rPr>
        <w:t xml:space="preserve">    2.7“书面形式”是指合同书、信件和数据电文（包括电报、电传、传真、电子数据交换和电子邮件）等可以有形地表现所载内容的形式。</w:t>
      </w:r>
    </w:p>
    <w:p w14:paraId="37B238B0">
      <w:pPr>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2.8“实质性要求”是指招标文件中已经指明不满足则投标无效的条款，或者不能负偏离的条款，或者采购需求中带“▲”的条款。</w:t>
      </w:r>
    </w:p>
    <w:p w14:paraId="3D7B1396">
      <w:pPr>
        <w:snapToGrid w:val="0"/>
        <w:spacing w:line="360" w:lineRule="auto"/>
        <w:ind w:firstLine="420" w:firstLineChars="200"/>
        <w:jc w:val="left"/>
        <w:rPr>
          <w:rFonts w:ascii="宋体" w:hAnsi="宋体" w:cs="宋体"/>
          <w:color w:val="auto"/>
          <w:szCs w:val="21"/>
        </w:rPr>
      </w:pPr>
      <w:r>
        <w:rPr>
          <w:rFonts w:hint="eastAsia" w:ascii="宋体" w:hAnsi="宋体"/>
          <w:color w:val="auto"/>
          <w:szCs w:val="21"/>
        </w:rPr>
        <w:t xml:space="preserve">2.9 </w:t>
      </w:r>
      <w:r>
        <w:rPr>
          <w:rFonts w:hint="eastAsia" w:ascii="宋体" w:hAnsi="宋体" w:cs="宋体"/>
          <w:color w:val="auto"/>
          <w:szCs w:val="21"/>
        </w:rPr>
        <w:t>“正偏离”，是指投标文件对招标文件“采购需求”中有关条款作出的响应优于条款要求并有利于采购人的情形。</w:t>
      </w:r>
    </w:p>
    <w:p w14:paraId="18130673">
      <w:pPr>
        <w:snapToGrid w:val="0"/>
        <w:spacing w:line="360" w:lineRule="auto"/>
        <w:ind w:firstLine="420" w:firstLineChars="200"/>
        <w:jc w:val="left"/>
        <w:rPr>
          <w:rFonts w:ascii="宋体" w:hAnsi="宋体" w:cs="宋体"/>
          <w:color w:val="auto"/>
          <w:szCs w:val="21"/>
        </w:rPr>
      </w:pPr>
      <w:r>
        <w:rPr>
          <w:rFonts w:ascii="宋体" w:hAnsi="宋体" w:cs="宋体"/>
          <w:color w:val="auto"/>
          <w:szCs w:val="21"/>
        </w:rPr>
        <w:t>2.10</w:t>
      </w:r>
      <w:r>
        <w:rPr>
          <w:rFonts w:hint="eastAsia" w:ascii="宋体" w:hAnsi="宋体" w:cs="宋体"/>
          <w:color w:val="auto"/>
          <w:szCs w:val="21"/>
        </w:rPr>
        <w:t>“负偏离”，是指投标文件对招标文件“采购需求”中有关条款作出的响应不满足条款要求，导致采购人要求不能得到满足的情形。</w:t>
      </w:r>
    </w:p>
    <w:p w14:paraId="5C3C6DB7">
      <w:pPr>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2.11“允许负偏离的条款”是指采购需求中的不属于“实质性要求”的条款。</w:t>
      </w:r>
      <w:bookmarkStart w:id="82" w:name="_Toc254970529"/>
      <w:bookmarkStart w:id="83" w:name="_Toc254970670"/>
    </w:p>
    <w:p w14:paraId="6CECE3A5">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w:t>
      </w:r>
      <w:bookmarkEnd w:id="82"/>
      <w:bookmarkEnd w:id="83"/>
      <w:r>
        <w:rPr>
          <w:rFonts w:hint="eastAsia" w:ascii="宋体" w:hAnsi="宋体"/>
          <w:color w:val="auto"/>
          <w:sz w:val="24"/>
        </w:rPr>
        <w:t>供应商的资格要求</w:t>
      </w:r>
    </w:p>
    <w:p w14:paraId="48405DA5">
      <w:pPr>
        <w:snapToGrid w:val="0"/>
        <w:spacing w:line="360" w:lineRule="auto"/>
        <w:ind w:firstLine="420" w:firstLineChars="200"/>
        <w:jc w:val="left"/>
        <w:rPr>
          <w:rFonts w:ascii="宋体" w:hAnsi="宋体"/>
          <w:color w:val="auto"/>
          <w:szCs w:val="21"/>
        </w:rPr>
      </w:pPr>
      <w:r>
        <w:rPr>
          <w:rFonts w:hint="eastAsia" w:ascii="宋体" w:hAnsi="宋体"/>
          <w:color w:val="auto"/>
          <w:szCs w:val="21"/>
        </w:rPr>
        <w:t>供应商的资格要求详见“供应商须知前附表”。</w:t>
      </w:r>
    </w:p>
    <w:p w14:paraId="19B9E445">
      <w:pPr>
        <w:pStyle w:val="6"/>
        <w:keepNext w:val="0"/>
        <w:keepLines w:val="0"/>
        <w:spacing w:before="0" w:after="0" w:line="360" w:lineRule="auto"/>
        <w:ind w:left="420" w:leftChars="200"/>
        <w:rPr>
          <w:rFonts w:ascii="宋体" w:hAnsi="宋体"/>
          <w:color w:val="auto"/>
          <w:sz w:val="24"/>
        </w:rPr>
      </w:pPr>
      <w:bookmarkStart w:id="84" w:name="_Toc254970671"/>
      <w:bookmarkStart w:id="85" w:name="_Toc254970530"/>
      <w:r>
        <w:rPr>
          <w:rFonts w:hint="eastAsia" w:ascii="宋体" w:hAnsi="宋体"/>
          <w:color w:val="auto"/>
          <w:sz w:val="24"/>
        </w:rPr>
        <w:t>4.投标委托</w:t>
      </w:r>
      <w:bookmarkEnd w:id="84"/>
      <w:bookmarkEnd w:id="85"/>
    </w:p>
    <w:p w14:paraId="7EC296EB">
      <w:pPr>
        <w:snapToGrid w:val="0"/>
        <w:spacing w:line="360" w:lineRule="auto"/>
        <w:ind w:firstLine="420" w:firstLineChars="200"/>
        <w:jc w:val="left"/>
        <w:rPr>
          <w:rFonts w:ascii="宋体" w:hAnsi="宋体"/>
          <w:color w:val="auto"/>
          <w:szCs w:val="21"/>
        </w:rPr>
      </w:pPr>
      <w:r>
        <w:rPr>
          <w:rFonts w:hint="eastAsia" w:ascii="宋体" w:hAnsi="宋体"/>
          <w:color w:val="auto"/>
          <w:szCs w:val="21"/>
        </w:rPr>
        <w:t>供应商代表参加投标活动过程中必须携带个人有效身份证件。如供应商代表不是法定代表人，须持有授权委托书（按第六章要求格式填写）。</w:t>
      </w:r>
    </w:p>
    <w:p w14:paraId="1E667A87">
      <w:pPr>
        <w:pStyle w:val="6"/>
        <w:keepNext w:val="0"/>
        <w:keepLines w:val="0"/>
        <w:spacing w:before="0" w:after="0" w:line="360" w:lineRule="auto"/>
        <w:ind w:left="420" w:leftChars="200"/>
        <w:rPr>
          <w:rFonts w:ascii="宋体" w:hAnsi="宋体"/>
          <w:color w:val="auto"/>
          <w:sz w:val="24"/>
        </w:rPr>
      </w:pPr>
      <w:bookmarkStart w:id="86" w:name="_5.投标费用"/>
      <w:bookmarkEnd w:id="86"/>
      <w:bookmarkStart w:id="87" w:name="_Toc254970531"/>
      <w:bookmarkStart w:id="88" w:name="_Toc254970672"/>
      <w:r>
        <w:rPr>
          <w:rFonts w:hint="eastAsia" w:ascii="宋体" w:hAnsi="宋体"/>
          <w:color w:val="auto"/>
          <w:sz w:val="24"/>
        </w:rPr>
        <w:t>5.投标费用</w:t>
      </w:r>
      <w:bookmarkEnd w:id="87"/>
      <w:bookmarkEnd w:id="88"/>
    </w:p>
    <w:p w14:paraId="2795EA37">
      <w:pPr>
        <w:snapToGrid w:val="0"/>
        <w:spacing w:line="360" w:lineRule="auto"/>
        <w:ind w:firstLine="420" w:firstLineChars="200"/>
        <w:jc w:val="left"/>
        <w:rPr>
          <w:rFonts w:ascii="宋体" w:hAnsi="宋体"/>
          <w:color w:val="auto"/>
          <w:szCs w:val="21"/>
        </w:rPr>
      </w:pPr>
      <w:r>
        <w:rPr>
          <w:rFonts w:hint="eastAsia" w:ascii="宋体" w:hAnsi="宋体" w:cs="宋体"/>
          <w:color w:val="auto"/>
          <w:szCs w:val="21"/>
        </w:rPr>
        <w:t>投标费用：供应商应承担参与本次采购活动有关的所有费用，包括但不限于获取招标文件、勘查现场、编制和提交投标文件、参加澄清说明、签订合同等，不论投标结果如何，均应自行承担。</w:t>
      </w:r>
    </w:p>
    <w:p w14:paraId="74DA3DEB">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6.联合体投标</w:t>
      </w:r>
    </w:p>
    <w:p w14:paraId="4C3E0CB0">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6.1本项目是否接受联合体投标，详见“供应商须知前附表”。</w:t>
      </w:r>
    </w:p>
    <w:p w14:paraId="7F0B3629">
      <w:pPr>
        <w:pStyle w:val="45"/>
        <w:spacing w:line="360" w:lineRule="auto"/>
        <w:rPr>
          <w:rFonts w:hint="eastAsia" w:ascii="宋体" w:hAnsi="宋体"/>
          <w:color w:val="auto"/>
          <w:kern w:val="2"/>
          <w:sz w:val="21"/>
          <w:szCs w:val="21"/>
        </w:rPr>
      </w:pPr>
      <w:r>
        <w:rPr>
          <w:rFonts w:hint="eastAsia" w:ascii="宋体" w:hAnsi="宋体"/>
          <w:color w:val="auto"/>
          <w:kern w:val="2"/>
          <w:sz w:val="21"/>
          <w:szCs w:val="21"/>
        </w:rPr>
        <w:t xml:space="preserve">6.2 如接受联合体投标，联合体投标要求详见“供应商须知前附表”。 </w:t>
      </w:r>
    </w:p>
    <w:p w14:paraId="62D73ABE">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 xml:space="preserve">7.转包与分包             </w:t>
      </w:r>
    </w:p>
    <w:p w14:paraId="4FBC67CF">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7.1本项目不允许转包。</w:t>
      </w:r>
    </w:p>
    <w:p w14:paraId="01BEF4A7">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7.2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11CE3065">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7.3供应商根据招标文件的规定和采购项目的实际情况，拟在中标后将中标项目的非主体、非关键性工作分包的，应当在投标文件中载明分包承担主体，分包承担主体应当具备相应资质条件且不得再次分包。</w:t>
      </w:r>
    </w:p>
    <w:p w14:paraId="19F95313">
      <w:pPr>
        <w:pStyle w:val="6"/>
        <w:keepNext w:val="0"/>
        <w:keepLines w:val="0"/>
        <w:spacing w:before="0" w:after="0" w:line="360" w:lineRule="auto"/>
        <w:ind w:left="420" w:leftChars="200"/>
        <w:rPr>
          <w:rFonts w:ascii="宋体" w:hAnsi="宋体"/>
          <w:color w:val="auto"/>
          <w:sz w:val="24"/>
        </w:rPr>
      </w:pPr>
      <w:bookmarkStart w:id="89" w:name="_Toc254970532"/>
      <w:bookmarkStart w:id="90" w:name="_Toc254970673"/>
      <w:r>
        <w:rPr>
          <w:rFonts w:hint="eastAsia" w:ascii="宋体" w:hAnsi="宋体"/>
          <w:color w:val="auto"/>
          <w:sz w:val="24"/>
        </w:rPr>
        <w:t>8.特别说明</w:t>
      </w:r>
      <w:bookmarkEnd w:id="89"/>
      <w:bookmarkEnd w:id="90"/>
    </w:p>
    <w:p w14:paraId="4A6EE459">
      <w:pPr>
        <w:pStyle w:val="6"/>
        <w:keepNext w:val="0"/>
        <w:keepLines w:val="0"/>
        <w:spacing w:before="0" w:after="0" w:line="360" w:lineRule="auto"/>
        <w:ind w:firstLine="315" w:firstLineChars="150"/>
        <w:rPr>
          <w:rFonts w:ascii="宋体" w:hAnsi="宋体"/>
          <w:b w:val="0"/>
          <w:color w:val="auto"/>
          <w:sz w:val="21"/>
          <w:szCs w:val="21"/>
        </w:rPr>
      </w:pPr>
      <w:bookmarkStart w:id="91" w:name="_8.1提供相同品牌产品且通过资格审查、符合性审查的不同投标人参加同一合"/>
      <w:bookmarkEnd w:id="91"/>
      <w:r>
        <w:rPr>
          <w:rFonts w:hint="eastAsia" w:ascii="宋体" w:hAnsi="宋体"/>
          <w:b w:val="0"/>
          <w:color w:val="auto"/>
          <w:sz w:val="21"/>
          <w:szCs w:val="21"/>
        </w:rPr>
        <w:t>8.1如果本招标文件要求提供供应商或制造商的资格、信誉、荣誉、业绩与企业认证等材料的，资格、信誉、荣誉、业绩与企业认证等必须为供应商或者制造商所拥有或自身获得 。</w:t>
      </w:r>
    </w:p>
    <w:p w14:paraId="793507D8">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8.2供应商应仔细阅读招标文件的所有内容，按照招标文件的要求提交投标文件，并对所提供的全部资料的真实性承担法律责任。</w:t>
      </w:r>
    </w:p>
    <w:p w14:paraId="0075873A">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8.3供应商在投标活动中提供任何虚假材料，将报监管部门查处；中标后发现的，中标人须依法赔偿采购人，且民事赔偿并不免除违法供应商的行政与刑事责任。</w:t>
      </w:r>
    </w:p>
    <w:p w14:paraId="5EF840B4">
      <w:pPr>
        <w:pStyle w:val="6"/>
        <w:keepNext w:val="0"/>
        <w:keepLines w:val="0"/>
        <w:spacing w:before="0" w:after="0" w:line="360" w:lineRule="auto"/>
        <w:ind w:left="420" w:leftChars="200"/>
        <w:rPr>
          <w:rFonts w:ascii="宋体" w:hAnsi="宋体"/>
          <w:color w:val="auto"/>
          <w:sz w:val="24"/>
        </w:rPr>
      </w:pPr>
      <w:r>
        <w:rPr>
          <w:rFonts w:ascii="宋体" w:hAnsi="宋体"/>
          <w:color w:val="auto"/>
          <w:sz w:val="24"/>
        </w:rPr>
        <w:t>9.</w:t>
      </w:r>
      <w:r>
        <w:rPr>
          <w:rFonts w:hint="eastAsia" w:ascii="宋体" w:hAnsi="宋体"/>
          <w:color w:val="auto"/>
          <w:sz w:val="24"/>
        </w:rPr>
        <w:t>回避与串通投标</w:t>
      </w:r>
    </w:p>
    <w:p w14:paraId="7C84752D">
      <w:pPr>
        <w:pStyle w:val="6"/>
        <w:keepNext w:val="0"/>
        <w:keepLines w:val="0"/>
        <w:spacing w:before="0" w:after="0" w:line="360" w:lineRule="auto"/>
        <w:ind w:firstLine="367" w:firstLineChars="175"/>
        <w:rPr>
          <w:rFonts w:ascii="宋体" w:hAnsi="宋体"/>
          <w:b w:val="0"/>
          <w:color w:val="auto"/>
          <w:sz w:val="21"/>
          <w:szCs w:val="21"/>
        </w:rPr>
      </w:pPr>
      <w:r>
        <w:rPr>
          <w:rFonts w:hint="eastAsia" w:ascii="宋体" w:hAnsi="宋体"/>
          <w:b w:val="0"/>
          <w:color w:val="auto"/>
          <w:sz w:val="21"/>
          <w:szCs w:val="21"/>
        </w:rPr>
        <w:t>9</w:t>
      </w:r>
      <w:r>
        <w:rPr>
          <w:rFonts w:ascii="宋体" w:hAnsi="宋体"/>
          <w:b w:val="0"/>
          <w:color w:val="auto"/>
          <w:sz w:val="21"/>
          <w:szCs w:val="21"/>
        </w:rPr>
        <w:t>.1在政府采购活动中，采购人员及相关人员与</w:t>
      </w:r>
      <w:r>
        <w:rPr>
          <w:rFonts w:hint="eastAsia" w:ascii="宋体" w:hAnsi="宋体"/>
          <w:b w:val="0"/>
          <w:color w:val="auto"/>
          <w:sz w:val="21"/>
          <w:szCs w:val="21"/>
        </w:rPr>
        <w:t>供应商</w:t>
      </w:r>
      <w:r>
        <w:rPr>
          <w:rFonts w:ascii="宋体" w:hAnsi="宋体"/>
          <w:b w:val="0"/>
          <w:color w:val="auto"/>
          <w:sz w:val="21"/>
          <w:szCs w:val="21"/>
        </w:rPr>
        <w:t>有下列利害关系之一的，应当回避：</w:t>
      </w:r>
    </w:p>
    <w:p w14:paraId="4D9D2EA5">
      <w:pPr>
        <w:pStyle w:val="24"/>
        <w:snapToGrid w:val="0"/>
        <w:spacing w:line="360" w:lineRule="auto"/>
        <w:ind w:left="2" w:leftChars="1" w:firstLine="420" w:firstLineChars="200"/>
        <w:rPr>
          <w:rFonts w:hAnsi="宋体"/>
          <w:color w:val="auto"/>
          <w:kern w:val="2"/>
          <w:sz w:val="21"/>
        </w:rPr>
      </w:pPr>
      <w:r>
        <w:rPr>
          <w:rFonts w:hAnsi="宋体"/>
          <w:color w:val="auto"/>
          <w:kern w:val="2"/>
          <w:sz w:val="21"/>
        </w:rPr>
        <w:t>（</w:t>
      </w:r>
      <w:r>
        <w:rPr>
          <w:rFonts w:hint="eastAsia" w:hAnsi="宋体"/>
          <w:color w:val="auto"/>
          <w:kern w:val="2"/>
          <w:sz w:val="21"/>
        </w:rPr>
        <w:t>1</w:t>
      </w:r>
      <w:r>
        <w:rPr>
          <w:rFonts w:hAnsi="宋体"/>
          <w:color w:val="auto"/>
          <w:kern w:val="2"/>
          <w:sz w:val="21"/>
        </w:rPr>
        <w:t>）参加采购活动前3年内与</w:t>
      </w:r>
      <w:r>
        <w:rPr>
          <w:rFonts w:hint="eastAsia" w:hAnsi="宋体"/>
          <w:color w:val="auto"/>
          <w:kern w:val="2"/>
          <w:sz w:val="21"/>
        </w:rPr>
        <w:t>供应商</w:t>
      </w:r>
      <w:r>
        <w:rPr>
          <w:rFonts w:hAnsi="宋体"/>
          <w:color w:val="auto"/>
          <w:kern w:val="2"/>
          <w:sz w:val="21"/>
        </w:rPr>
        <w:t>存在劳动关系；</w:t>
      </w:r>
    </w:p>
    <w:p w14:paraId="2EB81EE5">
      <w:pPr>
        <w:pStyle w:val="24"/>
        <w:snapToGrid w:val="0"/>
        <w:spacing w:line="360" w:lineRule="auto"/>
        <w:ind w:left="2" w:leftChars="1" w:firstLine="420" w:firstLineChars="200"/>
        <w:rPr>
          <w:rFonts w:hAnsi="宋体"/>
          <w:color w:val="auto"/>
          <w:kern w:val="2"/>
          <w:sz w:val="21"/>
        </w:rPr>
      </w:pPr>
      <w:r>
        <w:rPr>
          <w:rFonts w:hAnsi="宋体"/>
          <w:color w:val="auto"/>
          <w:kern w:val="2"/>
          <w:sz w:val="21"/>
        </w:rPr>
        <w:t>（</w:t>
      </w:r>
      <w:r>
        <w:rPr>
          <w:rFonts w:hint="eastAsia" w:hAnsi="宋体"/>
          <w:color w:val="auto"/>
          <w:kern w:val="2"/>
          <w:sz w:val="21"/>
        </w:rPr>
        <w:t>2</w:t>
      </w:r>
      <w:r>
        <w:rPr>
          <w:rFonts w:hAnsi="宋体"/>
          <w:color w:val="auto"/>
          <w:kern w:val="2"/>
          <w:sz w:val="21"/>
        </w:rPr>
        <w:t>）参加采购活动前3年内担任</w:t>
      </w:r>
      <w:r>
        <w:rPr>
          <w:rFonts w:hint="eastAsia" w:hAnsi="宋体"/>
          <w:color w:val="auto"/>
          <w:kern w:val="2"/>
          <w:sz w:val="21"/>
        </w:rPr>
        <w:t>供应商</w:t>
      </w:r>
      <w:r>
        <w:rPr>
          <w:rFonts w:hAnsi="宋体"/>
          <w:color w:val="auto"/>
          <w:kern w:val="2"/>
          <w:sz w:val="21"/>
        </w:rPr>
        <w:t>的董事、监事；</w:t>
      </w:r>
    </w:p>
    <w:p w14:paraId="3054CB8A">
      <w:pPr>
        <w:pStyle w:val="24"/>
        <w:snapToGrid w:val="0"/>
        <w:spacing w:line="360" w:lineRule="auto"/>
        <w:ind w:left="2" w:leftChars="1" w:firstLine="420" w:firstLineChars="200"/>
        <w:rPr>
          <w:rFonts w:hAnsi="宋体"/>
          <w:color w:val="auto"/>
          <w:kern w:val="2"/>
          <w:sz w:val="21"/>
        </w:rPr>
      </w:pPr>
      <w:r>
        <w:rPr>
          <w:rFonts w:hAnsi="宋体"/>
          <w:color w:val="auto"/>
          <w:kern w:val="2"/>
          <w:sz w:val="21"/>
        </w:rPr>
        <w:t>（</w:t>
      </w:r>
      <w:r>
        <w:rPr>
          <w:rFonts w:hint="eastAsia" w:hAnsi="宋体"/>
          <w:color w:val="auto"/>
          <w:kern w:val="2"/>
          <w:sz w:val="21"/>
        </w:rPr>
        <w:t>3</w:t>
      </w:r>
      <w:r>
        <w:rPr>
          <w:rFonts w:hAnsi="宋体"/>
          <w:color w:val="auto"/>
          <w:kern w:val="2"/>
          <w:sz w:val="21"/>
        </w:rPr>
        <w:t>）参加采购活动前3年内是</w:t>
      </w:r>
      <w:r>
        <w:rPr>
          <w:rFonts w:hint="eastAsia" w:hAnsi="宋体"/>
          <w:color w:val="auto"/>
          <w:kern w:val="2"/>
          <w:sz w:val="21"/>
        </w:rPr>
        <w:t>供应商</w:t>
      </w:r>
      <w:r>
        <w:rPr>
          <w:rFonts w:hAnsi="宋体"/>
          <w:color w:val="auto"/>
          <w:kern w:val="2"/>
          <w:sz w:val="21"/>
        </w:rPr>
        <w:t>的控股股东或者实际控制人；</w:t>
      </w:r>
    </w:p>
    <w:p w14:paraId="3855A543">
      <w:pPr>
        <w:pStyle w:val="24"/>
        <w:snapToGrid w:val="0"/>
        <w:spacing w:line="360" w:lineRule="auto"/>
        <w:ind w:left="2" w:leftChars="1" w:firstLine="420" w:firstLineChars="200"/>
        <w:rPr>
          <w:rFonts w:hAnsi="宋体"/>
          <w:color w:val="auto"/>
          <w:kern w:val="2"/>
          <w:sz w:val="21"/>
        </w:rPr>
      </w:pPr>
      <w:r>
        <w:rPr>
          <w:rFonts w:hAnsi="宋体"/>
          <w:color w:val="auto"/>
          <w:kern w:val="2"/>
          <w:sz w:val="21"/>
        </w:rPr>
        <w:t>（</w:t>
      </w:r>
      <w:r>
        <w:rPr>
          <w:rFonts w:hint="eastAsia" w:hAnsi="宋体"/>
          <w:color w:val="auto"/>
          <w:kern w:val="2"/>
          <w:sz w:val="21"/>
        </w:rPr>
        <w:t>4</w:t>
      </w:r>
      <w:r>
        <w:rPr>
          <w:rFonts w:hAnsi="宋体"/>
          <w:color w:val="auto"/>
          <w:kern w:val="2"/>
          <w:sz w:val="21"/>
        </w:rPr>
        <w:t>）与</w:t>
      </w:r>
      <w:r>
        <w:rPr>
          <w:rFonts w:hint="eastAsia" w:hAnsi="宋体"/>
          <w:color w:val="auto"/>
          <w:kern w:val="2"/>
          <w:sz w:val="21"/>
        </w:rPr>
        <w:t>供应商</w:t>
      </w:r>
      <w:r>
        <w:rPr>
          <w:rFonts w:hAnsi="宋体"/>
          <w:color w:val="auto"/>
          <w:kern w:val="2"/>
          <w:sz w:val="21"/>
        </w:rPr>
        <w:t>的法定代表人或者负责人有夫妻、直系血亲、三代以内旁系血亲或者近姻亲关系；</w:t>
      </w:r>
    </w:p>
    <w:p w14:paraId="579AFF61">
      <w:pPr>
        <w:pStyle w:val="24"/>
        <w:snapToGrid w:val="0"/>
        <w:spacing w:line="360" w:lineRule="auto"/>
        <w:ind w:left="2" w:leftChars="1" w:firstLine="420" w:firstLineChars="200"/>
        <w:rPr>
          <w:rFonts w:hAnsi="宋体"/>
          <w:color w:val="auto"/>
          <w:kern w:val="2"/>
          <w:sz w:val="21"/>
        </w:rPr>
      </w:pPr>
      <w:r>
        <w:rPr>
          <w:rFonts w:hAnsi="宋体"/>
          <w:color w:val="auto"/>
          <w:kern w:val="2"/>
          <w:sz w:val="21"/>
        </w:rPr>
        <w:t>（</w:t>
      </w:r>
      <w:r>
        <w:rPr>
          <w:rFonts w:hint="eastAsia" w:hAnsi="宋体"/>
          <w:color w:val="auto"/>
          <w:kern w:val="2"/>
          <w:sz w:val="21"/>
        </w:rPr>
        <w:t>5</w:t>
      </w:r>
      <w:r>
        <w:rPr>
          <w:rFonts w:hAnsi="宋体"/>
          <w:color w:val="auto"/>
          <w:kern w:val="2"/>
          <w:sz w:val="21"/>
        </w:rPr>
        <w:t>）与</w:t>
      </w:r>
      <w:r>
        <w:rPr>
          <w:rFonts w:hint="eastAsia" w:hAnsi="宋体"/>
          <w:color w:val="auto"/>
          <w:kern w:val="2"/>
          <w:sz w:val="21"/>
        </w:rPr>
        <w:t>供应商</w:t>
      </w:r>
      <w:r>
        <w:rPr>
          <w:rFonts w:hAnsi="宋体"/>
          <w:color w:val="auto"/>
          <w:kern w:val="2"/>
          <w:sz w:val="21"/>
        </w:rPr>
        <w:t>有其他可能影响政府采购活动公平、公正进行的关系。</w:t>
      </w:r>
    </w:p>
    <w:p w14:paraId="31694717">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供应商</w:t>
      </w:r>
      <w:r>
        <w:rPr>
          <w:rFonts w:hAnsi="宋体"/>
          <w:color w:val="auto"/>
          <w:kern w:val="2"/>
          <w:sz w:val="21"/>
        </w:rPr>
        <w:t>认为采购人员及相关人员与其他</w:t>
      </w:r>
      <w:r>
        <w:rPr>
          <w:rFonts w:hint="eastAsia" w:hAnsi="宋体"/>
          <w:color w:val="auto"/>
          <w:kern w:val="2"/>
          <w:sz w:val="21"/>
        </w:rPr>
        <w:t>供应商</w:t>
      </w:r>
      <w:r>
        <w:rPr>
          <w:rFonts w:hAnsi="宋体"/>
          <w:color w:val="auto"/>
          <w:kern w:val="2"/>
          <w:sz w:val="21"/>
        </w:rPr>
        <w:t>有利害关系的，可以向采购人或者采购代理机构书面提出回避申请，并说明理由。采购人或者采购代理机构应当及时询问被申请回避人员，有利害关系的被申请回避人员应当回避。</w:t>
      </w:r>
    </w:p>
    <w:p w14:paraId="0B6E46C3">
      <w:pPr>
        <w:pStyle w:val="6"/>
        <w:keepNext w:val="0"/>
        <w:keepLines w:val="0"/>
        <w:spacing w:before="0" w:after="0" w:line="360" w:lineRule="auto"/>
        <w:ind w:left="420" w:leftChars="200"/>
        <w:rPr>
          <w:rFonts w:ascii="宋体" w:hAnsi="宋体"/>
          <w:color w:val="auto"/>
          <w:sz w:val="21"/>
          <w:szCs w:val="21"/>
        </w:rPr>
      </w:pPr>
      <w:r>
        <w:rPr>
          <w:rFonts w:ascii="宋体" w:hAnsi="宋体"/>
          <w:color w:val="auto"/>
          <w:sz w:val="21"/>
          <w:szCs w:val="21"/>
        </w:rPr>
        <w:t>9.2</w:t>
      </w:r>
      <w:r>
        <w:rPr>
          <w:rFonts w:hint="eastAsia" w:ascii="宋体" w:hAnsi="宋体"/>
          <w:color w:val="auto"/>
          <w:sz w:val="21"/>
          <w:szCs w:val="21"/>
        </w:rPr>
        <w:t>有下列情形之一的视为供应商相互串通投标，投标文件将被视为无效：</w:t>
      </w:r>
    </w:p>
    <w:p w14:paraId="1FDD0718">
      <w:pPr>
        <w:pStyle w:val="24"/>
        <w:snapToGrid w:val="0"/>
        <w:spacing w:line="360" w:lineRule="auto"/>
        <w:ind w:left="2" w:leftChars="1" w:firstLine="422" w:firstLineChars="200"/>
        <w:rPr>
          <w:rFonts w:hAnsi="宋体"/>
          <w:b/>
          <w:color w:val="auto"/>
          <w:kern w:val="2"/>
          <w:sz w:val="21"/>
        </w:rPr>
      </w:pPr>
      <w:r>
        <w:rPr>
          <w:rFonts w:hint="eastAsia" w:hAnsi="宋体"/>
          <w:b/>
          <w:color w:val="auto"/>
          <w:kern w:val="2"/>
          <w:sz w:val="21"/>
        </w:rPr>
        <w:t xml:space="preserve">（1）不同供应商的投标文件由同一单位或者个人编制； </w:t>
      </w:r>
    </w:p>
    <w:p w14:paraId="5D4291D1">
      <w:pPr>
        <w:pStyle w:val="24"/>
        <w:snapToGrid w:val="0"/>
        <w:spacing w:line="360" w:lineRule="auto"/>
        <w:ind w:left="2" w:leftChars="1" w:firstLine="422" w:firstLineChars="200"/>
        <w:rPr>
          <w:rFonts w:hAnsi="宋体"/>
          <w:b/>
          <w:color w:val="auto"/>
          <w:kern w:val="2"/>
          <w:sz w:val="21"/>
        </w:rPr>
      </w:pPr>
      <w:r>
        <w:rPr>
          <w:rFonts w:hint="eastAsia" w:hAnsi="宋体"/>
          <w:b/>
          <w:color w:val="auto"/>
          <w:kern w:val="2"/>
          <w:sz w:val="21"/>
        </w:rPr>
        <w:t>（2）不同供应商委托同一单位或者个人办理投标事宜；</w:t>
      </w:r>
    </w:p>
    <w:p w14:paraId="2644A1DB">
      <w:pPr>
        <w:pStyle w:val="24"/>
        <w:snapToGrid w:val="0"/>
        <w:spacing w:line="360" w:lineRule="auto"/>
        <w:ind w:left="2" w:leftChars="1" w:firstLine="422" w:firstLineChars="200"/>
        <w:rPr>
          <w:rFonts w:hAnsi="宋体"/>
          <w:b/>
          <w:color w:val="auto"/>
          <w:kern w:val="2"/>
          <w:sz w:val="21"/>
        </w:rPr>
      </w:pPr>
      <w:r>
        <w:rPr>
          <w:rFonts w:hint="eastAsia" w:hAnsi="宋体"/>
          <w:b/>
          <w:color w:val="auto"/>
          <w:kern w:val="2"/>
          <w:sz w:val="21"/>
        </w:rPr>
        <w:t>（3）不同的供应商的投标文件载明的项目管理员为同一个人；</w:t>
      </w:r>
    </w:p>
    <w:p w14:paraId="670DC918">
      <w:pPr>
        <w:pStyle w:val="24"/>
        <w:snapToGrid w:val="0"/>
        <w:spacing w:line="360" w:lineRule="auto"/>
        <w:ind w:left="2" w:leftChars="1" w:firstLine="422" w:firstLineChars="200"/>
        <w:rPr>
          <w:rFonts w:hAnsi="宋体"/>
          <w:b/>
          <w:color w:val="auto"/>
          <w:kern w:val="2"/>
          <w:sz w:val="21"/>
        </w:rPr>
      </w:pPr>
      <w:r>
        <w:rPr>
          <w:rFonts w:hint="eastAsia" w:hAnsi="宋体"/>
          <w:b/>
          <w:color w:val="auto"/>
          <w:kern w:val="2"/>
          <w:sz w:val="21"/>
        </w:rPr>
        <w:t>（4）不同供应商的投标文件异常一致或者投标报价呈规律性差异；</w:t>
      </w:r>
    </w:p>
    <w:p w14:paraId="5999F472">
      <w:pPr>
        <w:pStyle w:val="24"/>
        <w:snapToGrid w:val="0"/>
        <w:spacing w:line="360" w:lineRule="auto"/>
        <w:ind w:left="2" w:leftChars="1" w:firstLine="422" w:firstLineChars="200"/>
        <w:rPr>
          <w:rFonts w:hAnsi="宋体"/>
          <w:b/>
          <w:color w:val="auto"/>
          <w:kern w:val="2"/>
          <w:sz w:val="21"/>
        </w:rPr>
      </w:pPr>
      <w:r>
        <w:rPr>
          <w:rFonts w:hint="eastAsia" w:hAnsi="宋体"/>
          <w:b/>
          <w:color w:val="auto"/>
          <w:kern w:val="2"/>
          <w:sz w:val="21"/>
        </w:rPr>
        <w:t>（5）不同供应商的投标文件相互混装；</w:t>
      </w:r>
    </w:p>
    <w:p w14:paraId="22C9929A">
      <w:pPr>
        <w:pStyle w:val="24"/>
        <w:snapToGrid w:val="0"/>
        <w:spacing w:line="360" w:lineRule="auto"/>
        <w:ind w:left="2" w:leftChars="1" w:firstLine="422" w:firstLineChars="200"/>
        <w:rPr>
          <w:rFonts w:hAnsi="宋体"/>
          <w:b/>
          <w:color w:val="auto"/>
          <w:kern w:val="2"/>
          <w:sz w:val="21"/>
        </w:rPr>
      </w:pPr>
      <w:r>
        <w:rPr>
          <w:rFonts w:hint="eastAsia" w:hAnsi="宋体"/>
          <w:b/>
          <w:color w:val="auto"/>
          <w:kern w:val="2"/>
          <w:sz w:val="21"/>
        </w:rPr>
        <w:t>（6）不同供应商的投标保证金从同一单位或者个人账户转出。</w:t>
      </w:r>
    </w:p>
    <w:p w14:paraId="39437B5D">
      <w:pPr>
        <w:pStyle w:val="6"/>
        <w:keepNext w:val="0"/>
        <w:keepLines w:val="0"/>
        <w:spacing w:before="0" w:after="0" w:line="360" w:lineRule="auto"/>
        <w:ind w:left="420" w:leftChars="200"/>
        <w:rPr>
          <w:rFonts w:ascii="宋体" w:hAnsi="宋体"/>
          <w:b w:val="0"/>
          <w:color w:val="auto"/>
          <w:sz w:val="21"/>
          <w:szCs w:val="21"/>
        </w:rPr>
      </w:pPr>
      <w:r>
        <w:rPr>
          <w:rFonts w:ascii="宋体" w:hAnsi="宋体"/>
          <w:b w:val="0"/>
          <w:color w:val="auto"/>
          <w:sz w:val="21"/>
          <w:szCs w:val="21"/>
        </w:rPr>
        <w:t>9.3</w:t>
      </w:r>
      <w:r>
        <w:rPr>
          <w:rFonts w:hint="eastAsia" w:ascii="宋体" w:hAnsi="宋体"/>
          <w:b w:val="0"/>
          <w:color w:val="auto"/>
          <w:sz w:val="21"/>
          <w:szCs w:val="21"/>
        </w:rPr>
        <w:t>供应商有下列情形之一的，属于恶意串通行为，将报同级监督管理部门：</w:t>
      </w:r>
    </w:p>
    <w:p w14:paraId="08A7F532">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（1）供应商直接或者间接从采购人或者采购代理机构处获得其他供应商的相关信息并修改其投标文件或者响应文件；</w:t>
      </w:r>
    </w:p>
    <w:p w14:paraId="7FC13702">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（2）供应商按照采购人或者采购代理机构的授意撤换、修改投标文件或者响应文件；</w:t>
      </w:r>
    </w:p>
    <w:p w14:paraId="5AAEEF69">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（3）供应商之间协商报价、技术方案等投标文件或者响应文件的实质性内容；</w:t>
      </w:r>
    </w:p>
    <w:p w14:paraId="35BB707F">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（4）属于同一集团、协会、商会等组织成员的供应商按照该组织要求协同参加政府采购活动；</w:t>
      </w:r>
    </w:p>
    <w:p w14:paraId="3292F3E7">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（5）供应商之间事先约定一致抬高或者压低投标报价，或者在招标项目中事先约定轮流以高价位或者低价位中标，或者事先约定由某一特定供应商中标，然后再参加投标；</w:t>
      </w:r>
    </w:p>
    <w:p w14:paraId="4AA16724">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（6）供应商之间商定部分供应商放弃参加政府采购活动或者放弃中标；</w:t>
      </w:r>
    </w:p>
    <w:p w14:paraId="0C2C52D9">
      <w:pPr>
        <w:pStyle w:val="24"/>
        <w:snapToGrid w:val="0"/>
        <w:spacing w:line="360" w:lineRule="auto"/>
        <w:ind w:left="2" w:leftChars="1" w:firstLine="420" w:firstLineChars="200"/>
        <w:rPr>
          <w:rFonts w:hAnsi="宋体"/>
          <w:color w:val="auto"/>
          <w:kern w:val="2"/>
          <w:sz w:val="21"/>
        </w:rPr>
      </w:pPr>
      <w:r>
        <w:rPr>
          <w:rFonts w:hint="eastAsia" w:hAnsi="宋体"/>
          <w:color w:val="auto"/>
          <w:kern w:val="2"/>
          <w:sz w:val="21"/>
        </w:rPr>
        <w:t>（7）供应商与采购人或者采购代理机构之间、供应商相互之间，为谋求特定供应商中标或者排斥其他供应商的其他串通行为。</w:t>
      </w:r>
    </w:p>
    <w:p w14:paraId="0317A7FC">
      <w:pPr>
        <w:pStyle w:val="24"/>
        <w:snapToGrid w:val="0"/>
        <w:spacing w:line="360" w:lineRule="auto"/>
        <w:ind w:left="2" w:leftChars="1" w:firstLine="422" w:firstLineChars="200"/>
        <w:rPr>
          <w:rFonts w:hAnsi="宋体"/>
          <w:b/>
          <w:color w:val="auto"/>
          <w:kern w:val="2"/>
          <w:sz w:val="21"/>
        </w:rPr>
      </w:pPr>
    </w:p>
    <w:p w14:paraId="7478EDC9">
      <w:pPr>
        <w:pStyle w:val="3"/>
        <w:keepNext w:val="0"/>
        <w:keepLines w:val="0"/>
        <w:spacing w:line="360" w:lineRule="auto"/>
        <w:jc w:val="center"/>
        <w:rPr>
          <w:rFonts w:ascii="宋体" w:hAnsi="宋体" w:eastAsia="宋体"/>
          <w:color w:val="auto"/>
        </w:rPr>
      </w:pPr>
      <w:bookmarkStart w:id="92" w:name="_Toc254970675"/>
      <w:bookmarkStart w:id="93" w:name="_Toc254970534"/>
      <w:r>
        <w:rPr>
          <w:rFonts w:hint="eastAsia" w:ascii="宋体" w:hAnsi="宋体" w:eastAsia="宋体"/>
          <w:color w:val="auto"/>
        </w:rPr>
        <w:t>二、招标文件</w:t>
      </w:r>
      <w:bookmarkEnd w:id="92"/>
      <w:bookmarkEnd w:id="93"/>
    </w:p>
    <w:p w14:paraId="46CA0D1F">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10.招标文件的组成</w:t>
      </w:r>
    </w:p>
    <w:p w14:paraId="1577C1BA">
      <w:pPr>
        <w:snapToGrid w:val="0"/>
        <w:spacing w:line="360" w:lineRule="auto"/>
        <w:ind w:firstLine="420"/>
        <w:jc w:val="left"/>
        <w:rPr>
          <w:rFonts w:ascii="宋体" w:hAnsi="宋体"/>
          <w:color w:val="auto"/>
          <w:szCs w:val="21"/>
        </w:rPr>
      </w:pPr>
      <w:r>
        <w:rPr>
          <w:rFonts w:hint="eastAsia" w:ascii="宋体" w:hAnsi="宋体"/>
          <w:color w:val="auto"/>
          <w:szCs w:val="21"/>
        </w:rPr>
        <w:t>（1）招标公告；</w:t>
      </w:r>
    </w:p>
    <w:p w14:paraId="08910C14">
      <w:pPr>
        <w:snapToGrid w:val="0"/>
        <w:spacing w:line="360" w:lineRule="auto"/>
        <w:ind w:firstLine="420"/>
        <w:jc w:val="left"/>
        <w:rPr>
          <w:rFonts w:ascii="宋体" w:hAnsi="宋体"/>
          <w:color w:val="auto"/>
          <w:szCs w:val="21"/>
        </w:rPr>
      </w:pPr>
      <w:r>
        <w:rPr>
          <w:rFonts w:hint="eastAsia" w:ascii="宋体" w:hAnsi="宋体"/>
          <w:color w:val="auto"/>
          <w:szCs w:val="21"/>
        </w:rPr>
        <w:t xml:space="preserve">（2）采购需求； </w:t>
      </w:r>
    </w:p>
    <w:p w14:paraId="7B5CB819">
      <w:pPr>
        <w:snapToGrid w:val="0"/>
        <w:spacing w:line="360" w:lineRule="auto"/>
        <w:ind w:firstLine="420"/>
        <w:jc w:val="left"/>
        <w:rPr>
          <w:rFonts w:ascii="宋体" w:hAnsi="宋体"/>
          <w:color w:val="auto"/>
          <w:szCs w:val="21"/>
        </w:rPr>
      </w:pPr>
      <w:r>
        <w:rPr>
          <w:rFonts w:hint="eastAsia" w:ascii="宋体" w:hAnsi="宋体"/>
          <w:color w:val="auto"/>
          <w:szCs w:val="21"/>
        </w:rPr>
        <w:t>（3）供应商须知；</w:t>
      </w:r>
    </w:p>
    <w:p w14:paraId="6299A0FE">
      <w:pPr>
        <w:snapToGrid w:val="0"/>
        <w:spacing w:line="360" w:lineRule="auto"/>
        <w:ind w:firstLine="420"/>
        <w:jc w:val="left"/>
        <w:rPr>
          <w:rFonts w:ascii="宋体" w:hAnsi="宋体"/>
          <w:color w:val="auto"/>
          <w:szCs w:val="21"/>
        </w:rPr>
      </w:pPr>
      <w:r>
        <w:rPr>
          <w:rFonts w:hint="eastAsia" w:ascii="宋体" w:hAnsi="宋体"/>
          <w:color w:val="auto"/>
          <w:szCs w:val="21"/>
        </w:rPr>
        <w:t>（4）评标方法及评标标准；</w:t>
      </w:r>
    </w:p>
    <w:p w14:paraId="14489111">
      <w:pPr>
        <w:snapToGrid w:val="0"/>
        <w:spacing w:line="360" w:lineRule="auto"/>
        <w:ind w:firstLine="420"/>
        <w:jc w:val="left"/>
        <w:rPr>
          <w:rFonts w:ascii="宋体" w:hAnsi="宋体"/>
          <w:color w:val="auto"/>
          <w:szCs w:val="21"/>
        </w:rPr>
      </w:pPr>
      <w:r>
        <w:rPr>
          <w:rFonts w:hint="eastAsia" w:ascii="宋体" w:hAnsi="宋体"/>
          <w:color w:val="auto"/>
          <w:szCs w:val="21"/>
        </w:rPr>
        <w:t>（5）拟签订的合同文本；</w:t>
      </w:r>
    </w:p>
    <w:p w14:paraId="59584C3B">
      <w:pPr>
        <w:snapToGrid w:val="0"/>
        <w:spacing w:line="360" w:lineRule="auto"/>
        <w:ind w:firstLine="420"/>
        <w:jc w:val="left"/>
        <w:rPr>
          <w:rFonts w:ascii="宋体" w:hAnsi="宋体"/>
          <w:color w:val="auto"/>
          <w:szCs w:val="21"/>
        </w:rPr>
      </w:pPr>
      <w:r>
        <w:rPr>
          <w:rFonts w:hint="eastAsia" w:ascii="宋体" w:hAnsi="宋体"/>
          <w:color w:val="auto"/>
          <w:szCs w:val="21"/>
        </w:rPr>
        <w:t>（6）投标文件格式。</w:t>
      </w:r>
    </w:p>
    <w:p w14:paraId="39B6AA95">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11.招标文件的澄清、修改 、现场考察和答疑会</w:t>
      </w:r>
    </w:p>
    <w:p w14:paraId="42050D68">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11.1供应商应认真审阅本招标文件，如有疑问，或发现其中有误或有要求不合理的，应在招标公告公告期限届满之日起7个工作日内以纸质书面形式要求采购人或采购代理机构对招标文件予以澄清；否则，由此产生的后果由供应商自行负责。</w:t>
      </w:r>
    </w:p>
    <w:p w14:paraId="37F765E6">
      <w:pPr>
        <w:pStyle w:val="6"/>
        <w:keepNext w:val="0"/>
        <w:keepLines w:val="0"/>
        <w:numPr>
          <w:ilvl w:val="0"/>
          <w:numId w:val="0"/>
        </w:numPr>
        <w:spacing w:before="0" w:after="0" w:line="360" w:lineRule="auto"/>
        <w:ind w:firstLine="420" w:firstLineChars="200"/>
        <w:rPr>
          <w:rFonts w:ascii="宋体" w:hAnsi="宋体"/>
          <w:color w:val="auto"/>
        </w:rPr>
      </w:pPr>
      <w:r>
        <w:rPr>
          <w:rFonts w:hint="eastAsia" w:ascii="宋体" w:hAnsi="宋体"/>
          <w:b w:val="0"/>
          <w:color w:val="auto"/>
          <w:sz w:val="21"/>
          <w:szCs w:val="21"/>
        </w:rPr>
        <w:t>11.2采购人或者采购代理机构可以对已发出的招标文件进行必要的澄清或者修改，但不得改变采购标的和资格条件。澄清或者修改将在原公告发布媒体上发布更正公告。澄清或者修改的内容为招标文件的组成部分。澄清或者修改的内容可能影响投标文件编制的，采购人或者采购代理机构应当在投标截止时间至少15日前，在原公告发布媒体上发布更正公告；不足15日的，采购人或者采购代理机构应当顺延提交投标文件的截止时间。</w:t>
      </w:r>
    </w:p>
    <w:p w14:paraId="5DA5D115">
      <w:pPr>
        <w:spacing w:line="360" w:lineRule="auto"/>
        <w:ind w:firstLine="420" w:firstLineChars="200"/>
        <w:rPr>
          <w:rFonts w:ascii="宋体" w:hAnsi="宋体"/>
          <w:color w:val="auto"/>
          <w:szCs w:val="21"/>
        </w:rPr>
      </w:pPr>
      <w:r>
        <w:rPr>
          <w:rFonts w:hint="eastAsia" w:ascii="宋体" w:hAnsi="宋体"/>
          <w:color w:val="auto"/>
        </w:rPr>
        <w:t>11.3采购人和采购代理机构可以视采购具体情况，变更投标截止时间和开标时间，并</w:t>
      </w:r>
      <w:r>
        <w:rPr>
          <w:rFonts w:hint="eastAsia" w:ascii="宋体" w:hAnsi="宋体"/>
          <w:color w:val="auto"/>
          <w:szCs w:val="21"/>
        </w:rPr>
        <w:t>在原公告发布媒体上发布更正公告。</w:t>
      </w:r>
    </w:p>
    <w:p w14:paraId="6B32B3DC">
      <w:pPr>
        <w:spacing w:line="360" w:lineRule="auto"/>
        <w:ind w:firstLine="420" w:firstLineChars="200"/>
        <w:rPr>
          <w:rFonts w:ascii="宋体" w:hAnsi="宋体"/>
          <w:color w:val="auto"/>
        </w:rPr>
      </w:pPr>
      <w:r>
        <w:rPr>
          <w:rFonts w:hint="eastAsia" w:ascii="宋体" w:hAnsi="宋体"/>
          <w:color w:val="auto"/>
          <w:szCs w:val="21"/>
        </w:rPr>
        <w:t>11.4招标文件澄清、答复、修改、补充的内容为招标文件的组成部分。</w:t>
      </w:r>
      <w:r>
        <w:rPr>
          <w:rFonts w:hint="eastAsia" w:ascii="宋体" w:hAnsi="宋体"/>
          <w:b/>
          <w:color w:val="auto"/>
          <w:szCs w:val="21"/>
        </w:rPr>
        <w:t>当招标文件与招标文件的澄清、答复、修改、补充通知就同一内容的表述不一致时，以最后发出的文件为准。</w:t>
      </w:r>
    </w:p>
    <w:p w14:paraId="13756AF8">
      <w:pPr>
        <w:pStyle w:val="24"/>
        <w:snapToGrid w:val="0"/>
        <w:spacing w:line="360" w:lineRule="auto"/>
        <w:ind w:firstLine="420" w:firstLineChars="200"/>
        <w:rPr>
          <w:rFonts w:hAnsi="宋体"/>
          <w:color w:val="auto"/>
          <w:sz w:val="21"/>
        </w:rPr>
      </w:pPr>
      <w:r>
        <w:rPr>
          <w:rFonts w:hint="eastAsia" w:hAnsi="宋体"/>
          <w:color w:val="auto"/>
          <w:sz w:val="21"/>
        </w:rPr>
        <w:t>1</w:t>
      </w:r>
      <w:r>
        <w:rPr>
          <w:rFonts w:hAnsi="宋体"/>
          <w:color w:val="auto"/>
          <w:sz w:val="21"/>
        </w:rPr>
        <w:t>1.</w:t>
      </w:r>
      <w:bookmarkStart w:id="94" w:name="_Hlk53134511"/>
      <w:r>
        <w:rPr>
          <w:rFonts w:hint="eastAsia" w:hAnsi="宋体"/>
          <w:color w:val="auto"/>
          <w:sz w:val="21"/>
        </w:rPr>
        <w:t>5采购人或者采购代理机构可以在招标文件提供期限截止后，组织已获取招标文件的潜在供应商现场考察或者召开开标前答疑会，具体详见“供应商须知前附表”。</w:t>
      </w:r>
    </w:p>
    <w:p w14:paraId="1D2B8475">
      <w:pPr>
        <w:pStyle w:val="24"/>
        <w:snapToGrid w:val="0"/>
        <w:spacing w:line="360" w:lineRule="auto"/>
        <w:ind w:firstLine="420" w:firstLineChars="200"/>
        <w:rPr>
          <w:rFonts w:hAnsi="宋体"/>
          <w:color w:val="auto"/>
          <w:sz w:val="21"/>
        </w:rPr>
      </w:pPr>
    </w:p>
    <w:bookmarkEnd w:id="94"/>
    <w:p w14:paraId="1FDEB2F0">
      <w:pPr>
        <w:pStyle w:val="3"/>
        <w:keepNext w:val="0"/>
        <w:keepLines w:val="0"/>
        <w:spacing w:line="360" w:lineRule="auto"/>
        <w:jc w:val="center"/>
        <w:rPr>
          <w:rFonts w:ascii="宋体" w:hAnsi="宋体" w:eastAsia="宋体"/>
          <w:color w:val="auto"/>
        </w:rPr>
      </w:pPr>
      <w:bookmarkStart w:id="95" w:name="_Toc254970535"/>
      <w:bookmarkStart w:id="96" w:name="_Toc254970676"/>
      <w:r>
        <w:rPr>
          <w:rFonts w:hint="eastAsia" w:ascii="宋体" w:hAnsi="宋体" w:eastAsia="宋体"/>
          <w:color w:val="auto"/>
        </w:rPr>
        <w:t>三、投标文件的编制</w:t>
      </w:r>
      <w:bookmarkEnd w:id="95"/>
      <w:bookmarkEnd w:id="96"/>
    </w:p>
    <w:p w14:paraId="7CCC707A">
      <w:pPr>
        <w:pStyle w:val="6"/>
        <w:keepNext w:val="0"/>
        <w:keepLines w:val="0"/>
        <w:spacing w:before="0" w:after="0" w:line="360" w:lineRule="auto"/>
        <w:ind w:left="420" w:leftChars="200"/>
        <w:rPr>
          <w:rFonts w:ascii="宋体" w:hAnsi="宋体"/>
          <w:color w:val="auto"/>
          <w:sz w:val="24"/>
        </w:rPr>
      </w:pPr>
      <w:bookmarkStart w:id="97" w:name="_Toc254970677"/>
      <w:bookmarkStart w:id="98" w:name="_Toc254970536"/>
      <w:r>
        <w:rPr>
          <w:rFonts w:hint="eastAsia" w:ascii="宋体" w:hAnsi="宋体"/>
          <w:color w:val="auto"/>
          <w:sz w:val="24"/>
        </w:rPr>
        <w:t>12.投标文件的编制原则</w:t>
      </w:r>
    </w:p>
    <w:p w14:paraId="7F67C2EF">
      <w:pPr>
        <w:snapToGrid w:val="0"/>
        <w:spacing w:line="360" w:lineRule="auto"/>
        <w:ind w:firstLine="420"/>
        <w:jc w:val="left"/>
        <w:rPr>
          <w:rFonts w:ascii="宋体" w:hAnsi="宋体" w:cs="Courier New"/>
          <w:color w:val="auto"/>
          <w:szCs w:val="21"/>
        </w:rPr>
      </w:pPr>
      <w:r>
        <w:rPr>
          <w:rFonts w:hint="eastAsia" w:ascii="宋体" w:hAnsi="宋体"/>
          <w:color w:val="auto"/>
          <w:szCs w:val="21"/>
        </w:rPr>
        <w:t>供应商</w:t>
      </w:r>
      <w:r>
        <w:rPr>
          <w:rFonts w:ascii="宋体" w:hAnsi="宋体"/>
          <w:color w:val="auto"/>
          <w:szCs w:val="21"/>
        </w:rPr>
        <w:t>必须按照招标文件的要求编制投标文件。投标文件必须对招标文件提出的要求和条件作出明确响应。</w:t>
      </w:r>
    </w:p>
    <w:p w14:paraId="27B0AB45">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13.投标文件的组成</w:t>
      </w:r>
      <w:bookmarkEnd w:id="97"/>
      <w:bookmarkEnd w:id="98"/>
    </w:p>
    <w:p w14:paraId="05A90E4C">
      <w:pPr>
        <w:snapToGrid w:val="0"/>
        <w:spacing w:line="360" w:lineRule="auto"/>
        <w:ind w:firstLine="420" w:firstLineChars="200"/>
        <w:jc w:val="left"/>
        <w:rPr>
          <w:rFonts w:ascii="宋体" w:hAnsi="宋体"/>
          <w:color w:val="auto"/>
          <w:szCs w:val="21"/>
        </w:rPr>
      </w:pPr>
      <w:r>
        <w:rPr>
          <w:rFonts w:hint="eastAsia" w:ascii="宋体" w:hAnsi="宋体"/>
          <w:color w:val="auto"/>
          <w:szCs w:val="21"/>
        </w:rPr>
        <w:t>1</w:t>
      </w:r>
      <w:r>
        <w:rPr>
          <w:rFonts w:ascii="宋体" w:hAnsi="宋体"/>
          <w:color w:val="auto"/>
          <w:szCs w:val="21"/>
        </w:rPr>
        <w:t>3.1</w:t>
      </w:r>
      <w:r>
        <w:rPr>
          <w:rFonts w:hint="eastAsia" w:ascii="宋体" w:hAnsi="宋体"/>
          <w:color w:val="auto"/>
          <w:szCs w:val="21"/>
        </w:rPr>
        <w:t>投标文件由资格证明文件、报价文件、商务技术文件三部分组成。</w:t>
      </w:r>
    </w:p>
    <w:p w14:paraId="52080497">
      <w:pPr>
        <w:pStyle w:val="6"/>
        <w:keepNext w:val="0"/>
        <w:keepLines w:val="0"/>
        <w:spacing w:before="0" w:after="0" w:line="360" w:lineRule="auto"/>
        <w:ind w:left="420" w:leftChars="200"/>
        <w:rPr>
          <w:rFonts w:ascii="宋体" w:hAnsi="宋体"/>
          <w:b w:val="0"/>
          <w:color w:val="auto"/>
          <w:sz w:val="21"/>
          <w:szCs w:val="21"/>
        </w:rPr>
      </w:pPr>
      <w:bookmarkStart w:id="99" w:name="_13.1报价文件:_具体材料见“投标人须知前附表”。"/>
      <w:bookmarkEnd w:id="99"/>
      <w:r>
        <w:rPr>
          <w:rFonts w:hint="eastAsia" w:ascii="宋体" w:hAnsi="宋体"/>
          <w:b w:val="0"/>
          <w:color w:val="auto"/>
          <w:sz w:val="21"/>
          <w:szCs w:val="21"/>
        </w:rPr>
        <w:t>（1）资格证明文件：</w:t>
      </w:r>
      <w:r>
        <w:rPr>
          <w:rFonts w:ascii="宋体" w:hAnsi="宋体"/>
          <w:b w:val="0"/>
          <w:color w:val="auto"/>
          <w:sz w:val="21"/>
          <w:szCs w:val="21"/>
        </w:rPr>
        <w:t>具体材料见“</w:t>
      </w:r>
      <w:r>
        <w:rPr>
          <w:rFonts w:hint="eastAsia" w:ascii="宋体" w:hAnsi="宋体"/>
          <w:b w:val="0"/>
          <w:color w:val="auto"/>
          <w:sz w:val="21"/>
          <w:szCs w:val="21"/>
        </w:rPr>
        <w:t>供应商</w:t>
      </w:r>
      <w:r>
        <w:rPr>
          <w:rFonts w:ascii="宋体" w:hAnsi="宋体"/>
          <w:b w:val="0"/>
          <w:color w:val="auto"/>
          <w:sz w:val="21"/>
          <w:szCs w:val="21"/>
        </w:rPr>
        <w:t>须知前附表”</w:t>
      </w:r>
      <w:r>
        <w:rPr>
          <w:rFonts w:hint="eastAsia" w:ascii="宋体" w:hAnsi="宋体"/>
          <w:b w:val="0"/>
          <w:color w:val="auto"/>
          <w:sz w:val="21"/>
          <w:szCs w:val="21"/>
        </w:rPr>
        <w:t>。</w:t>
      </w:r>
    </w:p>
    <w:p w14:paraId="24D9AD4A">
      <w:pPr>
        <w:pStyle w:val="6"/>
        <w:keepNext w:val="0"/>
        <w:keepLines w:val="0"/>
        <w:spacing w:before="0" w:after="0" w:line="360" w:lineRule="auto"/>
        <w:ind w:left="420" w:leftChars="200"/>
        <w:rPr>
          <w:rFonts w:ascii="宋体" w:hAnsi="宋体"/>
          <w:b w:val="0"/>
          <w:color w:val="auto"/>
          <w:sz w:val="21"/>
          <w:szCs w:val="21"/>
        </w:rPr>
      </w:pPr>
      <w:bookmarkStart w:id="100" w:name="_13.2资格证明文件：具体材料见“投标人须知前附表”。"/>
      <w:bookmarkEnd w:id="100"/>
      <w:r>
        <w:rPr>
          <w:rFonts w:hint="eastAsia" w:ascii="宋体" w:hAnsi="宋体"/>
          <w:b w:val="0"/>
          <w:color w:val="auto"/>
          <w:sz w:val="21"/>
          <w:szCs w:val="21"/>
        </w:rPr>
        <w:t>（</w:t>
      </w:r>
      <w:r>
        <w:rPr>
          <w:rFonts w:ascii="宋体" w:hAnsi="宋体"/>
          <w:b w:val="0"/>
          <w:color w:val="auto"/>
          <w:sz w:val="21"/>
          <w:szCs w:val="21"/>
        </w:rPr>
        <w:t>2</w:t>
      </w:r>
      <w:r>
        <w:rPr>
          <w:rFonts w:hint="eastAsia" w:ascii="宋体" w:hAnsi="宋体"/>
          <w:b w:val="0"/>
          <w:color w:val="auto"/>
          <w:sz w:val="21"/>
          <w:szCs w:val="21"/>
        </w:rPr>
        <w:t>）报价文件：</w:t>
      </w:r>
      <w:r>
        <w:rPr>
          <w:rFonts w:ascii="宋体" w:hAnsi="宋体"/>
          <w:b w:val="0"/>
          <w:color w:val="auto"/>
          <w:sz w:val="21"/>
          <w:szCs w:val="21"/>
        </w:rPr>
        <w:t xml:space="preserve"> 具体材料见“</w:t>
      </w:r>
      <w:r>
        <w:rPr>
          <w:rFonts w:hint="eastAsia" w:ascii="宋体" w:hAnsi="宋体"/>
          <w:b w:val="0"/>
          <w:color w:val="auto"/>
          <w:sz w:val="21"/>
          <w:szCs w:val="21"/>
        </w:rPr>
        <w:t>供应商</w:t>
      </w:r>
      <w:r>
        <w:rPr>
          <w:rFonts w:ascii="宋体" w:hAnsi="宋体"/>
          <w:b w:val="0"/>
          <w:color w:val="auto"/>
          <w:sz w:val="21"/>
          <w:szCs w:val="21"/>
        </w:rPr>
        <w:t>须知前附表”</w:t>
      </w:r>
      <w:r>
        <w:rPr>
          <w:rFonts w:hint="eastAsia" w:ascii="宋体" w:hAnsi="宋体"/>
          <w:b w:val="0"/>
          <w:color w:val="auto"/>
          <w:sz w:val="21"/>
          <w:szCs w:val="21"/>
        </w:rPr>
        <w:t>。</w:t>
      </w:r>
    </w:p>
    <w:p w14:paraId="5365B5FF">
      <w:pPr>
        <w:pStyle w:val="6"/>
        <w:keepNext w:val="0"/>
        <w:keepLines w:val="0"/>
        <w:spacing w:before="0" w:after="0" w:line="360" w:lineRule="auto"/>
        <w:ind w:left="420" w:leftChars="200"/>
        <w:rPr>
          <w:rFonts w:ascii="宋体" w:hAnsi="宋体"/>
          <w:b w:val="0"/>
          <w:color w:val="auto"/>
          <w:sz w:val="21"/>
          <w:szCs w:val="21"/>
        </w:rPr>
      </w:pPr>
      <w:bookmarkStart w:id="101" w:name="_13.3商务文件:_具体材料见“投标人须知前附表”。"/>
      <w:bookmarkEnd w:id="101"/>
      <w:r>
        <w:rPr>
          <w:rFonts w:hint="eastAsia" w:ascii="宋体" w:hAnsi="宋体"/>
          <w:b w:val="0"/>
          <w:color w:val="auto"/>
          <w:sz w:val="21"/>
          <w:szCs w:val="21"/>
        </w:rPr>
        <w:t>（</w:t>
      </w:r>
      <w:r>
        <w:rPr>
          <w:rFonts w:ascii="宋体" w:hAnsi="宋体"/>
          <w:b w:val="0"/>
          <w:color w:val="auto"/>
          <w:sz w:val="21"/>
          <w:szCs w:val="21"/>
        </w:rPr>
        <w:t>3</w:t>
      </w:r>
      <w:r>
        <w:rPr>
          <w:rFonts w:hint="eastAsia" w:ascii="宋体" w:hAnsi="宋体"/>
          <w:b w:val="0"/>
          <w:color w:val="auto"/>
          <w:sz w:val="21"/>
          <w:szCs w:val="21"/>
        </w:rPr>
        <w:t>）商务技术文件：</w:t>
      </w:r>
      <w:r>
        <w:rPr>
          <w:rFonts w:ascii="宋体" w:hAnsi="宋体"/>
          <w:b w:val="0"/>
          <w:color w:val="auto"/>
          <w:sz w:val="21"/>
          <w:szCs w:val="21"/>
        </w:rPr>
        <w:t>具体材料见“</w:t>
      </w:r>
      <w:r>
        <w:rPr>
          <w:rFonts w:hint="eastAsia" w:ascii="宋体" w:hAnsi="宋体"/>
          <w:b w:val="0"/>
          <w:color w:val="auto"/>
          <w:sz w:val="21"/>
          <w:szCs w:val="21"/>
        </w:rPr>
        <w:t>供应商</w:t>
      </w:r>
      <w:r>
        <w:rPr>
          <w:rFonts w:ascii="宋体" w:hAnsi="宋体"/>
          <w:b w:val="0"/>
          <w:color w:val="auto"/>
          <w:sz w:val="21"/>
          <w:szCs w:val="21"/>
        </w:rPr>
        <w:t>须知前附表”</w:t>
      </w:r>
      <w:r>
        <w:rPr>
          <w:rFonts w:hint="eastAsia" w:ascii="宋体" w:hAnsi="宋体"/>
          <w:b w:val="0"/>
          <w:color w:val="auto"/>
          <w:sz w:val="21"/>
          <w:szCs w:val="21"/>
        </w:rPr>
        <w:t>。</w:t>
      </w:r>
    </w:p>
    <w:p w14:paraId="340AFAB2">
      <w:pPr>
        <w:pStyle w:val="6"/>
        <w:keepNext w:val="0"/>
        <w:keepLines w:val="0"/>
        <w:spacing w:before="0" w:after="0" w:line="360" w:lineRule="auto"/>
        <w:ind w:left="420" w:leftChars="200"/>
        <w:rPr>
          <w:rFonts w:ascii="宋体" w:hAnsi="宋体"/>
          <w:color w:val="auto"/>
          <w:sz w:val="24"/>
        </w:rPr>
      </w:pPr>
      <w:bookmarkStart w:id="102" w:name="_13.4技术文件：具体材料见“投标人须知前附表”。"/>
      <w:bookmarkEnd w:id="102"/>
      <w:bookmarkStart w:id="103" w:name="_Toc254970537"/>
      <w:bookmarkStart w:id="104" w:name="_Toc254970678"/>
      <w:r>
        <w:rPr>
          <w:rFonts w:hint="eastAsia" w:ascii="宋体" w:hAnsi="宋体"/>
          <w:color w:val="auto"/>
          <w:sz w:val="24"/>
        </w:rPr>
        <w:t>14.投标文件的语言及计量</w:t>
      </w:r>
      <w:bookmarkEnd w:id="103"/>
      <w:bookmarkEnd w:id="104"/>
    </w:p>
    <w:p w14:paraId="1EE68664">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14.1语言文字</w:t>
      </w:r>
    </w:p>
    <w:p w14:paraId="05020E56">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投标文件以及供应商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6D49AB9C">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14.2投标计量单位</w:t>
      </w:r>
    </w:p>
    <w:p w14:paraId="28FE5FCA">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招标文件已有明确规定的，使用招标文件规定的计量单位；招标文件没有规定的，应采用中华人民共和国法定计量单位，货币种类为人民币，否则视同未响应。</w:t>
      </w:r>
    </w:p>
    <w:p w14:paraId="38C59635">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15.投标的风险</w:t>
      </w:r>
    </w:p>
    <w:p w14:paraId="5A7DF1BF">
      <w:pPr>
        <w:pStyle w:val="24"/>
        <w:snapToGrid w:val="0"/>
        <w:spacing w:line="360" w:lineRule="auto"/>
        <w:ind w:firstLine="420" w:firstLineChars="200"/>
        <w:jc w:val="left"/>
        <w:rPr>
          <w:rFonts w:hAnsi="宋体"/>
          <w:color w:val="auto"/>
          <w:sz w:val="21"/>
        </w:rPr>
      </w:pPr>
      <w:r>
        <w:rPr>
          <w:rFonts w:hint="eastAsia" w:hAnsi="宋体"/>
          <w:color w:val="auto"/>
          <w:sz w:val="21"/>
        </w:rPr>
        <w:t>供应商没有按照招标文件要求提供全部资料，或者供应商没有对招标文件作出实质性响应是供应商的风险，并可能导致其投标被拒绝。</w:t>
      </w:r>
    </w:p>
    <w:p w14:paraId="155B4303">
      <w:pPr>
        <w:pStyle w:val="6"/>
        <w:keepNext w:val="0"/>
        <w:keepLines w:val="0"/>
        <w:spacing w:before="0" w:after="0" w:line="360" w:lineRule="auto"/>
        <w:ind w:left="420" w:leftChars="200"/>
        <w:rPr>
          <w:rFonts w:ascii="宋体" w:hAnsi="宋体"/>
          <w:color w:val="auto"/>
          <w:sz w:val="24"/>
        </w:rPr>
      </w:pPr>
      <w:bookmarkStart w:id="105" w:name="_Toc254970538"/>
      <w:bookmarkStart w:id="106" w:name="_Toc254970679"/>
      <w:r>
        <w:rPr>
          <w:rFonts w:hint="eastAsia" w:ascii="宋体" w:hAnsi="宋体"/>
          <w:color w:val="auto"/>
          <w:sz w:val="24"/>
        </w:rPr>
        <w:t>16.投标报价</w:t>
      </w:r>
      <w:bookmarkEnd w:id="105"/>
      <w:bookmarkEnd w:id="106"/>
    </w:p>
    <w:p w14:paraId="1AE181D3">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16.1投标报价应按“第六章</w:t>
      </w:r>
      <w:r>
        <w:rPr>
          <w:rFonts w:hint="eastAsia" w:ascii="宋体" w:hAnsi="宋体"/>
          <w:b w:val="0"/>
          <w:color w:val="auto"/>
          <w:sz w:val="21"/>
          <w:szCs w:val="21"/>
          <w:lang w:val="en-US" w:eastAsia="zh-CN"/>
        </w:rPr>
        <w:t xml:space="preserve"> </w:t>
      </w:r>
      <w:r>
        <w:rPr>
          <w:rFonts w:hint="eastAsia" w:ascii="宋体" w:hAnsi="宋体"/>
          <w:b w:val="0"/>
          <w:color w:val="auto"/>
          <w:sz w:val="21"/>
          <w:szCs w:val="21"/>
        </w:rPr>
        <w:t>投标文件格式”中“开标一览表”格式填写。</w:t>
      </w:r>
    </w:p>
    <w:p w14:paraId="5EA963C5">
      <w:pPr>
        <w:pStyle w:val="6"/>
        <w:keepNext w:val="0"/>
        <w:keepLines w:val="0"/>
        <w:spacing w:before="0" w:after="0" w:line="360" w:lineRule="auto"/>
        <w:ind w:left="420" w:leftChars="200"/>
        <w:rPr>
          <w:rFonts w:ascii="宋体" w:hAnsi="宋体"/>
          <w:b w:val="0"/>
          <w:color w:val="auto"/>
          <w:sz w:val="21"/>
          <w:szCs w:val="21"/>
        </w:rPr>
      </w:pPr>
      <w:bookmarkStart w:id="107" w:name="_16.2投标报价具体定义见投标人须知前附表。"/>
      <w:bookmarkEnd w:id="107"/>
      <w:r>
        <w:rPr>
          <w:rFonts w:hint="eastAsia" w:ascii="宋体" w:hAnsi="宋体"/>
          <w:b w:val="0"/>
          <w:color w:val="auto"/>
          <w:sz w:val="21"/>
          <w:szCs w:val="21"/>
        </w:rPr>
        <w:t>16.2投标报价具体包括内容详见“供应商须知前附表”。</w:t>
      </w:r>
    </w:p>
    <w:p w14:paraId="0F417D01">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16.3供应商必须就所投的全部内容作完整唯一总价报价，不得存在漏项报价；供应商必须就所投分标的单项内容作唯一报价。</w:t>
      </w:r>
    </w:p>
    <w:p w14:paraId="6968FCE5">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17.投标有效期</w:t>
      </w:r>
    </w:p>
    <w:p w14:paraId="18C234F7">
      <w:pPr>
        <w:pStyle w:val="6"/>
        <w:keepNext w:val="0"/>
        <w:keepLines w:val="0"/>
        <w:spacing w:before="0" w:after="0" w:line="360" w:lineRule="auto"/>
        <w:ind w:firstLine="420" w:firstLineChars="200"/>
        <w:rPr>
          <w:rFonts w:ascii="宋体" w:hAnsi="宋体"/>
          <w:b w:val="0"/>
          <w:color w:val="auto"/>
          <w:sz w:val="21"/>
          <w:szCs w:val="21"/>
        </w:rPr>
      </w:pPr>
      <w:bookmarkStart w:id="108" w:name="_17.1投标有效期应按“投标人须知中的前附表”规定的期限。"/>
      <w:bookmarkEnd w:id="108"/>
      <w:r>
        <w:rPr>
          <w:rFonts w:hint="eastAsia" w:ascii="宋体" w:hAnsi="宋体"/>
          <w:b w:val="0"/>
          <w:color w:val="auto"/>
          <w:sz w:val="21"/>
          <w:szCs w:val="21"/>
        </w:rPr>
        <w:t>17.1投标有效期是指为保证采购人有足够的时间在开标后完成评标、定标、合同签订等工作而要求供应商提交的投标文件在一定时间内保持有效的期限。</w:t>
      </w:r>
    </w:p>
    <w:p w14:paraId="69AEBFC8">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17.2</w:t>
      </w:r>
      <w:bookmarkStart w:id="109" w:name="_Toc254970681"/>
      <w:bookmarkStart w:id="110" w:name="_Toc254970540"/>
      <w:r>
        <w:rPr>
          <w:rFonts w:hint="eastAsia" w:ascii="宋体" w:hAnsi="宋体"/>
          <w:b w:val="0"/>
          <w:color w:val="auto"/>
          <w:sz w:val="21"/>
          <w:szCs w:val="21"/>
        </w:rPr>
        <w:t xml:space="preserve"> 投标有效期应按规定的期限作出承诺，具体详见“供应商须知前附表”。</w:t>
      </w:r>
    </w:p>
    <w:p w14:paraId="0292EE4F">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17.3供应商的投标文件在投标有效期内均保持有效。</w:t>
      </w:r>
      <w:bookmarkEnd w:id="109"/>
      <w:bookmarkEnd w:id="110"/>
    </w:p>
    <w:p w14:paraId="602621DF">
      <w:pPr>
        <w:pStyle w:val="6"/>
        <w:keepNext w:val="0"/>
        <w:keepLines w:val="0"/>
        <w:spacing w:before="0" w:after="0" w:line="360" w:lineRule="auto"/>
        <w:ind w:left="420" w:leftChars="200"/>
        <w:rPr>
          <w:rFonts w:ascii="宋体" w:hAnsi="宋体"/>
          <w:color w:val="auto"/>
          <w:sz w:val="24"/>
        </w:rPr>
      </w:pPr>
      <w:bookmarkStart w:id="111" w:name="_18.投标保证金"/>
      <w:bookmarkEnd w:id="111"/>
      <w:bookmarkStart w:id="112" w:name="_Toc254970682"/>
      <w:bookmarkStart w:id="113" w:name="_Toc254970541"/>
      <w:r>
        <w:rPr>
          <w:rFonts w:hint="eastAsia" w:ascii="宋体" w:hAnsi="宋体"/>
          <w:color w:val="auto"/>
          <w:sz w:val="24"/>
        </w:rPr>
        <w:t>18.投标保证金</w:t>
      </w:r>
      <w:bookmarkEnd w:id="112"/>
      <w:bookmarkEnd w:id="113"/>
    </w:p>
    <w:p w14:paraId="4353731B">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18.1供应商须按“供应商须知前附表” 的规定提交投标保证金。</w:t>
      </w:r>
    </w:p>
    <w:p w14:paraId="425D204A">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18.2投标保证金的退还</w:t>
      </w:r>
    </w:p>
    <w:p w14:paraId="6BEB662F">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 xml:space="preserve">未中标人的投标保证金自中标通知书发出之日起5个工作日内退还；中标人的投标保证金自政府采购合同签订之日起5个工作日内退还。 </w:t>
      </w:r>
    </w:p>
    <w:p w14:paraId="1E5C5314">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18.3除逾期退还投标保证金和终止招标的情形以外，投标保证金不计息。</w:t>
      </w:r>
    </w:p>
    <w:p w14:paraId="5EA5A9F7">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 xml:space="preserve">18.4供应商有下列情形之一的，投标保证金将不予退还： </w:t>
      </w:r>
    </w:p>
    <w:p w14:paraId="79AA8656">
      <w:pPr>
        <w:snapToGrid w:val="0"/>
        <w:spacing w:line="360" w:lineRule="auto"/>
        <w:ind w:firstLine="411" w:firstLineChars="196"/>
        <w:jc w:val="left"/>
        <w:rPr>
          <w:rFonts w:ascii="宋体" w:hAnsi="宋体"/>
          <w:color w:val="auto"/>
          <w:szCs w:val="21"/>
        </w:rPr>
      </w:pPr>
      <w:r>
        <w:rPr>
          <w:rFonts w:hint="eastAsia" w:ascii="宋体" w:hAnsi="宋体"/>
          <w:color w:val="auto"/>
          <w:szCs w:val="21"/>
        </w:rPr>
        <w:t>（1）供应商在投标有效期内撤销投标文件的；</w:t>
      </w:r>
    </w:p>
    <w:p w14:paraId="5130FF5F">
      <w:pPr>
        <w:snapToGrid w:val="0"/>
        <w:spacing w:line="360" w:lineRule="auto"/>
        <w:ind w:firstLine="411" w:firstLineChars="196"/>
        <w:jc w:val="left"/>
        <w:rPr>
          <w:rFonts w:ascii="宋体" w:hAnsi="宋体"/>
          <w:color w:val="auto"/>
          <w:szCs w:val="21"/>
        </w:rPr>
      </w:pPr>
      <w:r>
        <w:rPr>
          <w:rFonts w:hint="eastAsia" w:ascii="宋体" w:hAnsi="宋体"/>
          <w:color w:val="auto"/>
          <w:szCs w:val="21"/>
        </w:rPr>
        <w:t>（2）未按规定提交履约保证金的；</w:t>
      </w:r>
    </w:p>
    <w:p w14:paraId="1EBC3B56">
      <w:pPr>
        <w:snapToGrid w:val="0"/>
        <w:spacing w:line="360" w:lineRule="auto"/>
        <w:ind w:firstLine="411" w:firstLineChars="196"/>
        <w:jc w:val="left"/>
        <w:rPr>
          <w:rFonts w:ascii="宋体" w:hAnsi="宋体"/>
          <w:color w:val="auto"/>
          <w:szCs w:val="21"/>
        </w:rPr>
      </w:pPr>
      <w:r>
        <w:rPr>
          <w:rFonts w:hint="eastAsia" w:ascii="宋体" w:hAnsi="宋体"/>
          <w:color w:val="auto"/>
          <w:szCs w:val="21"/>
        </w:rPr>
        <w:t>（3）供应商在投标过程中弄虚作假，提供虚假材料的；</w:t>
      </w:r>
    </w:p>
    <w:p w14:paraId="16FFBDCF">
      <w:pPr>
        <w:snapToGrid w:val="0"/>
        <w:spacing w:line="360" w:lineRule="auto"/>
        <w:ind w:firstLine="411" w:firstLineChars="196"/>
        <w:rPr>
          <w:rFonts w:ascii="宋体" w:hAnsi="宋体"/>
          <w:color w:val="auto"/>
          <w:szCs w:val="21"/>
        </w:rPr>
      </w:pPr>
      <w:r>
        <w:rPr>
          <w:rFonts w:hint="eastAsia" w:ascii="宋体" w:hAnsi="宋体"/>
          <w:color w:val="auto"/>
          <w:szCs w:val="21"/>
        </w:rPr>
        <w:t>（4）中标人无正当理由不与采购人签订合同的；</w:t>
      </w:r>
    </w:p>
    <w:p w14:paraId="43D5DA74">
      <w:pPr>
        <w:snapToGrid w:val="0"/>
        <w:spacing w:line="360" w:lineRule="auto"/>
        <w:ind w:firstLine="420" w:firstLineChars="200"/>
        <w:rPr>
          <w:rFonts w:ascii="宋体" w:hAnsi="宋体"/>
          <w:color w:val="auto"/>
          <w:szCs w:val="21"/>
        </w:rPr>
      </w:pPr>
      <w:r>
        <w:rPr>
          <w:rFonts w:hint="eastAsia" w:ascii="宋体" w:hAnsi="宋体"/>
          <w:color w:val="auto"/>
          <w:szCs w:val="21"/>
        </w:rPr>
        <w:t>（5）供应商出现本章第9.2、9.3情形的；</w:t>
      </w:r>
    </w:p>
    <w:p w14:paraId="1E8CD017">
      <w:pPr>
        <w:snapToGrid w:val="0"/>
        <w:spacing w:line="360" w:lineRule="auto"/>
        <w:ind w:firstLine="420" w:firstLineChars="200"/>
        <w:rPr>
          <w:rFonts w:ascii="宋体" w:hAnsi="宋体"/>
          <w:color w:val="auto"/>
          <w:szCs w:val="21"/>
        </w:rPr>
      </w:pPr>
      <w:r>
        <w:rPr>
          <w:rFonts w:hint="eastAsia" w:ascii="宋体" w:hAnsi="宋体"/>
          <w:color w:val="auto"/>
          <w:szCs w:val="21"/>
        </w:rPr>
        <w:t>（6）</w:t>
      </w:r>
      <w:r>
        <w:rPr>
          <w:rFonts w:hint="eastAsia" w:ascii="宋体" w:hAnsi="宋体" w:cs="宋体"/>
          <w:color w:val="auto"/>
          <w:szCs w:val="21"/>
        </w:rPr>
        <w:t>法律法规规定的其他情形</w:t>
      </w:r>
      <w:r>
        <w:rPr>
          <w:rFonts w:hint="eastAsia" w:ascii="宋体" w:hAnsi="宋体"/>
          <w:color w:val="auto"/>
          <w:szCs w:val="21"/>
        </w:rPr>
        <w:t>。</w:t>
      </w:r>
    </w:p>
    <w:p w14:paraId="11D9A7C6">
      <w:pPr>
        <w:pStyle w:val="6"/>
        <w:keepNext w:val="0"/>
        <w:keepLines w:val="0"/>
        <w:spacing w:before="0" w:after="0" w:line="360" w:lineRule="auto"/>
        <w:ind w:left="420" w:leftChars="200"/>
        <w:rPr>
          <w:rFonts w:ascii="宋体" w:hAnsi="宋体"/>
          <w:color w:val="auto"/>
          <w:sz w:val="24"/>
        </w:rPr>
      </w:pPr>
      <w:bookmarkStart w:id="114" w:name="_Toc254970542"/>
      <w:bookmarkStart w:id="115" w:name="_Toc254970683"/>
      <w:r>
        <w:rPr>
          <w:rFonts w:hint="eastAsia" w:ascii="宋体" w:hAnsi="宋体"/>
          <w:color w:val="auto"/>
          <w:sz w:val="24"/>
        </w:rPr>
        <w:t>19.投标文件的</w:t>
      </w:r>
      <w:bookmarkEnd w:id="114"/>
      <w:bookmarkEnd w:id="115"/>
      <w:r>
        <w:rPr>
          <w:rFonts w:hint="eastAsia" w:ascii="宋体" w:hAnsi="宋体"/>
          <w:color w:val="auto"/>
          <w:sz w:val="24"/>
        </w:rPr>
        <w:t>编制</w:t>
      </w:r>
    </w:p>
    <w:p w14:paraId="3383C658">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19.1供应商应按本招标文件规定的格式和顺序编制、装订投标文件并标注页码，投标文件内容不完整、编排混乱导致投标文件被误读、漏读或者查找不到相关内容的，由此引发的后果由供应商承担。</w:t>
      </w:r>
    </w:p>
    <w:p w14:paraId="4DC82763">
      <w:pPr>
        <w:pStyle w:val="6"/>
        <w:keepNext w:val="0"/>
        <w:keepLines w:val="0"/>
        <w:numPr>
          <w:ilvl w:val="0"/>
          <w:numId w:val="0"/>
        </w:numPr>
        <w:spacing w:before="0" w:after="0" w:line="360" w:lineRule="auto"/>
        <w:ind w:firstLine="420" w:firstLineChars="200"/>
        <w:rPr>
          <w:rFonts w:ascii="宋体" w:hAnsi="宋体"/>
          <w:b w:val="0"/>
          <w:color w:val="auto"/>
          <w:sz w:val="21"/>
          <w:szCs w:val="21"/>
        </w:rPr>
      </w:pPr>
      <w:bookmarkStart w:id="116" w:name="_19.2投标文件应按报价文件、资格证明文件、商务文件、技术文件分别编制"/>
      <w:bookmarkEnd w:id="116"/>
      <w:r>
        <w:rPr>
          <w:rFonts w:hint="eastAsia" w:ascii="宋体" w:hAnsi="宋体"/>
          <w:b w:val="0"/>
          <w:color w:val="auto"/>
          <w:sz w:val="21"/>
          <w:szCs w:val="21"/>
        </w:rPr>
        <w:t>19.2投标文件应按资格证明文件、报价文件、商务技术文件分别编制电子文件，并按“政采云”平台的要求编制、加密、上传。</w:t>
      </w:r>
    </w:p>
    <w:p w14:paraId="719E93F9">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19.</w:t>
      </w:r>
      <w:bookmarkStart w:id="117" w:name="_Hlk65832616"/>
      <w:r>
        <w:rPr>
          <w:rFonts w:hint="eastAsia" w:ascii="宋体" w:hAnsi="宋体"/>
          <w:b w:val="0"/>
          <w:color w:val="auto"/>
          <w:sz w:val="21"/>
          <w:szCs w:val="21"/>
        </w:rPr>
        <w:t>3投标文件须由供应商在规定位置盖公章并签字</w:t>
      </w:r>
      <w:bookmarkStart w:id="118" w:name="_Hlk65832569"/>
      <w:r>
        <w:rPr>
          <w:rFonts w:hint="eastAsia" w:ascii="宋体" w:hAnsi="宋体"/>
          <w:b w:val="0"/>
          <w:color w:val="auto"/>
          <w:sz w:val="21"/>
          <w:szCs w:val="21"/>
        </w:rPr>
        <w:t>（具体以供应商须知前附表或投标文件格式规定为准）</w:t>
      </w:r>
      <w:bookmarkEnd w:id="117"/>
      <w:bookmarkEnd w:id="118"/>
      <w:r>
        <w:rPr>
          <w:rFonts w:hint="eastAsia" w:ascii="宋体" w:hAnsi="宋体"/>
          <w:b w:val="0"/>
          <w:color w:val="auto"/>
          <w:sz w:val="21"/>
          <w:szCs w:val="21"/>
        </w:rPr>
        <w:t>，</w:t>
      </w:r>
      <w:r>
        <w:rPr>
          <w:rFonts w:hint="eastAsia" w:ascii="宋体" w:hAnsi="宋体"/>
          <w:bCs/>
          <w:color w:val="auto"/>
          <w:sz w:val="21"/>
          <w:szCs w:val="21"/>
        </w:rPr>
        <w:t>否则按无效投标处理</w:t>
      </w:r>
      <w:r>
        <w:rPr>
          <w:rFonts w:hint="eastAsia" w:ascii="宋体" w:hAnsi="宋体"/>
          <w:b w:val="0"/>
          <w:color w:val="auto"/>
          <w:sz w:val="21"/>
          <w:szCs w:val="21"/>
        </w:rPr>
        <w:t>。</w:t>
      </w:r>
    </w:p>
    <w:p w14:paraId="06670DD0">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19.4投标文件中标注的供应商名称应与主体资格证明（如营业执照、事业单位法人证书、执业许可证、自然人身份证等）及公章一致，</w:t>
      </w:r>
      <w:r>
        <w:rPr>
          <w:rFonts w:hint="eastAsia" w:ascii="宋体" w:hAnsi="宋体"/>
          <w:color w:val="auto"/>
          <w:sz w:val="21"/>
          <w:szCs w:val="21"/>
        </w:rPr>
        <w:t>否则按无效投标处理</w:t>
      </w:r>
      <w:r>
        <w:rPr>
          <w:rFonts w:hint="eastAsia" w:ascii="宋体" w:hAnsi="宋体"/>
          <w:b w:val="0"/>
          <w:color w:val="auto"/>
          <w:sz w:val="21"/>
          <w:szCs w:val="21"/>
        </w:rPr>
        <w:t>。</w:t>
      </w:r>
    </w:p>
    <w:p w14:paraId="6DB1397C">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19.5投标文件应尽量避免涂改、行间插字或者删除。如果出现上述情况，改动之处应由供应商的法定代表人或者其委托代理人签字或者加盖公章。投标文件因字迹潦草或者表达不清所引起的后果由供应商承担。</w:t>
      </w:r>
    </w:p>
    <w:p w14:paraId="2DB80284">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20.投标文件的加密、解密</w:t>
      </w:r>
    </w:p>
    <w:p w14:paraId="69193BDD">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20.1电子投标文件编制完成后，供应商应按广西政府采购云平台的要求进行加密，并在规定时间内解密，否则，由此产生的后果由供应商自行负责。</w:t>
      </w:r>
    </w:p>
    <w:p w14:paraId="010626B8">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21.投标文件的提交</w:t>
      </w:r>
    </w:p>
    <w:p w14:paraId="2E5B29FA">
      <w:pPr>
        <w:pStyle w:val="6"/>
        <w:keepNext w:val="0"/>
        <w:keepLines w:val="0"/>
        <w:numPr>
          <w:ilvl w:val="0"/>
          <w:numId w:val="0"/>
        </w:numPr>
        <w:spacing w:before="0" w:after="0" w:line="360" w:lineRule="auto"/>
        <w:ind w:firstLine="420" w:firstLineChars="200"/>
        <w:rPr>
          <w:rFonts w:ascii="宋体" w:hAnsi="宋体"/>
          <w:b w:val="0"/>
          <w:color w:val="auto"/>
          <w:sz w:val="21"/>
          <w:szCs w:val="21"/>
        </w:rPr>
      </w:pPr>
      <w:bookmarkStart w:id="119" w:name="_21.1投标人必须在“投标人须知中的前附表”规定的投标文件接收时间和投"/>
      <w:bookmarkEnd w:id="119"/>
      <w:r>
        <w:rPr>
          <w:rFonts w:hint="eastAsia" w:ascii="宋体" w:hAnsi="宋体"/>
          <w:b w:val="0"/>
          <w:color w:val="auto"/>
          <w:sz w:val="21"/>
          <w:szCs w:val="21"/>
        </w:rPr>
        <w:t>21.1供应商必须在“供应商须知前附表”规定的投标文件接收时间和投标地点提交投标文件。</w:t>
      </w:r>
    </w:p>
    <w:p w14:paraId="7410B960">
      <w:pPr>
        <w:pStyle w:val="6"/>
        <w:keepNext w:val="0"/>
        <w:keepLines w:val="0"/>
        <w:spacing w:before="0" w:after="0" w:line="360" w:lineRule="auto"/>
        <w:ind w:firstLine="420" w:firstLineChars="200"/>
        <w:rPr>
          <w:rFonts w:hint="eastAsia" w:ascii="宋体" w:hAnsi="宋体"/>
          <w:b w:val="0"/>
          <w:color w:val="auto"/>
          <w:sz w:val="21"/>
          <w:szCs w:val="21"/>
        </w:rPr>
      </w:pPr>
      <w:r>
        <w:rPr>
          <w:rFonts w:hint="eastAsia" w:ascii="宋体" w:hAnsi="宋体"/>
          <w:b w:val="0"/>
          <w:color w:val="auto"/>
          <w:sz w:val="21"/>
          <w:szCs w:val="21"/>
        </w:rPr>
        <w:t>21.2本项目为全流程电子化政府采购项目，通过广西政府采购云平台实行在线电子投标。供应商必须在“供应商须知前附表”规定的投标文件接收时间内通过网络将电子投标文件上传至广西政府采购云平台，供应商在广西政府采购云平台提交电子版投标文件时，请填写参加远程开标活动经办人联系方式。</w:t>
      </w:r>
    </w:p>
    <w:p w14:paraId="4707ED93">
      <w:pPr>
        <w:numPr>
          <w:ilvl w:val="0"/>
          <w:numId w:val="3"/>
        </w:numPr>
        <w:spacing w:line="360" w:lineRule="auto"/>
        <w:ind w:firstLine="420" w:firstLineChars="200"/>
        <w:jc w:val="left"/>
        <w:outlineLvl w:val="4"/>
        <w:rPr>
          <w:rFonts w:ascii="宋体" w:hAnsi="宋体"/>
          <w:color w:val="auto"/>
          <w:kern w:val="0"/>
          <w:szCs w:val="21"/>
        </w:rPr>
      </w:pPr>
      <w:r>
        <w:rPr>
          <w:rFonts w:hint="eastAsia" w:ascii="宋体" w:hAnsi="宋体"/>
          <w:color w:val="auto"/>
          <w:kern w:val="0"/>
          <w:szCs w:val="21"/>
        </w:rPr>
        <w:t>21.3未在规定时间内上传或者未按广西政府采购云平台的要求编制、加密的电子投标文件，广西政府采购云平台将拒收。</w:t>
      </w:r>
    </w:p>
    <w:p w14:paraId="1D4BBBA7">
      <w:pPr>
        <w:spacing w:line="360" w:lineRule="auto"/>
        <w:ind w:firstLine="420"/>
        <w:rPr>
          <w:rFonts w:ascii="宋体" w:hAnsi="宋体"/>
          <w:color w:val="auto"/>
          <w:szCs w:val="20"/>
        </w:rPr>
      </w:pPr>
      <w:r>
        <w:rPr>
          <w:rFonts w:hint="eastAsia" w:ascii="宋体" w:hAnsi="宋体"/>
          <w:color w:val="auto"/>
          <w:szCs w:val="21"/>
        </w:rPr>
        <w:t>21.4电子投标文件提交方式见“招标公告”中“四、提交投标文件截止时间、开标时间和地点”</w:t>
      </w:r>
    </w:p>
    <w:p w14:paraId="3A6B6D18">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22. 投标文件的补充、修改、撤回与退回</w:t>
      </w:r>
    </w:p>
    <w:p w14:paraId="755BE91A">
      <w:pPr>
        <w:snapToGrid w:val="0"/>
        <w:spacing w:line="360" w:lineRule="auto"/>
        <w:ind w:firstLine="420"/>
        <w:jc w:val="left"/>
        <w:rPr>
          <w:rFonts w:ascii="宋体" w:hAnsi="宋体"/>
          <w:color w:val="auto"/>
          <w:szCs w:val="21"/>
        </w:rPr>
      </w:pPr>
      <w:bookmarkStart w:id="120" w:name="_Toc254970543"/>
      <w:bookmarkStart w:id="121" w:name="_Toc254970684"/>
      <w:r>
        <w:rPr>
          <w:rFonts w:hint="eastAsia" w:ascii="宋体" w:hAnsi="宋体"/>
          <w:color w:val="auto"/>
          <w:szCs w:val="21"/>
        </w:rPr>
        <w:t>2</w:t>
      </w:r>
      <w:r>
        <w:rPr>
          <w:rFonts w:ascii="宋体" w:hAnsi="宋体"/>
          <w:color w:val="auto"/>
          <w:szCs w:val="21"/>
        </w:rPr>
        <w:t>2.1</w:t>
      </w:r>
      <w:r>
        <w:rPr>
          <w:rFonts w:hint="eastAsia" w:ascii="宋体" w:hAnsi="宋体"/>
          <w:color w:val="auto"/>
          <w:szCs w:val="21"/>
        </w:rPr>
        <w:t>供应商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w:t>
      </w:r>
      <w:r>
        <w:rPr>
          <w:rFonts w:hint="eastAsia" w:ascii="宋体" w:hAnsi="宋体"/>
          <w:color w:val="auto"/>
          <w:kern w:val="0"/>
          <w:szCs w:val="21"/>
        </w:rPr>
        <w:t>广西政府采购云平台</w:t>
      </w:r>
      <w:r>
        <w:rPr>
          <w:rFonts w:hint="eastAsia" w:ascii="宋体" w:hAnsi="宋体"/>
          <w:color w:val="auto"/>
          <w:szCs w:val="21"/>
        </w:rPr>
        <w:t>将予以拒收。</w:t>
      </w:r>
    </w:p>
    <w:bookmarkEnd w:id="120"/>
    <w:bookmarkEnd w:id="121"/>
    <w:p w14:paraId="6EC570F9">
      <w:pPr>
        <w:snapToGrid w:val="0"/>
        <w:spacing w:line="360" w:lineRule="auto"/>
        <w:ind w:firstLine="420"/>
        <w:jc w:val="left"/>
        <w:rPr>
          <w:rFonts w:ascii="宋体" w:hAnsi="宋体"/>
          <w:color w:val="auto"/>
          <w:szCs w:val="21"/>
        </w:rPr>
      </w:pPr>
      <w:r>
        <w:rPr>
          <w:rFonts w:hint="eastAsia" w:ascii="宋体" w:hAnsi="宋体"/>
          <w:color w:val="auto"/>
          <w:szCs w:val="21"/>
        </w:rPr>
        <w:t>22.</w:t>
      </w:r>
      <w:r>
        <w:rPr>
          <w:rFonts w:ascii="宋体" w:hAnsi="宋体"/>
          <w:color w:val="auto"/>
          <w:szCs w:val="21"/>
        </w:rPr>
        <w:t>2</w:t>
      </w:r>
      <w:r>
        <w:rPr>
          <w:rFonts w:hint="eastAsia" w:ascii="宋体" w:hAnsi="宋体"/>
          <w:color w:val="auto"/>
          <w:szCs w:val="21"/>
        </w:rPr>
        <w:t>在投标截止时间止提交投标文件的供应商不足3家时，不得开标，采购代理机构将根据</w:t>
      </w:r>
      <w:r>
        <w:rPr>
          <w:rFonts w:hint="eastAsia" w:ascii="宋体" w:hAnsi="宋体"/>
          <w:color w:val="auto"/>
          <w:kern w:val="0"/>
          <w:szCs w:val="21"/>
        </w:rPr>
        <w:t>广西政府采购云平台</w:t>
      </w:r>
      <w:r>
        <w:rPr>
          <w:rFonts w:hint="eastAsia" w:ascii="宋体" w:hAnsi="宋体"/>
          <w:color w:val="auto"/>
          <w:szCs w:val="21"/>
        </w:rPr>
        <w:t>的操作将电子版投标文件退回，除此之外采购人和采购代理机构对已提交的投标文件概不退回。</w:t>
      </w:r>
    </w:p>
    <w:p w14:paraId="11EF88F5">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2.3</w:t>
      </w:r>
      <w:r>
        <w:rPr>
          <w:rFonts w:hint="eastAsia" w:ascii="宋体" w:hAnsi="宋体" w:cs="宋体"/>
          <w:color w:val="auto"/>
          <w:szCs w:val="21"/>
        </w:rPr>
        <w:t xml:space="preserve"> 供应商在投标截止时间后书面通知采购人、采购代理机构撤销投标文件的，将根据本须知正文1</w:t>
      </w:r>
      <w:r>
        <w:rPr>
          <w:rFonts w:ascii="宋体" w:hAnsi="宋体" w:cs="宋体"/>
          <w:color w:val="auto"/>
          <w:szCs w:val="21"/>
        </w:rPr>
        <w:t>8</w:t>
      </w:r>
      <w:r>
        <w:rPr>
          <w:rFonts w:hint="eastAsia" w:ascii="宋体" w:hAnsi="宋体" w:cs="宋体"/>
          <w:color w:val="auto"/>
          <w:szCs w:val="21"/>
        </w:rPr>
        <w:t>.4的规定不予退还其投标保证金。</w:t>
      </w:r>
    </w:p>
    <w:p w14:paraId="767BCCB7">
      <w:pPr>
        <w:pStyle w:val="19"/>
        <w:snapToGrid w:val="0"/>
        <w:spacing w:line="360" w:lineRule="auto"/>
        <w:ind w:firstLine="739"/>
        <w:rPr>
          <w:rFonts w:ascii="宋体" w:hAnsi="宋体" w:eastAsia="宋体"/>
          <w:snapToGrid w:val="0"/>
          <w:color w:val="auto"/>
          <w:sz w:val="21"/>
          <w:szCs w:val="21"/>
        </w:rPr>
      </w:pPr>
    </w:p>
    <w:p w14:paraId="2911F426">
      <w:pPr>
        <w:pStyle w:val="3"/>
        <w:keepNext w:val="0"/>
        <w:keepLines w:val="0"/>
        <w:spacing w:line="360" w:lineRule="auto"/>
        <w:jc w:val="center"/>
        <w:rPr>
          <w:rFonts w:ascii="宋体" w:hAnsi="宋体" w:eastAsia="宋体"/>
          <w:color w:val="auto"/>
        </w:rPr>
      </w:pPr>
      <w:bookmarkStart w:id="122" w:name="_Toc254970685"/>
      <w:bookmarkStart w:id="123" w:name="_Toc254970544"/>
      <w:r>
        <w:rPr>
          <w:rFonts w:hint="eastAsia" w:ascii="宋体" w:hAnsi="宋体" w:eastAsia="宋体"/>
          <w:color w:val="auto"/>
        </w:rPr>
        <w:t>四、开    标</w:t>
      </w:r>
      <w:bookmarkEnd w:id="122"/>
      <w:bookmarkEnd w:id="123"/>
    </w:p>
    <w:p w14:paraId="2DB8AF19">
      <w:pPr>
        <w:pStyle w:val="6"/>
        <w:keepNext w:val="0"/>
        <w:keepLines w:val="0"/>
        <w:spacing w:before="0" w:after="0" w:line="360" w:lineRule="auto"/>
        <w:ind w:left="420" w:leftChars="200"/>
        <w:rPr>
          <w:rFonts w:ascii="宋体" w:hAnsi="宋体"/>
          <w:color w:val="auto"/>
          <w:sz w:val="24"/>
        </w:rPr>
      </w:pPr>
      <w:bookmarkStart w:id="124" w:name="_23.开标时间和地点"/>
      <w:bookmarkEnd w:id="124"/>
      <w:r>
        <w:rPr>
          <w:rFonts w:hint="eastAsia" w:ascii="宋体" w:hAnsi="宋体"/>
          <w:color w:val="auto"/>
          <w:sz w:val="24"/>
        </w:rPr>
        <w:t>23.开标时间和地点</w:t>
      </w:r>
    </w:p>
    <w:p w14:paraId="1A2560F1">
      <w:pPr>
        <w:snapToGrid w:val="0"/>
        <w:spacing w:line="360" w:lineRule="auto"/>
        <w:ind w:firstLine="420"/>
        <w:jc w:val="left"/>
        <w:rPr>
          <w:rFonts w:ascii="宋体" w:hAnsi="宋体"/>
          <w:color w:val="auto"/>
          <w:szCs w:val="21"/>
        </w:rPr>
      </w:pPr>
      <w:r>
        <w:rPr>
          <w:rFonts w:hint="eastAsia" w:ascii="宋体" w:hAnsi="宋体"/>
          <w:color w:val="auto"/>
          <w:szCs w:val="21"/>
        </w:rPr>
        <w:t>23.1开标时间及地点详见“供应商须知前附表”</w:t>
      </w:r>
    </w:p>
    <w:p w14:paraId="0129A920">
      <w:pPr>
        <w:snapToGrid w:val="0"/>
        <w:spacing w:line="360" w:lineRule="auto"/>
        <w:ind w:firstLine="420"/>
        <w:jc w:val="left"/>
        <w:rPr>
          <w:rFonts w:ascii="宋体" w:hAnsi="宋体"/>
          <w:color w:val="auto"/>
          <w:szCs w:val="21"/>
        </w:rPr>
      </w:pPr>
      <w:r>
        <w:rPr>
          <w:rFonts w:hint="eastAsia" w:ascii="宋体" w:hAnsi="宋体"/>
          <w:color w:val="auto"/>
          <w:szCs w:val="21"/>
        </w:rPr>
        <w:t>23.2如供应商成功解密投标文件，但未在</w:t>
      </w:r>
      <w:r>
        <w:rPr>
          <w:rFonts w:hint="eastAsia" w:ascii="宋体" w:hAnsi="宋体"/>
          <w:color w:val="auto"/>
          <w:kern w:val="0"/>
          <w:szCs w:val="21"/>
        </w:rPr>
        <w:t>广西政府采购云平台</w:t>
      </w:r>
      <w:r>
        <w:rPr>
          <w:rFonts w:hint="eastAsia" w:ascii="宋体" w:hAnsi="宋体"/>
          <w:color w:val="auto"/>
          <w:szCs w:val="21"/>
        </w:rPr>
        <w:t>电子开标大厅参加开标的，视同认可开标过程和结果，由此产生的后果由供应商自行负责。成功解密投标文件的供应商不足3家的，不得开标。</w:t>
      </w:r>
    </w:p>
    <w:p w14:paraId="5ECF5671">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24.开标程序</w:t>
      </w:r>
    </w:p>
    <w:p w14:paraId="697C469D">
      <w:pPr>
        <w:autoSpaceDE w:val="0"/>
        <w:autoSpaceDN w:val="0"/>
        <w:adjustRightInd w:val="0"/>
        <w:spacing w:line="360" w:lineRule="auto"/>
        <w:ind w:firstLine="420" w:firstLineChars="200"/>
        <w:rPr>
          <w:rFonts w:ascii="宋体" w:hAnsi="宋体"/>
          <w:color w:val="auto"/>
          <w:kern w:val="0"/>
          <w:szCs w:val="21"/>
        </w:rPr>
      </w:pPr>
      <w:r>
        <w:rPr>
          <w:rFonts w:hint="eastAsia" w:ascii="宋体" w:hAnsi="宋体"/>
          <w:bCs/>
          <w:color w:val="auto"/>
          <w:szCs w:val="21"/>
        </w:rPr>
        <w:t>24.1</w:t>
      </w:r>
      <w:r>
        <w:rPr>
          <w:rFonts w:hint="eastAsia" w:ascii="宋体" w:hAnsi="宋体"/>
          <w:color w:val="auto"/>
          <w:kern w:val="0"/>
          <w:szCs w:val="21"/>
        </w:rPr>
        <w:t>开标形式：</w:t>
      </w:r>
    </w:p>
    <w:p w14:paraId="3D9C6BF3">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采购代理机构将按照招标文件规定的时间通过广西政府采购云平台组织线上开标活动、开启投标文件，所有供应商均应当准时在线参加。供应商</w:t>
      </w:r>
      <w:r>
        <w:rPr>
          <w:rFonts w:ascii="宋体" w:hAnsi="宋体"/>
          <w:bCs/>
          <w:color w:val="auto"/>
          <w:szCs w:val="21"/>
        </w:rPr>
        <w:t>如不</w:t>
      </w:r>
      <w:r>
        <w:rPr>
          <w:rFonts w:hint="eastAsia" w:ascii="宋体" w:hAnsi="宋体"/>
          <w:bCs/>
          <w:color w:val="auto"/>
          <w:szCs w:val="21"/>
        </w:rPr>
        <w:t>参加</w:t>
      </w:r>
      <w:r>
        <w:rPr>
          <w:rFonts w:ascii="宋体" w:hAnsi="宋体"/>
          <w:bCs/>
          <w:color w:val="auto"/>
          <w:szCs w:val="21"/>
        </w:rPr>
        <w:t>开标大会的，</w:t>
      </w:r>
      <w:r>
        <w:rPr>
          <w:rFonts w:hint="eastAsia" w:ascii="宋体" w:hAnsi="宋体"/>
          <w:bCs/>
          <w:color w:val="auto"/>
          <w:szCs w:val="21"/>
        </w:rPr>
        <w:t>视同认可开标结果，</w:t>
      </w:r>
      <w:r>
        <w:rPr>
          <w:rFonts w:ascii="宋体" w:hAnsi="宋体"/>
          <w:bCs/>
          <w:color w:val="auto"/>
          <w:szCs w:val="21"/>
        </w:rPr>
        <w:t>事后不得对采购相关人员、开标过程和开标结果提出异议</w:t>
      </w:r>
      <w:r>
        <w:rPr>
          <w:rFonts w:hint="eastAsia" w:ascii="宋体" w:hAnsi="宋体"/>
          <w:bCs/>
          <w:color w:val="auto"/>
          <w:szCs w:val="21"/>
        </w:rPr>
        <w:t>，同时供应商因未在线参加开标而导致投标文件无法按时解密等一切后果由供应商自己承担。</w:t>
      </w:r>
    </w:p>
    <w:p w14:paraId="23C52058">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24.2</w:t>
      </w:r>
      <w:r>
        <w:rPr>
          <w:rFonts w:ascii="宋体" w:hAnsi="宋体"/>
          <w:bCs/>
          <w:color w:val="auto"/>
          <w:szCs w:val="21"/>
        </w:rPr>
        <w:t>开</w:t>
      </w:r>
      <w:r>
        <w:rPr>
          <w:rFonts w:hint="eastAsia" w:ascii="宋体" w:hAnsi="宋体"/>
          <w:bCs/>
          <w:color w:val="auto"/>
          <w:szCs w:val="21"/>
        </w:rPr>
        <w:t>标</w:t>
      </w:r>
      <w:r>
        <w:rPr>
          <w:rFonts w:ascii="宋体" w:hAnsi="宋体"/>
          <w:bCs/>
          <w:color w:val="auto"/>
          <w:szCs w:val="21"/>
        </w:rPr>
        <w:t>程序：</w:t>
      </w:r>
    </w:p>
    <w:p w14:paraId="45BADEB6">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（1）解密电子投标文件。广西政府采购云平台按开标时间自动提取所有投标文件。采购代理机构依托广西政府采购云平台向各供应商发出电子加密投标文件【开始解密】通知，由供应商进行投标文件解密。</w:t>
      </w:r>
      <w:r>
        <w:rPr>
          <w:rFonts w:hint="eastAsia" w:ascii="宋体" w:hAnsi="宋体"/>
          <w:b/>
          <w:bCs/>
          <w:color w:val="auto"/>
          <w:szCs w:val="21"/>
        </w:rPr>
        <w:t>供应商的法定代表人或其委托代理人须携带加密时所用的CA锁准时登录到广西政府采购云平台电子开标大厅签到</w:t>
      </w:r>
      <w:r>
        <w:rPr>
          <w:rFonts w:hint="eastAsia" w:ascii="宋体" w:hAnsi="宋体" w:cs="宋体"/>
          <w:b/>
          <w:color w:val="auto"/>
          <w:szCs w:val="21"/>
        </w:rPr>
        <w:t>并在发起解密</w:t>
      </w:r>
      <w:r>
        <w:rPr>
          <w:rFonts w:hint="eastAsia" w:ascii="宋体" w:hAnsi="宋体"/>
          <w:b/>
          <w:bCs/>
          <w:color w:val="auto"/>
          <w:szCs w:val="21"/>
        </w:rPr>
        <w:t>通知</w:t>
      </w:r>
      <w:r>
        <w:rPr>
          <w:rFonts w:hint="eastAsia" w:ascii="宋体" w:hAnsi="宋体" w:cs="宋体"/>
          <w:b/>
          <w:color w:val="auto"/>
          <w:szCs w:val="21"/>
        </w:rPr>
        <w:t>之时起30分钟内完成</w:t>
      </w:r>
      <w:r>
        <w:rPr>
          <w:rFonts w:hint="eastAsia" w:ascii="宋体" w:hAnsi="宋体"/>
          <w:b/>
          <w:bCs/>
          <w:color w:val="auto"/>
          <w:szCs w:val="21"/>
        </w:rPr>
        <w:t>对电子投标文件解密。投标文件未按时解密的，视为无效投标。</w:t>
      </w:r>
      <w:r>
        <w:rPr>
          <w:rFonts w:hint="eastAsia" w:ascii="宋体" w:hAnsi="宋体"/>
          <w:bCs/>
          <w:color w:val="auto"/>
          <w:szCs w:val="21"/>
        </w:rPr>
        <w:t>（解密异常情况处理：详见本章29.4 电子交易活动的中止）</w:t>
      </w:r>
    </w:p>
    <w:p w14:paraId="5F556053">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（2）电子唱标。投标文件解密结束，各投标供应商报价均在广西政府采购云平台远程不见面开标大厅展示；</w:t>
      </w:r>
    </w:p>
    <w:p w14:paraId="3248DE32">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（3）签署电子《政府采购活动现场确认声明书》。通过邮件形式在远程不见面开标大厅发送各供应商签署电子《政府采购活动现场确认声明书》。</w:t>
      </w:r>
    </w:p>
    <w:p w14:paraId="63F01208">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（4）开标过程由采购代理机构如实记录，并电子留痕，由参加电子开标的各供应商代表对电子开标记录在开标记录公布后15分钟内进行当场校核及勘误，并线上确认，未确认的视同认可开标结果。</w:t>
      </w:r>
    </w:p>
    <w:p w14:paraId="27337950">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5）供应商代表对开标过程和开标记录有疑义，以及认为采购人、采购代理机构相关工作人员有需要回避的情形的，应当场提出在线询问或者回避申请。采购人、采购代理机构对供应商代表提出的询问或者回避申请应当及时处理。</w:t>
      </w:r>
    </w:p>
    <w:p w14:paraId="35E94D70">
      <w:pPr>
        <w:autoSpaceDE w:val="0"/>
        <w:autoSpaceDN w:val="0"/>
        <w:adjustRightInd w:val="0"/>
        <w:spacing w:line="360" w:lineRule="auto"/>
        <w:ind w:firstLine="420" w:firstLineChars="200"/>
        <w:rPr>
          <w:rFonts w:ascii="宋体" w:hAnsi="宋体"/>
          <w:bCs/>
          <w:color w:val="auto"/>
          <w:szCs w:val="21"/>
        </w:rPr>
      </w:pPr>
      <w:r>
        <w:rPr>
          <w:rFonts w:hint="eastAsia" w:ascii="宋体" w:hAnsi="宋体"/>
          <w:bCs/>
          <w:color w:val="auto"/>
          <w:szCs w:val="21"/>
        </w:rPr>
        <w:t>（6）开标结束。</w:t>
      </w:r>
    </w:p>
    <w:p w14:paraId="73AFEEE1">
      <w:pPr>
        <w:autoSpaceDE w:val="0"/>
        <w:autoSpaceDN w:val="0"/>
        <w:adjustRightInd w:val="0"/>
        <w:spacing w:line="360" w:lineRule="auto"/>
        <w:ind w:firstLine="422" w:firstLineChars="200"/>
        <w:rPr>
          <w:rFonts w:ascii="宋体" w:hAnsi="宋体"/>
          <w:b/>
          <w:bCs/>
          <w:color w:val="auto"/>
          <w:szCs w:val="21"/>
        </w:rPr>
      </w:pPr>
      <w:r>
        <w:rPr>
          <w:rFonts w:hint="eastAsia" w:ascii="宋体" w:hAnsi="宋体"/>
          <w:b/>
          <w:bCs/>
          <w:color w:val="auto"/>
          <w:szCs w:val="21"/>
        </w:rPr>
        <w:t>特别说明：如遇广西政府采购云平台电子化开标或评审程序调整的，按调整后执行。</w:t>
      </w:r>
    </w:p>
    <w:p w14:paraId="1870CDB4">
      <w:pPr>
        <w:pStyle w:val="24"/>
        <w:snapToGrid w:val="0"/>
        <w:spacing w:line="360" w:lineRule="auto"/>
        <w:ind w:left="689" w:leftChars="228" w:hanging="210" w:hangingChars="100"/>
        <w:rPr>
          <w:rFonts w:hAnsi="宋体"/>
          <w:color w:val="auto"/>
          <w:sz w:val="21"/>
        </w:rPr>
      </w:pPr>
    </w:p>
    <w:p w14:paraId="3BC7EC7D">
      <w:pPr>
        <w:pStyle w:val="3"/>
        <w:keepNext w:val="0"/>
        <w:keepLines w:val="0"/>
        <w:spacing w:line="360" w:lineRule="auto"/>
        <w:jc w:val="center"/>
        <w:rPr>
          <w:rFonts w:ascii="宋体" w:hAnsi="宋体" w:eastAsia="宋体"/>
          <w:color w:val="auto"/>
        </w:rPr>
      </w:pPr>
      <w:r>
        <w:rPr>
          <w:rFonts w:hint="eastAsia" w:ascii="宋体" w:hAnsi="宋体" w:eastAsia="宋体"/>
          <w:color w:val="auto"/>
        </w:rPr>
        <w:t>五、资格审查</w:t>
      </w:r>
    </w:p>
    <w:p w14:paraId="3D5FEA2B">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25.资格审查</w:t>
      </w:r>
    </w:p>
    <w:p w14:paraId="4F048A78">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25.1</w:t>
      </w:r>
      <w:r>
        <w:rPr>
          <w:rFonts w:ascii="宋体" w:hAnsi="宋体"/>
          <w:b w:val="0"/>
          <w:color w:val="auto"/>
          <w:sz w:val="21"/>
          <w:szCs w:val="21"/>
        </w:rPr>
        <w:t>开标结束后，</w:t>
      </w:r>
      <w:r>
        <w:rPr>
          <w:rFonts w:hint="eastAsia" w:ascii="宋体" w:hAnsi="宋体"/>
          <w:b w:val="0"/>
          <w:color w:val="auto"/>
          <w:sz w:val="21"/>
          <w:szCs w:val="21"/>
        </w:rPr>
        <w:t>采购人或者采购代理机构</w:t>
      </w:r>
      <w:r>
        <w:rPr>
          <w:rFonts w:ascii="宋体" w:hAnsi="宋体"/>
          <w:b w:val="0"/>
          <w:color w:val="auto"/>
          <w:sz w:val="21"/>
          <w:szCs w:val="21"/>
        </w:rPr>
        <w:t>依法对</w:t>
      </w:r>
      <w:r>
        <w:rPr>
          <w:rFonts w:hint="eastAsia" w:ascii="宋体" w:hAnsi="宋体"/>
          <w:b w:val="0"/>
          <w:color w:val="auto"/>
          <w:sz w:val="21"/>
          <w:szCs w:val="21"/>
        </w:rPr>
        <w:t>供应商</w:t>
      </w:r>
      <w:r>
        <w:rPr>
          <w:rFonts w:ascii="宋体" w:hAnsi="宋体"/>
          <w:b w:val="0"/>
          <w:color w:val="auto"/>
          <w:sz w:val="21"/>
          <w:szCs w:val="21"/>
        </w:rPr>
        <w:t>的资格进行审查。</w:t>
      </w:r>
    </w:p>
    <w:p w14:paraId="1F4B191F">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25.2资格审查标准为本招标文件中载明对供应商资格要求的条件。本项目资格审查采用合格制，凡符合招标文件规定的供应商资格要求的供应商均通过资格审查。</w:t>
      </w:r>
    </w:p>
    <w:p w14:paraId="320E118A">
      <w:pPr>
        <w:pStyle w:val="6"/>
        <w:keepNext w:val="0"/>
        <w:keepLines w:val="0"/>
        <w:numPr>
          <w:ilvl w:val="0"/>
          <w:numId w:val="0"/>
        </w:numPr>
        <w:spacing w:before="0" w:after="0" w:line="360" w:lineRule="auto"/>
        <w:ind w:firstLine="422" w:firstLineChars="200"/>
        <w:rPr>
          <w:rFonts w:ascii="宋体" w:hAnsi="宋体"/>
          <w:color w:val="auto"/>
          <w:sz w:val="21"/>
          <w:szCs w:val="21"/>
        </w:rPr>
      </w:pPr>
      <w:bookmarkStart w:id="125" w:name="_25.3_投标人有下列情形之一的，资格审查不通过而导致其投标无效："/>
      <w:bookmarkEnd w:id="125"/>
      <w:r>
        <w:rPr>
          <w:rFonts w:hint="eastAsia" w:ascii="宋体" w:hAnsi="宋体"/>
          <w:color w:val="auto"/>
          <w:sz w:val="21"/>
          <w:szCs w:val="21"/>
        </w:rPr>
        <w:t>25.3 供应商有下列情形之一的，资格审查不通过，作无效投标处理：</w:t>
      </w:r>
    </w:p>
    <w:p w14:paraId="622B944E">
      <w:pPr>
        <w:pStyle w:val="24"/>
        <w:snapToGrid w:val="0"/>
        <w:spacing w:line="360" w:lineRule="auto"/>
        <w:ind w:firstLine="422" w:firstLineChars="200"/>
        <w:rPr>
          <w:rFonts w:hAnsi="宋体"/>
          <w:b/>
          <w:color w:val="auto"/>
          <w:sz w:val="21"/>
        </w:rPr>
      </w:pPr>
      <w:r>
        <w:rPr>
          <w:rFonts w:hint="eastAsia" w:hAnsi="宋体"/>
          <w:b/>
          <w:color w:val="auto"/>
          <w:sz w:val="21"/>
        </w:rPr>
        <w:t>（1）未按招标文件规定的方式获取本招标文件的供应商；</w:t>
      </w:r>
    </w:p>
    <w:p w14:paraId="23374B43">
      <w:pPr>
        <w:pStyle w:val="24"/>
        <w:snapToGrid w:val="0"/>
        <w:spacing w:line="360" w:lineRule="auto"/>
        <w:ind w:firstLine="422" w:firstLineChars="200"/>
        <w:rPr>
          <w:rFonts w:hAnsi="宋体"/>
          <w:b/>
          <w:color w:val="auto"/>
          <w:sz w:val="21"/>
        </w:rPr>
      </w:pPr>
      <w:r>
        <w:rPr>
          <w:rFonts w:hint="eastAsia" w:hAnsi="宋体"/>
          <w:b/>
          <w:color w:val="auto"/>
          <w:sz w:val="21"/>
        </w:rPr>
        <w:t>（2）不具备招标文件中规定的资格要求的；</w:t>
      </w:r>
    </w:p>
    <w:p w14:paraId="718E26C4">
      <w:pPr>
        <w:pStyle w:val="24"/>
        <w:snapToGrid w:val="0"/>
        <w:spacing w:line="360" w:lineRule="auto"/>
        <w:ind w:firstLine="422" w:firstLineChars="200"/>
        <w:rPr>
          <w:rFonts w:hAnsi="宋体"/>
          <w:b/>
          <w:color w:val="auto"/>
          <w:sz w:val="21"/>
        </w:rPr>
      </w:pPr>
      <w:r>
        <w:rPr>
          <w:rFonts w:hint="eastAsia" w:hAnsi="宋体"/>
          <w:b/>
          <w:color w:val="auto"/>
          <w:sz w:val="21"/>
        </w:rPr>
        <w:t>（3）在“信用中国”网站（www.creditchina.gov.cn） 、中国政府采购网（www.ccgp.gov.cn）被列入失信被执行人、重大税收违法案件当事人名单、政府采购严重违法失信行为记录名单及其他不符合《中华人民共和国政府采购法》第二十二条规定条件的；（注：其中信用查询规则见“供应商须知前附表”）</w:t>
      </w:r>
    </w:p>
    <w:p w14:paraId="00E70163">
      <w:pPr>
        <w:pStyle w:val="24"/>
        <w:snapToGrid w:val="0"/>
        <w:spacing w:line="360" w:lineRule="auto"/>
        <w:ind w:firstLine="422" w:firstLineChars="200"/>
        <w:rPr>
          <w:rFonts w:hAnsi="宋体"/>
          <w:b/>
          <w:color w:val="auto"/>
          <w:sz w:val="21"/>
        </w:rPr>
      </w:pPr>
      <w:r>
        <w:rPr>
          <w:rFonts w:hint="eastAsia" w:hAnsi="宋体"/>
          <w:b/>
          <w:color w:val="auto"/>
          <w:sz w:val="21"/>
        </w:rPr>
        <w:t>（4）同一合同项下的不同供应商，单位负责人为同一人或者存在直接控股、管理关系的；为本项目提供过整体设计、规范编制或者项目管理、监理、检测等服务的供应商，再参加该采购项目的其他采购活动的；</w:t>
      </w:r>
    </w:p>
    <w:p w14:paraId="72A681FF">
      <w:pPr>
        <w:pStyle w:val="24"/>
        <w:snapToGrid w:val="0"/>
        <w:spacing w:line="360" w:lineRule="auto"/>
        <w:ind w:firstLine="422" w:firstLineChars="200"/>
        <w:rPr>
          <w:rFonts w:hAnsi="宋体"/>
          <w:b/>
          <w:color w:val="auto"/>
          <w:sz w:val="21"/>
        </w:rPr>
      </w:pPr>
      <w:r>
        <w:rPr>
          <w:rFonts w:hint="eastAsia" w:hAnsi="宋体"/>
          <w:b/>
          <w:color w:val="auto"/>
          <w:sz w:val="21"/>
        </w:rPr>
        <w:t>（</w:t>
      </w:r>
      <w:r>
        <w:rPr>
          <w:rFonts w:hAnsi="宋体"/>
          <w:b/>
          <w:color w:val="auto"/>
          <w:sz w:val="21"/>
        </w:rPr>
        <w:t>5</w:t>
      </w:r>
      <w:r>
        <w:rPr>
          <w:rFonts w:hint="eastAsia" w:hAnsi="宋体"/>
          <w:b/>
          <w:color w:val="auto"/>
          <w:sz w:val="21"/>
        </w:rPr>
        <w:t>）投标文件中的资格证明文件缺少任一项“供应商须知前附表”资格证明文件规定“必须提供”的文件资料的；</w:t>
      </w:r>
    </w:p>
    <w:p w14:paraId="2C1897FE">
      <w:pPr>
        <w:pStyle w:val="24"/>
        <w:snapToGrid w:val="0"/>
        <w:spacing w:line="360" w:lineRule="auto"/>
        <w:ind w:firstLine="422" w:firstLineChars="200"/>
        <w:rPr>
          <w:rFonts w:hAnsi="宋体"/>
          <w:b/>
          <w:color w:val="auto"/>
          <w:sz w:val="21"/>
        </w:rPr>
      </w:pPr>
      <w:r>
        <w:rPr>
          <w:rFonts w:hint="eastAsia" w:hAnsi="宋体"/>
          <w:b/>
          <w:color w:val="auto"/>
          <w:sz w:val="21"/>
        </w:rPr>
        <w:t>（</w:t>
      </w:r>
      <w:r>
        <w:rPr>
          <w:rFonts w:hAnsi="宋体"/>
          <w:b/>
          <w:color w:val="auto"/>
          <w:sz w:val="21"/>
        </w:rPr>
        <w:t>6</w:t>
      </w:r>
      <w:r>
        <w:rPr>
          <w:rFonts w:hint="eastAsia" w:hAnsi="宋体"/>
          <w:b/>
          <w:color w:val="auto"/>
          <w:sz w:val="21"/>
        </w:rPr>
        <w:t>）投标文件中的资格证明文件出现任一项不符合“供应商须知前附表”资格证明文件规定“必须提供”的文件资料要求或者无效的。</w:t>
      </w:r>
    </w:p>
    <w:p w14:paraId="056408FE">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color w:val="auto"/>
          <w:sz w:val="21"/>
          <w:szCs w:val="21"/>
        </w:rPr>
        <w:t>25.4</w:t>
      </w:r>
      <w:r>
        <w:rPr>
          <w:rFonts w:ascii="宋体" w:hAnsi="宋体"/>
          <w:color w:val="auto"/>
          <w:sz w:val="21"/>
          <w:szCs w:val="21"/>
        </w:rPr>
        <w:t>合格</w:t>
      </w:r>
      <w:r>
        <w:rPr>
          <w:rFonts w:hint="eastAsia" w:ascii="宋体" w:hAnsi="宋体"/>
          <w:color w:val="auto"/>
          <w:sz w:val="21"/>
          <w:szCs w:val="21"/>
        </w:rPr>
        <w:t>供应商</w:t>
      </w:r>
      <w:r>
        <w:rPr>
          <w:rFonts w:ascii="宋体" w:hAnsi="宋体"/>
          <w:color w:val="auto"/>
          <w:sz w:val="21"/>
          <w:szCs w:val="21"/>
        </w:rPr>
        <w:t>不足3家的，不得评标。</w:t>
      </w:r>
    </w:p>
    <w:p w14:paraId="4A8693F1">
      <w:pPr>
        <w:pStyle w:val="24"/>
        <w:snapToGrid w:val="0"/>
        <w:spacing w:line="360" w:lineRule="auto"/>
        <w:ind w:left="689" w:leftChars="228" w:hanging="210" w:hangingChars="100"/>
        <w:rPr>
          <w:rFonts w:hAnsi="宋体"/>
          <w:color w:val="auto"/>
          <w:sz w:val="21"/>
        </w:rPr>
      </w:pPr>
    </w:p>
    <w:p w14:paraId="679DAE4E">
      <w:pPr>
        <w:pStyle w:val="3"/>
        <w:keepNext w:val="0"/>
        <w:keepLines w:val="0"/>
        <w:spacing w:line="360" w:lineRule="auto"/>
        <w:jc w:val="center"/>
        <w:rPr>
          <w:rFonts w:ascii="宋体" w:hAnsi="宋体" w:eastAsia="宋体"/>
          <w:color w:val="auto"/>
        </w:rPr>
      </w:pPr>
      <w:r>
        <w:rPr>
          <w:rFonts w:hint="eastAsia" w:ascii="宋体" w:hAnsi="宋体" w:eastAsia="宋体"/>
          <w:color w:val="auto"/>
        </w:rPr>
        <w:t>六、评   标</w:t>
      </w:r>
    </w:p>
    <w:p w14:paraId="4D7C74E1">
      <w:pPr>
        <w:pStyle w:val="6"/>
        <w:keepNext w:val="0"/>
        <w:keepLines w:val="0"/>
        <w:spacing w:before="0" w:after="0" w:line="360" w:lineRule="auto"/>
        <w:ind w:left="420" w:leftChars="200"/>
        <w:rPr>
          <w:rFonts w:ascii="宋体" w:hAnsi="宋体"/>
          <w:color w:val="auto"/>
          <w:sz w:val="24"/>
        </w:rPr>
      </w:pPr>
      <w:bookmarkStart w:id="126" w:name="_26.组建评标委员会"/>
      <w:bookmarkEnd w:id="126"/>
      <w:r>
        <w:rPr>
          <w:rFonts w:hint="eastAsia" w:ascii="宋体" w:hAnsi="宋体"/>
          <w:color w:val="auto"/>
          <w:sz w:val="24"/>
        </w:rPr>
        <w:t>26.组建评标委员会</w:t>
      </w:r>
    </w:p>
    <w:p w14:paraId="6AFBE15C">
      <w:pPr>
        <w:pStyle w:val="24"/>
        <w:snapToGrid w:val="0"/>
        <w:spacing w:line="360" w:lineRule="auto"/>
        <w:ind w:firstLine="420" w:firstLineChars="200"/>
        <w:rPr>
          <w:rFonts w:hAnsi="宋体"/>
          <w:color w:val="auto"/>
          <w:sz w:val="21"/>
        </w:rPr>
      </w:pPr>
      <w:r>
        <w:rPr>
          <w:rFonts w:hint="eastAsia" w:hAnsi="宋体"/>
          <w:color w:val="auto"/>
          <w:sz w:val="21"/>
        </w:rPr>
        <w:t>评标委员会由采购人代表和评审专家组成，具体人数详见“供应商须知前附表”，其中评审专家不得少于成员总数的三分之二。</w:t>
      </w:r>
    </w:p>
    <w:p w14:paraId="7CAE6A48">
      <w:pPr>
        <w:pStyle w:val="24"/>
        <w:snapToGrid w:val="0"/>
        <w:spacing w:line="360" w:lineRule="auto"/>
        <w:ind w:left="2" w:leftChars="1" w:firstLine="420" w:firstLineChars="200"/>
        <w:rPr>
          <w:rFonts w:hAnsi="宋体"/>
          <w:color w:val="auto"/>
          <w:sz w:val="21"/>
        </w:rPr>
      </w:pPr>
      <w:r>
        <w:rPr>
          <w:rFonts w:hint="eastAsia" w:hAnsi="宋体"/>
          <w:color w:val="auto"/>
          <w:sz w:val="21"/>
        </w:rPr>
        <w:t>参加过采购项目前期咨询论证的专家，不得参加该采购项目的评审活动。</w:t>
      </w:r>
    </w:p>
    <w:p w14:paraId="7293272F">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27.评标的依据</w:t>
      </w:r>
    </w:p>
    <w:p w14:paraId="1201FA92">
      <w:pPr>
        <w:pStyle w:val="24"/>
        <w:snapToGrid w:val="0"/>
        <w:spacing w:line="360" w:lineRule="auto"/>
        <w:ind w:firstLine="420" w:firstLineChars="200"/>
        <w:rPr>
          <w:rFonts w:hAnsi="宋体"/>
          <w:color w:val="auto"/>
          <w:sz w:val="21"/>
        </w:rPr>
      </w:pPr>
      <w:r>
        <w:rPr>
          <w:rFonts w:hint="eastAsia" w:hAnsi="宋体"/>
          <w:color w:val="auto"/>
          <w:sz w:val="21"/>
        </w:rPr>
        <w:t>评标委员会以</w:t>
      </w:r>
      <w:r>
        <w:rPr>
          <w:rFonts w:hint="eastAsia" w:hAnsi="宋体" w:cs="宋体"/>
          <w:color w:val="auto"/>
          <w:sz w:val="21"/>
        </w:rPr>
        <w:t>“第四章 评标方法和评标标准”</w:t>
      </w:r>
      <w:r>
        <w:rPr>
          <w:rFonts w:hint="eastAsia" w:hAnsi="宋体"/>
          <w:color w:val="auto"/>
          <w:sz w:val="21"/>
        </w:rPr>
        <w:t>为依据对投标文件进行评审，</w:t>
      </w:r>
      <w:r>
        <w:rPr>
          <w:rFonts w:hAnsi="宋体"/>
          <w:color w:val="auto"/>
          <w:sz w:val="21"/>
        </w:rPr>
        <w:t>没有规定的方法、评审因素和标准，不作为评标依据。</w:t>
      </w:r>
    </w:p>
    <w:p w14:paraId="4C35CC2D">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28.评标原则</w:t>
      </w:r>
    </w:p>
    <w:p w14:paraId="07CA020C">
      <w:pPr>
        <w:pStyle w:val="24"/>
        <w:snapToGrid w:val="0"/>
        <w:spacing w:line="360" w:lineRule="auto"/>
        <w:ind w:firstLine="420" w:firstLineChars="200"/>
        <w:rPr>
          <w:rFonts w:hAnsi="宋体"/>
          <w:color w:val="auto"/>
          <w:sz w:val="21"/>
        </w:rPr>
      </w:pPr>
      <w:r>
        <w:rPr>
          <w:rFonts w:hint="eastAsia" w:hAnsi="宋体"/>
          <w:color w:val="auto"/>
          <w:sz w:val="21"/>
        </w:rPr>
        <w:t>28.1评标原则。评标委员会评标时必须公平、公正、客观，不带任何倾向性和启发性；不得向外界透露任何与评标有关的内容；任何单位和个人不得干扰、影响评标的正常进行；评标委员会及有关工作人员不得私下与供应商接触，不得收受利害关系人的财物或者其他好处。</w:t>
      </w:r>
    </w:p>
    <w:p w14:paraId="3E00259A">
      <w:pPr>
        <w:pStyle w:val="24"/>
        <w:snapToGrid w:val="0"/>
        <w:spacing w:line="360" w:lineRule="auto"/>
        <w:ind w:firstLine="420" w:firstLineChars="200"/>
        <w:rPr>
          <w:rFonts w:hAnsi="宋体"/>
          <w:color w:val="auto"/>
          <w:sz w:val="21"/>
        </w:rPr>
      </w:pPr>
      <w:r>
        <w:rPr>
          <w:rFonts w:hint="eastAsia" w:hAnsi="宋体"/>
          <w:color w:val="auto"/>
          <w:sz w:val="21"/>
        </w:rPr>
        <w:t>28.2</w:t>
      </w:r>
      <w:bookmarkStart w:id="127" w:name="_28.3评标方法。本项目将按须知前附表规定的评标办法进行评标，具体评标"/>
      <w:bookmarkEnd w:id="127"/>
      <w:r>
        <w:rPr>
          <w:rFonts w:hint="eastAsia" w:hAnsi="宋体"/>
          <w:color w:val="auto"/>
          <w:sz w:val="21"/>
        </w:rPr>
        <w:t>评委表决。评标委员会成员对需要共同认定的事项存在争议的，应当按照少数服从多数的原则作出结论。</w:t>
      </w:r>
    </w:p>
    <w:p w14:paraId="1102C193">
      <w:pPr>
        <w:pStyle w:val="24"/>
        <w:snapToGrid w:val="0"/>
        <w:spacing w:line="360" w:lineRule="auto"/>
        <w:ind w:firstLine="420" w:firstLineChars="200"/>
        <w:rPr>
          <w:rFonts w:hAnsi="宋体"/>
          <w:color w:val="auto"/>
          <w:sz w:val="21"/>
        </w:rPr>
      </w:pPr>
      <w:r>
        <w:rPr>
          <w:rFonts w:hint="eastAsia" w:hAnsi="宋体"/>
          <w:color w:val="auto"/>
          <w:sz w:val="21"/>
        </w:rPr>
        <w:t>28.</w:t>
      </w:r>
      <w:r>
        <w:rPr>
          <w:rFonts w:hAnsi="宋体"/>
          <w:color w:val="auto"/>
          <w:sz w:val="21"/>
        </w:rPr>
        <w:t>3</w:t>
      </w:r>
      <w:r>
        <w:rPr>
          <w:rFonts w:hint="eastAsia" w:hAnsi="宋体"/>
          <w:color w:val="auto"/>
          <w:sz w:val="21"/>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6EA4A59C">
      <w:pPr>
        <w:pStyle w:val="24"/>
        <w:snapToGrid w:val="0"/>
        <w:spacing w:line="360" w:lineRule="auto"/>
        <w:ind w:firstLine="420" w:firstLineChars="200"/>
        <w:rPr>
          <w:rFonts w:hAnsi="宋体"/>
          <w:color w:val="auto"/>
          <w:sz w:val="21"/>
        </w:rPr>
      </w:pPr>
      <w:r>
        <w:rPr>
          <w:rFonts w:hint="eastAsia" w:hAnsi="宋体"/>
          <w:color w:val="auto"/>
          <w:sz w:val="21"/>
        </w:rPr>
        <w:t>2</w:t>
      </w:r>
      <w:r>
        <w:rPr>
          <w:rFonts w:hAnsi="宋体"/>
          <w:color w:val="auto"/>
          <w:sz w:val="21"/>
        </w:rPr>
        <w:t>8.4</w:t>
      </w:r>
      <w:r>
        <w:rPr>
          <w:rFonts w:hint="eastAsia" w:hAnsi="宋体"/>
          <w:color w:val="auto"/>
          <w:sz w:val="21"/>
        </w:rPr>
        <w:t>评标过程的监控。本项目评标过程实行全程录音、录像监控，</w:t>
      </w:r>
      <w:r>
        <w:rPr>
          <w:rFonts w:hint="eastAsia" w:hAnsi="宋体"/>
          <w:b/>
          <w:bCs/>
          <w:color w:val="auto"/>
          <w:sz w:val="21"/>
        </w:rPr>
        <w:t>供应商在评标过程中所进行的试图影响评标结果的不公正活动，可能导致其投标无效</w:t>
      </w:r>
      <w:r>
        <w:rPr>
          <w:rFonts w:hint="eastAsia" w:hAnsi="宋体"/>
          <w:color w:val="auto"/>
          <w:sz w:val="21"/>
        </w:rPr>
        <w:t>。</w:t>
      </w:r>
    </w:p>
    <w:p w14:paraId="187A4517">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29.评标方法及中标候选人推荐</w:t>
      </w:r>
    </w:p>
    <w:p w14:paraId="1C7200A7">
      <w:pPr>
        <w:pStyle w:val="24"/>
        <w:snapToGrid w:val="0"/>
        <w:spacing w:line="360" w:lineRule="auto"/>
        <w:ind w:firstLine="420" w:firstLineChars="200"/>
        <w:rPr>
          <w:rFonts w:hAnsi="宋体"/>
          <w:color w:val="auto"/>
          <w:sz w:val="21"/>
        </w:rPr>
      </w:pPr>
      <w:r>
        <w:rPr>
          <w:rFonts w:hint="eastAsia" w:hAnsi="宋体"/>
          <w:color w:val="auto"/>
          <w:sz w:val="21"/>
        </w:rPr>
        <w:t>2</w:t>
      </w:r>
      <w:r>
        <w:rPr>
          <w:rFonts w:hAnsi="宋体"/>
          <w:color w:val="auto"/>
          <w:sz w:val="21"/>
        </w:rPr>
        <w:t>9.1</w:t>
      </w:r>
      <w:r>
        <w:rPr>
          <w:rFonts w:hint="eastAsia" w:hAnsi="宋体"/>
          <w:color w:val="auto"/>
          <w:sz w:val="21"/>
        </w:rPr>
        <w:t>本项目的评标方法详见“供应商须知前附表”。</w:t>
      </w:r>
    </w:p>
    <w:p w14:paraId="69FA142D">
      <w:pPr>
        <w:pStyle w:val="24"/>
        <w:snapToGrid w:val="0"/>
        <w:spacing w:line="360" w:lineRule="auto"/>
        <w:ind w:firstLine="420" w:firstLineChars="200"/>
        <w:rPr>
          <w:rFonts w:hAnsi="宋体"/>
          <w:color w:val="auto"/>
          <w:sz w:val="21"/>
        </w:rPr>
      </w:pPr>
      <w:r>
        <w:rPr>
          <w:rFonts w:hint="eastAsia" w:hAnsi="宋体"/>
          <w:color w:val="auto"/>
          <w:sz w:val="21"/>
        </w:rPr>
        <w:t>2</w:t>
      </w:r>
      <w:r>
        <w:rPr>
          <w:rFonts w:hAnsi="宋体"/>
          <w:color w:val="auto"/>
          <w:sz w:val="21"/>
        </w:rPr>
        <w:t>9.2中标候选人推荐数量详见</w:t>
      </w:r>
      <w:r>
        <w:rPr>
          <w:rFonts w:hint="eastAsia" w:hAnsi="宋体"/>
          <w:color w:val="auto"/>
          <w:sz w:val="21"/>
        </w:rPr>
        <w:t>“供应商须知前附表”。</w:t>
      </w:r>
    </w:p>
    <w:p w14:paraId="5ED81AFE">
      <w:pPr>
        <w:pStyle w:val="24"/>
        <w:snapToGrid w:val="0"/>
        <w:spacing w:line="360" w:lineRule="auto"/>
        <w:ind w:firstLine="420" w:firstLineChars="200"/>
        <w:rPr>
          <w:rFonts w:hAnsi="宋体"/>
          <w:color w:val="auto"/>
          <w:sz w:val="21"/>
        </w:rPr>
      </w:pPr>
      <w:r>
        <w:rPr>
          <w:rFonts w:hint="eastAsia" w:hAnsi="宋体"/>
          <w:color w:val="auto"/>
          <w:sz w:val="21"/>
        </w:rPr>
        <w:t>2</w:t>
      </w:r>
      <w:r>
        <w:rPr>
          <w:rFonts w:hAnsi="宋体"/>
          <w:color w:val="auto"/>
          <w:sz w:val="21"/>
        </w:rPr>
        <w:t>9.</w:t>
      </w:r>
      <w:r>
        <w:rPr>
          <w:rFonts w:hint="eastAsia" w:hAnsi="宋体"/>
          <w:color w:val="auto"/>
          <w:sz w:val="21"/>
        </w:rPr>
        <w:t>3</w:t>
      </w:r>
      <w:r>
        <w:rPr>
          <w:rFonts w:hAnsi="宋体"/>
          <w:color w:val="auto"/>
          <w:sz w:val="21"/>
        </w:rPr>
        <w:t>评标委员会</w:t>
      </w:r>
      <w:r>
        <w:rPr>
          <w:rFonts w:hint="eastAsia" w:hAnsi="宋体"/>
          <w:color w:val="auto"/>
          <w:sz w:val="21"/>
        </w:rPr>
        <w:t>将</w:t>
      </w:r>
      <w:r>
        <w:rPr>
          <w:rFonts w:hAnsi="宋体"/>
          <w:color w:val="auto"/>
          <w:sz w:val="21"/>
        </w:rPr>
        <w:t>按照</w:t>
      </w:r>
      <w:r>
        <w:rPr>
          <w:rFonts w:hint="eastAsia" w:hAnsi="宋体"/>
          <w:color w:val="auto"/>
          <w:sz w:val="21"/>
        </w:rPr>
        <w:t>“第四章 评标方法和评标标准”</w:t>
      </w:r>
      <w:r>
        <w:rPr>
          <w:rFonts w:hAnsi="宋体"/>
          <w:color w:val="auto"/>
          <w:sz w:val="21"/>
        </w:rPr>
        <w:t>规定的方法、评审因素、标准和程序对投标文件进行评审。</w:t>
      </w:r>
    </w:p>
    <w:p w14:paraId="3E20A9B8">
      <w:pPr>
        <w:pStyle w:val="24"/>
        <w:snapToGrid w:val="0"/>
        <w:spacing w:line="360" w:lineRule="auto"/>
        <w:ind w:firstLine="420" w:firstLineChars="200"/>
        <w:rPr>
          <w:rFonts w:hAnsi="宋体"/>
          <w:color w:val="auto"/>
          <w:sz w:val="21"/>
        </w:rPr>
      </w:pPr>
      <w:r>
        <w:rPr>
          <w:rFonts w:hint="eastAsia" w:hAnsi="宋体"/>
          <w:color w:val="auto"/>
          <w:sz w:val="21"/>
        </w:rPr>
        <w:t>29.4电子交易活动的中止。采购过程中出现以下情形，导致电子交易平台无法正常运行，或者无法保证电子交易的公平、公正和安全时，采购代理机构可中止电子交易活动：</w:t>
      </w:r>
    </w:p>
    <w:p w14:paraId="0769B16D">
      <w:pPr>
        <w:pStyle w:val="24"/>
        <w:snapToGrid w:val="0"/>
        <w:spacing w:line="360" w:lineRule="auto"/>
        <w:ind w:firstLine="420" w:firstLineChars="200"/>
        <w:rPr>
          <w:rFonts w:hAnsi="宋体"/>
          <w:color w:val="auto"/>
          <w:sz w:val="21"/>
        </w:rPr>
      </w:pPr>
      <w:r>
        <w:rPr>
          <w:rFonts w:hint="eastAsia" w:hAnsi="宋体"/>
          <w:color w:val="auto"/>
          <w:sz w:val="21"/>
        </w:rPr>
        <w:t xml:space="preserve">（1）电子交易平台发生故障而无法登录访问的； </w:t>
      </w:r>
    </w:p>
    <w:p w14:paraId="423AC489">
      <w:pPr>
        <w:pStyle w:val="24"/>
        <w:snapToGrid w:val="0"/>
        <w:spacing w:line="360" w:lineRule="auto"/>
        <w:ind w:firstLine="420" w:firstLineChars="200"/>
        <w:rPr>
          <w:rFonts w:hAnsi="宋体"/>
          <w:color w:val="auto"/>
          <w:sz w:val="21"/>
        </w:rPr>
      </w:pPr>
      <w:r>
        <w:rPr>
          <w:rFonts w:hint="eastAsia" w:hAnsi="宋体"/>
          <w:color w:val="auto"/>
          <w:sz w:val="21"/>
        </w:rPr>
        <w:t>（2）电子交易平台应用或数据库出现错误，不能进行正常操作的；</w:t>
      </w:r>
    </w:p>
    <w:p w14:paraId="4F4BEB4C">
      <w:pPr>
        <w:pStyle w:val="24"/>
        <w:snapToGrid w:val="0"/>
        <w:spacing w:line="360" w:lineRule="auto"/>
        <w:ind w:firstLine="420" w:firstLineChars="200"/>
        <w:rPr>
          <w:rFonts w:hAnsi="宋体"/>
          <w:color w:val="auto"/>
          <w:sz w:val="21"/>
        </w:rPr>
      </w:pPr>
      <w:r>
        <w:rPr>
          <w:rFonts w:hint="eastAsia" w:hAnsi="宋体"/>
          <w:color w:val="auto"/>
          <w:sz w:val="21"/>
        </w:rPr>
        <w:t>（3）电子交易平台发现严重安全漏洞，有潜在泄密危险的；</w:t>
      </w:r>
    </w:p>
    <w:p w14:paraId="65688B46">
      <w:pPr>
        <w:pStyle w:val="24"/>
        <w:snapToGrid w:val="0"/>
        <w:spacing w:line="360" w:lineRule="auto"/>
        <w:ind w:firstLine="420" w:firstLineChars="200"/>
        <w:rPr>
          <w:rFonts w:hAnsi="宋体"/>
          <w:color w:val="auto"/>
          <w:sz w:val="21"/>
        </w:rPr>
      </w:pPr>
      <w:r>
        <w:rPr>
          <w:rFonts w:hint="eastAsia" w:hAnsi="宋体"/>
          <w:color w:val="auto"/>
          <w:sz w:val="21"/>
        </w:rPr>
        <w:t xml:space="preserve">（4）病毒发作导致不能进行正常操作的； </w:t>
      </w:r>
    </w:p>
    <w:p w14:paraId="4D85A1FB">
      <w:pPr>
        <w:pStyle w:val="24"/>
        <w:snapToGrid w:val="0"/>
        <w:spacing w:line="360" w:lineRule="auto"/>
        <w:ind w:firstLine="420" w:firstLineChars="200"/>
        <w:rPr>
          <w:rFonts w:hAnsi="宋体"/>
          <w:color w:val="auto"/>
          <w:sz w:val="21"/>
        </w:rPr>
      </w:pPr>
      <w:r>
        <w:rPr>
          <w:rFonts w:hint="eastAsia" w:hAnsi="宋体"/>
          <w:color w:val="auto"/>
          <w:sz w:val="21"/>
        </w:rPr>
        <w:t>（5）其他无法保证电子交易的公平、公正和安全的情况。</w:t>
      </w:r>
    </w:p>
    <w:p w14:paraId="4F910337">
      <w:pPr>
        <w:pStyle w:val="24"/>
        <w:snapToGrid w:val="0"/>
        <w:spacing w:line="360" w:lineRule="auto"/>
        <w:ind w:firstLine="420" w:firstLineChars="200"/>
        <w:rPr>
          <w:rFonts w:hAnsi="宋体"/>
          <w:color w:val="auto"/>
          <w:sz w:val="21"/>
        </w:rPr>
      </w:pPr>
      <w:r>
        <w:rPr>
          <w:rFonts w:hint="eastAsia" w:hAnsi="宋体"/>
          <w:color w:val="auto"/>
          <w:sz w:val="21"/>
        </w:rPr>
        <w:t>29.5出现以上情形，不影响采购公平、公正性的，采购代理机构可以待上述情形消除后继续组织电子交易活动；影响或可能影响采购公平、公正性的，经采购代理机构确认后，应当重新采购。</w:t>
      </w:r>
    </w:p>
    <w:p w14:paraId="788229CC">
      <w:pPr>
        <w:pStyle w:val="3"/>
        <w:keepNext w:val="0"/>
        <w:keepLines w:val="0"/>
        <w:spacing w:line="360" w:lineRule="auto"/>
        <w:jc w:val="center"/>
        <w:rPr>
          <w:rFonts w:ascii="宋体" w:hAnsi="宋体" w:eastAsia="宋体"/>
          <w:color w:val="auto"/>
        </w:rPr>
      </w:pPr>
      <w:bookmarkStart w:id="128" w:name="_Toc254970687"/>
      <w:bookmarkStart w:id="129" w:name="_Toc254970546"/>
      <w:r>
        <w:rPr>
          <w:rFonts w:hint="eastAsia" w:ascii="宋体" w:hAnsi="宋体" w:eastAsia="宋体"/>
          <w:color w:val="auto"/>
        </w:rPr>
        <w:t>七、</w:t>
      </w:r>
      <w:bookmarkEnd w:id="128"/>
      <w:bookmarkEnd w:id="129"/>
      <w:r>
        <w:rPr>
          <w:rFonts w:hint="eastAsia" w:ascii="宋体" w:hAnsi="宋体" w:eastAsia="宋体"/>
          <w:color w:val="auto"/>
        </w:rPr>
        <w:t>中标和合同</w:t>
      </w:r>
    </w:p>
    <w:p w14:paraId="64597938">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30确定中标人</w:t>
      </w:r>
    </w:p>
    <w:p w14:paraId="20EF4C89">
      <w:pPr>
        <w:pStyle w:val="6"/>
        <w:keepNext w:val="0"/>
        <w:keepLines w:val="0"/>
        <w:spacing w:before="0" w:after="0" w:line="360" w:lineRule="auto"/>
        <w:ind w:firstLine="420" w:firstLineChars="200"/>
        <w:rPr>
          <w:rFonts w:ascii="宋体" w:hAnsi="宋体"/>
          <w:b w:val="0"/>
          <w:color w:val="auto"/>
          <w:sz w:val="21"/>
          <w:szCs w:val="21"/>
        </w:rPr>
      </w:pPr>
      <w:r>
        <w:rPr>
          <w:rFonts w:ascii="宋体" w:hAnsi="宋体"/>
          <w:b w:val="0"/>
          <w:color w:val="auto"/>
          <w:sz w:val="21"/>
          <w:szCs w:val="21"/>
        </w:rPr>
        <w:t>30.1</w:t>
      </w:r>
      <w:r>
        <w:rPr>
          <w:rFonts w:hint="eastAsia" w:ascii="宋体" w:hAnsi="宋体"/>
          <w:b w:val="0"/>
          <w:color w:val="auto"/>
          <w:sz w:val="21"/>
          <w:szCs w:val="21"/>
        </w:rPr>
        <w:t>采购代理机构在评标结束之日起2个工作日内将评标报告送采购人，采购人在收到评标报告之日起5个工作日内，在评标报告确定的中标候选人名单中按顺序确定中标人。中标候选人并列的，按照“供应商须知前附表”规定的方式确定中标人。采购人也可以事先授权评标委员会直接确定中标人。</w:t>
      </w:r>
    </w:p>
    <w:p w14:paraId="01A91483">
      <w:pPr>
        <w:snapToGrid w:val="0"/>
        <w:spacing w:line="360" w:lineRule="auto"/>
        <w:ind w:firstLine="420" w:firstLineChars="200"/>
        <w:rPr>
          <w:rFonts w:ascii="宋体" w:hAnsi="宋体" w:cs="Courier New"/>
          <w:color w:val="auto"/>
          <w:szCs w:val="21"/>
        </w:rPr>
      </w:pPr>
      <w:r>
        <w:rPr>
          <w:rFonts w:ascii="宋体" w:hAnsi="宋体" w:cs="Courier New"/>
          <w:color w:val="auto"/>
          <w:szCs w:val="21"/>
        </w:rPr>
        <w:t>30.2</w:t>
      </w:r>
      <w:r>
        <w:rPr>
          <w:rFonts w:hint="eastAsia" w:ascii="宋体" w:hAnsi="宋体" w:cs="Courier New"/>
          <w:color w:val="auto"/>
          <w:szCs w:val="21"/>
        </w:rPr>
        <w:t>采购人在收到评标报告5个工作日内未按评标报告推荐的中标候选人顺序确定中标人，又不能说明合法理由的，视同按评标报告推荐的顺序确定排名第一的中标候选人为中标人。</w:t>
      </w:r>
    </w:p>
    <w:p w14:paraId="27D5ACC3">
      <w:pPr>
        <w:snapToGrid w:val="0"/>
        <w:spacing w:line="360" w:lineRule="auto"/>
        <w:ind w:firstLine="420" w:firstLineChars="200"/>
        <w:rPr>
          <w:rFonts w:ascii="宋体" w:hAnsi="宋体"/>
          <w:color w:val="auto"/>
          <w:szCs w:val="21"/>
        </w:rPr>
      </w:pPr>
      <w:r>
        <w:rPr>
          <w:rFonts w:hint="eastAsia" w:ascii="宋体" w:hAnsi="宋体"/>
          <w:color w:val="auto"/>
          <w:szCs w:val="21"/>
        </w:rPr>
        <w:t>30.3出现下列情形之一的，应予废标：</w:t>
      </w:r>
    </w:p>
    <w:p w14:paraId="19F82BB9">
      <w:pPr>
        <w:snapToGrid w:val="0"/>
        <w:spacing w:line="360" w:lineRule="auto"/>
        <w:ind w:firstLine="420" w:firstLineChars="200"/>
        <w:rPr>
          <w:rFonts w:ascii="宋体" w:hAnsi="宋体"/>
          <w:color w:val="auto"/>
          <w:szCs w:val="21"/>
        </w:rPr>
      </w:pPr>
      <w:r>
        <w:rPr>
          <w:rFonts w:hint="eastAsia" w:ascii="宋体" w:hAnsi="宋体"/>
          <w:color w:val="auto"/>
          <w:szCs w:val="21"/>
        </w:rPr>
        <w:t>（1）符合专业条件的供应商或者对招标文件作实质响应的供应商不足三家的；</w:t>
      </w:r>
    </w:p>
    <w:p w14:paraId="500FF717">
      <w:pPr>
        <w:snapToGrid w:val="0"/>
        <w:spacing w:line="360" w:lineRule="auto"/>
        <w:ind w:firstLine="420" w:firstLineChars="200"/>
        <w:rPr>
          <w:rFonts w:ascii="宋体" w:hAnsi="宋体"/>
          <w:color w:val="auto"/>
          <w:szCs w:val="21"/>
        </w:rPr>
      </w:pPr>
      <w:r>
        <w:rPr>
          <w:rFonts w:hint="eastAsia" w:ascii="宋体" w:hAnsi="宋体"/>
          <w:color w:val="auto"/>
          <w:szCs w:val="21"/>
        </w:rPr>
        <w:t>（2）出现影响采购公正的违法、违规行为的；</w:t>
      </w:r>
    </w:p>
    <w:p w14:paraId="142C3384">
      <w:pPr>
        <w:snapToGrid w:val="0"/>
        <w:spacing w:line="360" w:lineRule="auto"/>
        <w:ind w:firstLine="420" w:firstLineChars="200"/>
        <w:rPr>
          <w:rFonts w:ascii="宋体" w:hAnsi="宋体"/>
          <w:color w:val="auto"/>
          <w:szCs w:val="21"/>
        </w:rPr>
      </w:pPr>
      <w:r>
        <w:rPr>
          <w:rFonts w:hint="eastAsia" w:ascii="宋体" w:hAnsi="宋体"/>
          <w:color w:val="auto"/>
          <w:szCs w:val="21"/>
        </w:rPr>
        <w:t>（3）供应商的报价均超过了采购预算，采购人不能支付的；</w:t>
      </w:r>
    </w:p>
    <w:p w14:paraId="50031DC4">
      <w:pPr>
        <w:snapToGrid w:val="0"/>
        <w:spacing w:line="360" w:lineRule="auto"/>
        <w:ind w:firstLine="420" w:firstLineChars="200"/>
        <w:rPr>
          <w:rFonts w:ascii="宋体" w:hAnsi="宋体"/>
          <w:color w:val="auto"/>
          <w:szCs w:val="21"/>
        </w:rPr>
      </w:pPr>
      <w:r>
        <w:rPr>
          <w:rFonts w:hint="eastAsia" w:ascii="宋体" w:hAnsi="宋体"/>
          <w:color w:val="auto"/>
          <w:szCs w:val="21"/>
        </w:rPr>
        <w:t>（4）因重大变故，采购任务取消的。</w:t>
      </w:r>
    </w:p>
    <w:p w14:paraId="5AA6FB22">
      <w:pPr>
        <w:snapToGrid w:val="0"/>
        <w:spacing w:line="360" w:lineRule="auto"/>
        <w:ind w:firstLine="420" w:firstLineChars="200"/>
        <w:rPr>
          <w:rFonts w:ascii="宋体" w:hAnsi="宋体"/>
          <w:color w:val="auto"/>
          <w:szCs w:val="21"/>
        </w:rPr>
      </w:pPr>
      <w:r>
        <w:rPr>
          <w:rFonts w:hint="eastAsia" w:ascii="宋体" w:hAnsi="宋体"/>
          <w:color w:val="auto"/>
          <w:szCs w:val="21"/>
        </w:rPr>
        <w:t>废标后，采购人应当将废标理由通知所有供应商。</w:t>
      </w:r>
    </w:p>
    <w:p w14:paraId="3C2F1B06">
      <w:pPr>
        <w:snapToGrid w:val="0"/>
        <w:spacing w:line="360" w:lineRule="auto"/>
        <w:ind w:firstLine="420" w:firstLineChars="200"/>
        <w:rPr>
          <w:rFonts w:ascii="宋体" w:hAnsi="宋体" w:cs="Courier New"/>
          <w:color w:val="auto"/>
          <w:szCs w:val="21"/>
        </w:rPr>
      </w:pPr>
      <w:r>
        <w:rPr>
          <w:rFonts w:ascii="宋体" w:hAnsi="宋体" w:cs="Courier New"/>
          <w:color w:val="auto"/>
          <w:szCs w:val="21"/>
        </w:rPr>
        <w:t>30.</w:t>
      </w:r>
      <w:r>
        <w:rPr>
          <w:rFonts w:hint="eastAsia" w:ascii="宋体" w:hAnsi="宋体" w:cs="Courier New"/>
          <w:color w:val="auto"/>
          <w:szCs w:val="21"/>
        </w:rPr>
        <w:t>4 中标人拒绝签订政府采购合同（包括但不限于放弃中标、因不可抗力不能履行合同而放弃签订合同），采购人可以按照评审报告推荐的中标候选人名单排序，确定下一候选人为中标人，也可以重新开展政府采购活动。</w:t>
      </w:r>
      <w:r>
        <w:rPr>
          <w:rFonts w:ascii="宋体" w:hAnsi="宋体" w:cs="Courier New"/>
          <w:color w:val="auto"/>
          <w:szCs w:val="21"/>
        </w:rPr>
        <w:t>拒绝签订政府采购合同的</w:t>
      </w:r>
      <w:r>
        <w:rPr>
          <w:rFonts w:hint="eastAsia" w:ascii="宋体" w:hAnsi="宋体" w:cs="Courier New"/>
          <w:color w:val="auto"/>
          <w:szCs w:val="21"/>
        </w:rPr>
        <w:t>中标人</w:t>
      </w:r>
      <w:r>
        <w:rPr>
          <w:rFonts w:ascii="宋体" w:hAnsi="宋体" w:cs="Courier New"/>
          <w:color w:val="auto"/>
          <w:szCs w:val="21"/>
        </w:rPr>
        <w:t>不得参加对该项目重新开展的采购活动。</w:t>
      </w:r>
    </w:p>
    <w:p w14:paraId="1D043257">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31. 结果公告</w:t>
      </w:r>
    </w:p>
    <w:p w14:paraId="3829710E">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3</w:t>
      </w:r>
      <w:r>
        <w:rPr>
          <w:rFonts w:ascii="宋体" w:hAnsi="宋体"/>
          <w:b w:val="0"/>
          <w:color w:val="auto"/>
          <w:sz w:val="21"/>
          <w:szCs w:val="21"/>
        </w:rPr>
        <w:t>1.1</w:t>
      </w:r>
      <w:r>
        <w:rPr>
          <w:rFonts w:hint="eastAsia" w:ascii="宋体" w:hAnsi="宋体"/>
          <w:b w:val="0"/>
          <w:color w:val="auto"/>
          <w:sz w:val="21"/>
          <w:szCs w:val="21"/>
        </w:rPr>
        <w:t>采购人或者采购代理机构应当自中标人确定之日起2个工作日内，在省级以上财政部门指定的媒体上公告中标结果，招标文件应当随中标结果同时公告。</w:t>
      </w:r>
      <w:r>
        <w:rPr>
          <w:rFonts w:hint="eastAsia" w:ascii="宋体" w:hAnsi="宋体"/>
          <w:color w:val="auto"/>
          <w:sz w:val="21"/>
          <w:szCs w:val="21"/>
        </w:rPr>
        <w:t>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供应商，取消其中标资格，并确定排名第二的中标候选人为中标人。</w:t>
      </w:r>
      <w:r>
        <w:rPr>
          <w:rFonts w:hint="eastAsia" w:ascii="宋体" w:hAnsi="宋体"/>
          <w:b w:val="0"/>
          <w:color w:val="auto"/>
          <w:sz w:val="21"/>
          <w:szCs w:val="21"/>
        </w:rPr>
        <w:t>排名第二的中标候选人因前款规定的同样原因被取消中标资格的，采购人可以确定排名第三的中标候选人为中标人，以此类推。以上信息查询记录及相关证据与采购文件一并保存。</w:t>
      </w:r>
    </w:p>
    <w:p w14:paraId="610E4009">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31.2采购人、采购代理机构将随中标结果公开中标人的《中小企业声明函》</w:t>
      </w:r>
      <w:r>
        <w:rPr>
          <w:rFonts w:hint="eastAsia" w:ascii="宋体" w:hAnsi="宋体"/>
          <w:b w:val="0"/>
          <w:color w:val="auto"/>
          <w:sz w:val="21"/>
          <w:szCs w:val="21"/>
          <w:lang w:eastAsia="zh-CN"/>
        </w:rPr>
        <w:t>、《</w:t>
      </w:r>
      <w:r>
        <w:rPr>
          <w:rFonts w:hint="eastAsia" w:ascii="宋体" w:hAnsi="宋体"/>
          <w:b w:val="0"/>
          <w:color w:val="auto"/>
          <w:sz w:val="21"/>
          <w:szCs w:val="21"/>
          <w:lang w:val="en-US" w:eastAsia="zh-CN"/>
        </w:rPr>
        <w:t>关于符合本国产品标准的声明函</w:t>
      </w:r>
      <w:r>
        <w:rPr>
          <w:rFonts w:hint="eastAsia" w:ascii="宋体" w:hAnsi="宋体"/>
          <w:b w:val="0"/>
          <w:color w:val="auto"/>
          <w:sz w:val="21"/>
          <w:szCs w:val="21"/>
          <w:lang w:eastAsia="zh-CN"/>
        </w:rPr>
        <w:t>》（</w:t>
      </w:r>
      <w:r>
        <w:rPr>
          <w:rFonts w:hint="eastAsia" w:ascii="宋体" w:hAnsi="宋体"/>
          <w:b w:val="0"/>
          <w:color w:val="auto"/>
          <w:sz w:val="21"/>
          <w:szCs w:val="21"/>
          <w:lang w:val="en-US" w:eastAsia="zh-CN"/>
        </w:rPr>
        <w:t>如有</w:t>
      </w:r>
      <w:r>
        <w:rPr>
          <w:rFonts w:hint="eastAsia" w:ascii="宋体" w:hAnsi="宋体"/>
          <w:b w:val="0"/>
          <w:color w:val="auto"/>
          <w:sz w:val="21"/>
          <w:szCs w:val="21"/>
          <w:lang w:eastAsia="zh-CN"/>
        </w:rPr>
        <w:t>）</w:t>
      </w:r>
      <w:r>
        <w:rPr>
          <w:rFonts w:hint="eastAsia" w:ascii="宋体" w:hAnsi="宋体"/>
          <w:b w:val="0"/>
          <w:color w:val="auto"/>
          <w:sz w:val="21"/>
          <w:szCs w:val="21"/>
        </w:rPr>
        <w:t>。</w:t>
      </w:r>
    </w:p>
    <w:p w14:paraId="1E80DDC8">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32.发出中标通知书</w:t>
      </w:r>
    </w:p>
    <w:p w14:paraId="27992C46">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在公告中标结果的同时，采购代理机构向中标人发出中标通知书。对未通过资格审查的供应商，应当告知其未通过的原因；采用综合评分办法评审的，还应当告知未中标人本人的评审得分与排序。</w:t>
      </w:r>
    </w:p>
    <w:p w14:paraId="6402444A">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33. 无义务解释未中标原因</w:t>
      </w:r>
    </w:p>
    <w:p w14:paraId="1FD06169">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采购代理机构无义务向未中标的供应商解释未中标原因和退还投标文件。</w:t>
      </w:r>
    </w:p>
    <w:p w14:paraId="7CCDA113">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34.合同授予标准</w:t>
      </w:r>
    </w:p>
    <w:p w14:paraId="0FDAF6EA">
      <w:pPr>
        <w:snapToGrid w:val="0"/>
        <w:spacing w:line="360" w:lineRule="auto"/>
        <w:ind w:firstLine="420" w:firstLineChars="200"/>
        <w:rPr>
          <w:rFonts w:ascii="宋体" w:hAnsi="宋体"/>
          <w:color w:val="auto"/>
          <w:szCs w:val="21"/>
        </w:rPr>
      </w:pPr>
      <w:r>
        <w:rPr>
          <w:rFonts w:hint="eastAsia" w:ascii="宋体" w:hAnsi="宋体" w:cs="Courier New"/>
          <w:color w:val="auto"/>
          <w:szCs w:val="21"/>
        </w:rPr>
        <w:t>合同将授予被确定实质上响应招标文件要求，具备履行合同能力的中标人。</w:t>
      </w:r>
    </w:p>
    <w:p w14:paraId="54B65C88">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35.履约保证金</w:t>
      </w:r>
    </w:p>
    <w:p w14:paraId="33E8AD8C">
      <w:pPr>
        <w:pStyle w:val="6"/>
        <w:keepNext w:val="0"/>
        <w:keepLines w:val="0"/>
        <w:spacing w:before="0" w:after="0" w:line="360" w:lineRule="auto"/>
        <w:ind w:firstLine="315" w:firstLineChars="150"/>
        <w:rPr>
          <w:rFonts w:ascii="宋体" w:hAnsi="宋体"/>
          <w:color w:val="auto"/>
          <w:sz w:val="21"/>
          <w:szCs w:val="21"/>
        </w:rPr>
      </w:pPr>
      <w:bookmarkStart w:id="130" w:name="_39.1中标人须于签订合同前按本须知前附表规定的金额转账或电汇到指定账"/>
      <w:bookmarkEnd w:id="130"/>
      <w:r>
        <w:rPr>
          <w:rFonts w:hint="eastAsia" w:ascii="宋体" w:hAnsi="宋体"/>
          <w:b w:val="0"/>
          <w:color w:val="auto"/>
          <w:sz w:val="21"/>
          <w:szCs w:val="21"/>
        </w:rPr>
        <w:t>3</w:t>
      </w:r>
      <w:r>
        <w:rPr>
          <w:rFonts w:ascii="宋体" w:hAnsi="宋体"/>
          <w:b w:val="0"/>
          <w:color w:val="auto"/>
          <w:sz w:val="21"/>
          <w:szCs w:val="21"/>
        </w:rPr>
        <w:t>5</w:t>
      </w:r>
      <w:r>
        <w:rPr>
          <w:rFonts w:hint="eastAsia" w:ascii="宋体" w:hAnsi="宋体"/>
          <w:b w:val="0"/>
          <w:color w:val="auto"/>
          <w:sz w:val="21"/>
          <w:szCs w:val="21"/>
        </w:rPr>
        <w:t>.1 履约保证金的金额、提交方式、退付的时间和条件详见 “供应商须知前附表”。</w:t>
      </w:r>
    </w:p>
    <w:p w14:paraId="5C30CED7">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36.签订合同</w:t>
      </w:r>
    </w:p>
    <w:p w14:paraId="540CE504">
      <w:pPr>
        <w:pStyle w:val="6"/>
        <w:keepNext w:val="0"/>
        <w:keepLines w:val="0"/>
        <w:numPr>
          <w:ilvl w:val="0"/>
          <w:numId w:val="0"/>
        </w:numPr>
        <w:spacing w:before="0" w:after="0" w:line="360" w:lineRule="auto"/>
        <w:ind w:firstLine="420" w:firstLineChars="200"/>
        <w:rPr>
          <w:rFonts w:hint="eastAsia" w:ascii="宋体" w:hAnsi="宋体"/>
          <w:b w:val="0"/>
          <w:color w:val="auto"/>
          <w:sz w:val="21"/>
          <w:szCs w:val="21"/>
        </w:rPr>
      </w:pPr>
      <w:bookmarkStart w:id="131" w:name="_40.1投标人接到中标通知书后，按须知前附表规定向采购人出示相关资格证"/>
      <w:bookmarkEnd w:id="131"/>
      <w:r>
        <w:rPr>
          <w:rFonts w:hint="eastAsia" w:ascii="宋体" w:hAnsi="宋体"/>
          <w:b w:val="0"/>
          <w:color w:val="auto"/>
          <w:sz w:val="21"/>
          <w:szCs w:val="21"/>
        </w:rPr>
        <w:t xml:space="preserve"> 36.1供应商领取中标通知书（书面或电子）后，按“供应商须知前附表”规定向采购人出示相关证明材料，经采购人核验合格后方可签订采购合同（书面或电子）。如中标人为联合体的，由联合体成员各方法定代表人或其授权代表与采购人代表签订合同。</w:t>
      </w:r>
    </w:p>
    <w:p w14:paraId="5A74AF52">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36.2签订合同时间：按中标通知书规定的时间与采购人签订合同（最长不能超过25日）。</w:t>
      </w:r>
    </w:p>
    <w:p w14:paraId="4BED5DE1">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 xml:space="preserve"> 36.</w:t>
      </w:r>
      <w:r>
        <w:rPr>
          <w:rFonts w:ascii="宋体" w:hAnsi="宋体"/>
          <w:b w:val="0"/>
          <w:color w:val="auto"/>
          <w:sz w:val="21"/>
          <w:szCs w:val="21"/>
        </w:rPr>
        <w:t>3</w:t>
      </w:r>
      <w:r>
        <w:rPr>
          <w:rFonts w:hint="eastAsia" w:ascii="宋体" w:hAnsi="宋体"/>
          <w:b w:val="0"/>
          <w:color w:val="auto"/>
          <w:sz w:val="21"/>
          <w:szCs w:val="21"/>
        </w:rPr>
        <w:t>中标人拒绝与采购人签订合同的，按照本须知正文第3</w:t>
      </w:r>
      <w:r>
        <w:rPr>
          <w:rFonts w:ascii="宋体" w:hAnsi="宋体"/>
          <w:b w:val="0"/>
          <w:color w:val="auto"/>
          <w:sz w:val="21"/>
          <w:szCs w:val="21"/>
        </w:rPr>
        <w:t>0.4条</w:t>
      </w:r>
      <w:r>
        <w:rPr>
          <w:rFonts w:hint="eastAsia" w:ascii="宋体" w:hAnsi="宋体"/>
          <w:b w:val="0"/>
          <w:color w:val="auto"/>
          <w:sz w:val="21"/>
          <w:szCs w:val="21"/>
        </w:rPr>
        <w:t>的规定执行。</w:t>
      </w:r>
    </w:p>
    <w:p w14:paraId="0518D735">
      <w:pPr>
        <w:pStyle w:val="6"/>
        <w:keepNext w:val="0"/>
        <w:keepLines w:val="0"/>
        <w:spacing w:before="0" w:after="0" w:line="360" w:lineRule="auto"/>
        <w:ind w:left="420" w:leftChars="200"/>
        <w:rPr>
          <w:rFonts w:ascii="宋体" w:hAnsi="宋体"/>
          <w:color w:val="auto"/>
          <w:sz w:val="24"/>
        </w:rPr>
      </w:pPr>
      <w:bookmarkStart w:id="132" w:name="_41.政府采购合同公告"/>
      <w:bookmarkEnd w:id="132"/>
      <w:r>
        <w:rPr>
          <w:rFonts w:hint="eastAsia" w:ascii="宋体" w:hAnsi="宋体"/>
          <w:color w:val="auto"/>
          <w:sz w:val="24"/>
        </w:rPr>
        <w:t>37.政府采购合同公告</w:t>
      </w:r>
    </w:p>
    <w:p w14:paraId="0450D7D5">
      <w:pPr>
        <w:pStyle w:val="24"/>
        <w:snapToGrid w:val="0"/>
        <w:spacing w:line="360" w:lineRule="auto"/>
        <w:ind w:firstLine="420" w:firstLineChars="200"/>
        <w:rPr>
          <w:rFonts w:hAnsi="宋体"/>
          <w:color w:val="auto"/>
          <w:sz w:val="21"/>
        </w:rPr>
      </w:pPr>
      <w:r>
        <w:rPr>
          <w:rFonts w:hint="eastAsia" w:hAnsi="宋体"/>
          <w:color w:val="auto"/>
          <w:sz w:val="21"/>
        </w:rPr>
        <w:t>采购人或者受托采购代理机构应当自政府采购合同签订之日起2个工作日内，将政府采购合同在省级以上人民政府财政部门指定的媒体上公告，</w:t>
      </w:r>
      <w:r>
        <w:rPr>
          <w:rFonts w:hAnsi="宋体"/>
          <w:color w:val="auto"/>
          <w:sz w:val="21"/>
        </w:rPr>
        <w:t>但政府采购合同中涉及国家秘密、商业秘密的内容除外。</w:t>
      </w:r>
    </w:p>
    <w:p w14:paraId="55AF75AE">
      <w:pPr>
        <w:pStyle w:val="6"/>
        <w:keepNext w:val="0"/>
        <w:keepLines w:val="0"/>
        <w:spacing w:before="0" w:after="0" w:line="360" w:lineRule="auto"/>
        <w:ind w:left="420" w:leftChars="200"/>
        <w:rPr>
          <w:rFonts w:ascii="宋体" w:hAnsi="宋体"/>
          <w:color w:val="auto"/>
          <w:sz w:val="24"/>
        </w:rPr>
      </w:pPr>
      <w:r>
        <w:rPr>
          <w:rFonts w:hint="eastAsia" w:ascii="宋体" w:hAnsi="宋体"/>
          <w:color w:val="auto"/>
          <w:sz w:val="24"/>
        </w:rPr>
        <w:t>3</w:t>
      </w:r>
      <w:r>
        <w:rPr>
          <w:rFonts w:ascii="宋体" w:hAnsi="宋体"/>
          <w:color w:val="auto"/>
          <w:sz w:val="24"/>
        </w:rPr>
        <w:t>8.</w:t>
      </w:r>
      <w:r>
        <w:rPr>
          <w:rFonts w:hint="eastAsia" w:ascii="宋体" w:hAnsi="宋体"/>
          <w:color w:val="auto"/>
          <w:sz w:val="24"/>
        </w:rPr>
        <w:t xml:space="preserve"> 询问、质疑和投诉</w:t>
      </w:r>
    </w:p>
    <w:p w14:paraId="682CEE1A">
      <w:pPr>
        <w:pStyle w:val="7"/>
        <w:spacing w:line="360" w:lineRule="auto"/>
        <w:rPr>
          <w:rFonts w:ascii="宋体" w:hAnsi="宋体"/>
          <w:color w:val="auto"/>
          <w:szCs w:val="21"/>
        </w:rPr>
      </w:pPr>
      <w:r>
        <w:rPr>
          <w:rFonts w:ascii="宋体" w:hAnsi="宋体"/>
          <w:color w:val="auto"/>
          <w:szCs w:val="21"/>
        </w:rPr>
        <w:t>38.1</w:t>
      </w:r>
      <w:r>
        <w:rPr>
          <w:rFonts w:hint="eastAsia" w:ascii="宋体" w:hAnsi="宋体"/>
          <w:color w:val="auto"/>
          <w:szCs w:val="21"/>
        </w:rPr>
        <w:t>供应商对政府采购活动事项有疑问的，可以向采购人提出询问，采购人或者采购代理机构应当在3个工作日内对供应商依法提出的询问作出答复，但答复的内容不得涉及商业秘密。</w:t>
      </w:r>
    </w:p>
    <w:p w14:paraId="23D4ECA4">
      <w:pPr>
        <w:pStyle w:val="6"/>
        <w:keepNext w:val="0"/>
        <w:keepLines w:val="0"/>
        <w:spacing w:before="0" w:after="0" w:line="360" w:lineRule="auto"/>
        <w:ind w:firstLine="315" w:firstLineChars="150"/>
        <w:rPr>
          <w:rFonts w:ascii="宋体" w:hAnsi="宋体"/>
          <w:b w:val="0"/>
          <w:color w:val="auto"/>
          <w:sz w:val="21"/>
          <w:szCs w:val="21"/>
        </w:rPr>
      </w:pPr>
      <w:r>
        <w:rPr>
          <w:rFonts w:ascii="宋体" w:hAnsi="宋体"/>
          <w:b w:val="0"/>
          <w:color w:val="auto"/>
          <w:sz w:val="21"/>
          <w:szCs w:val="21"/>
        </w:rPr>
        <w:t>38</w:t>
      </w:r>
      <w:r>
        <w:rPr>
          <w:rFonts w:hint="eastAsia" w:ascii="宋体" w:hAnsi="宋体"/>
          <w:b w:val="0"/>
          <w:color w:val="auto"/>
          <w:sz w:val="21"/>
          <w:szCs w:val="21"/>
        </w:rPr>
        <w:t>.</w:t>
      </w:r>
      <w:r>
        <w:rPr>
          <w:rFonts w:ascii="宋体" w:hAnsi="宋体"/>
          <w:b w:val="0"/>
          <w:color w:val="auto"/>
          <w:sz w:val="21"/>
          <w:szCs w:val="21"/>
        </w:rPr>
        <w:t>2</w:t>
      </w:r>
      <w:r>
        <w:rPr>
          <w:rFonts w:hint="eastAsia" w:ascii="宋体" w:hAnsi="宋体"/>
          <w:b w:val="0"/>
          <w:color w:val="auto"/>
          <w:sz w:val="21"/>
          <w:szCs w:val="21"/>
        </w:rPr>
        <w:t xml:space="preserve">供应商认为招标文件、采购过程或者中标结果使自己的合法权益受到损害的，必须在知道或者应知其权益受到损害之日起7个工作日内，以纸质书面形式向采购人、采购代理机构提出质疑。采购人、采购代理机构接收质疑函的方式、联系部门、联系电话和通讯地址等信息详见“供应商须知前附表”。具体质疑起算时间如下： </w:t>
      </w:r>
    </w:p>
    <w:p w14:paraId="0EA9DD78">
      <w:pPr>
        <w:pStyle w:val="24"/>
        <w:snapToGrid w:val="0"/>
        <w:spacing w:line="360" w:lineRule="auto"/>
        <w:ind w:firstLine="420" w:firstLineChars="200"/>
        <w:rPr>
          <w:rFonts w:hAnsi="宋体"/>
          <w:color w:val="auto"/>
          <w:sz w:val="21"/>
        </w:rPr>
      </w:pPr>
      <w:r>
        <w:rPr>
          <w:rFonts w:hAnsi="宋体"/>
          <w:color w:val="auto"/>
          <w:sz w:val="21"/>
        </w:rPr>
        <w:t>（</w:t>
      </w:r>
      <w:r>
        <w:rPr>
          <w:rFonts w:hint="eastAsia" w:hAnsi="宋体"/>
          <w:color w:val="auto"/>
          <w:sz w:val="21"/>
        </w:rPr>
        <w:t>1</w:t>
      </w:r>
      <w:r>
        <w:rPr>
          <w:rFonts w:hAnsi="宋体"/>
          <w:color w:val="auto"/>
          <w:sz w:val="21"/>
        </w:rPr>
        <w:t>）对可以质疑的</w:t>
      </w:r>
      <w:r>
        <w:rPr>
          <w:rFonts w:hint="eastAsia" w:hAnsi="宋体"/>
          <w:color w:val="auto"/>
          <w:sz w:val="21"/>
        </w:rPr>
        <w:t>招标</w:t>
      </w:r>
      <w:r>
        <w:rPr>
          <w:rFonts w:hAnsi="宋体"/>
          <w:color w:val="auto"/>
          <w:sz w:val="21"/>
        </w:rPr>
        <w:t>文件提出质疑的，为收到</w:t>
      </w:r>
      <w:r>
        <w:rPr>
          <w:rFonts w:hint="eastAsia" w:hAnsi="宋体"/>
          <w:color w:val="auto"/>
          <w:sz w:val="21"/>
        </w:rPr>
        <w:t>招标</w:t>
      </w:r>
      <w:r>
        <w:rPr>
          <w:rFonts w:hAnsi="宋体"/>
          <w:color w:val="auto"/>
          <w:sz w:val="21"/>
        </w:rPr>
        <w:t>文件之日</w:t>
      </w:r>
      <w:r>
        <w:rPr>
          <w:rFonts w:hint="eastAsia" w:hAnsi="宋体"/>
          <w:color w:val="auto"/>
          <w:sz w:val="21"/>
        </w:rPr>
        <w:t>或者招标文件公告期限届满之日</w:t>
      </w:r>
      <w:r>
        <w:rPr>
          <w:rFonts w:hAnsi="宋体"/>
          <w:color w:val="auto"/>
          <w:sz w:val="21"/>
        </w:rPr>
        <w:t>；</w:t>
      </w:r>
    </w:p>
    <w:p w14:paraId="73C35C77">
      <w:pPr>
        <w:pStyle w:val="24"/>
        <w:snapToGrid w:val="0"/>
        <w:spacing w:line="360" w:lineRule="auto"/>
        <w:ind w:firstLine="420" w:firstLineChars="200"/>
        <w:rPr>
          <w:rFonts w:hAnsi="宋体"/>
          <w:color w:val="auto"/>
          <w:sz w:val="21"/>
        </w:rPr>
      </w:pPr>
      <w:r>
        <w:rPr>
          <w:rFonts w:hAnsi="宋体"/>
          <w:color w:val="auto"/>
          <w:sz w:val="21"/>
        </w:rPr>
        <w:t>（</w:t>
      </w:r>
      <w:r>
        <w:rPr>
          <w:rFonts w:hint="eastAsia" w:hAnsi="宋体"/>
          <w:color w:val="auto"/>
          <w:sz w:val="21"/>
        </w:rPr>
        <w:t>2</w:t>
      </w:r>
      <w:r>
        <w:rPr>
          <w:rFonts w:hAnsi="宋体"/>
          <w:color w:val="auto"/>
          <w:sz w:val="21"/>
        </w:rPr>
        <w:t>）对</w:t>
      </w:r>
      <w:r>
        <w:rPr>
          <w:rFonts w:hint="eastAsia" w:hAnsi="宋体"/>
          <w:color w:val="auto"/>
          <w:sz w:val="21"/>
        </w:rPr>
        <w:t>采购</w:t>
      </w:r>
      <w:r>
        <w:rPr>
          <w:rFonts w:hAnsi="宋体"/>
          <w:color w:val="auto"/>
          <w:sz w:val="21"/>
        </w:rPr>
        <w:t>过程提出质疑的，为各采购程序环节结束之日；</w:t>
      </w:r>
    </w:p>
    <w:p w14:paraId="0A8247DC">
      <w:pPr>
        <w:pStyle w:val="24"/>
        <w:snapToGrid w:val="0"/>
        <w:spacing w:line="360" w:lineRule="auto"/>
        <w:ind w:firstLine="420" w:firstLineChars="200"/>
        <w:rPr>
          <w:rFonts w:hAnsi="宋体"/>
          <w:bCs/>
          <w:color w:val="auto"/>
          <w:sz w:val="21"/>
        </w:rPr>
      </w:pPr>
      <w:r>
        <w:rPr>
          <w:rFonts w:hAnsi="宋体"/>
          <w:color w:val="auto"/>
          <w:sz w:val="21"/>
        </w:rPr>
        <w:t>（</w:t>
      </w:r>
      <w:r>
        <w:rPr>
          <w:rFonts w:hint="eastAsia" w:hAnsi="宋体"/>
          <w:color w:val="auto"/>
          <w:sz w:val="21"/>
        </w:rPr>
        <w:t>3</w:t>
      </w:r>
      <w:r>
        <w:rPr>
          <w:rFonts w:hAnsi="宋体"/>
          <w:color w:val="auto"/>
          <w:sz w:val="21"/>
        </w:rPr>
        <w:t>）对中标结果提出质疑的，为中标结果公告期限届满之日。</w:t>
      </w:r>
    </w:p>
    <w:p w14:paraId="77FF00AC">
      <w:pPr>
        <w:pStyle w:val="6"/>
        <w:keepNext w:val="0"/>
        <w:keepLines w:val="0"/>
        <w:spacing w:before="0" w:after="0" w:line="360" w:lineRule="auto"/>
        <w:ind w:firstLine="315" w:firstLineChars="150"/>
        <w:rPr>
          <w:rFonts w:ascii="宋体" w:hAnsi="宋体"/>
          <w:b w:val="0"/>
          <w:color w:val="auto"/>
          <w:sz w:val="21"/>
          <w:szCs w:val="21"/>
        </w:rPr>
      </w:pPr>
      <w:r>
        <w:rPr>
          <w:rFonts w:ascii="宋体" w:hAnsi="宋体"/>
          <w:b w:val="0"/>
          <w:color w:val="auto"/>
          <w:sz w:val="21"/>
          <w:szCs w:val="21"/>
        </w:rPr>
        <w:t>38</w:t>
      </w:r>
      <w:r>
        <w:rPr>
          <w:rFonts w:hint="eastAsia" w:ascii="宋体" w:hAnsi="宋体"/>
          <w:b w:val="0"/>
          <w:color w:val="auto"/>
          <w:sz w:val="21"/>
          <w:szCs w:val="21"/>
        </w:rPr>
        <w:t>.</w:t>
      </w:r>
      <w:r>
        <w:rPr>
          <w:rFonts w:ascii="宋体" w:hAnsi="宋体"/>
          <w:b w:val="0"/>
          <w:color w:val="auto"/>
          <w:sz w:val="21"/>
          <w:szCs w:val="21"/>
        </w:rPr>
        <w:t>3</w:t>
      </w:r>
      <w:r>
        <w:rPr>
          <w:rFonts w:ascii="宋体" w:hAnsi="宋体"/>
          <w:bCs/>
          <w:color w:val="auto"/>
          <w:sz w:val="21"/>
        </w:rPr>
        <w:t>供应商提出质疑应当提交质疑函和必要的证明材料</w:t>
      </w:r>
      <w:r>
        <w:rPr>
          <w:rFonts w:hint="eastAsia" w:ascii="宋体" w:hAnsi="宋体"/>
          <w:bCs/>
          <w:color w:val="auto"/>
          <w:sz w:val="21"/>
        </w:rPr>
        <w:t>，</w:t>
      </w:r>
      <w:r>
        <w:rPr>
          <w:rFonts w:ascii="宋体" w:hAnsi="宋体"/>
          <w:bCs/>
          <w:color w:val="auto"/>
          <w:sz w:val="21"/>
        </w:rPr>
        <w:t>针对同一采购程序环节的质疑</w:t>
      </w:r>
      <w:r>
        <w:rPr>
          <w:rFonts w:hint="eastAsia" w:ascii="宋体" w:hAnsi="宋体"/>
          <w:bCs/>
          <w:color w:val="auto"/>
          <w:sz w:val="21"/>
        </w:rPr>
        <w:t>必须</w:t>
      </w:r>
      <w:r>
        <w:rPr>
          <w:rFonts w:ascii="宋体" w:hAnsi="宋体"/>
          <w:bCs/>
          <w:color w:val="auto"/>
          <w:sz w:val="21"/>
        </w:rPr>
        <w:t>在法定质疑期内一次性提出。质疑函应当包括下列内容</w:t>
      </w:r>
      <w:r>
        <w:rPr>
          <w:rFonts w:hint="eastAsia" w:ascii="宋体" w:hAnsi="宋体"/>
          <w:bCs/>
          <w:color w:val="auto"/>
          <w:sz w:val="21"/>
        </w:rPr>
        <w:t>（质疑函格式后附）</w:t>
      </w:r>
      <w:r>
        <w:rPr>
          <w:rFonts w:ascii="宋体" w:hAnsi="宋体"/>
          <w:bCs/>
          <w:color w:val="auto"/>
          <w:sz w:val="21"/>
        </w:rPr>
        <w:t>：</w:t>
      </w:r>
    </w:p>
    <w:p w14:paraId="535C7E67">
      <w:pPr>
        <w:pStyle w:val="24"/>
        <w:snapToGrid w:val="0"/>
        <w:spacing w:line="360" w:lineRule="auto"/>
        <w:ind w:firstLine="420" w:firstLineChars="200"/>
        <w:rPr>
          <w:rFonts w:hAnsi="宋体"/>
          <w:bCs/>
          <w:color w:val="auto"/>
          <w:sz w:val="21"/>
        </w:rPr>
      </w:pPr>
      <w:r>
        <w:rPr>
          <w:rFonts w:hAnsi="宋体"/>
          <w:bCs/>
          <w:color w:val="auto"/>
          <w:sz w:val="21"/>
        </w:rPr>
        <w:t>（</w:t>
      </w:r>
      <w:r>
        <w:rPr>
          <w:rFonts w:hint="eastAsia" w:hAnsi="宋体"/>
          <w:bCs/>
          <w:color w:val="auto"/>
          <w:sz w:val="21"/>
        </w:rPr>
        <w:t>1</w:t>
      </w:r>
      <w:r>
        <w:rPr>
          <w:rFonts w:hAnsi="宋体"/>
          <w:bCs/>
          <w:color w:val="auto"/>
          <w:sz w:val="21"/>
        </w:rPr>
        <w:t>）供应商的姓名或者名称、地址、邮编、联系人及联系电话；</w:t>
      </w:r>
    </w:p>
    <w:p w14:paraId="42E6602B">
      <w:pPr>
        <w:pStyle w:val="24"/>
        <w:snapToGrid w:val="0"/>
        <w:spacing w:line="360" w:lineRule="auto"/>
        <w:ind w:firstLine="420" w:firstLineChars="200"/>
        <w:rPr>
          <w:rFonts w:hAnsi="宋体"/>
          <w:bCs/>
          <w:color w:val="auto"/>
          <w:sz w:val="21"/>
        </w:rPr>
      </w:pPr>
      <w:r>
        <w:rPr>
          <w:rFonts w:hAnsi="宋体"/>
          <w:bCs/>
          <w:color w:val="auto"/>
          <w:sz w:val="21"/>
        </w:rPr>
        <w:t>（</w:t>
      </w:r>
      <w:r>
        <w:rPr>
          <w:rFonts w:hint="eastAsia" w:hAnsi="宋体"/>
          <w:bCs/>
          <w:color w:val="auto"/>
          <w:sz w:val="21"/>
        </w:rPr>
        <w:t>2</w:t>
      </w:r>
      <w:r>
        <w:rPr>
          <w:rFonts w:hAnsi="宋体"/>
          <w:bCs/>
          <w:color w:val="auto"/>
          <w:sz w:val="21"/>
        </w:rPr>
        <w:t>）质疑项目的名称、编号；</w:t>
      </w:r>
    </w:p>
    <w:p w14:paraId="7031A1EF">
      <w:pPr>
        <w:pStyle w:val="24"/>
        <w:snapToGrid w:val="0"/>
        <w:spacing w:line="360" w:lineRule="auto"/>
        <w:ind w:firstLine="420" w:firstLineChars="200"/>
        <w:rPr>
          <w:rFonts w:hAnsi="宋体"/>
          <w:bCs/>
          <w:color w:val="auto"/>
          <w:sz w:val="21"/>
        </w:rPr>
      </w:pPr>
      <w:r>
        <w:rPr>
          <w:rFonts w:hAnsi="宋体"/>
          <w:bCs/>
          <w:color w:val="auto"/>
          <w:sz w:val="21"/>
        </w:rPr>
        <w:t>（</w:t>
      </w:r>
      <w:r>
        <w:rPr>
          <w:rFonts w:hint="eastAsia" w:hAnsi="宋体"/>
          <w:bCs/>
          <w:color w:val="auto"/>
          <w:sz w:val="21"/>
        </w:rPr>
        <w:t>3</w:t>
      </w:r>
      <w:r>
        <w:rPr>
          <w:rFonts w:hAnsi="宋体"/>
          <w:bCs/>
          <w:color w:val="auto"/>
          <w:sz w:val="21"/>
        </w:rPr>
        <w:t>）具体、明确的质疑事项和与质疑事项相关的请求；</w:t>
      </w:r>
    </w:p>
    <w:p w14:paraId="0D3494CE">
      <w:pPr>
        <w:pStyle w:val="24"/>
        <w:snapToGrid w:val="0"/>
        <w:spacing w:line="360" w:lineRule="auto"/>
        <w:ind w:firstLine="420" w:firstLineChars="200"/>
        <w:rPr>
          <w:rFonts w:hAnsi="宋体"/>
          <w:bCs/>
          <w:color w:val="auto"/>
          <w:sz w:val="21"/>
        </w:rPr>
      </w:pPr>
      <w:r>
        <w:rPr>
          <w:rFonts w:hAnsi="宋体"/>
          <w:bCs/>
          <w:color w:val="auto"/>
          <w:sz w:val="21"/>
        </w:rPr>
        <w:t>（</w:t>
      </w:r>
      <w:r>
        <w:rPr>
          <w:rFonts w:hint="eastAsia" w:hAnsi="宋体"/>
          <w:bCs/>
          <w:color w:val="auto"/>
          <w:sz w:val="21"/>
        </w:rPr>
        <w:t>4</w:t>
      </w:r>
      <w:r>
        <w:rPr>
          <w:rFonts w:hAnsi="宋体"/>
          <w:bCs/>
          <w:color w:val="auto"/>
          <w:sz w:val="21"/>
        </w:rPr>
        <w:t>）事实依据；</w:t>
      </w:r>
    </w:p>
    <w:p w14:paraId="39F85B8B">
      <w:pPr>
        <w:pStyle w:val="24"/>
        <w:snapToGrid w:val="0"/>
        <w:spacing w:line="360" w:lineRule="auto"/>
        <w:ind w:firstLine="420" w:firstLineChars="200"/>
        <w:rPr>
          <w:rFonts w:hAnsi="宋体"/>
          <w:bCs/>
          <w:color w:val="auto"/>
          <w:sz w:val="21"/>
        </w:rPr>
      </w:pPr>
      <w:r>
        <w:rPr>
          <w:rFonts w:hAnsi="宋体"/>
          <w:bCs/>
          <w:color w:val="auto"/>
          <w:sz w:val="21"/>
        </w:rPr>
        <w:t>（</w:t>
      </w:r>
      <w:r>
        <w:rPr>
          <w:rFonts w:hint="eastAsia" w:hAnsi="宋体"/>
          <w:bCs/>
          <w:color w:val="auto"/>
          <w:sz w:val="21"/>
        </w:rPr>
        <w:t>5</w:t>
      </w:r>
      <w:r>
        <w:rPr>
          <w:rFonts w:hAnsi="宋体"/>
          <w:bCs/>
          <w:color w:val="auto"/>
          <w:sz w:val="21"/>
        </w:rPr>
        <w:t>）必要的法律依据；</w:t>
      </w:r>
    </w:p>
    <w:p w14:paraId="1E15A790">
      <w:pPr>
        <w:pStyle w:val="24"/>
        <w:snapToGrid w:val="0"/>
        <w:spacing w:line="360" w:lineRule="auto"/>
        <w:ind w:firstLine="420" w:firstLineChars="200"/>
        <w:rPr>
          <w:rFonts w:hAnsi="宋体"/>
          <w:bCs/>
          <w:color w:val="auto"/>
          <w:sz w:val="21"/>
        </w:rPr>
      </w:pPr>
      <w:r>
        <w:rPr>
          <w:rFonts w:hAnsi="宋体"/>
          <w:bCs/>
          <w:color w:val="auto"/>
          <w:sz w:val="21"/>
        </w:rPr>
        <w:t>（</w:t>
      </w:r>
      <w:r>
        <w:rPr>
          <w:rFonts w:hint="eastAsia" w:hAnsi="宋体"/>
          <w:bCs/>
          <w:color w:val="auto"/>
          <w:sz w:val="21"/>
        </w:rPr>
        <w:t>6</w:t>
      </w:r>
      <w:r>
        <w:rPr>
          <w:rFonts w:hAnsi="宋体"/>
          <w:bCs/>
          <w:color w:val="auto"/>
          <w:sz w:val="21"/>
        </w:rPr>
        <w:t>）提出质疑的日期。</w:t>
      </w:r>
    </w:p>
    <w:p w14:paraId="70829C9B">
      <w:pPr>
        <w:pStyle w:val="24"/>
        <w:snapToGrid w:val="0"/>
        <w:spacing w:line="360" w:lineRule="auto"/>
        <w:ind w:firstLine="420" w:firstLineChars="200"/>
        <w:rPr>
          <w:rFonts w:hAnsi="宋体"/>
          <w:bCs/>
          <w:color w:val="auto"/>
          <w:sz w:val="21"/>
        </w:rPr>
      </w:pPr>
      <w:r>
        <w:rPr>
          <w:rFonts w:hAnsi="宋体"/>
          <w:bCs/>
          <w:color w:val="auto"/>
          <w:sz w:val="21"/>
        </w:rPr>
        <w:t>供应商为自然人的，应当由本人签字；供应商为法人或者其他组织的，应当由法定代表人、主要负责人，或者其委托代理人签字或者盖章，并加盖公章</w:t>
      </w:r>
      <w:r>
        <w:rPr>
          <w:rFonts w:hint="eastAsia" w:hAnsi="宋体"/>
          <w:bCs/>
          <w:color w:val="auto"/>
          <w:sz w:val="21"/>
        </w:rPr>
        <w:t>。</w:t>
      </w:r>
    </w:p>
    <w:p w14:paraId="1A1CF333">
      <w:pPr>
        <w:pStyle w:val="6"/>
        <w:keepNext w:val="0"/>
        <w:keepLines w:val="0"/>
        <w:snapToGrid w:val="0"/>
        <w:spacing w:before="0" w:after="0" w:line="360" w:lineRule="auto"/>
        <w:ind w:firstLine="420" w:firstLineChars="200"/>
        <w:rPr>
          <w:rFonts w:ascii="宋体" w:hAnsi="宋体"/>
          <w:b w:val="0"/>
          <w:bCs/>
          <w:color w:val="auto"/>
          <w:sz w:val="21"/>
          <w:szCs w:val="21"/>
        </w:rPr>
      </w:pPr>
      <w:r>
        <w:rPr>
          <w:rFonts w:ascii="宋体" w:hAnsi="宋体"/>
          <w:b w:val="0"/>
          <w:color w:val="auto"/>
          <w:sz w:val="21"/>
          <w:szCs w:val="21"/>
        </w:rPr>
        <w:t>3</w:t>
      </w:r>
      <w:r>
        <w:rPr>
          <w:rFonts w:ascii="宋体" w:hAnsi="宋体"/>
          <w:b w:val="0"/>
          <w:bCs/>
          <w:color w:val="auto"/>
          <w:sz w:val="21"/>
          <w:szCs w:val="21"/>
        </w:rPr>
        <w:t>8.4</w:t>
      </w:r>
      <w:r>
        <w:rPr>
          <w:rFonts w:hint="eastAsia" w:ascii="宋体" w:hAnsi="宋体"/>
          <w:b w:val="0"/>
          <w:bCs/>
          <w:color w:val="auto"/>
          <w:sz w:val="21"/>
          <w:szCs w:val="21"/>
        </w:rPr>
        <w:t>采购人、采购代理机构认为供应商质疑不成立，或者成立但未对中标结果构成影响的，继续开展采购活动；认为供应商质疑成立且影响或者可能影响中标结果的，按照下列情况处理：</w:t>
      </w:r>
    </w:p>
    <w:p w14:paraId="58EC9793">
      <w:pPr>
        <w:pStyle w:val="24"/>
        <w:snapToGrid w:val="0"/>
        <w:spacing w:line="360" w:lineRule="auto"/>
        <w:ind w:firstLine="315" w:firstLineChars="150"/>
        <w:rPr>
          <w:rFonts w:hAnsi="宋体"/>
          <w:bCs/>
          <w:color w:val="auto"/>
          <w:sz w:val="21"/>
        </w:rPr>
      </w:pPr>
      <w:r>
        <w:rPr>
          <w:rFonts w:hint="eastAsia" w:hAnsi="宋体"/>
          <w:bCs/>
          <w:color w:val="auto"/>
          <w:sz w:val="21"/>
        </w:rPr>
        <w:t>（1）对招标文件提出的质疑，依法通过澄清或者修改可以继续开展采购活动的，澄清或者修改招标文件后继续开展采购活动；否则应当修改招标文件后重新开展采购活动。</w:t>
      </w:r>
    </w:p>
    <w:p w14:paraId="36B71939">
      <w:pPr>
        <w:pStyle w:val="24"/>
        <w:snapToGrid w:val="0"/>
        <w:spacing w:line="360" w:lineRule="auto"/>
        <w:ind w:firstLine="315" w:firstLineChars="150"/>
        <w:rPr>
          <w:rFonts w:hAnsi="宋体"/>
          <w:bCs/>
          <w:color w:val="auto"/>
          <w:sz w:val="21"/>
        </w:rPr>
      </w:pPr>
      <w:r>
        <w:rPr>
          <w:rFonts w:hint="eastAsia" w:hAnsi="宋体"/>
          <w:bCs/>
          <w:color w:val="auto"/>
          <w:sz w:val="21"/>
        </w:rPr>
        <w:t>（2）对采购过程、中标结果提出的质疑，合格供应商符合法定数量时，可以从合格的中标候选人中另行确定中标人的，应当依法另行确定中标人；否则应当重新开展采购活动。</w:t>
      </w:r>
    </w:p>
    <w:p w14:paraId="0AC136E3">
      <w:pPr>
        <w:pStyle w:val="24"/>
        <w:snapToGrid w:val="0"/>
        <w:spacing w:line="360" w:lineRule="auto"/>
        <w:ind w:firstLine="420"/>
        <w:rPr>
          <w:rFonts w:hAnsi="宋体"/>
          <w:bCs/>
          <w:color w:val="auto"/>
          <w:sz w:val="21"/>
        </w:rPr>
      </w:pPr>
      <w:r>
        <w:rPr>
          <w:rFonts w:hint="eastAsia" w:hAnsi="宋体"/>
          <w:bCs/>
          <w:color w:val="auto"/>
          <w:sz w:val="21"/>
        </w:rPr>
        <w:t>质疑答复导致中标结果改变的，采购人或者采购代理机构应当将有关情况书面报告本级财政部门。</w:t>
      </w:r>
    </w:p>
    <w:p w14:paraId="5D0B2292">
      <w:pPr>
        <w:pStyle w:val="24"/>
        <w:snapToGrid w:val="0"/>
        <w:spacing w:line="360" w:lineRule="auto"/>
        <w:ind w:firstLine="420" w:firstLineChars="200"/>
        <w:rPr>
          <w:rFonts w:hAnsi="宋体"/>
          <w:color w:val="auto"/>
          <w:sz w:val="21"/>
        </w:rPr>
      </w:pPr>
      <w:r>
        <w:rPr>
          <w:rFonts w:hAnsi="宋体"/>
          <w:color w:val="auto"/>
          <w:sz w:val="21"/>
        </w:rPr>
        <w:t>38</w:t>
      </w:r>
      <w:r>
        <w:rPr>
          <w:rFonts w:hint="eastAsia" w:hAnsi="宋体"/>
          <w:color w:val="auto"/>
          <w:sz w:val="21"/>
        </w:rPr>
        <w:t>.</w:t>
      </w:r>
      <w:r>
        <w:rPr>
          <w:rFonts w:hAnsi="宋体"/>
          <w:color w:val="auto"/>
          <w:sz w:val="21"/>
        </w:rPr>
        <w:t>5</w:t>
      </w:r>
      <w:r>
        <w:rPr>
          <w:rFonts w:hint="eastAsia" w:hAnsi="宋体"/>
          <w:color w:val="auto"/>
          <w:sz w:val="21"/>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bookmarkStart w:id="133" w:name="_八、其他事项"/>
      <w:bookmarkEnd w:id="133"/>
    </w:p>
    <w:p w14:paraId="020CEE62">
      <w:pPr>
        <w:pStyle w:val="24"/>
        <w:snapToGrid w:val="0"/>
        <w:spacing w:line="360" w:lineRule="auto"/>
        <w:ind w:firstLine="400" w:firstLineChars="200"/>
        <w:rPr>
          <w:rFonts w:hAnsi="宋体"/>
          <w:color w:val="auto"/>
        </w:rPr>
      </w:pPr>
    </w:p>
    <w:p w14:paraId="08A92DDA">
      <w:pPr>
        <w:pStyle w:val="3"/>
        <w:keepNext w:val="0"/>
        <w:keepLines w:val="0"/>
        <w:spacing w:line="360" w:lineRule="auto"/>
        <w:jc w:val="center"/>
        <w:rPr>
          <w:rFonts w:ascii="宋体" w:hAnsi="宋体" w:eastAsia="宋体"/>
          <w:color w:val="auto"/>
        </w:rPr>
      </w:pPr>
      <w:r>
        <w:rPr>
          <w:rFonts w:hint="eastAsia" w:ascii="宋体" w:hAnsi="宋体" w:eastAsia="宋体"/>
          <w:color w:val="auto"/>
        </w:rPr>
        <w:t>八、其他事项</w:t>
      </w:r>
    </w:p>
    <w:p w14:paraId="2EA6F6D4">
      <w:pPr>
        <w:rPr>
          <w:rFonts w:hint="eastAsia" w:ascii="宋体" w:hAnsi="宋体" w:cs="宋体"/>
          <w:b/>
          <w:bCs/>
          <w:color w:val="auto"/>
          <w:sz w:val="24"/>
          <w:szCs w:val="32"/>
        </w:rPr>
      </w:pPr>
      <w:bookmarkStart w:id="134" w:name="_42.代理服务费"/>
      <w:bookmarkEnd w:id="134"/>
      <w:r>
        <w:rPr>
          <w:rFonts w:hint="eastAsia" w:ascii="宋体" w:hAnsi="宋体" w:cs="宋体"/>
          <w:b/>
          <w:bCs/>
          <w:color w:val="auto"/>
          <w:sz w:val="24"/>
          <w:szCs w:val="32"/>
        </w:rPr>
        <w:t>39.代理服务费</w:t>
      </w:r>
    </w:p>
    <w:p w14:paraId="47B814CB">
      <w:pPr>
        <w:pStyle w:val="24"/>
        <w:snapToGrid w:val="0"/>
        <w:spacing w:line="360" w:lineRule="auto"/>
        <w:ind w:firstLine="420" w:firstLineChars="200"/>
        <w:rPr>
          <w:rFonts w:hAnsi="宋体"/>
          <w:color w:val="auto"/>
          <w:sz w:val="21"/>
        </w:rPr>
      </w:pPr>
      <w:r>
        <w:rPr>
          <w:rFonts w:hint="eastAsia" w:hAnsi="宋体"/>
          <w:color w:val="auto"/>
          <w:sz w:val="21"/>
        </w:rPr>
        <w:t>3</w:t>
      </w:r>
      <w:r>
        <w:rPr>
          <w:rFonts w:hAnsi="宋体"/>
          <w:color w:val="auto"/>
          <w:sz w:val="21"/>
        </w:rPr>
        <w:t>9</w:t>
      </w:r>
      <w:r>
        <w:rPr>
          <w:rFonts w:hint="eastAsia" w:hAnsi="宋体"/>
          <w:color w:val="auto"/>
          <w:sz w:val="21"/>
        </w:rPr>
        <w:t>.1代理服务收取标准及缴费账户详见“供应商须知前附表”。</w:t>
      </w:r>
    </w:p>
    <w:p w14:paraId="0B53F945">
      <w:pPr>
        <w:pStyle w:val="24"/>
        <w:snapToGrid w:val="0"/>
        <w:spacing w:line="360" w:lineRule="auto"/>
        <w:ind w:firstLine="420" w:firstLineChars="200"/>
        <w:rPr>
          <w:rFonts w:hAnsi="宋体"/>
          <w:color w:val="auto"/>
          <w:sz w:val="21"/>
        </w:rPr>
      </w:pPr>
      <w:r>
        <w:rPr>
          <w:rFonts w:hint="eastAsia" w:hAnsi="宋体"/>
          <w:color w:val="auto"/>
          <w:sz w:val="21"/>
        </w:rPr>
        <w:t>3</w:t>
      </w:r>
      <w:r>
        <w:rPr>
          <w:rFonts w:hAnsi="宋体"/>
          <w:color w:val="auto"/>
          <w:sz w:val="21"/>
        </w:rPr>
        <w:t>9</w:t>
      </w:r>
      <w:r>
        <w:rPr>
          <w:rFonts w:hint="eastAsia" w:hAnsi="宋体"/>
          <w:color w:val="auto"/>
          <w:sz w:val="21"/>
        </w:rPr>
        <w:t>.2代理服务收费标准：</w:t>
      </w:r>
    </w:p>
    <w:tbl>
      <w:tblPr>
        <w:tblStyle w:val="47"/>
        <w:tblW w:w="8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53D2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noWrap w:val="0"/>
            <w:vAlign w:val="center"/>
          </w:tcPr>
          <w:p w14:paraId="2C468518">
            <w:pPr>
              <w:jc w:val="center"/>
              <w:rPr>
                <w:rFonts w:hint="eastAsia" w:ascii="宋体" w:hAnsi="宋体" w:cs="宋体"/>
                <w:color w:val="auto"/>
              </w:rPr>
            </w:pPr>
            <w:r>
              <w:rPr>
                <w:rFonts w:hint="eastAsia" w:ascii="宋体" w:hAnsi="宋体" w:cs="宋体"/>
                <w:color w:val="auto"/>
              </w:rPr>
              <w:t xml:space="preserve">          费率</w:t>
            </w:r>
          </w:p>
          <w:p w14:paraId="4E820140">
            <w:pPr>
              <w:rPr>
                <w:rFonts w:hint="eastAsia" w:ascii="宋体" w:hAnsi="宋体" w:cs="宋体"/>
                <w:color w:val="auto"/>
              </w:rPr>
            </w:pPr>
            <w:r>
              <w:rPr>
                <w:rFonts w:hint="eastAsia" w:ascii="宋体" w:hAnsi="宋体" w:cs="宋体"/>
                <w:color w:val="auto"/>
              </w:rPr>
              <w:t>中标金额</w:t>
            </w:r>
          </w:p>
        </w:tc>
        <w:tc>
          <w:tcPr>
            <w:tcW w:w="1659" w:type="dxa"/>
            <w:noWrap w:val="0"/>
            <w:vAlign w:val="center"/>
          </w:tcPr>
          <w:p w14:paraId="09FE324F">
            <w:pPr>
              <w:jc w:val="center"/>
              <w:rPr>
                <w:rFonts w:hint="eastAsia" w:ascii="宋体" w:hAnsi="宋体" w:cs="宋体"/>
                <w:color w:val="auto"/>
              </w:rPr>
            </w:pPr>
            <w:r>
              <w:rPr>
                <w:rFonts w:hint="eastAsia" w:ascii="宋体" w:hAnsi="宋体" w:cs="宋体"/>
                <w:color w:val="auto"/>
              </w:rPr>
              <w:t>货物招标</w:t>
            </w:r>
          </w:p>
        </w:tc>
        <w:tc>
          <w:tcPr>
            <w:tcW w:w="1687" w:type="dxa"/>
            <w:noWrap w:val="0"/>
            <w:vAlign w:val="center"/>
          </w:tcPr>
          <w:p w14:paraId="41A2B83E">
            <w:pPr>
              <w:jc w:val="center"/>
              <w:rPr>
                <w:rFonts w:hint="eastAsia" w:ascii="宋体" w:hAnsi="宋体" w:cs="宋体"/>
                <w:color w:val="auto"/>
              </w:rPr>
            </w:pPr>
            <w:r>
              <w:rPr>
                <w:rFonts w:hint="eastAsia" w:ascii="宋体" w:hAnsi="宋体" w:cs="宋体"/>
                <w:color w:val="auto"/>
              </w:rPr>
              <w:t>服务招标</w:t>
            </w:r>
          </w:p>
        </w:tc>
        <w:tc>
          <w:tcPr>
            <w:tcW w:w="1659" w:type="dxa"/>
            <w:noWrap w:val="0"/>
            <w:vAlign w:val="center"/>
          </w:tcPr>
          <w:p w14:paraId="35ED082B">
            <w:pPr>
              <w:jc w:val="center"/>
              <w:rPr>
                <w:rFonts w:hint="eastAsia" w:ascii="宋体" w:hAnsi="宋体" w:cs="宋体"/>
                <w:color w:val="auto"/>
              </w:rPr>
            </w:pPr>
            <w:r>
              <w:rPr>
                <w:rFonts w:hint="eastAsia" w:ascii="宋体" w:hAnsi="宋体" w:cs="宋体"/>
                <w:color w:val="auto"/>
              </w:rPr>
              <w:t>工程招标</w:t>
            </w:r>
          </w:p>
        </w:tc>
      </w:tr>
      <w:tr w14:paraId="3D0A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center"/>
          </w:tcPr>
          <w:p w14:paraId="52CB2721">
            <w:pPr>
              <w:jc w:val="center"/>
              <w:rPr>
                <w:rFonts w:hint="eastAsia" w:ascii="宋体" w:hAnsi="宋体" w:cs="宋体"/>
                <w:color w:val="auto"/>
              </w:rPr>
            </w:pPr>
            <w:r>
              <w:rPr>
                <w:rFonts w:hint="eastAsia" w:ascii="宋体" w:hAnsi="宋体" w:cs="宋体"/>
                <w:color w:val="auto"/>
              </w:rPr>
              <w:t>100万元以下</w:t>
            </w:r>
          </w:p>
        </w:tc>
        <w:tc>
          <w:tcPr>
            <w:tcW w:w="1659" w:type="dxa"/>
            <w:noWrap w:val="0"/>
            <w:vAlign w:val="center"/>
          </w:tcPr>
          <w:p w14:paraId="19E97B32">
            <w:pPr>
              <w:jc w:val="center"/>
              <w:rPr>
                <w:rFonts w:hint="eastAsia" w:ascii="宋体" w:hAnsi="宋体" w:cs="宋体"/>
                <w:color w:val="auto"/>
              </w:rPr>
            </w:pPr>
            <w:r>
              <w:rPr>
                <w:rFonts w:hint="eastAsia" w:ascii="宋体" w:hAnsi="宋体" w:cs="宋体"/>
                <w:color w:val="auto"/>
              </w:rPr>
              <w:t>1.5%</w:t>
            </w:r>
          </w:p>
        </w:tc>
        <w:tc>
          <w:tcPr>
            <w:tcW w:w="1687" w:type="dxa"/>
            <w:noWrap w:val="0"/>
            <w:vAlign w:val="center"/>
          </w:tcPr>
          <w:p w14:paraId="2FBA22C4">
            <w:pPr>
              <w:jc w:val="center"/>
              <w:rPr>
                <w:rFonts w:hint="eastAsia" w:ascii="宋体" w:hAnsi="宋体" w:cs="宋体"/>
                <w:color w:val="auto"/>
              </w:rPr>
            </w:pPr>
            <w:r>
              <w:rPr>
                <w:rFonts w:hint="eastAsia" w:ascii="宋体" w:hAnsi="宋体" w:cs="宋体"/>
                <w:color w:val="auto"/>
              </w:rPr>
              <w:t>1.5%</w:t>
            </w:r>
          </w:p>
        </w:tc>
        <w:tc>
          <w:tcPr>
            <w:tcW w:w="1659" w:type="dxa"/>
            <w:noWrap w:val="0"/>
            <w:vAlign w:val="center"/>
          </w:tcPr>
          <w:p w14:paraId="38F8B91B">
            <w:pPr>
              <w:jc w:val="center"/>
              <w:rPr>
                <w:rFonts w:hint="eastAsia" w:ascii="宋体" w:hAnsi="宋体" w:cs="宋体"/>
                <w:color w:val="auto"/>
              </w:rPr>
            </w:pPr>
            <w:r>
              <w:rPr>
                <w:rFonts w:hint="eastAsia" w:ascii="宋体" w:hAnsi="宋体" w:cs="宋体"/>
                <w:color w:val="auto"/>
              </w:rPr>
              <w:t>1.0%</w:t>
            </w:r>
          </w:p>
        </w:tc>
      </w:tr>
      <w:tr w14:paraId="2C0A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center"/>
          </w:tcPr>
          <w:p w14:paraId="57F11F9C">
            <w:pPr>
              <w:jc w:val="center"/>
              <w:rPr>
                <w:rFonts w:hint="eastAsia" w:ascii="宋体" w:hAnsi="宋体" w:cs="宋体"/>
                <w:color w:val="auto"/>
              </w:rPr>
            </w:pPr>
            <w:r>
              <w:rPr>
                <w:rFonts w:hint="eastAsia" w:ascii="宋体" w:hAnsi="宋体" w:cs="宋体"/>
                <w:color w:val="auto"/>
              </w:rPr>
              <w:t>100～500万元</w:t>
            </w:r>
          </w:p>
        </w:tc>
        <w:tc>
          <w:tcPr>
            <w:tcW w:w="1659" w:type="dxa"/>
            <w:noWrap w:val="0"/>
            <w:vAlign w:val="center"/>
          </w:tcPr>
          <w:p w14:paraId="7F76ABF8">
            <w:pPr>
              <w:jc w:val="center"/>
              <w:rPr>
                <w:rFonts w:hint="eastAsia" w:ascii="宋体" w:hAnsi="宋体" w:cs="宋体"/>
                <w:color w:val="auto"/>
              </w:rPr>
            </w:pPr>
            <w:r>
              <w:rPr>
                <w:rFonts w:hint="eastAsia" w:ascii="宋体" w:hAnsi="宋体" w:cs="宋体"/>
                <w:color w:val="auto"/>
              </w:rPr>
              <w:t>1.1%</w:t>
            </w:r>
          </w:p>
        </w:tc>
        <w:tc>
          <w:tcPr>
            <w:tcW w:w="1687" w:type="dxa"/>
            <w:noWrap w:val="0"/>
            <w:vAlign w:val="center"/>
          </w:tcPr>
          <w:p w14:paraId="56DD3E20">
            <w:pPr>
              <w:jc w:val="center"/>
              <w:rPr>
                <w:rFonts w:hint="eastAsia" w:ascii="宋体" w:hAnsi="宋体" w:cs="宋体"/>
                <w:color w:val="auto"/>
              </w:rPr>
            </w:pPr>
            <w:r>
              <w:rPr>
                <w:rFonts w:hint="eastAsia" w:ascii="宋体" w:hAnsi="宋体" w:cs="宋体"/>
                <w:color w:val="auto"/>
              </w:rPr>
              <w:t>0.8%</w:t>
            </w:r>
          </w:p>
        </w:tc>
        <w:tc>
          <w:tcPr>
            <w:tcW w:w="1659" w:type="dxa"/>
            <w:noWrap w:val="0"/>
            <w:vAlign w:val="center"/>
          </w:tcPr>
          <w:p w14:paraId="2E3F7519">
            <w:pPr>
              <w:jc w:val="center"/>
              <w:rPr>
                <w:rFonts w:hint="eastAsia" w:ascii="宋体" w:hAnsi="宋体" w:cs="宋体"/>
                <w:color w:val="auto"/>
              </w:rPr>
            </w:pPr>
            <w:r>
              <w:rPr>
                <w:rFonts w:hint="eastAsia" w:ascii="宋体" w:hAnsi="宋体" w:cs="宋体"/>
                <w:color w:val="auto"/>
              </w:rPr>
              <w:t>0.7%</w:t>
            </w:r>
          </w:p>
        </w:tc>
      </w:tr>
      <w:tr w14:paraId="743F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center"/>
          </w:tcPr>
          <w:p w14:paraId="6BE97459">
            <w:pPr>
              <w:jc w:val="center"/>
              <w:rPr>
                <w:rFonts w:hint="eastAsia" w:ascii="宋体" w:hAnsi="宋体" w:cs="宋体"/>
                <w:color w:val="auto"/>
              </w:rPr>
            </w:pPr>
            <w:r>
              <w:rPr>
                <w:rFonts w:hint="eastAsia" w:ascii="宋体" w:hAnsi="宋体" w:cs="宋体"/>
                <w:color w:val="auto"/>
              </w:rPr>
              <w:t>500～1000万元</w:t>
            </w:r>
          </w:p>
        </w:tc>
        <w:tc>
          <w:tcPr>
            <w:tcW w:w="1659" w:type="dxa"/>
            <w:noWrap w:val="0"/>
            <w:vAlign w:val="center"/>
          </w:tcPr>
          <w:p w14:paraId="4E5DA399">
            <w:pPr>
              <w:jc w:val="center"/>
              <w:rPr>
                <w:rFonts w:hint="eastAsia" w:ascii="宋体" w:hAnsi="宋体" w:cs="宋体"/>
                <w:color w:val="auto"/>
              </w:rPr>
            </w:pPr>
            <w:r>
              <w:rPr>
                <w:rFonts w:hint="eastAsia" w:ascii="宋体" w:hAnsi="宋体" w:cs="宋体"/>
                <w:color w:val="auto"/>
              </w:rPr>
              <w:t>0.8%</w:t>
            </w:r>
          </w:p>
        </w:tc>
        <w:tc>
          <w:tcPr>
            <w:tcW w:w="1687" w:type="dxa"/>
            <w:noWrap w:val="0"/>
            <w:vAlign w:val="center"/>
          </w:tcPr>
          <w:p w14:paraId="7292E1BC">
            <w:pPr>
              <w:jc w:val="center"/>
              <w:rPr>
                <w:rFonts w:hint="eastAsia" w:ascii="宋体" w:hAnsi="宋体" w:cs="宋体"/>
                <w:color w:val="auto"/>
              </w:rPr>
            </w:pPr>
            <w:r>
              <w:rPr>
                <w:rFonts w:hint="eastAsia" w:ascii="宋体" w:hAnsi="宋体" w:cs="宋体"/>
                <w:color w:val="auto"/>
              </w:rPr>
              <w:t>0.45%</w:t>
            </w:r>
          </w:p>
        </w:tc>
        <w:tc>
          <w:tcPr>
            <w:tcW w:w="1659" w:type="dxa"/>
            <w:noWrap w:val="0"/>
            <w:vAlign w:val="center"/>
          </w:tcPr>
          <w:p w14:paraId="6A013A17">
            <w:pPr>
              <w:jc w:val="center"/>
              <w:rPr>
                <w:rFonts w:hint="eastAsia" w:ascii="宋体" w:hAnsi="宋体" w:cs="宋体"/>
                <w:color w:val="auto"/>
              </w:rPr>
            </w:pPr>
            <w:r>
              <w:rPr>
                <w:rFonts w:hint="eastAsia" w:ascii="宋体" w:hAnsi="宋体" w:cs="宋体"/>
                <w:color w:val="auto"/>
              </w:rPr>
              <w:t>0.55%</w:t>
            </w:r>
          </w:p>
        </w:tc>
      </w:tr>
      <w:tr w14:paraId="2FC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center"/>
          </w:tcPr>
          <w:p w14:paraId="1F18585D">
            <w:pPr>
              <w:jc w:val="center"/>
              <w:rPr>
                <w:rFonts w:hint="eastAsia" w:ascii="宋体" w:hAnsi="宋体" w:cs="宋体"/>
                <w:color w:val="auto"/>
              </w:rPr>
            </w:pPr>
            <w:r>
              <w:rPr>
                <w:rFonts w:hint="eastAsia" w:ascii="宋体" w:hAnsi="宋体" w:cs="宋体"/>
                <w:color w:val="auto"/>
              </w:rPr>
              <w:t>1000～5000万元</w:t>
            </w:r>
          </w:p>
        </w:tc>
        <w:tc>
          <w:tcPr>
            <w:tcW w:w="1659" w:type="dxa"/>
            <w:noWrap w:val="0"/>
            <w:vAlign w:val="center"/>
          </w:tcPr>
          <w:p w14:paraId="77022FC0">
            <w:pPr>
              <w:jc w:val="center"/>
              <w:rPr>
                <w:rFonts w:hint="eastAsia" w:ascii="宋体" w:hAnsi="宋体" w:cs="宋体"/>
                <w:color w:val="auto"/>
              </w:rPr>
            </w:pPr>
            <w:r>
              <w:rPr>
                <w:rFonts w:hint="eastAsia" w:ascii="宋体" w:hAnsi="宋体" w:cs="宋体"/>
                <w:color w:val="auto"/>
              </w:rPr>
              <w:t>0.5%</w:t>
            </w:r>
          </w:p>
        </w:tc>
        <w:tc>
          <w:tcPr>
            <w:tcW w:w="1687" w:type="dxa"/>
            <w:noWrap w:val="0"/>
            <w:vAlign w:val="center"/>
          </w:tcPr>
          <w:p w14:paraId="03397D77">
            <w:pPr>
              <w:jc w:val="center"/>
              <w:rPr>
                <w:rFonts w:hint="eastAsia" w:ascii="宋体" w:hAnsi="宋体" w:cs="宋体"/>
                <w:color w:val="auto"/>
              </w:rPr>
            </w:pPr>
            <w:r>
              <w:rPr>
                <w:rFonts w:hint="eastAsia" w:ascii="宋体" w:hAnsi="宋体" w:cs="宋体"/>
                <w:color w:val="auto"/>
              </w:rPr>
              <w:t>0.25%</w:t>
            </w:r>
          </w:p>
        </w:tc>
        <w:tc>
          <w:tcPr>
            <w:tcW w:w="1659" w:type="dxa"/>
            <w:noWrap w:val="0"/>
            <w:vAlign w:val="center"/>
          </w:tcPr>
          <w:p w14:paraId="24C8B369">
            <w:pPr>
              <w:jc w:val="center"/>
              <w:rPr>
                <w:rFonts w:hint="eastAsia" w:ascii="宋体" w:hAnsi="宋体" w:cs="宋体"/>
                <w:color w:val="auto"/>
              </w:rPr>
            </w:pPr>
            <w:r>
              <w:rPr>
                <w:rFonts w:hint="eastAsia" w:ascii="宋体" w:hAnsi="宋体" w:cs="宋体"/>
                <w:color w:val="auto"/>
              </w:rPr>
              <w:t>0.35%</w:t>
            </w:r>
          </w:p>
        </w:tc>
      </w:tr>
      <w:tr w14:paraId="1177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center"/>
          </w:tcPr>
          <w:p w14:paraId="1A3B6B1A">
            <w:pPr>
              <w:jc w:val="center"/>
              <w:rPr>
                <w:rFonts w:hint="eastAsia" w:ascii="宋体" w:hAnsi="宋体" w:cs="宋体"/>
                <w:color w:val="auto"/>
              </w:rPr>
            </w:pPr>
            <w:r>
              <w:rPr>
                <w:rFonts w:hint="eastAsia" w:ascii="宋体" w:hAnsi="宋体" w:cs="宋体"/>
                <w:color w:val="auto"/>
              </w:rPr>
              <w:t>5000万元～1亿元</w:t>
            </w:r>
          </w:p>
        </w:tc>
        <w:tc>
          <w:tcPr>
            <w:tcW w:w="1659" w:type="dxa"/>
            <w:noWrap w:val="0"/>
            <w:vAlign w:val="center"/>
          </w:tcPr>
          <w:p w14:paraId="120976A8">
            <w:pPr>
              <w:jc w:val="center"/>
              <w:rPr>
                <w:rFonts w:hint="eastAsia" w:ascii="宋体" w:hAnsi="宋体" w:cs="宋体"/>
                <w:color w:val="auto"/>
              </w:rPr>
            </w:pPr>
            <w:r>
              <w:rPr>
                <w:rFonts w:hint="eastAsia" w:ascii="宋体" w:hAnsi="宋体" w:cs="宋体"/>
                <w:color w:val="auto"/>
              </w:rPr>
              <w:t>0.25%</w:t>
            </w:r>
          </w:p>
        </w:tc>
        <w:tc>
          <w:tcPr>
            <w:tcW w:w="1687" w:type="dxa"/>
            <w:noWrap w:val="0"/>
            <w:vAlign w:val="center"/>
          </w:tcPr>
          <w:p w14:paraId="7C0E7CF8">
            <w:pPr>
              <w:jc w:val="center"/>
              <w:rPr>
                <w:rFonts w:hint="eastAsia" w:ascii="宋体" w:hAnsi="宋体" w:cs="宋体"/>
                <w:color w:val="auto"/>
              </w:rPr>
            </w:pPr>
            <w:r>
              <w:rPr>
                <w:rFonts w:hint="eastAsia" w:ascii="宋体" w:hAnsi="宋体" w:cs="宋体"/>
                <w:color w:val="auto"/>
              </w:rPr>
              <w:t>0.1%</w:t>
            </w:r>
          </w:p>
        </w:tc>
        <w:tc>
          <w:tcPr>
            <w:tcW w:w="1659" w:type="dxa"/>
            <w:noWrap w:val="0"/>
            <w:vAlign w:val="center"/>
          </w:tcPr>
          <w:p w14:paraId="57147D84">
            <w:pPr>
              <w:jc w:val="center"/>
              <w:rPr>
                <w:rFonts w:hint="eastAsia" w:ascii="宋体" w:hAnsi="宋体" w:cs="宋体"/>
                <w:color w:val="auto"/>
              </w:rPr>
            </w:pPr>
            <w:r>
              <w:rPr>
                <w:rFonts w:hint="eastAsia" w:ascii="宋体" w:hAnsi="宋体" w:cs="宋体"/>
                <w:color w:val="auto"/>
              </w:rPr>
              <w:t>0.2%</w:t>
            </w:r>
          </w:p>
        </w:tc>
      </w:tr>
      <w:tr w14:paraId="371C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center"/>
          </w:tcPr>
          <w:p w14:paraId="3820AE50">
            <w:pPr>
              <w:jc w:val="center"/>
              <w:rPr>
                <w:rFonts w:hint="eastAsia" w:ascii="宋体" w:hAnsi="宋体" w:cs="宋体"/>
                <w:color w:val="auto"/>
              </w:rPr>
            </w:pPr>
            <w:r>
              <w:rPr>
                <w:rFonts w:hint="eastAsia" w:ascii="宋体" w:hAnsi="宋体" w:cs="宋体"/>
                <w:color w:val="auto"/>
              </w:rPr>
              <w:t>1～5亿元</w:t>
            </w:r>
          </w:p>
        </w:tc>
        <w:tc>
          <w:tcPr>
            <w:tcW w:w="1659" w:type="dxa"/>
            <w:noWrap w:val="0"/>
            <w:vAlign w:val="center"/>
          </w:tcPr>
          <w:p w14:paraId="72B7BC70">
            <w:pPr>
              <w:jc w:val="center"/>
              <w:rPr>
                <w:rFonts w:hint="eastAsia" w:ascii="宋体" w:hAnsi="宋体" w:cs="宋体"/>
                <w:color w:val="auto"/>
              </w:rPr>
            </w:pPr>
            <w:r>
              <w:rPr>
                <w:rFonts w:hint="eastAsia" w:ascii="宋体" w:hAnsi="宋体" w:cs="宋体"/>
                <w:color w:val="auto"/>
              </w:rPr>
              <w:t>0.05%</w:t>
            </w:r>
          </w:p>
        </w:tc>
        <w:tc>
          <w:tcPr>
            <w:tcW w:w="1687" w:type="dxa"/>
            <w:noWrap w:val="0"/>
            <w:vAlign w:val="center"/>
          </w:tcPr>
          <w:p w14:paraId="008150D5">
            <w:pPr>
              <w:jc w:val="center"/>
              <w:rPr>
                <w:rFonts w:hint="eastAsia" w:ascii="宋体" w:hAnsi="宋体" w:cs="宋体"/>
                <w:color w:val="auto"/>
              </w:rPr>
            </w:pPr>
            <w:r>
              <w:rPr>
                <w:rFonts w:hint="eastAsia" w:ascii="宋体" w:hAnsi="宋体" w:cs="宋体"/>
                <w:color w:val="auto"/>
              </w:rPr>
              <w:t>0.05%</w:t>
            </w:r>
          </w:p>
        </w:tc>
        <w:tc>
          <w:tcPr>
            <w:tcW w:w="1659" w:type="dxa"/>
            <w:noWrap w:val="0"/>
            <w:vAlign w:val="center"/>
          </w:tcPr>
          <w:p w14:paraId="0B9B0707">
            <w:pPr>
              <w:jc w:val="center"/>
              <w:rPr>
                <w:rFonts w:hint="eastAsia" w:ascii="宋体" w:hAnsi="宋体" w:cs="宋体"/>
                <w:color w:val="auto"/>
              </w:rPr>
            </w:pPr>
            <w:r>
              <w:rPr>
                <w:rFonts w:hint="eastAsia" w:ascii="宋体" w:hAnsi="宋体" w:cs="宋体"/>
                <w:color w:val="auto"/>
              </w:rPr>
              <w:t>0.05%</w:t>
            </w:r>
          </w:p>
        </w:tc>
      </w:tr>
    </w:tbl>
    <w:p w14:paraId="34542CF4">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注：</w:t>
      </w:r>
      <w:r>
        <w:rPr>
          <w:rFonts w:hAnsi="宋体" w:cs="宋体"/>
          <w:color w:val="auto"/>
          <w:sz w:val="21"/>
        </w:rPr>
        <w:t xml:space="preserve"> </w:t>
      </w:r>
    </w:p>
    <w:p w14:paraId="6B2E6503">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（1）</w:t>
      </w:r>
      <w:r>
        <w:rPr>
          <w:rFonts w:hAnsi="宋体" w:cs="宋体"/>
          <w:color w:val="auto"/>
          <w:sz w:val="21"/>
        </w:rPr>
        <w:t>按本表费率计算的收费为</w:t>
      </w:r>
      <w:r>
        <w:rPr>
          <w:rFonts w:hint="eastAsia" w:hAnsi="宋体" w:cs="宋体"/>
          <w:color w:val="auto"/>
          <w:sz w:val="21"/>
        </w:rPr>
        <w:t>采购</w:t>
      </w:r>
      <w:r>
        <w:rPr>
          <w:rFonts w:hAnsi="宋体" w:cs="宋体"/>
          <w:color w:val="auto"/>
          <w:sz w:val="21"/>
        </w:rPr>
        <w:t>代理的收费基准价格</w:t>
      </w:r>
      <w:r>
        <w:rPr>
          <w:rFonts w:hint="eastAsia" w:hAnsi="宋体" w:cs="宋体"/>
          <w:color w:val="auto"/>
          <w:sz w:val="21"/>
        </w:rPr>
        <w:t>；</w:t>
      </w:r>
    </w:p>
    <w:p w14:paraId="5D3D391A">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（2）采购</w:t>
      </w:r>
      <w:r>
        <w:rPr>
          <w:rFonts w:hAnsi="宋体" w:cs="宋体"/>
          <w:color w:val="auto"/>
          <w:sz w:val="21"/>
        </w:rPr>
        <w:t>代理收费按差额定率累进法计算。</w:t>
      </w:r>
    </w:p>
    <w:p w14:paraId="16AEAAB6">
      <w:pPr>
        <w:pStyle w:val="24"/>
        <w:spacing w:before="120" w:after="120" w:line="360" w:lineRule="auto"/>
        <w:ind w:firstLine="420" w:firstLineChars="200"/>
        <w:contextualSpacing/>
        <w:rPr>
          <w:rFonts w:hAnsi="宋体" w:cs="宋体"/>
          <w:color w:val="auto"/>
          <w:sz w:val="21"/>
        </w:rPr>
      </w:pPr>
      <w:r>
        <w:rPr>
          <w:rFonts w:hAnsi="宋体" w:cs="宋体"/>
          <w:color w:val="auto"/>
          <w:sz w:val="21"/>
        </w:rPr>
        <w:t>例如：某</w:t>
      </w:r>
      <w:r>
        <w:rPr>
          <w:rFonts w:hint="eastAsia" w:hAnsi="宋体" w:cs="宋体"/>
          <w:color w:val="auto"/>
          <w:sz w:val="21"/>
        </w:rPr>
        <w:t>货物采购</w:t>
      </w:r>
      <w:r>
        <w:rPr>
          <w:rFonts w:hAnsi="宋体" w:cs="宋体"/>
          <w:color w:val="auto"/>
          <w:sz w:val="21"/>
        </w:rPr>
        <w:t>代理业务</w:t>
      </w:r>
      <w:r>
        <w:rPr>
          <w:rFonts w:hint="eastAsia" w:hAnsi="宋体" w:cs="宋体"/>
          <w:color w:val="auto"/>
          <w:sz w:val="21"/>
        </w:rPr>
        <w:t>中标</w:t>
      </w:r>
      <w:r>
        <w:rPr>
          <w:rFonts w:hAnsi="宋体" w:cs="宋体"/>
          <w:color w:val="auto"/>
          <w:sz w:val="21"/>
        </w:rPr>
        <w:t>金额</w:t>
      </w:r>
      <w:r>
        <w:rPr>
          <w:rFonts w:hint="eastAsia" w:hAnsi="宋体" w:cs="宋体"/>
          <w:color w:val="auto"/>
          <w:sz w:val="21"/>
        </w:rPr>
        <w:t>或者暂定价</w:t>
      </w:r>
      <w:r>
        <w:rPr>
          <w:rFonts w:hAnsi="宋体" w:cs="宋体"/>
          <w:color w:val="auto"/>
          <w:sz w:val="21"/>
        </w:rPr>
        <w:t>为200万元，计算</w:t>
      </w:r>
      <w:r>
        <w:rPr>
          <w:rFonts w:hint="eastAsia" w:hAnsi="宋体" w:cs="宋体"/>
          <w:color w:val="auto"/>
          <w:sz w:val="21"/>
        </w:rPr>
        <w:t>采购</w:t>
      </w:r>
      <w:r>
        <w:rPr>
          <w:rFonts w:hAnsi="宋体" w:cs="宋体"/>
          <w:color w:val="auto"/>
          <w:sz w:val="21"/>
        </w:rPr>
        <w:t>代理收费额如下：</w:t>
      </w:r>
    </w:p>
    <w:p w14:paraId="1F6BD049">
      <w:pPr>
        <w:pStyle w:val="24"/>
        <w:spacing w:before="120" w:after="120" w:line="360" w:lineRule="auto"/>
        <w:ind w:firstLine="420" w:firstLineChars="200"/>
        <w:contextualSpacing/>
        <w:rPr>
          <w:rFonts w:hAnsi="宋体" w:cs="宋体"/>
          <w:color w:val="auto"/>
          <w:sz w:val="21"/>
        </w:rPr>
      </w:pPr>
      <w:r>
        <w:rPr>
          <w:rFonts w:hAnsi="宋体" w:cs="宋体"/>
          <w:color w:val="auto"/>
          <w:sz w:val="21"/>
        </w:rPr>
        <w:t>100万元×l.5 ％＝1.5万元</w:t>
      </w:r>
    </w:p>
    <w:p w14:paraId="08FCDADF">
      <w:pPr>
        <w:pStyle w:val="24"/>
        <w:spacing w:before="120" w:after="120" w:line="360" w:lineRule="auto"/>
        <w:ind w:firstLine="420" w:firstLineChars="200"/>
        <w:contextualSpacing/>
        <w:rPr>
          <w:rFonts w:hAnsi="宋体" w:cs="宋体"/>
          <w:color w:val="auto"/>
          <w:sz w:val="21"/>
        </w:rPr>
      </w:pPr>
      <w:r>
        <w:rPr>
          <w:rFonts w:hAnsi="宋体" w:cs="宋体"/>
          <w:color w:val="auto"/>
          <w:sz w:val="21"/>
        </w:rPr>
        <w:t>（200－100）万元 ×1.1％＝1.1万元</w:t>
      </w:r>
    </w:p>
    <w:p w14:paraId="57A9F9A2">
      <w:pPr>
        <w:pStyle w:val="24"/>
        <w:spacing w:before="120" w:after="120" w:line="360" w:lineRule="auto"/>
        <w:ind w:firstLine="420" w:firstLineChars="200"/>
        <w:contextualSpacing/>
        <w:rPr>
          <w:rFonts w:hAnsi="宋体" w:cs="宋体"/>
          <w:color w:val="auto"/>
          <w:sz w:val="21"/>
        </w:rPr>
      </w:pPr>
      <w:r>
        <w:rPr>
          <w:rFonts w:hAnsi="宋体" w:cs="宋体"/>
          <w:color w:val="auto"/>
          <w:sz w:val="21"/>
        </w:rPr>
        <w:t>合计收费＝1.5</w:t>
      </w:r>
      <w:r>
        <w:rPr>
          <w:rFonts w:hint="eastAsia" w:hAnsi="宋体" w:cs="宋体"/>
          <w:color w:val="auto"/>
          <w:sz w:val="21"/>
        </w:rPr>
        <w:t>+</w:t>
      </w:r>
      <w:r>
        <w:rPr>
          <w:rFonts w:hAnsi="宋体" w:cs="宋体"/>
          <w:color w:val="auto"/>
          <w:sz w:val="21"/>
        </w:rPr>
        <w:t>1.1＝2.6（万元）</w:t>
      </w:r>
    </w:p>
    <w:p w14:paraId="7993A4CF">
      <w:pPr>
        <w:rPr>
          <w:rFonts w:hint="eastAsia" w:ascii="宋体" w:hAnsi="宋体" w:cs="宋体"/>
          <w:b/>
          <w:bCs/>
          <w:color w:val="auto"/>
          <w:sz w:val="24"/>
          <w:szCs w:val="32"/>
        </w:rPr>
      </w:pPr>
      <w:r>
        <w:rPr>
          <w:rFonts w:hint="eastAsia" w:ascii="宋体" w:hAnsi="宋体" w:cs="宋体"/>
          <w:b/>
          <w:bCs/>
          <w:color w:val="auto"/>
          <w:sz w:val="24"/>
          <w:szCs w:val="32"/>
        </w:rPr>
        <w:t>40. 需要补充的其他内容</w:t>
      </w:r>
    </w:p>
    <w:p w14:paraId="7E7CCBD6">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40.1本招标文件解释规则详见“供应商须知前附表”。</w:t>
      </w:r>
    </w:p>
    <w:p w14:paraId="795FF152">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40.2 其他事项详见“供应商须知前附表”。</w:t>
      </w:r>
    </w:p>
    <w:p w14:paraId="2D9FB226">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40.3</w:t>
      </w:r>
      <w:bookmarkStart w:id="135" w:name="_Hlk65857140"/>
      <w:r>
        <w:rPr>
          <w:rFonts w:hint="eastAsia" w:hAnsi="宋体" w:cs="宋体"/>
          <w:color w:val="auto"/>
          <w:sz w:val="21"/>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4904AD39">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（1）在货物采购项目中，货物由中小企业制造，即货物由中小企业生产且使用该中小企业商号或者注册商标，不对其中涉及的工程承建商和服务的承接商作出要求；</w:t>
      </w:r>
    </w:p>
    <w:p w14:paraId="0E78D557">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（2）在工程采购项目中，工程由中小企业承建，即工程施工单位为中小企业，不对其中涉及的货物的制造商和服务的承接商作出要求；</w:t>
      </w:r>
    </w:p>
    <w:p w14:paraId="407C08A2">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（3）在服务采购项目中，服务由中小企业承接，即提供服务的人员为中小企业依照《中华人民共和国劳动合同法》订立劳动合同的从业人员，不对其中涉及的货物的制造商和工程承建商作出要求。</w:t>
      </w:r>
    </w:p>
    <w:p w14:paraId="2C831FA7">
      <w:pPr>
        <w:pStyle w:val="24"/>
        <w:spacing w:before="120" w:after="120" w:line="360" w:lineRule="auto"/>
        <w:ind w:firstLine="420" w:firstLineChars="200"/>
        <w:contextualSpacing/>
        <w:rPr>
          <w:rFonts w:hAnsi="宋体" w:cs="宋体"/>
          <w:color w:val="auto"/>
          <w:sz w:val="21"/>
        </w:rPr>
      </w:pPr>
      <w:r>
        <w:rPr>
          <w:rFonts w:hint="eastAsia" w:hAnsi="宋体" w:cs="宋体"/>
          <w:color w:val="auto"/>
          <w:sz w:val="21"/>
        </w:rPr>
        <w:t>在货物采购项目中，供应商提供的货物既有中小企业制造货物，也有大型企业制造货物的，不享受本招标文件规定的中小企业扶持政策。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4523D61A">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依据本招标文件规定享受扶持政策获得政府采购合同的，小微企业不得将合同分包给大中型企业，中型企业不得将合同分包给大型企业。</w:t>
      </w:r>
      <w:bookmarkEnd w:id="135"/>
    </w:p>
    <w:p w14:paraId="386487A0">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40.4对本国产品的支持政策</w:t>
      </w:r>
    </w:p>
    <w:p w14:paraId="57A3A05E">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根据《国务院办公厅关于在政府采购中实施本国产品标准及相关政策的通知》（国办发〔2025〕34号）的规定：</w:t>
      </w:r>
    </w:p>
    <w:p w14:paraId="440F2AE1">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（1）本国产品标准 </w:t>
      </w:r>
    </w:p>
    <w:p w14:paraId="0D0B97E1">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本国产品应当符合以下条件： </w:t>
      </w:r>
    </w:p>
    <w:p w14:paraId="267AFC87">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①在中国境内生产 </w:t>
      </w:r>
    </w:p>
    <w:p w14:paraId="1E4684DC">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产品应当在中国境内生产，即在中华人民共和国关境内实现从原材料、组件到产品的属性改变。 </w:t>
      </w:r>
    </w:p>
    <w:p w14:paraId="744876A7">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属性改变是指经过制造、加工或者组装等工序，产生完全不同于原材料、组件的新产品，并具有新的名称和特征（用途）。属性改变不包括以下细微操作： </w:t>
      </w:r>
    </w:p>
    <w:p w14:paraId="04D3F8B8">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A.为确保产品在运输或者储存期间保持某种状态而进行的操作； </w:t>
      </w:r>
    </w:p>
    <w:p w14:paraId="1C73E110">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B.为产品运输或者销售进行的包装或者展示；</w:t>
      </w:r>
    </w:p>
    <w:p w14:paraId="166F0078">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C.在产品或者其包装上粘贴或者印刷品牌、标志、标识以及其他用于区别的标记； </w:t>
      </w:r>
    </w:p>
    <w:p w14:paraId="2659B90B">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D.简单的上漆、磨光和分装； </w:t>
      </w:r>
    </w:p>
    <w:p w14:paraId="1A8A45CF">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E.其他不属于属性改变的情形。 </w:t>
      </w:r>
    </w:p>
    <w:p w14:paraId="066EA50B">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 xml:space="preserve">②在中国境内生产的组件成本占比达到规定比例 </w:t>
      </w:r>
    </w:p>
    <w:p w14:paraId="69F4066E">
      <w:pPr>
        <w:pStyle w:val="24"/>
        <w:spacing w:before="120" w:after="120" w:line="360" w:lineRule="auto"/>
        <w:ind w:firstLine="420" w:firstLineChars="200"/>
        <w:contextualSpacing/>
        <w:rPr>
          <w:rFonts w:hint="eastAsia" w:hAnsi="宋体" w:cs="宋体"/>
          <w:color w:val="auto"/>
          <w:sz w:val="21"/>
        </w:rPr>
      </w:pPr>
      <w:r>
        <w:rPr>
          <w:rFonts w:hint="eastAsia" w:hAnsi="宋体" w:cs="宋体"/>
          <w:color w:val="auto"/>
          <w:sz w:val="21"/>
        </w:rPr>
        <w:t>产品在中国境内生产的组件成本占比应当达到规定比例，计算公式为：</w:t>
      </w:r>
    </w:p>
    <w:p w14:paraId="2C1082F5">
      <w:pPr>
        <w:pStyle w:val="24"/>
        <w:spacing w:before="120" w:after="120" w:line="360" w:lineRule="auto"/>
        <w:ind w:firstLine="420" w:firstLineChars="200"/>
        <w:contextualSpacing/>
        <w:jc w:val="center"/>
        <w:rPr>
          <w:color w:val="auto"/>
        </w:rPr>
      </w:pPr>
      <w:r>
        <w:rPr>
          <w:rFonts w:ascii="Calibri" w:hAnsi="Calibri" w:cs="Calibri"/>
          <w:color w:val="auto"/>
          <w:sz w:val="21"/>
        </w:rPr>
        <w:drawing>
          <wp:inline distT="0" distB="0" distL="114300" distR="114300">
            <wp:extent cx="3495675" cy="590550"/>
            <wp:effectExtent l="0" t="0" r="9525" b="0"/>
            <wp:docPr id="2" name="图片 1" descr="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1.png"/>
                    <pic:cNvPicPr>
                      <a:picLocks noChangeAspect="1"/>
                    </pic:cNvPicPr>
                  </pic:nvPicPr>
                  <pic:blipFill>
                    <a:blip r:embed="rId14"/>
                    <a:stretch>
                      <a:fillRect/>
                    </a:stretch>
                  </pic:blipFill>
                  <pic:spPr>
                    <a:xfrm>
                      <a:off x="0" y="0"/>
                      <a:ext cx="3495675" cy="590550"/>
                    </a:xfrm>
                    <a:prstGeom prst="rect">
                      <a:avLst/>
                    </a:prstGeom>
                    <a:noFill/>
                    <a:ln>
                      <a:noFill/>
                    </a:ln>
                  </pic:spPr>
                </pic:pic>
              </a:graphicData>
            </a:graphic>
          </wp:inline>
        </w:drawing>
      </w:r>
    </w:p>
    <w:p w14:paraId="40B1F429">
      <w:pPr>
        <w:pStyle w:val="24"/>
        <w:spacing w:before="120" w:after="120" w:line="360" w:lineRule="auto"/>
        <w:ind w:firstLine="420" w:firstLineChars="200"/>
        <w:contextualSpacing/>
        <w:rPr>
          <w:rFonts w:hint="eastAsia"/>
          <w:color w:val="auto"/>
          <w:sz w:val="21"/>
        </w:rPr>
      </w:pPr>
      <w:r>
        <w:rPr>
          <w:rFonts w:hint="eastAsia"/>
          <w:color w:val="auto"/>
          <w:sz w:val="21"/>
        </w:rPr>
        <w:t xml:space="preserve">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 </w:t>
      </w:r>
    </w:p>
    <w:p w14:paraId="1A89AF4B">
      <w:pPr>
        <w:pStyle w:val="24"/>
        <w:spacing w:before="120" w:after="120" w:line="360" w:lineRule="auto"/>
        <w:ind w:firstLine="420" w:firstLineChars="200"/>
        <w:contextualSpacing/>
        <w:rPr>
          <w:rFonts w:hint="eastAsia"/>
          <w:color w:val="auto"/>
          <w:sz w:val="21"/>
        </w:rPr>
      </w:pPr>
      <w:r>
        <w:rPr>
          <w:rFonts w:hint="eastAsia"/>
          <w:color w:val="auto"/>
          <w:sz w:val="21"/>
        </w:rPr>
        <w:t xml:space="preserve">③特定产品的关键组件、关键工序符合相关要求 </w:t>
      </w:r>
    </w:p>
    <w:p w14:paraId="527EE23E">
      <w:pPr>
        <w:pStyle w:val="24"/>
        <w:spacing w:before="120" w:after="120" w:line="360" w:lineRule="auto"/>
        <w:ind w:firstLine="420" w:firstLineChars="200"/>
        <w:contextualSpacing/>
        <w:rPr>
          <w:rFonts w:hint="eastAsia"/>
          <w:color w:val="auto"/>
          <w:sz w:val="21"/>
        </w:rPr>
      </w:pPr>
      <w:r>
        <w:rPr>
          <w:rFonts w:hint="eastAsia"/>
          <w:color w:val="auto"/>
          <w:sz w:val="21"/>
        </w:rPr>
        <w:t xml:space="preserve">对特定产品，在符合本通知第一条第（一）项和第（二）项条件的基础上，应当符合财政部会同有关行业主管部门确定的其关键组件、关键工序在中国境内生产、完成等要求。  </w:t>
      </w:r>
    </w:p>
    <w:p w14:paraId="2FA771C7">
      <w:pPr>
        <w:pStyle w:val="24"/>
        <w:spacing w:before="120" w:after="120" w:line="360" w:lineRule="auto"/>
        <w:ind w:firstLine="420" w:firstLineChars="200"/>
        <w:contextualSpacing/>
        <w:rPr>
          <w:rFonts w:hint="eastAsia"/>
          <w:color w:val="auto"/>
          <w:sz w:val="21"/>
        </w:rPr>
      </w:pPr>
      <w:r>
        <w:rPr>
          <w:rFonts w:hint="eastAsia"/>
          <w:color w:val="auto"/>
          <w:sz w:val="21"/>
        </w:rPr>
        <w:t xml:space="preserve">（2）本国产品标准的适用范围 </w:t>
      </w:r>
    </w:p>
    <w:p w14:paraId="5A2B46E6">
      <w:pPr>
        <w:pStyle w:val="24"/>
        <w:spacing w:before="120" w:after="120" w:line="360" w:lineRule="auto"/>
        <w:ind w:firstLine="420" w:firstLineChars="200"/>
        <w:contextualSpacing/>
        <w:rPr>
          <w:rFonts w:hint="eastAsia"/>
          <w:color w:val="auto"/>
          <w:sz w:val="21"/>
        </w:rPr>
      </w:pPr>
      <w:r>
        <w:rPr>
          <w:rFonts w:hint="eastAsia"/>
          <w:color w:val="auto"/>
          <w:sz w:val="21"/>
        </w:rPr>
        <w:t xml:space="preserve">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6A99C735">
      <w:pPr>
        <w:pStyle w:val="24"/>
        <w:spacing w:before="120" w:after="120" w:line="360" w:lineRule="auto"/>
        <w:ind w:firstLine="420" w:firstLineChars="200"/>
        <w:contextualSpacing/>
        <w:rPr>
          <w:rFonts w:hint="eastAsia"/>
          <w:color w:val="auto"/>
          <w:sz w:val="21"/>
        </w:rPr>
      </w:pPr>
      <w:r>
        <w:rPr>
          <w:rFonts w:hint="eastAsia"/>
          <w:color w:val="auto"/>
          <w:sz w:val="21"/>
        </w:rPr>
        <w:t xml:space="preserve">（3）对本国产品的支持政策 </w:t>
      </w:r>
    </w:p>
    <w:p w14:paraId="14DC05C0">
      <w:pPr>
        <w:pStyle w:val="24"/>
        <w:spacing w:before="120" w:after="120" w:line="360" w:lineRule="auto"/>
        <w:ind w:firstLine="420" w:firstLineChars="200"/>
        <w:contextualSpacing/>
        <w:rPr>
          <w:rFonts w:hint="eastAsia"/>
          <w:color w:val="auto"/>
          <w:sz w:val="21"/>
        </w:rPr>
      </w:pPr>
      <w:r>
        <w:rPr>
          <w:rFonts w:hint="eastAsia"/>
          <w:color w:val="auto"/>
          <w:sz w:val="21"/>
        </w:rPr>
        <w:t xml:space="preserve">政府采购活动中既有本国产品又有非本国产品参与竞争的，依法对本国产品给予价格评审优惠，对本国产品的报价给予20%的价格扣除，用扣除后的价格参与评审。 </w:t>
      </w:r>
    </w:p>
    <w:p w14:paraId="25B976AB">
      <w:pPr>
        <w:pStyle w:val="24"/>
        <w:spacing w:before="120" w:after="120" w:line="360" w:lineRule="auto"/>
        <w:ind w:firstLine="420" w:firstLineChars="200"/>
        <w:contextualSpacing/>
        <w:rPr>
          <w:rFonts w:hint="eastAsia" w:hAnsi="宋体" w:cs="宋体"/>
          <w:color w:val="auto"/>
          <w:sz w:val="21"/>
        </w:rPr>
      </w:pPr>
      <w:r>
        <w:rPr>
          <w:rFonts w:hint="eastAsia"/>
          <w:color w:val="auto"/>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2BEB419">
      <w:pPr>
        <w:pStyle w:val="2"/>
        <w:rPr>
          <w:rFonts w:ascii="宋体" w:hAnsi="宋体"/>
          <w:color w:val="auto"/>
        </w:rPr>
      </w:pPr>
      <w:bookmarkStart w:id="136" w:name="_Toc330456896"/>
      <w:bookmarkStart w:id="137" w:name="_Toc74320803"/>
      <w:bookmarkStart w:id="138" w:name="_Toc254970548"/>
      <w:bookmarkStart w:id="139" w:name="_Toc254970689"/>
      <w:r>
        <w:rPr>
          <w:rFonts w:hint="eastAsia" w:ascii="宋体" w:hAnsi="宋体"/>
          <w:color w:val="auto"/>
        </w:rPr>
        <w:br w:type="page"/>
      </w:r>
      <w:r>
        <w:rPr>
          <w:rFonts w:hint="eastAsia" w:ascii="宋体" w:hAnsi="宋体"/>
          <w:color w:val="auto"/>
        </w:rPr>
        <w:t>第四章  评标方法、程序及评标标准</w:t>
      </w:r>
      <w:bookmarkEnd w:id="136"/>
      <w:bookmarkEnd w:id="137"/>
      <w:bookmarkEnd w:id="138"/>
      <w:bookmarkEnd w:id="139"/>
    </w:p>
    <w:p w14:paraId="75E0A4A3">
      <w:pPr>
        <w:pStyle w:val="3"/>
        <w:keepNext w:val="0"/>
        <w:keepLines w:val="0"/>
        <w:spacing w:line="360" w:lineRule="auto"/>
        <w:jc w:val="center"/>
        <w:rPr>
          <w:rFonts w:ascii="宋体" w:hAnsi="宋体" w:eastAsia="宋体"/>
          <w:color w:val="auto"/>
          <w:sz w:val="30"/>
          <w:szCs w:val="30"/>
        </w:rPr>
      </w:pPr>
      <w:r>
        <w:rPr>
          <w:rFonts w:hint="eastAsia" w:ascii="宋体" w:hAnsi="宋体" w:eastAsia="宋体"/>
          <w:color w:val="auto"/>
          <w:sz w:val="30"/>
          <w:szCs w:val="30"/>
        </w:rPr>
        <w:t>一、评标方法</w:t>
      </w:r>
    </w:p>
    <w:p w14:paraId="3D31A3AE">
      <w:pPr>
        <w:pStyle w:val="24"/>
        <w:spacing w:line="360" w:lineRule="auto"/>
        <w:ind w:firstLine="420"/>
        <w:rPr>
          <w:rFonts w:hAnsi="宋体"/>
          <w:color w:val="auto"/>
          <w:sz w:val="21"/>
        </w:rPr>
      </w:pPr>
      <w:r>
        <w:rPr>
          <w:rFonts w:hint="eastAsia" w:hAnsi="宋体"/>
          <w:color w:val="auto"/>
          <w:sz w:val="21"/>
        </w:rPr>
        <w:t>综合评分法，是指投标文件满足招标文件全部实质性要求，且按照评审因素的量化指标评审得分最高的供应商为中标候选人的评标方法。</w:t>
      </w:r>
    </w:p>
    <w:p w14:paraId="3E56A31C">
      <w:pPr>
        <w:pStyle w:val="3"/>
        <w:keepNext w:val="0"/>
        <w:keepLines w:val="0"/>
        <w:spacing w:line="360" w:lineRule="auto"/>
        <w:jc w:val="center"/>
        <w:rPr>
          <w:rFonts w:ascii="宋体" w:hAnsi="宋体" w:eastAsia="宋体"/>
          <w:color w:val="auto"/>
          <w:sz w:val="30"/>
          <w:szCs w:val="30"/>
        </w:rPr>
      </w:pPr>
      <w:r>
        <w:rPr>
          <w:rFonts w:hint="eastAsia" w:ascii="宋体" w:hAnsi="宋体" w:eastAsia="宋体"/>
          <w:color w:val="auto"/>
          <w:sz w:val="30"/>
          <w:szCs w:val="30"/>
        </w:rPr>
        <w:t>二、评标程序</w:t>
      </w:r>
    </w:p>
    <w:p w14:paraId="7DB3897F">
      <w:pPr>
        <w:spacing w:line="360" w:lineRule="auto"/>
        <w:ind w:left="420" w:leftChars="200"/>
        <w:rPr>
          <w:rFonts w:ascii="宋体" w:hAnsi="宋体"/>
          <w:b/>
          <w:bCs/>
          <w:color w:val="auto"/>
          <w:szCs w:val="21"/>
        </w:rPr>
      </w:pPr>
      <w:r>
        <w:rPr>
          <w:rFonts w:hint="eastAsia" w:ascii="宋体" w:hAnsi="宋体"/>
          <w:b/>
          <w:bCs/>
          <w:color w:val="auto"/>
          <w:szCs w:val="21"/>
        </w:rPr>
        <w:t>1.符合性审查</w:t>
      </w:r>
    </w:p>
    <w:p w14:paraId="240DA329">
      <w:pPr>
        <w:pStyle w:val="24"/>
        <w:snapToGrid w:val="0"/>
        <w:spacing w:line="360" w:lineRule="auto"/>
        <w:ind w:left="1" w:firstLine="420"/>
        <w:rPr>
          <w:rFonts w:hAnsi="宋体"/>
          <w:bCs/>
          <w:color w:val="auto"/>
          <w:kern w:val="2"/>
          <w:sz w:val="21"/>
        </w:rPr>
      </w:pPr>
      <w:r>
        <w:rPr>
          <w:rFonts w:hint="eastAsia" w:hAnsi="宋体"/>
          <w:bCs/>
          <w:color w:val="auto"/>
          <w:kern w:val="2"/>
          <w:sz w:val="21"/>
        </w:rPr>
        <w:t>评标委员会应当对符合资格的供应商的投标文件进行投标报价、商务、技术等实质性内容符合性审查，以确定其是否满足招标文件的实质性要求。</w:t>
      </w:r>
    </w:p>
    <w:p w14:paraId="431121ED">
      <w:pPr>
        <w:spacing w:line="360" w:lineRule="auto"/>
        <w:ind w:left="420" w:leftChars="200"/>
        <w:rPr>
          <w:rFonts w:ascii="宋体" w:hAnsi="宋体"/>
          <w:b/>
          <w:color w:val="auto"/>
          <w:szCs w:val="21"/>
        </w:rPr>
      </w:pPr>
      <w:r>
        <w:rPr>
          <w:rFonts w:hint="eastAsia" w:ascii="宋体" w:hAnsi="宋体"/>
          <w:b/>
          <w:color w:val="auto"/>
          <w:szCs w:val="21"/>
        </w:rPr>
        <w:t>2</w:t>
      </w:r>
      <w:r>
        <w:rPr>
          <w:rFonts w:ascii="宋体" w:hAnsi="宋体"/>
          <w:b/>
          <w:color w:val="auto"/>
          <w:szCs w:val="21"/>
        </w:rPr>
        <w:t>.</w:t>
      </w:r>
      <w:r>
        <w:rPr>
          <w:rFonts w:hint="eastAsia" w:ascii="宋体" w:hAnsi="宋体"/>
          <w:b/>
          <w:color w:val="auto"/>
          <w:szCs w:val="21"/>
        </w:rPr>
        <w:t>符合性审查不通过而导致投标无效的情形</w:t>
      </w:r>
    </w:p>
    <w:p w14:paraId="5C484101">
      <w:pPr>
        <w:snapToGrid w:val="0"/>
        <w:spacing w:line="360" w:lineRule="auto"/>
        <w:ind w:firstLine="420" w:firstLineChars="200"/>
        <w:rPr>
          <w:rFonts w:ascii="宋体" w:hAnsi="宋体"/>
          <w:bCs/>
          <w:color w:val="auto"/>
          <w:szCs w:val="21"/>
        </w:rPr>
      </w:pPr>
      <w:r>
        <w:rPr>
          <w:rFonts w:hint="eastAsia" w:ascii="宋体" w:hAnsi="宋体"/>
          <w:bCs/>
          <w:color w:val="auto"/>
          <w:szCs w:val="21"/>
        </w:rPr>
        <w:t>供应商的投标文件中存在对招标文件的任何实质性要求和条件的负偏离，将被视为投标无效。</w:t>
      </w:r>
    </w:p>
    <w:p w14:paraId="761DB0C6">
      <w:pPr>
        <w:spacing w:line="360" w:lineRule="auto"/>
        <w:ind w:left="420" w:leftChars="200"/>
        <w:rPr>
          <w:rFonts w:ascii="宋体" w:hAnsi="宋体"/>
          <w:b/>
          <w:color w:val="auto"/>
          <w:szCs w:val="21"/>
        </w:rPr>
      </w:pPr>
      <w:r>
        <w:rPr>
          <w:rFonts w:hint="eastAsia" w:ascii="宋体" w:hAnsi="宋体"/>
          <w:b/>
          <w:color w:val="auto"/>
          <w:szCs w:val="21"/>
        </w:rPr>
        <w:t>2.1在报价评审时，如发现下列情形之一的，将被视为投标无效：</w:t>
      </w:r>
    </w:p>
    <w:p w14:paraId="6CB2FCA3">
      <w:pPr>
        <w:pStyle w:val="7"/>
        <w:numPr>
          <w:ilvl w:val="0"/>
          <w:numId w:val="4"/>
        </w:numPr>
        <w:spacing w:line="360" w:lineRule="auto"/>
        <w:ind w:firstLine="422"/>
        <w:rPr>
          <w:rFonts w:ascii="宋体" w:hAnsi="宋体"/>
          <w:bCs/>
          <w:color w:val="auto"/>
          <w:szCs w:val="21"/>
        </w:rPr>
      </w:pPr>
      <w:r>
        <w:rPr>
          <w:rFonts w:hint="eastAsia" w:ascii="宋体" w:hAnsi="宋体"/>
          <w:bCs/>
          <w:color w:val="auto"/>
          <w:spacing w:val="-6"/>
          <w:szCs w:val="21"/>
        </w:rPr>
        <w:t>报价文件</w:t>
      </w:r>
      <w:r>
        <w:rPr>
          <w:rFonts w:hint="eastAsia" w:ascii="宋体" w:hAnsi="宋体"/>
          <w:bCs/>
          <w:color w:val="auto"/>
          <w:szCs w:val="21"/>
        </w:rPr>
        <w:t>未提供“供应商须知前附表”第13.1条规定中“必须提供”的文件资料的；</w:t>
      </w:r>
    </w:p>
    <w:p w14:paraId="44B23294">
      <w:pPr>
        <w:pStyle w:val="7"/>
        <w:numPr>
          <w:ilvl w:val="0"/>
          <w:numId w:val="4"/>
        </w:numPr>
        <w:spacing w:line="360" w:lineRule="auto"/>
        <w:ind w:firstLine="422"/>
        <w:rPr>
          <w:rFonts w:ascii="宋体" w:hAnsi="宋体"/>
          <w:bCs/>
          <w:color w:val="auto"/>
          <w:szCs w:val="21"/>
        </w:rPr>
      </w:pPr>
      <w:r>
        <w:rPr>
          <w:rFonts w:hint="eastAsia" w:ascii="宋体" w:hAnsi="宋体"/>
          <w:bCs/>
          <w:color w:val="auto"/>
          <w:szCs w:val="21"/>
        </w:rPr>
        <w:t>未采用人民币报价或者未按照招标文件标明的币种报价的；</w:t>
      </w:r>
    </w:p>
    <w:p w14:paraId="459EE132">
      <w:pPr>
        <w:pStyle w:val="7"/>
        <w:numPr>
          <w:ilvl w:val="0"/>
          <w:numId w:val="4"/>
        </w:numPr>
        <w:spacing w:line="360" w:lineRule="auto"/>
        <w:ind w:firstLine="422"/>
        <w:rPr>
          <w:rFonts w:ascii="宋体" w:hAnsi="宋体"/>
          <w:bCs/>
          <w:color w:val="auto"/>
          <w:szCs w:val="21"/>
        </w:rPr>
      </w:pPr>
      <w:r>
        <w:rPr>
          <w:rFonts w:hint="eastAsia" w:ascii="宋体" w:hAnsi="宋体"/>
          <w:bCs/>
          <w:color w:val="auto"/>
          <w:szCs w:val="21"/>
        </w:rPr>
        <w:t>报价超出招标文件规定最高限价的；</w:t>
      </w:r>
    </w:p>
    <w:p w14:paraId="1A26AB89">
      <w:pPr>
        <w:pStyle w:val="7"/>
        <w:numPr>
          <w:ilvl w:val="0"/>
          <w:numId w:val="4"/>
        </w:numPr>
        <w:spacing w:line="360" w:lineRule="auto"/>
        <w:ind w:firstLine="422"/>
        <w:rPr>
          <w:rFonts w:ascii="宋体" w:hAnsi="宋体"/>
          <w:bCs/>
          <w:color w:val="auto"/>
          <w:szCs w:val="21"/>
        </w:rPr>
      </w:pPr>
      <w:r>
        <w:rPr>
          <w:rFonts w:hint="eastAsia" w:ascii="宋体" w:hAnsi="宋体"/>
          <w:bCs/>
          <w:color w:val="auto"/>
          <w:szCs w:val="21"/>
        </w:rPr>
        <w:t>供应商未就所投分标进行报价或者存在漏项报价；供应商未就所投分标的单项内容作唯一报价；供应商未就所投分标的全部内容作完整唯一总价报价；存在有选择、有条件报价的（招标文件允许有备选方案或者其他约定的除外）；</w:t>
      </w:r>
    </w:p>
    <w:p w14:paraId="5248E4AA">
      <w:pPr>
        <w:pStyle w:val="7"/>
        <w:numPr>
          <w:ilvl w:val="0"/>
          <w:numId w:val="4"/>
        </w:numPr>
        <w:spacing w:line="360" w:lineRule="auto"/>
        <w:ind w:firstLine="422"/>
        <w:rPr>
          <w:rFonts w:ascii="宋体" w:hAnsi="宋体"/>
          <w:bCs/>
          <w:color w:val="auto"/>
          <w:szCs w:val="21"/>
        </w:rPr>
      </w:pPr>
      <w:r>
        <w:rPr>
          <w:rFonts w:hint="eastAsia" w:ascii="宋体" w:hAnsi="宋体"/>
          <w:bCs/>
          <w:color w:val="auto"/>
          <w:szCs w:val="21"/>
        </w:rPr>
        <w:t>修正后的报价，供应商不确认的；</w:t>
      </w:r>
    </w:p>
    <w:p w14:paraId="7107E800">
      <w:pPr>
        <w:pStyle w:val="7"/>
        <w:numPr>
          <w:ilvl w:val="0"/>
          <w:numId w:val="4"/>
        </w:numPr>
        <w:spacing w:line="360" w:lineRule="auto"/>
        <w:ind w:firstLine="422"/>
        <w:rPr>
          <w:rFonts w:ascii="宋体" w:hAnsi="宋体"/>
          <w:bCs/>
          <w:color w:val="auto"/>
          <w:szCs w:val="21"/>
        </w:rPr>
      </w:pPr>
      <w:r>
        <w:rPr>
          <w:rFonts w:hint="eastAsia" w:ascii="宋体" w:hAnsi="宋体"/>
          <w:bCs/>
          <w:color w:val="auto"/>
          <w:szCs w:val="21"/>
        </w:rPr>
        <w:t>供应商属于本章第</w:t>
      </w:r>
      <w:r>
        <w:rPr>
          <w:rFonts w:ascii="宋体" w:hAnsi="宋体"/>
          <w:bCs/>
          <w:color w:val="auto"/>
          <w:szCs w:val="21"/>
        </w:rPr>
        <w:t>5.1</w:t>
      </w:r>
      <w:r>
        <w:rPr>
          <w:rFonts w:hint="eastAsia" w:ascii="宋体" w:hAnsi="宋体"/>
          <w:bCs/>
          <w:color w:val="auto"/>
          <w:szCs w:val="21"/>
        </w:rPr>
        <w:t>条（2）或者第5</w:t>
      </w:r>
      <w:r>
        <w:rPr>
          <w:rFonts w:ascii="宋体" w:hAnsi="宋体"/>
          <w:bCs/>
          <w:color w:val="auto"/>
          <w:szCs w:val="21"/>
        </w:rPr>
        <w:t>.2条</w:t>
      </w:r>
      <w:r>
        <w:rPr>
          <w:rFonts w:hint="eastAsia" w:ascii="宋体" w:hAnsi="宋体"/>
          <w:bCs/>
          <w:color w:val="auto"/>
          <w:szCs w:val="21"/>
        </w:rPr>
        <w:t>（2）项情形的；</w:t>
      </w:r>
    </w:p>
    <w:p w14:paraId="08A71871">
      <w:pPr>
        <w:pStyle w:val="7"/>
        <w:numPr>
          <w:ilvl w:val="0"/>
          <w:numId w:val="4"/>
        </w:numPr>
        <w:spacing w:line="360" w:lineRule="auto"/>
        <w:ind w:firstLine="422"/>
        <w:rPr>
          <w:rFonts w:ascii="宋体" w:hAnsi="宋体"/>
          <w:bCs/>
          <w:color w:val="auto"/>
          <w:szCs w:val="21"/>
        </w:rPr>
      </w:pPr>
      <w:r>
        <w:rPr>
          <w:rFonts w:hint="eastAsia" w:ascii="宋体" w:hAnsi="宋体"/>
          <w:bCs/>
          <w:color w:val="auto"/>
          <w:spacing w:val="-6"/>
          <w:szCs w:val="21"/>
        </w:rPr>
        <w:t>报价文件</w:t>
      </w:r>
      <w:r>
        <w:rPr>
          <w:rFonts w:hint="eastAsia" w:ascii="宋体" w:hAnsi="宋体"/>
          <w:bCs/>
          <w:color w:val="auto"/>
          <w:szCs w:val="21"/>
        </w:rPr>
        <w:t>响应的标的数量及单位与招标文件要求实质性不一致的。</w:t>
      </w:r>
    </w:p>
    <w:p w14:paraId="0940B6C7">
      <w:pPr>
        <w:spacing w:line="360" w:lineRule="auto"/>
        <w:ind w:left="420" w:leftChars="200"/>
        <w:rPr>
          <w:rFonts w:ascii="宋体" w:hAnsi="宋体"/>
          <w:b/>
          <w:color w:val="auto"/>
          <w:szCs w:val="21"/>
        </w:rPr>
      </w:pPr>
      <w:r>
        <w:rPr>
          <w:rFonts w:hint="eastAsia" w:ascii="宋体" w:hAnsi="宋体"/>
          <w:b/>
          <w:color w:val="auto"/>
          <w:szCs w:val="21"/>
        </w:rPr>
        <w:t>2.2在商务评审时，如发现下列情形之一的，将被视为投标无效：</w:t>
      </w:r>
    </w:p>
    <w:p w14:paraId="62EDEF73">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投标文件未按招标文件要求签署、盖章的；</w:t>
      </w:r>
    </w:p>
    <w:p w14:paraId="515D32CD">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委托代理人未能出具有效身份证或者出具的身份证与授权委托书中的信息不符的；</w:t>
      </w:r>
    </w:p>
    <w:p w14:paraId="7AB93051">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为无效投标保证金的或者未按照招标文件的规定提交投标保证金的；</w:t>
      </w:r>
    </w:p>
    <w:p w14:paraId="16118F54">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投标文件未提供“供应商须知前附表”第13.</w:t>
      </w:r>
      <w:r>
        <w:rPr>
          <w:rFonts w:ascii="宋体" w:hAnsi="宋体"/>
          <w:bCs/>
          <w:color w:val="auto"/>
          <w:szCs w:val="21"/>
        </w:rPr>
        <w:t>1</w:t>
      </w:r>
      <w:r>
        <w:rPr>
          <w:rFonts w:hint="eastAsia" w:ascii="宋体" w:hAnsi="宋体"/>
          <w:bCs/>
          <w:color w:val="auto"/>
          <w:szCs w:val="21"/>
        </w:rPr>
        <w:t>条规定中“必须提供”或者“委托时必须提供”的文件资料的；</w:t>
      </w:r>
    </w:p>
    <w:p w14:paraId="15AF93DF">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商务要求评审允许负偏离的条款数超过“供应商须知前附表”规定项数的；</w:t>
      </w:r>
    </w:p>
    <w:p w14:paraId="061CF262">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投标文件的实质性内容未使用中文表述、使用计量单位不符合招标文件要求的；</w:t>
      </w:r>
    </w:p>
    <w:p w14:paraId="28665D5C">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投标文件中的文件资料因填写不齐全或者内容虚假或者出现其他情形而导致被评标委员会认定无效的；</w:t>
      </w:r>
    </w:p>
    <w:p w14:paraId="7E8EF6D3">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投标文件含有采购人不能接受的附加条件的；</w:t>
      </w:r>
    </w:p>
    <w:p w14:paraId="62C54AF5">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属于供应商须知正文第</w:t>
      </w:r>
      <w:r>
        <w:rPr>
          <w:rFonts w:ascii="宋体" w:hAnsi="宋体"/>
          <w:bCs/>
          <w:color w:val="auto"/>
          <w:szCs w:val="21"/>
        </w:rPr>
        <w:t>9.2</w:t>
      </w:r>
      <w:r>
        <w:rPr>
          <w:rFonts w:hint="eastAsia" w:ascii="宋体" w:hAnsi="宋体"/>
          <w:bCs/>
          <w:color w:val="auto"/>
          <w:szCs w:val="21"/>
        </w:rPr>
        <w:t>条情形的；</w:t>
      </w:r>
    </w:p>
    <w:p w14:paraId="6419BAA2">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投标文件标注的项目名称或者项目编号与招标文件标注的项目名称或者项目编号不一致的；</w:t>
      </w:r>
    </w:p>
    <w:p w14:paraId="10CA0B75">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招标文件明确不允许分包，投标文件拟分包的；</w:t>
      </w:r>
    </w:p>
    <w:p w14:paraId="2E9D5069">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未响应招标文件实质性要求的；</w:t>
      </w:r>
    </w:p>
    <w:p w14:paraId="6717C808">
      <w:pPr>
        <w:numPr>
          <w:ilvl w:val="0"/>
          <w:numId w:val="5"/>
        </w:numPr>
        <w:snapToGrid w:val="0"/>
        <w:spacing w:line="360" w:lineRule="auto"/>
        <w:ind w:firstLine="420" w:firstLineChars="200"/>
        <w:rPr>
          <w:rFonts w:ascii="宋体" w:hAnsi="宋体"/>
          <w:bCs/>
          <w:color w:val="auto"/>
          <w:szCs w:val="21"/>
        </w:rPr>
      </w:pPr>
      <w:r>
        <w:rPr>
          <w:rFonts w:hint="eastAsia" w:ascii="宋体" w:hAnsi="宋体"/>
          <w:bCs/>
          <w:color w:val="auto"/>
          <w:szCs w:val="21"/>
        </w:rPr>
        <w:t>法律、法规和招标文件规定的其他无效情形。</w:t>
      </w:r>
    </w:p>
    <w:p w14:paraId="276BFA90">
      <w:pPr>
        <w:spacing w:line="360" w:lineRule="auto"/>
        <w:ind w:left="420" w:leftChars="200"/>
        <w:rPr>
          <w:rFonts w:ascii="宋体" w:hAnsi="宋体"/>
          <w:b/>
          <w:color w:val="auto"/>
          <w:szCs w:val="21"/>
        </w:rPr>
      </w:pPr>
      <w:r>
        <w:rPr>
          <w:rFonts w:hint="eastAsia" w:ascii="宋体" w:hAnsi="宋体"/>
          <w:b/>
          <w:color w:val="auto"/>
          <w:szCs w:val="21"/>
        </w:rPr>
        <w:t>2.3在技术评审时，如发现下列情形之一的，将被视为投标无效：</w:t>
      </w:r>
    </w:p>
    <w:p w14:paraId="50084886">
      <w:pPr>
        <w:pStyle w:val="19"/>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（1）技术要求评审允许负偏离的条款数超过“供应商须知前附表”规定项数的；</w:t>
      </w:r>
    </w:p>
    <w:p w14:paraId="2E232F63">
      <w:pPr>
        <w:pStyle w:val="19"/>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（2）投标文件未提供“供应商须知前附表”第13.</w:t>
      </w:r>
      <w:r>
        <w:rPr>
          <w:rFonts w:ascii="宋体" w:hAnsi="宋体" w:eastAsia="宋体"/>
          <w:bCs/>
          <w:color w:val="auto"/>
          <w:kern w:val="2"/>
          <w:sz w:val="21"/>
          <w:szCs w:val="21"/>
        </w:rPr>
        <w:t>1</w:t>
      </w:r>
      <w:r>
        <w:rPr>
          <w:rFonts w:hint="eastAsia" w:ascii="宋体" w:hAnsi="宋体" w:eastAsia="宋体"/>
          <w:bCs/>
          <w:color w:val="auto"/>
          <w:kern w:val="2"/>
          <w:sz w:val="21"/>
          <w:szCs w:val="21"/>
        </w:rPr>
        <w:t>条规定中“必须提供”的文件资料的；</w:t>
      </w:r>
    </w:p>
    <w:p w14:paraId="4B383CCF">
      <w:pPr>
        <w:pStyle w:val="19"/>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（3）虚假投标，或者出现其他情形而导致被评标委员会认定无效的；</w:t>
      </w:r>
    </w:p>
    <w:p w14:paraId="361234D4">
      <w:pPr>
        <w:pStyle w:val="19"/>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（4）</w:t>
      </w:r>
      <w:bookmarkStart w:id="140" w:name="_Hlk71706244"/>
      <w:r>
        <w:rPr>
          <w:rFonts w:hint="eastAsia" w:ascii="宋体" w:hAnsi="宋体" w:eastAsia="宋体"/>
          <w:bCs/>
          <w:color w:val="auto"/>
          <w:kern w:val="2"/>
          <w:sz w:val="21"/>
          <w:szCs w:val="21"/>
        </w:rPr>
        <w:t>招标文件未载明允许提供备选（替代）投标方案或明确不允许提供备选（替代）投标方案时，供应商提供了备选（替代）投标方案的；</w:t>
      </w:r>
      <w:bookmarkEnd w:id="140"/>
    </w:p>
    <w:p w14:paraId="71C6A848">
      <w:pPr>
        <w:pStyle w:val="19"/>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（5）未响应招标文件实质性要求的。</w:t>
      </w:r>
    </w:p>
    <w:p w14:paraId="07A6FD8C">
      <w:pPr>
        <w:pStyle w:val="19"/>
        <w:snapToGrid w:val="0"/>
        <w:spacing w:line="360" w:lineRule="auto"/>
        <w:ind w:firstLine="413" w:firstLineChars="196"/>
        <w:rPr>
          <w:rFonts w:ascii="宋体" w:hAnsi="宋体" w:eastAsia="宋体"/>
          <w:b/>
          <w:color w:val="auto"/>
          <w:kern w:val="2"/>
          <w:sz w:val="21"/>
          <w:szCs w:val="21"/>
        </w:rPr>
      </w:pPr>
      <w:r>
        <w:rPr>
          <w:rFonts w:hint="eastAsia" w:ascii="宋体" w:hAnsi="宋体" w:eastAsia="宋体"/>
          <w:b/>
          <w:color w:val="auto"/>
          <w:kern w:val="2"/>
          <w:sz w:val="21"/>
          <w:szCs w:val="21"/>
        </w:rPr>
        <w:t>2.4通过符合性审查的供应商不足3家，评标委员会不得继续评标，并出具评标报告。</w:t>
      </w:r>
    </w:p>
    <w:p w14:paraId="4FA72725">
      <w:pPr>
        <w:spacing w:line="360" w:lineRule="auto"/>
        <w:ind w:left="420" w:leftChars="200"/>
        <w:rPr>
          <w:rFonts w:ascii="宋体" w:hAnsi="宋体"/>
          <w:b/>
          <w:bCs/>
          <w:color w:val="auto"/>
          <w:szCs w:val="21"/>
        </w:rPr>
      </w:pPr>
      <w:r>
        <w:rPr>
          <w:rFonts w:hint="eastAsia" w:ascii="宋体" w:hAnsi="宋体"/>
          <w:b/>
          <w:bCs/>
          <w:color w:val="auto"/>
          <w:szCs w:val="21"/>
        </w:rPr>
        <w:t>3</w:t>
      </w:r>
      <w:r>
        <w:rPr>
          <w:rFonts w:ascii="宋体" w:hAnsi="宋体"/>
          <w:b/>
          <w:bCs/>
          <w:color w:val="auto"/>
          <w:szCs w:val="21"/>
        </w:rPr>
        <w:t>.</w:t>
      </w:r>
      <w:r>
        <w:rPr>
          <w:rFonts w:hint="eastAsia" w:ascii="宋体" w:hAnsi="宋体"/>
          <w:b/>
          <w:bCs/>
          <w:color w:val="auto"/>
          <w:szCs w:val="21"/>
        </w:rPr>
        <w:t>澄清补正</w:t>
      </w:r>
    </w:p>
    <w:p w14:paraId="5B35DAF3">
      <w:pPr>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对投标文件中含义不明确、同类问题表述不一致或者有明显文字和计算错误的内容，评标委员会以</w:t>
      </w:r>
      <w:r>
        <w:rPr>
          <w:rFonts w:hint="eastAsia" w:ascii="宋体" w:hAnsi="宋体" w:cs="宋体"/>
          <w:color w:val="auto"/>
          <w:szCs w:val="21"/>
        </w:rPr>
        <w:t>电子澄清函形式</w:t>
      </w:r>
      <w:r>
        <w:rPr>
          <w:rFonts w:hint="eastAsia" w:ascii="宋体" w:hAnsi="宋体" w:cs="Courier New"/>
          <w:color w:val="auto"/>
          <w:szCs w:val="21"/>
        </w:rPr>
        <w:t>要求供应商在规定时间内作出必要的澄清、说明或者纠正。供应商的澄清、说明或者补正必须采用</w:t>
      </w:r>
      <w:r>
        <w:rPr>
          <w:rFonts w:hint="eastAsia" w:ascii="宋体" w:hAnsi="宋体" w:cs="宋体"/>
          <w:color w:val="auto"/>
          <w:szCs w:val="21"/>
        </w:rPr>
        <w:t>电子回函形式</w:t>
      </w:r>
      <w:r>
        <w:rPr>
          <w:rFonts w:hint="eastAsia" w:ascii="宋体" w:hAnsi="宋体" w:cs="Courier New"/>
          <w:color w:val="auto"/>
          <w:szCs w:val="21"/>
        </w:rPr>
        <w:t>，并加盖供应商公章，或者由法定代表人或者其授权的代表签字。供应商的澄清、说明或者补正不得超出投标文件的范围或者改变投标文件的实质性内容。</w:t>
      </w:r>
    </w:p>
    <w:p w14:paraId="049E317D">
      <w:pPr>
        <w:spacing w:line="360" w:lineRule="auto"/>
        <w:ind w:left="420" w:leftChars="200"/>
        <w:rPr>
          <w:rFonts w:ascii="宋体" w:hAnsi="宋体"/>
          <w:b/>
          <w:bCs/>
          <w:color w:val="auto"/>
          <w:szCs w:val="21"/>
        </w:rPr>
      </w:pPr>
      <w:r>
        <w:rPr>
          <w:rFonts w:ascii="宋体" w:hAnsi="宋体"/>
          <w:b/>
          <w:bCs/>
          <w:color w:val="auto"/>
          <w:szCs w:val="21"/>
        </w:rPr>
        <w:t>4.</w:t>
      </w:r>
      <w:r>
        <w:rPr>
          <w:rFonts w:hint="eastAsia" w:ascii="宋体" w:hAnsi="宋体"/>
          <w:b/>
          <w:bCs/>
          <w:color w:val="auto"/>
          <w:szCs w:val="21"/>
        </w:rPr>
        <w:t>投标文件修正</w:t>
      </w:r>
    </w:p>
    <w:p w14:paraId="78F5F9F6">
      <w:pPr>
        <w:spacing w:line="360" w:lineRule="auto"/>
        <w:ind w:left="420" w:leftChars="200"/>
        <w:rPr>
          <w:rFonts w:ascii="宋体" w:hAnsi="宋体"/>
          <w:b/>
          <w:color w:val="auto"/>
          <w:szCs w:val="21"/>
        </w:rPr>
      </w:pPr>
      <w:r>
        <w:rPr>
          <w:rFonts w:ascii="宋体" w:hAnsi="宋体"/>
          <w:b/>
          <w:color w:val="auto"/>
          <w:szCs w:val="21"/>
        </w:rPr>
        <w:t>4</w:t>
      </w:r>
      <w:r>
        <w:rPr>
          <w:rFonts w:hint="eastAsia" w:ascii="宋体" w:hAnsi="宋体"/>
          <w:b/>
          <w:color w:val="auto"/>
          <w:szCs w:val="21"/>
        </w:rPr>
        <w:t xml:space="preserve">.1投标文件报价出现前后不一致的，按照下列规定修正： </w:t>
      </w:r>
    </w:p>
    <w:p w14:paraId="49B7760B">
      <w:pPr>
        <w:pStyle w:val="24"/>
        <w:snapToGrid w:val="0"/>
        <w:spacing w:line="360" w:lineRule="auto"/>
        <w:ind w:firstLine="420" w:firstLineChars="200"/>
        <w:rPr>
          <w:rFonts w:hAnsi="宋体"/>
          <w:color w:val="auto"/>
          <w:sz w:val="21"/>
        </w:rPr>
      </w:pPr>
      <w:r>
        <w:rPr>
          <w:rFonts w:hint="eastAsia" w:hAnsi="宋体"/>
          <w:color w:val="auto"/>
          <w:sz w:val="21"/>
        </w:rPr>
        <w:t>（1）投标文件中开标一览表（报价表）内容与投标文件中相应内容不一致的，以开标一览表（报价表）为准；</w:t>
      </w:r>
    </w:p>
    <w:p w14:paraId="08D7A610">
      <w:pPr>
        <w:pStyle w:val="24"/>
        <w:snapToGrid w:val="0"/>
        <w:spacing w:line="360" w:lineRule="auto"/>
        <w:ind w:firstLine="420" w:firstLineChars="200"/>
        <w:rPr>
          <w:rFonts w:hAnsi="宋体"/>
          <w:color w:val="auto"/>
          <w:sz w:val="21"/>
        </w:rPr>
      </w:pPr>
      <w:r>
        <w:rPr>
          <w:rFonts w:hint="eastAsia" w:hAnsi="宋体"/>
          <w:color w:val="auto"/>
          <w:sz w:val="21"/>
        </w:rPr>
        <w:t>（2）大写金额和小写金额不一致的，以大写金额为准；</w:t>
      </w:r>
    </w:p>
    <w:p w14:paraId="008C65FC">
      <w:pPr>
        <w:pStyle w:val="24"/>
        <w:snapToGrid w:val="0"/>
        <w:spacing w:line="360" w:lineRule="auto"/>
        <w:ind w:firstLine="420" w:firstLineChars="200"/>
        <w:rPr>
          <w:rFonts w:hAnsi="宋体"/>
          <w:color w:val="auto"/>
          <w:sz w:val="21"/>
        </w:rPr>
      </w:pPr>
      <w:r>
        <w:rPr>
          <w:rFonts w:hint="eastAsia" w:hAnsi="宋体"/>
          <w:color w:val="auto"/>
          <w:sz w:val="21"/>
        </w:rPr>
        <w:t>（3）单价金额小数点或者百分比有明显错位的，以开标一览表的总价为准，并修改单价；</w:t>
      </w:r>
    </w:p>
    <w:p w14:paraId="0ADF95D3">
      <w:pPr>
        <w:pStyle w:val="24"/>
        <w:snapToGrid w:val="0"/>
        <w:spacing w:line="360" w:lineRule="auto"/>
        <w:ind w:firstLine="420" w:firstLineChars="200"/>
        <w:rPr>
          <w:rFonts w:hAnsi="宋体"/>
          <w:color w:val="auto"/>
          <w:sz w:val="21"/>
        </w:rPr>
      </w:pPr>
      <w:r>
        <w:rPr>
          <w:rFonts w:hint="eastAsia" w:hAnsi="宋体"/>
          <w:color w:val="auto"/>
          <w:sz w:val="21"/>
        </w:rPr>
        <w:t>（4）总价金额与按单价汇总金额不一致的，以单价金额计算结果为准。</w:t>
      </w:r>
    </w:p>
    <w:p w14:paraId="631D4153">
      <w:pPr>
        <w:pStyle w:val="24"/>
        <w:snapToGrid w:val="0"/>
        <w:spacing w:line="360" w:lineRule="auto"/>
        <w:ind w:firstLine="420" w:firstLineChars="200"/>
        <w:rPr>
          <w:rFonts w:hAnsi="宋体"/>
          <w:color w:val="auto"/>
          <w:sz w:val="21"/>
        </w:rPr>
      </w:pPr>
      <w:r>
        <w:rPr>
          <w:rFonts w:hint="eastAsia" w:hAnsi="宋体"/>
          <w:color w:val="auto"/>
          <w:sz w:val="21"/>
        </w:rPr>
        <w:t>同时出现两种以上不一致的，按照以上（1）-（4）规定的顺序修正。修正后的报价经供应商确认后产生约束力，供应商不确认的，</w:t>
      </w:r>
      <w:r>
        <w:rPr>
          <w:rFonts w:hint="eastAsia" w:hAnsi="宋体"/>
          <w:b/>
          <w:color w:val="auto"/>
          <w:kern w:val="2"/>
          <w:sz w:val="21"/>
        </w:rPr>
        <w:t>其投标无效</w:t>
      </w:r>
      <w:r>
        <w:rPr>
          <w:rFonts w:hint="eastAsia" w:hAnsi="宋体"/>
          <w:color w:val="auto"/>
          <w:sz w:val="21"/>
        </w:rPr>
        <w:t>。</w:t>
      </w:r>
    </w:p>
    <w:p w14:paraId="6FA5EBAB">
      <w:pPr>
        <w:spacing w:line="360" w:lineRule="auto"/>
        <w:rPr>
          <w:rFonts w:ascii="宋体" w:hAnsi="宋体"/>
          <w:b/>
          <w:color w:val="auto"/>
          <w:szCs w:val="21"/>
        </w:rPr>
      </w:pPr>
      <w:r>
        <w:rPr>
          <w:rFonts w:ascii="宋体" w:hAnsi="宋体"/>
          <w:b/>
          <w:color w:val="auto"/>
          <w:szCs w:val="21"/>
        </w:rPr>
        <w:t xml:space="preserve">    4</w:t>
      </w:r>
      <w:r>
        <w:rPr>
          <w:rFonts w:hint="eastAsia" w:ascii="宋体" w:hAnsi="宋体"/>
          <w:b/>
          <w:color w:val="auto"/>
          <w:szCs w:val="21"/>
        </w:rPr>
        <w:t>.2经供应商确认修正后的报价若超过采购预算金额或者最高限价，</w:t>
      </w:r>
      <w:r>
        <w:rPr>
          <w:rFonts w:hint="eastAsia" w:ascii="宋体" w:hAnsi="宋体"/>
          <w:color w:val="auto"/>
          <w:szCs w:val="21"/>
        </w:rPr>
        <w:t>供应商的投标文件作无效投标处理</w:t>
      </w:r>
      <w:r>
        <w:rPr>
          <w:rFonts w:hint="eastAsia" w:ascii="宋体" w:hAnsi="宋体"/>
          <w:b/>
          <w:color w:val="auto"/>
          <w:szCs w:val="21"/>
        </w:rPr>
        <w:t>。</w:t>
      </w:r>
    </w:p>
    <w:p w14:paraId="7E968FF5">
      <w:pPr>
        <w:snapToGrid w:val="0"/>
        <w:spacing w:line="360" w:lineRule="auto"/>
        <w:ind w:firstLine="422" w:firstLineChars="200"/>
        <w:rPr>
          <w:rFonts w:ascii="宋体" w:hAnsi="宋体"/>
          <w:color w:val="auto"/>
          <w:szCs w:val="21"/>
        </w:rPr>
      </w:pPr>
      <w:r>
        <w:rPr>
          <w:rFonts w:ascii="宋体" w:hAnsi="宋体"/>
          <w:b/>
          <w:bCs/>
          <w:color w:val="auto"/>
          <w:szCs w:val="21"/>
        </w:rPr>
        <w:t>4</w:t>
      </w:r>
      <w:r>
        <w:rPr>
          <w:rFonts w:hint="eastAsia" w:ascii="宋体" w:hAnsi="宋体"/>
          <w:b/>
          <w:bCs/>
          <w:color w:val="auto"/>
          <w:szCs w:val="21"/>
        </w:rPr>
        <w:t>.3经供应商确认修正后的报价作为签订合同的依据，并以此报价计算价格分。</w:t>
      </w:r>
    </w:p>
    <w:p w14:paraId="450B0620">
      <w:pPr>
        <w:spacing w:line="360" w:lineRule="auto"/>
        <w:ind w:left="420" w:leftChars="200"/>
        <w:rPr>
          <w:rFonts w:ascii="宋体" w:hAnsi="宋体"/>
          <w:color w:val="auto"/>
          <w:szCs w:val="21"/>
        </w:rPr>
      </w:pPr>
      <w:r>
        <w:rPr>
          <w:rFonts w:ascii="宋体" w:hAnsi="宋体"/>
          <w:color w:val="auto"/>
          <w:szCs w:val="21"/>
        </w:rPr>
        <w:t>5.</w:t>
      </w:r>
      <w:r>
        <w:rPr>
          <w:rFonts w:hint="eastAsia" w:ascii="宋体" w:hAnsi="宋体"/>
          <w:color w:val="auto"/>
          <w:szCs w:val="21"/>
        </w:rPr>
        <w:t>比较与评价</w:t>
      </w:r>
    </w:p>
    <w:p w14:paraId="748D121A">
      <w:pPr>
        <w:snapToGrid w:val="0"/>
        <w:spacing w:line="360" w:lineRule="auto"/>
        <w:ind w:firstLine="422" w:firstLineChars="200"/>
        <w:rPr>
          <w:rFonts w:ascii="宋体" w:hAnsi="宋体"/>
          <w:b/>
          <w:bCs/>
          <w:color w:val="auto"/>
          <w:szCs w:val="21"/>
        </w:rPr>
      </w:pPr>
      <w:r>
        <w:rPr>
          <w:rFonts w:hint="eastAsia" w:ascii="宋体" w:hAnsi="宋体"/>
          <w:b/>
          <w:bCs/>
          <w:color w:val="auto"/>
          <w:szCs w:val="21"/>
        </w:rPr>
        <w:t>5.1采用综合评分法的</w:t>
      </w:r>
    </w:p>
    <w:p w14:paraId="04893EFC">
      <w:pPr>
        <w:snapToGrid w:val="0"/>
        <w:spacing w:line="360" w:lineRule="auto"/>
        <w:ind w:firstLine="420" w:firstLineChars="200"/>
        <w:rPr>
          <w:rFonts w:ascii="宋体" w:hAnsi="宋体"/>
          <w:color w:val="auto"/>
          <w:szCs w:val="21"/>
        </w:rPr>
      </w:pPr>
      <w:r>
        <w:rPr>
          <w:rFonts w:hint="eastAsia" w:ascii="宋体" w:hAnsi="宋体"/>
          <w:color w:val="auto"/>
          <w:szCs w:val="21"/>
        </w:rPr>
        <w:t>（1）评标委员会按照招标文件中规定的评标方法及评标标准，对符合性审查合格的投标文件进行商务和技术评估，综合比较与评价。</w:t>
      </w:r>
    </w:p>
    <w:p w14:paraId="2FFFDF3D">
      <w:pPr>
        <w:snapToGrid w:val="0"/>
        <w:spacing w:line="360" w:lineRule="auto"/>
        <w:ind w:firstLine="420" w:firstLineChars="200"/>
        <w:rPr>
          <w:rFonts w:ascii="宋体" w:hAnsi="宋体"/>
          <w:color w:val="auto"/>
          <w:szCs w:val="21"/>
        </w:rPr>
      </w:pPr>
      <w:r>
        <w:rPr>
          <w:rFonts w:hint="eastAsia" w:ascii="宋体" w:hAnsi="宋体"/>
          <w:color w:val="auto"/>
          <w:szCs w:val="21"/>
        </w:rPr>
        <w:t>（2）评标委员会独立对每个供应商的投标文件进行评价，并汇总每个供应商的得分。</w:t>
      </w:r>
    </w:p>
    <w:p w14:paraId="4A06A36B">
      <w:pPr>
        <w:snapToGrid w:val="0"/>
        <w:spacing w:line="360" w:lineRule="auto"/>
        <w:ind w:firstLine="420" w:firstLineChars="200"/>
        <w:rPr>
          <w:rFonts w:ascii="宋体" w:hAnsi="宋体"/>
          <w:color w:val="auto"/>
          <w:szCs w:val="21"/>
        </w:rPr>
      </w:pPr>
      <w:r>
        <w:rPr>
          <w:rFonts w:hint="eastAsia" w:ascii="宋体" w:hAnsi="宋体"/>
          <w:color w:val="auto"/>
          <w:szCs w:val="21"/>
        </w:rPr>
        <w:t>评标委员会认为供应商的报价明显低于其他通过符合性审查供应商的报价，有可能影响产品质量或者不能诚信履约的，应当要求其在评标现场合理的时间内提供书面说明，必要时提交相关证明材料；</w:t>
      </w:r>
      <w:r>
        <w:rPr>
          <w:rFonts w:hint="eastAsia" w:ascii="宋体" w:hAnsi="宋体"/>
          <w:b/>
          <w:color w:val="auto"/>
          <w:szCs w:val="21"/>
        </w:rPr>
        <w:t>供应商不能证明其报价合理性的，评标委员会将其作为无效投标处理</w:t>
      </w:r>
      <w:r>
        <w:rPr>
          <w:rFonts w:hint="eastAsia" w:ascii="宋体" w:hAnsi="宋体"/>
          <w:color w:val="auto"/>
          <w:szCs w:val="21"/>
        </w:rPr>
        <w:t>。</w:t>
      </w:r>
    </w:p>
    <w:p w14:paraId="64681EF1">
      <w:pPr>
        <w:snapToGrid w:val="0"/>
        <w:spacing w:line="360" w:lineRule="auto"/>
        <w:ind w:firstLine="420" w:firstLineChars="200"/>
        <w:rPr>
          <w:rFonts w:ascii="宋体" w:hAnsi="宋体"/>
          <w:color w:val="auto"/>
          <w:szCs w:val="21"/>
        </w:rPr>
      </w:pPr>
      <w:r>
        <w:rPr>
          <w:rFonts w:hint="eastAsia" w:ascii="宋体" w:hAnsi="宋体"/>
          <w:color w:val="auto"/>
          <w:szCs w:val="21"/>
        </w:rPr>
        <w:t>（3）评标委员会按照招标文件中规定的评标方法和标准计算各供应商的报价得分。在计算过程中，不得去掉最高报价或者最低报价。</w:t>
      </w:r>
    </w:p>
    <w:p w14:paraId="7776874F">
      <w:pPr>
        <w:snapToGrid w:val="0"/>
        <w:spacing w:line="360" w:lineRule="auto"/>
        <w:ind w:firstLine="420" w:firstLineChars="200"/>
        <w:rPr>
          <w:rFonts w:ascii="宋体" w:hAnsi="宋体"/>
          <w:color w:val="auto"/>
          <w:szCs w:val="21"/>
        </w:rPr>
      </w:pPr>
      <w:r>
        <w:rPr>
          <w:rFonts w:hint="eastAsia" w:ascii="宋体" w:hAnsi="宋体"/>
          <w:color w:val="auto"/>
          <w:szCs w:val="21"/>
        </w:rPr>
        <w:t>（4）各供应商的得分为所有评委的有效评分的算术平均数。</w:t>
      </w:r>
    </w:p>
    <w:p w14:paraId="01E51B32">
      <w:pPr>
        <w:snapToGrid w:val="0"/>
        <w:spacing w:line="360" w:lineRule="auto"/>
        <w:ind w:firstLine="420" w:firstLineChars="200"/>
        <w:rPr>
          <w:rFonts w:ascii="宋体" w:hAnsi="宋体"/>
          <w:color w:val="auto"/>
          <w:szCs w:val="21"/>
        </w:rPr>
      </w:pPr>
      <w:r>
        <w:rPr>
          <w:rFonts w:hint="eastAsia" w:ascii="宋体" w:hAnsi="宋体"/>
          <w:color w:val="auto"/>
          <w:szCs w:val="21"/>
        </w:rPr>
        <w:t>（5）评标委员会按照招标文件中的规定推荐中标候选人。</w:t>
      </w:r>
    </w:p>
    <w:p w14:paraId="1E067794">
      <w:pPr>
        <w:snapToGrid w:val="0"/>
        <w:spacing w:line="360" w:lineRule="auto"/>
        <w:ind w:firstLine="420" w:firstLineChars="200"/>
        <w:rPr>
          <w:rFonts w:ascii="宋体" w:hAnsi="宋体"/>
          <w:color w:val="auto"/>
          <w:szCs w:val="21"/>
        </w:rPr>
      </w:pPr>
      <w:r>
        <w:rPr>
          <w:rFonts w:hint="eastAsia" w:ascii="宋体" w:hAnsi="宋体"/>
          <w:color w:val="auto"/>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8621B34">
      <w:pPr>
        <w:snapToGrid w:val="0"/>
        <w:spacing w:line="360" w:lineRule="auto"/>
        <w:ind w:firstLine="420" w:firstLineChars="200"/>
        <w:rPr>
          <w:rFonts w:ascii="宋体" w:hAnsi="宋体"/>
          <w:color w:val="auto"/>
          <w:szCs w:val="21"/>
        </w:rPr>
      </w:pPr>
      <w:r>
        <w:rPr>
          <w:rFonts w:hint="eastAsia" w:ascii="宋体" w:hAnsi="宋体"/>
          <w:color w:val="auto"/>
          <w:szCs w:val="21"/>
        </w:rPr>
        <w:t>5.2采用</w:t>
      </w:r>
      <w:r>
        <w:rPr>
          <w:rFonts w:hint="eastAsia" w:ascii="宋体" w:hAnsi="宋体"/>
          <w:color w:val="auto"/>
        </w:rPr>
        <w:t>最低评标价法</w:t>
      </w:r>
      <w:r>
        <w:rPr>
          <w:rFonts w:hint="eastAsia" w:ascii="宋体" w:hAnsi="宋体"/>
          <w:color w:val="auto"/>
          <w:szCs w:val="21"/>
        </w:rPr>
        <w:t>的</w:t>
      </w:r>
    </w:p>
    <w:p w14:paraId="6AE79654">
      <w:pPr>
        <w:snapToGrid w:val="0"/>
        <w:spacing w:line="360" w:lineRule="auto"/>
        <w:ind w:firstLine="424" w:firstLineChars="202"/>
        <w:jc w:val="left"/>
        <w:rPr>
          <w:rFonts w:ascii="宋体" w:hAnsi="宋体"/>
          <w:color w:val="auto"/>
          <w:szCs w:val="21"/>
        </w:rPr>
      </w:pPr>
      <w:r>
        <w:rPr>
          <w:rFonts w:hint="eastAsia" w:ascii="宋体" w:hAnsi="宋体"/>
          <w:color w:val="auto"/>
          <w:szCs w:val="21"/>
        </w:rPr>
        <w:t>（1）评标委员会按照招标文件中规定的评标方法及评标标准，对符合性审查合格的投标文件报价进行比较。</w:t>
      </w:r>
    </w:p>
    <w:p w14:paraId="2045C09F">
      <w:pPr>
        <w:snapToGrid w:val="0"/>
        <w:spacing w:line="360" w:lineRule="auto"/>
        <w:ind w:firstLine="399" w:firstLineChars="202"/>
        <w:jc w:val="left"/>
        <w:rPr>
          <w:rFonts w:ascii="宋体" w:hAnsi="宋体"/>
          <w:color w:val="auto"/>
          <w:spacing w:val="-6"/>
          <w:szCs w:val="21"/>
        </w:rPr>
      </w:pPr>
      <w:r>
        <w:rPr>
          <w:rFonts w:hint="eastAsia" w:ascii="宋体" w:hAnsi="宋体"/>
          <w:color w:val="auto"/>
          <w:spacing w:val="-6"/>
          <w:szCs w:val="21"/>
        </w:rPr>
        <w:t>（2）评标委员会认为供应商的报价明显低于其他通过符合性审查供应商的报价，有可能影响产品质量或者不能诚信履约的，应当要求其在评标现场合理的时间内提供书面说明，必要时提交相关证明材料；</w:t>
      </w:r>
      <w:r>
        <w:rPr>
          <w:rFonts w:hint="eastAsia" w:ascii="宋体" w:hAnsi="宋体"/>
          <w:b/>
          <w:color w:val="auto"/>
          <w:spacing w:val="-6"/>
          <w:szCs w:val="21"/>
        </w:rPr>
        <w:t>供应商不能证明其报价合理性的，评标委员会将其作为无效投标处理</w:t>
      </w:r>
      <w:r>
        <w:rPr>
          <w:rFonts w:hint="eastAsia" w:ascii="宋体" w:hAnsi="宋体"/>
          <w:color w:val="auto"/>
          <w:spacing w:val="-6"/>
          <w:szCs w:val="21"/>
        </w:rPr>
        <w:t>。</w:t>
      </w:r>
    </w:p>
    <w:p w14:paraId="39281F47">
      <w:pPr>
        <w:snapToGrid w:val="0"/>
        <w:spacing w:line="360" w:lineRule="auto"/>
        <w:ind w:firstLine="424" w:firstLineChars="202"/>
        <w:jc w:val="left"/>
        <w:rPr>
          <w:rFonts w:ascii="宋体" w:hAnsi="宋体"/>
          <w:color w:val="auto"/>
          <w:szCs w:val="21"/>
        </w:rPr>
      </w:pPr>
      <w:r>
        <w:rPr>
          <w:rFonts w:hint="eastAsia" w:ascii="宋体" w:hAnsi="宋体"/>
          <w:color w:val="auto"/>
          <w:szCs w:val="21"/>
        </w:rPr>
        <w:t>（3）评标委员会按照招标文件中的规定推荐中标候选人。</w:t>
      </w:r>
    </w:p>
    <w:p w14:paraId="394D9BAB">
      <w:pPr>
        <w:snapToGrid w:val="0"/>
        <w:spacing w:line="360" w:lineRule="auto"/>
        <w:ind w:firstLine="424" w:firstLineChars="202"/>
        <w:jc w:val="left"/>
        <w:rPr>
          <w:rFonts w:ascii="宋体" w:hAnsi="宋体"/>
          <w:color w:val="auto"/>
          <w:szCs w:val="21"/>
        </w:rPr>
      </w:pPr>
      <w:r>
        <w:rPr>
          <w:rFonts w:hint="eastAsia" w:ascii="宋体" w:hAnsi="宋体"/>
          <w:color w:val="auto"/>
          <w:szCs w:val="21"/>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558E4320">
      <w:pPr>
        <w:pStyle w:val="3"/>
        <w:jc w:val="center"/>
        <w:rPr>
          <w:color w:val="auto"/>
        </w:rPr>
      </w:pPr>
      <w:r>
        <w:rPr>
          <w:rFonts w:ascii="宋体" w:hAnsi="宋体"/>
          <w:color w:val="auto"/>
        </w:rPr>
        <w:br w:type="page"/>
      </w:r>
      <w:r>
        <w:rPr>
          <w:color w:val="auto"/>
        </w:rPr>
        <w:t>三</w:t>
      </w:r>
      <w:r>
        <w:rPr>
          <w:rFonts w:hint="eastAsia"/>
          <w:color w:val="auto"/>
        </w:rPr>
        <w:t>、评标标准</w:t>
      </w:r>
    </w:p>
    <w:p w14:paraId="049CEA60">
      <w:pPr>
        <w:widowControl/>
        <w:spacing w:line="440" w:lineRule="exact"/>
        <w:jc w:val="left"/>
        <w:rPr>
          <w:color w:val="auto"/>
          <w:szCs w:val="21"/>
        </w:rPr>
      </w:pPr>
      <w:r>
        <w:rPr>
          <w:rFonts w:hint="eastAsia" w:ascii="宋体" w:hAnsi="宋体" w:cs="宋体"/>
          <w:color w:val="auto"/>
          <w:kern w:val="0"/>
          <w:szCs w:val="21"/>
          <w:lang w:bidi="ar"/>
        </w:rPr>
        <w:t>对进入详评的，采用百分制综合评分法。</w:t>
      </w:r>
    </w:p>
    <w:tbl>
      <w:tblPr>
        <w:tblStyle w:val="47"/>
        <w:tblW w:w="8889" w:type="dxa"/>
        <w:jc w:val="center"/>
        <w:tblLayout w:type="fixed"/>
        <w:tblCellMar>
          <w:top w:w="0" w:type="dxa"/>
          <w:left w:w="108" w:type="dxa"/>
          <w:bottom w:w="0" w:type="dxa"/>
          <w:right w:w="108" w:type="dxa"/>
        </w:tblCellMar>
      </w:tblPr>
      <w:tblGrid>
        <w:gridCol w:w="666"/>
        <w:gridCol w:w="1458"/>
        <w:gridCol w:w="6765"/>
      </w:tblGrid>
      <w:tr w14:paraId="3DC21C60">
        <w:tblPrEx>
          <w:tblCellMar>
            <w:top w:w="0" w:type="dxa"/>
            <w:left w:w="108" w:type="dxa"/>
            <w:bottom w:w="0" w:type="dxa"/>
            <w:right w:w="108" w:type="dxa"/>
          </w:tblCellMar>
        </w:tblPrEx>
        <w:trPr>
          <w:trHeight w:val="500"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56100CF9">
            <w:pPr>
              <w:spacing w:line="440" w:lineRule="exact"/>
              <w:jc w:val="center"/>
              <w:rPr>
                <w:rFonts w:hint="eastAsia" w:ascii="宋体" w:hAnsi="宋体" w:cs="宋体"/>
                <w:b/>
                <w:bCs/>
                <w:color w:val="auto"/>
                <w:szCs w:val="21"/>
              </w:rPr>
            </w:pPr>
            <w:r>
              <w:rPr>
                <w:rFonts w:hint="eastAsia" w:ascii="宋体" w:hAnsi="宋体" w:cs="宋体"/>
                <w:b/>
                <w:bCs/>
                <w:color w:val="auto"/>
                <w:szCs w:val="21"/>
              </w:rPr>
              <w:t>序号</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428CE683">
            <w:pPr>
              <w:spacing w:line="440" w:lineRule="exact"/>
              <w:jc w:val="center"/>
              <w:rPr>
                <w:rFonts w:ascii="宋体" w:hAnsi="宋体" w:cs="宋体"/>
                <w:b/>
                <w:bCs/>
                <w:color w:val="auto"/>
                <w:szCs w:val="21"/>
              </w:rPr>
            </w:pPr>
            <w:r>
              <w:rPr>
                <w:rFonts w:hint="eastAsia" w:ascii="宋体" w:hAnsi="宋体" w:cs="宋体"/>
                <w:b/>
                <w:bCs/>
                <w:color w:val="auto"/>
                <w:szCs w:val="21"/>
              </w:rPr>
              <w:t>评分项/分值</w:t>
            </w:r>
          </w:p>
        </w:tc>
        <w:tc>
          <w:tcPr>
            <w:tcW w:w="6765" w:type="dxa"/>
            <w:tcBorders>
              <w:top w:val="single" w:color="000000" w:sz="4" w:space="0"/>
              <w:left w:val="single" w:color="000000" w:sz="4" w:space="0"/>
              <w:bottom w:val="single" w:color="000000" w:sz="4" w:space="0"/>
              <w:right w:val="single" w:color="000000" w:sz="4" w:space="0"/>
            </w:tcBorders>
            <w:noWrap w:val="0"/>
            <w:vAlign w:val="center"/>
          </w:tcPr>
          <w:p w14:paraId="5C356226">
            <w:pPr>
              <w:spacing w:line="440" w:lineRule="exact"/>
              <w:jc w:val="center"/>
              <w:rPr>
                <w:rFonts w:hint="eastAsia" w:ascii="宋体" w:hAnsi="宋体" w:cs="宋体"/>
                <w:b/>
                <w:bCs/>
                <w:color w:val="auto"/>
                <w:szCs w:val="21"/>
              </w:rPr>
            </w:pPr>
            <w:r>
              <w:rPr>
                <w:rFonts w:hint="eastAsia" w:ascii="宋体" w:hAnsi="宋体" w:cs="宋体"/>
                <w:b/>
                <w:bCs/>
                <w:color w:val="auto"/>
                <w:szCs w:val="21"/>
              </w:rPr>
              <w:t>评分标准说明</w:t>
            </w:r>
          </w:p>
        </w:tc>
      </w:tr>
      <w:tr w14:paraId="27109B5A">
        <w:tblPrEx>
          <w:tblCellMar>
            <w:top w:w="0" w:type="dxa"/>
            <w:left w:w="108" w:type="dxa"/>
            <w:bottom w:w="0" w:type="dxa"/>
            <w:right w:w="108" w:type="dxa"/>
          </w:tblCellMar>
        </w:tblPrEx>
        <w:trPr>
          <w:trHeight w:val="90"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696847B8">
            <w:pPr>
              <w:spacing w:line="440" w:lineRule="exact"/>
              <w:jc w:val="center"/>
              <w:rPr>
                <w:rFonts w:hint="eastAsia" w:ascii="宋体" w:hAnsi="宋体" w:cs="宋体"/>
                <w:color w:val="auto"/>
                <w:szCs w:val="21"/>
              </w:rPr>
            </w:pPr>
            <w:r>
              <w:rPr>
                <w:rFonts w:hint="eastAsia" w:ascii="宋体" w:hAnsi="宋体" w:cs="宋体"/>
                <w:color w:val="auto"/>
                <w:szCs w:val="21"/>
              </w:rPr>
              <w:t>1</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399D448D">
            <w:pPr>
              <w:spacing w:line="440" w:lineRule="exact"/>
              <w:jc w:val="center"/>
              <w:rPr>
                <w:rFonts w:hint="eastAsia" w:ascii="宋体" w:hAnsi="宋体" w:cs="宋体"/>
                <w:b/>
                <w:bCs/>
                <w:color w:val="auto"/>
                <w:szCs w:val="21"/>
              </w:rPr>
            </w:pPr>
            <w:r>
              <w:rPr>
                <w:rFonts w:hint="eastAsia" w:ascii="宋体" w:hAnsi="宋体" w:cs="宋体"/>
                <w:b/>
                <w:bCs/>
                <w:color w:val="auto"/>
                <w:szCs w:val="21"/>
              </w:rPr>
              <w:t>价格分</w:t>
            </w:r>
          </w:p>
          <w:p w14:paraId="5EEFB42A">
            <w:pPr>
              <w:spacing w:line="440" w:lineRule="exact"/>
              <w:jc w:val="center"/>
              <w:rPr>
                <w:rFonts w:hint="eastAsia" w:ascii="宋体" w:hAnsi="宋体" w:cs="宋体"/>
                <w:color w:val="auto"/>
                <w:szCs w:val="21"/>
              </w:rPr>
            </w:pPr>
            <w:r>
              <w:rPr>
                <w:rFonts w:hint="eastAsia" w:ascii="宋体" w:hAnsi="宋体" w:cs="宋体"/>
                <w:b/>
                <w:bCs/>
                <w:color w:val="auto"/>
                <w:szCs w:val="21"/>
              </w:rPr>
              <w:t>（满分30分）</w:t>
            </w:r>
          </w:p>
        </w:tc>
        <w:tc>
          <w:tcPr>
            <w:tcW w:w="6765" w:type="dxa"/>
            <w:tcBorders>
              <w:top w:val="single" w:color="000000" w:sz="4" w:space="0"/>
              <w:left w:val="single" w:color="000000" w:sz="4" w:space="0"/>
              <w:bottom w:val="single" w:color="auto" w:sz="4" w:space="0"/>
              <w:right w:val="single" w:color="000000" w:sz="4" w:space="0"/>
            </w:tcBorders>
            <w:noWrap w:val="0"/>
            <w:vAlign w:val="center"/>
          </w:tcPr>
          <w:p w14:paraId="24A127B5">
            <w:pPr>
              <w:spacing w:line="440" w:lineRule="exact"/>
              <w:rPr>
                <w:rFonts w:hint="eastAsia" w:ascii="宋体" w:hAnsi="宋体" w:cs="宋体"/>
                <w:b/>
                <w:bCs/>
                <w:color w:val="auto"/>
                <w:szCs w:val="21"/>
              </w:rPr>
            </w:pPr>
            <w:r>
              <w:rPr>
                <w:rFonts w:hint="eastAsia" w:ascii="宋体" w:hAnsi="宋体" w:cs="宋体"/>
                <w:b/>
                <w:bCs/>
                <w:color w:val="auto"/>
                <w:szCs w:val="21"/>
              </w:rPr>
              <w:t>一、政府采购政策扣除：</w:t>
            </w:r>
          </w:p>
          <w:p w14:paraId="031DA2DB">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1、根据《政府采购促进中小企业发展管理办法》、柳州市财政局《关于对政府采购领域扶持中小企业的政策进行调整的通知》的规定，供应商投标产品属于《政府采购促进中小企业发展管理办法》规定的小微企业的，对投标报价给予20%的扣除，用扣除后的价格参加评审。符合上述规定对报价给予扣除的，扣除后的价格为评标价，即评标价=投标报价×（1-扣除比例）；不符合上述给予扣除情形的，评标价=投标报价。</w:t>
            </w:r>
          </w:p>
          <w:p w14:paraId="12AF92CD">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p>
          <w:p w14:paraId="5365D50C">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E446334">
            <w:pPr>
              <w:spacing w:line="440" w:lineRule="exact"/>
              <w:ind w:firstLine="420" w:firstLineChars="200"/>
              <w:rPr>
                <w:rFonts w:ascii="宋体" w:hAnsi="宋体" w:cs="宋体"/>
                <w:color w:val="auto"/>
                <w:szCs w:val="21"/>
              </w:rPr>
            </w:pPr>
            <w:r>
              <w:rPr>
                <w:rFonts w:hint="eastAsia" w:ascii="宋体" w:hAnsi="宋体" w:cs="宋体"/>
                <w:color w:val="auto"/>
                <w:szCs w:val="21"/>
              </w:rPr>
              <w:t>4、本国产品标准认定：</w:t>
            </w:r>
          </w:p>
          <w:p w14:paraId="5C980F9F">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 xml:space="preserve">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 </w:t>
            </w:r>
          </w:p>
          <w:p w14:paraId="1AA10006">
            <w:pPr>
              <w:spacing w:line="440" w:lineRule="exact"/>
              <w:ind w:firstLine="420" w:firstLineChars="200"/>
              <w:rPr>
                <w:rFonts w:hint="eastAsia" w:ascii="宋体" w:hAnsi="宋体" w:cs="宋体"/>
                <w:b/>
                <w:bCs/>
                <w:color w:val="auto"/>
                <w:szCs w:val="21"/>
              </w:rPr>
            </w:pPr>
            <w:r>
              <w:rPr>
                <w:rFonts w:hint="eastAsia" w:ascii="宋体" w:hAnsi="宋体" w:cs="宋体"/>
                <w:color w:val="auto"/>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BB6381">
            <w:pPr>
              <w:spacing w:line="440" w:lineRule="exact"/>
              <w:rPr>
                <w:rFonts w:hint="eastAsia" w:ascii="宋体" w:hAnsi="宋体" w:cs="宋体"/>
                <w:b/>
                <w:bCs/>
                <w:color w:val="auto"/>
                <w:szCs w:val="21"/>
              </w:rPr>
            </w:pPr>
            <w:r>
              <w:rPr>
                <w:rFonts w:hint="eastAsia" w:ascii="宋体" w:hAnsi="宋体" w:cs="宋体"/>
                <w:b/>
                <w:bCs/>
                <w:color w:val="auto"/>
                <w:szCs w:val="21"/>
              </w:rPr>
              <w:t>二、异常低价处理：</w:t>
            </w:r>
          </w:p>
          <w:p w14:paraId="6EB0053D">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根据《关于推动解决政府采购异常低价问题的通知》（财库〔2026〕2号）的规定，（一）评审中出现下列情形之一的，评审委员会应当启动异常低价投标（响应）审查程序：</w:t>
            </w:r>
          </w:p>
          <w:p w14:paraId="68A4143B">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1.投标（响应）报价低于全部通过符合性审查供应商投标（响应）报价平均值</w:t>
            </w:r>
            <w:r>
              <w:rPr>
                <w:rFonts w:hint="eastAsia"/>
                <w:color w:val="auto"/>
                <w:lang w:val="en-US" w:eastAsia="zh-CN"/>
              </w:rPr>
              <w:t>65</w:t>
            </w:r>
            <w:r>
              <w:rPr>
                <w:rFonts w:hint="eastAsia" w:ascii="宋体" w:hAnsi="宋体" w:cs="宋体"/>
                <w:color w:val="auto"/>
                <w:szCs w:val="21"/>
              </w:rPr>
              <w:t>%的，即投标（响应）报价&lt;全部通过符合性审查供应商投标（响应）报价平均值×</w:t>
            </w:r>
            <w:r>
              <w:rPr>
                <w:rFonts w:hint="eastAsia" w:ascii="宋体" w:hAnsi="宋体" w:cs="宋体"/>
                <w:color w:val="auto"/>
                <w:szCs w:val="21"/>
                <w:lang w:val="en-US" w:eastAsia="zh-CN"/>
              </w:rPr>
              <w:t>65</w:t>
            </w:r>
            <w:r>
              <w:rPr>
                <w:rFonts w:hint="eastAsia" w:ascii="宋体" w:hAnsi="宋体" w:cs="宋体"/>
                <w:color w:val="auto"/>
                <w:szCs w:val="21"/>
              </w:rPr>
              <w:t>%；</w:t>
            </w:r>
          </w:p>
          <w:p w14:paraId="21BC1310">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2.投标（响应）报价低于通过符合性审查的次低报价供应商投标（响应）报价</w:t>
            </w:r>
            <w:r>
              <w:rPr>
                <w:rFonts w:hint="eastAsia" w:ascii="宋体" w:hAnsi="宋体" w:cs="宋体"/>
                <w:color w:val="auto"/>
                <w:szCs w:val="21"/>
                <w:lang w:val="en-US" w:eastAsia="zh-CN"/>
              </w:rPr>
              <w:t>65</w:t>
            </w:r>
            <w:r>
              <w:rPr>
                <w:rFonts w:hint="eastAsia" w:ascii="宋体" w:hAnsi="宋体" w:cs="宋体"/>
                <w:color w:val="auto"/>
                <w:szCs w:val="21"/>
              </w:rPr>
              <w:t>%的，即投标（响应）报价&lt;通过符合性审查的次低报价供应商投标（响应）报价×</w:t>
            </w:r>
            <w:r>
              <w:rPr>
                <w:rFonts w:hint="eastAsia" w:ascii="宋体" w:hAnsi="宋体" w:cs="宋体"/>
                <w:color w:val="auto"/>
                <w:szCs w:val="21"/>
                <w:lang w:val="en-US" w:eastAsia="zh-CN"/>
              </w:rPr>
              <w:t>65</w:t>
            </w:r>
            <w:r>
              <w:rPr>
                <w:rFonts w:hint="eastAsia" w:ascii="宋体" w:hAnsi="宋体" w:cs="宋体"/>
                <w:color w:val="auto"/>
                <w:szCs w:val="21"/>
              </w:rPr>
              <w:t>%；</w:t>
            </w:r>
          </w:p>
          <w:p w14:paraId="1EA416DA">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3.投标（响应）报价低于采购项目最高限价</w:t>
            </w:r>
            <w:r>
              <w:rPr>
                <w:rFonts w:hint="eastAsia" w:ascii="宋体" w:hAnsi="宋体" w:cs="宋体"/>
                <w:color w:val="auto"/>
                <w:szCs w:val="21"/>
                <w:lang w:val="en-US" w:eastAsia="zh-CN"/>
              </w:rPr>
              <w:t>65</w:t>
            </w:r>
            <w:r>
              <w:rPr>
                <w:rFonts w:hint="eastAsia" w:ascii="宋体" w:hAnsi="宋体" w:cs="宋体"/>
                <w:color w:val="auto"/>
                <w:szCs w:val="21"/>
              </w:rPr>
              <w:t>%的，即投标（响应）报价&lt;采购项目最高限价×</w:t>
            </w:r>
            <w:r>
              <w:rPr>
                <w:rFonts w:hint="eastAsia" w:ascii="宋体" w:hAnsi="宋体" w:cs="宋体"/>
                <w:color w:val="auto"/>
                <w:szCs w:val="21"/>
                <w:lang w:val="en-US" w:eastAsia="zh-CN"/>
              </w:rPr>
              <w:t>65</w:t>
            </w:r>
            <w:r>
              <w:rPr>
                <w:rFonts w:hint="eastAsia" w:ascii="宋体" w:hAnsi="宋体" w:cs="宋体"/>
                <w:color w:val="auto"/>
                <w:szCs w:val="21"/>
              </w:rPr>
              <w:t>%；</w:t>
            </w:r>
          </w:p>
          <w:p w14:paraId="59185D3B">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4.评审委员会基于专业判断，认为供应商报价过低，有可能影响产品质量或者不能诚信履约的其他情形。</w:t>
            </w:r>
          </w:p>
          <w:p w14:paraId="1C761BCA">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5A7A86">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7B2EA6B">
            <w:pPr>
              <w:spacing w:line="440" w:lineRule="exact"/>
              <w:rPr>
                <w:rFonts w:hint="eastAsia" w:ascii="宋体" w:hAnsi="宋体" w:cs="宋体"/>
                <w:b/>
                <w:bCs/>
                <w:color w:val="auto"/>
                <w:szCs w:val="21"/>
              </w:rPr>
            </w:pPr>
            <w:r>
              <w:rPr>
                <w:rFonts w:hint="eastAsia" w:ascii="宋体" w:hAnsi="宋体" w:cs="宋体"/>
                <w:b/>
                <w:bCs/>
                <w:color w:val="auto"/>
                <w:szCs w:val="21"/>
              </w:rPr>
              <w:t>三、投标报价分：</w:t>
            </w:r>
          </w:p>
          <w:p w14:paraId="2D7FBC2E">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1、投标报价分采用低价优先法计算，满足招标文件要求且评标价最低的有效供应商的评标价为评标基准价，其投标报价分为满分。</w:t>
            </w:r>
          </w:p>
          <w:p w14:paraId="544B8116">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2、其他供应商的价格分统一按照下列公式计算：</w:t>
            </w:r>
          </w:p>
          <w:p w14:paraId="4E424502">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某有效供应商的投标报价分=（评标基准价／某有效供应商评标价）×30分</w:t>
            </w:r>
          </w:p>
        </w:tc>
      </w:tr>
      <w:tr w14:paraId="3AFB3648">
        <w:tblPrEx>
          <w:tblCellMar>
            <w:top w:w="0" w:type="dxa"/>
            <w:left w:w="108" w:type="dxa"/>
            <w:bottom w:w="0" w:type="dxa"/>
            <w:right w:w="108" w:type="dxa"/>
          </w:tblCellMar>
        </w:tblPrEx>
        <w:trPr>
          <w:trHeight w:val="2165" w:hRule="atLeast"/>
          <w:jc w:val="center"/>
        </w:trPr>
        <w:tc>
          <w:tcPr>
            <w:tcW w:w="666" w:type="dxa"/>
            <w:tcBorders>
              <w:top w:val="single" w:color="000000" w:sz="4" w:space="0"/>
              <w:left w:val="single" w:color="auto" w:sz="4" w:space="0"/>
              <w:bottom w:val="single" w:color="auto" w:sz="4" w:space="0"/>
              <w:right w:val="single" w:color="000000" w:sz="4" w:space="0"/>
            </w:tcBorders>
            <w:noWrap/>
            <w:vAlign w:val="center"/>
          </w:tcPr>
          <w:p w14:paraId="5997E346">
            <w:pPr>
              <w:spacing w:line="440" w:lineRule="exact"/>
              <w:jc w:val="center"/>
              <w:rPr>
                <w:rFonts w:hint="eastAsia" w:ascii="宋体" w:hAnsi="宋体" w:cs="宋体"/>
                <w:color w:val="auto"/>
                <w:szCs w:val="21"/>
              </w:rPr>
            </w:pPr>
            <w:r>
              <w:rPr>
                <w:rFonts w:hint="eastAsia" w:ascii="宋体" w:hAnsi="宋体" w:cs="宋体"/>
                <w:color w:val="auto"/>
                <w:szCs w:val="21"/>
              </w:rPr>
              <w:t>2</w:t>
            </w:r>
          </w:p>
        </w:tc>
        <w:tc>
          <w:tcPr>
            <w:tcW w:w="1458" w:type="dxa"/>
            <w:tcBorders>
              <w:top w:val="single" w:color="000000" w:sz="4" w:space="0"/>
              <w:left w:val="single" w:color="000000" w:sz="4" w:space="0"/>
              <w:bottom w:val="single" w:color="auto" w:sz="4" w:space="0"/>
              <w:right w:val="single" w:color="auto" w:sz="4" w:space="0"/>
            </w:tcBorders>
            <w:noWrap w:val="0"/>
            <w:vAlign w:val="center"/>
          </w:tcPr>
          <w:p w14:paraId="3102315C">
            <w:pPr>
              <w:spacing w:line="440" w:lineRule="exact"/>
              <w:jc w:val="center"/>
              <w:rPr>
                <w:rFonts w:hint="eastAsia" w:ascii="宋体" w:hAnsi="宋体" w:cs="宋体"/>
                <w:b/>
                <w:bCs/>
                <w:color w:val="auto"/>
                <w:szCs w:val="21"/>
              </w:rPr>
            </w:pPr>
            <w:r>
              <w:rPr>
                <w:rFonts w:hint="eastAsia" w:ascii="宋体" w:hAnsi="宋体" w:cs="宋体"/>
                <w:b/>
                <w:bCs/>
                <w:color w:val="auto"/>
                <w:szCs w:val="21"/>
                <w:lang w:val="en-US" w:eastAsia="zh-CN"/>
              </w:rPr>
              <w:t>技术参数响应评价</w:t>
            </w:r>
          </w:p>
          <w:p w14:paraId="097A9A3D">
            <w:pPr>
              <w:spacing w:line="440" w:lineRule="exact"/>
              <w:jc w:val="center"/>
              <w:rPr>
                <w:rFonts w:hint="eastAsia" w:ascii="宋体" w:hAnsi="宋体" w:cs="宋体"/>
                <w:color w:val="auto"/>
                <w:szCs w:val="21"/>
              </w:rPr>
            </w:pPr>
            <w:r>
              <w:rPr>
                <w:rFonts w:hint="eastAsia" w:ascii="宋体" w:hAnsi="宋体" w:cs="宋体"/>
                <w:b/>
                <w:bCs/>
                <w:color w:val="auto"/>
                <w:szCs w:val="21"/>
              </w:rPr>
              <w:t>（满分</w:t>
            </w:r>
            <w:r>
              <w:rPr>
                <w:rFonts w:hint="eastAsia" w:ascii="宋体" w:hAnsi="宋体" w:cs="宋体"/>
                <w:b/>
                <w:bCs/>
                <w:color w:val="auto"/>
                <w:szCs w:val="21"/>
                <w:lang w:val="en-US" w:eastAsia="zh-CN"/>
              </w:rPr>
              <w:t>30</w:t>
            </w:r>
            <w:r>
              <w:rPr>
                <w:rFonts w:hint="eastAsia" w:ascii="宋体" w:hAnsi="宋体" w:cs="宋体"/>
                <w:b/>
                <w:bCs/>
                <w:color w:val="auto"/>
                <w:szCs w:val="21"/>
              </w:rPr>
              <w:t>分）</w:t>
            </w:r>
          </w:p>
        </w:tc>
        <w:tc>
          <w:tcPr>
            <w:tcW w:w="6765" w:type="dxa"/>
            <w:tcBorders>
              <w:top w:val="single" w:color="auto" w:sz="4" w:space="0"/>
              <w:left w:val="single" w:color="auto" w:sz="4" w:space="0"/>
              <w:bottom w:val="single" w:color="auto" w:sz="4" w:space="0"/>
              <w:right w:val="single" w:color="auto" w:sz="4" w:space="0"/>
            </w:tcBorders>
            <w:noWrap w:val="0"/>
            <w:vAlign w:val="center"/>
          </w:tcPr>
          <w:p w14:paraId="1D666A6A">
            <w:pPr>
              <w:spacing w:line="360" w:lineRule="auto"/>
              <w:ind w:firstLine="420" w:firstLineChars="200"/>
              <w:rPr>
                <w:rFonts w:hint="default" w:ascii="宋体" w:hAnsi="宋体" w:cs="宋体"/>
                <w:b w:val="0"/>
                <w:bCs w:val="0"/>
                <w:i w:val="0"/>
                <w:iCs w:val="0"/>
                <w:strike w:val="0"/>
                <w:dstrike w:val="0"/>
                <w:color w:val="auto"/>
                <w:kern w:val="0"/>
                <w:sz w:val="21"/>
                <w:szCs w:val="21"/>
                <w:lang w:val="en-US" w:eastAsia="zh-CN" w:bidi="ar"/>
              </w:rPr>
            </w:pPr>
            <w:r>
              <w:rPr>
                <w:rFonts w:hint="eastAsia" w:ascii="宋体" w:hAnsi="宋体" w:cs="宋体"/>
                <w:b w:val="0"/>
                <w:bCs w:val="0"/>
                <w:i w:val="0"/>
                <w:iCs w:val="0"/>
                <w:strike w:val="0"/>
                <w:dstrike w:val="0"/>
                <w:color w:val="auto"/>
                <w:kern w:val="0"/>
                <w:sz w:val="21"/>
                <w:szCs w:val="21"/>
                <w:lang w:val="en-US" w:eastAsia="zh-CN" w:bidi="ar"/>
              </w:rPr>
              <w:t>根据供应商对招标文件“第二章 采购需求”中的“技术需求”响应情况进行评分：</w:t>
            </w:r>
          </w:p>
          <w:p w14:paraId="19DD594D">
            <w:pPr>
              <w:numPr>
                <w:ilvl w:val="0"/>
                <w:numId w:val="0"/>
              </w:numPr>
              <w:spacing w:line="360" w:lineRule="auto"/>
              <w:ind w:firstLine="422" w:firstLineChars="200"/>
              <w:rPr>
                <w:rFonts w:hint="eastAsia" w:ascii="宋体" w:hAnsi="宋体" w:cs="宋体"/>
                <w:b/>
                <w:bCs/>
                <w:i w:val="0"/>
                <w:iCs w:val="0"/>
                <w:strike w:val="0"/>
                <w:dstrike w:val="0"/>
                <w:color w:val="auto"/>
                <w:kern w:val="0"/>
                <w:sz w:val="21"/>
                <w:szCs w:val="21"/>
                <w:highlight w:val="none"/>
                <w:lang w:val="en-US" w:eastAsia="zh-CN" w:bidi="ar"/>
              </w:rPr>
            </w:pPr>
            <w:r>
              <w:rPr>
                <w:rFonts w:hint="eastAsia" w:ascii="宋体" w:hAnsi="宋体" w:cs="宋体"/>
                <w:b/>
                <w:bCs/>
                <w:i w:val="0"/>
                <w:iCs w:val="0"/>
                <w:strike w:val="0"/>
                <w:dstrike w:val="0"/>
                <w:color w:val="auto"/>
                <w:kern w:val="0"/>
                <w:sz w:val="21"/>
                <w:szCs w:val="21"/>
                <w:highlight w:val="none"/>
                <w:lang w:val="en-US" w:eastAsia="zh-CN" w:bidi="ar"/>
              </w:rPr>
              <w:t>1、标注“</w:t>
            </w:r>
            <w:r>
              <w:rPr>
                <w:rFonts w:hint="eastAsia" w:ascii="宋体" w:hAnsi="宋体" w:eastAsia="宋体" w:cs="宋体"/>
                <w:b/>
                <w:bCs/>
                <w:i w:val="0"/>
                <w:iCs w:val="0"/>
                <w:strike w:val="0"/>
                <w:dstrike w:val="0"/>
                <w:color w:val="auto"/>
                <w:kern w:val="0"/>
                <w:sz w:val="21"/>
                <w:szCs w:val="21"/>
                <w:highlight w:val="none"/>
                <w:lang w:val="en-US" w:eastAsia="zh-CN" w:bidi="ar"/>
              </w:rPr>
              <w:t>★</w:t>
            </w:r>
            <w:r>
              <w:rPr>
                <w:rFonts w:hint="eastAsia" w:ascii="宋体" w:hAnsi="宋体" w:cs="宋体"/>
                <w:b/>
                <w:bCs/>
                <w:i w:val="0"/>
                <w:iCs w:val="0"/>
                <w:strike w:val="0"/>
                <w:dstrike w:val="0"/>
                <w:color w:val="auto"/>
                <w:kern w:val="0"/>
                <w:sz w:val="21"/>
                <w:szCs w:val="21"/>
                <w:highlight w:val="none"/>
                <w:lang w:val="en-US" w:eastAsia="zh-CN" w:bidi="ar"/>
              </w:rPr>
              <w:t>”的重要参数（20分）</w:t>
            </w:r>
          </w:p>
          <w:p w14:paraId="469CB002">
            <w:pPr>
              <w:numPr>
                <w:ilvl w:val="0"/>
                <w:numId w:val="0"/>
              </w:numPr>
              <w:spacing w:line="360" w:lineRule="auto"/>
              <w:ind w:firstLine="420" w:firstLineChars="200"/>
              <w:rPr>
                <w:rFonts w:hint="eastAsia" w:ascii="宋体" w:hAnsi="宋体" w:cs="宋体"/>
                <w:b w:val="0"/>
                <w:bCs w:val="0"/>
                <w:i w:val="0"/>
                <w:iCs w:val="0"/>
                <w:strike w:val="0"/>
                <w:dstrike w:val="0"/>
                <w:color w:val="auto"/>
                <w:kern w:val="0"/>
                <w:sz w:val="21"/>
                <w:szCs w:val="21"/>
                <w:highlight w:val="none"/>
                <w:lang w:val="en-US" w:eastAsia="zh-CN" w:bidi="ar"/>
              </w:rPr>
            </w:pPr>
            <w:r>
              <w:rPr>
                <w:rFonts w:hint="eastAsia" w:ascii="宋体" w:hAnsi="宋体" w:cs="宋体"/>
                <w:b w:val="0"/>
                <w:bCs w:val="0"/>
                <w:i w:val="0"/>
                <w:iCs w:val="0"/>
                <w:strike w:val="0"/>
                <w:dstrike w:val="0"/>
                <w:color w:val="auto"/>
                <w:kern w:val="0"/>
                <w:sz w:val="21"/>
                <w:szCs w:val="21"/>
                <w:highlight w:val="none"/>
                <w:lang w:val="en-US" w:eastAsia="zh-CN" w:bidi="ar"/>
              </w:rPr>
              <w:t>（1）若该项为单一技术指标：每有1项负偏离，扣5分；</w:t>
            </w:r>
          </w:p>
          <w:p w14:paraId="2F94E775">
            <w:pPr>
              <w:numPr>
                <w:ilvl w:val="0"/>
                <w:numId w:val="0"/>
              </w:numPr>
              <w:spacing w:line="360" w:lineRule="auto"/>
              <w:ind w:firstLine="420" w:firstLineChars="200"/>
              <w:rPr>
                <w:rFonts w:hint="default" w:ascii="宋体" w:hAnsi="宋体" w:cs="宋体"/>
                <w:b w:val="0"/>
                <w:bCs w:val="0"/>
                <w:i w:val="0"/>
                <w:iCs w:val="0"/>
                <w:strike w:val="0"/>
                <w:dstrike w:val="0"/>
                <w:color w:val="auto"/>
                <w:kern w:val="0"/>
                <w:sz w:val="21"/>
                <w:szCs w:val="21"/>
                <w:highlight w:val="none"/>
                <w:lang w:val="en-US" w:eastAsia="zh-CN" w:bidi="ar"/>
              </w:rPr>
            </w:pPr>
            <w:r>
              <w:rPr>
                <w:rFonts w:hint="eastAsia" w:ascii="宋体" w:hAnsi="宋体" w:cs="宋体"/>
                <w:b w:val="0"/>
                <w:bCs w:val="0"/>
                <w:i w:val="0"/>
                <w:iCs w:val="0"/>
                <w:strike w:val="0"/>
                <w:dstrike w:val="0"/>
                <w:color w:val="auto"/>
                <w:kern w:val="0"/>
                <w:sz w:val="21"/>
                <w:szCs w:val="21"/>
                <w:highlight w:val="none"/>
                <w:lang w:val="en-US" w:eastAsia="zh-CN" w:bidi="ar"/>
              </w:rPr>
              <w:t>（2）若该项包含若干子参数：</w:t>
            </w:r>
            <w:r>
              <w:rPr>
                <w:rFonts w:hint="default" w:ascii="宋体" w:hAnsi="宋体" w:cs="宋体"/>
                <w:b w:val="0"/>
                <w:bCs w:val="0"/>
                <w:i w:val="0"/>
                <w:iCs w:val="0"/>
                <w:strike w:val="0"/>
                <w:dstrike w:val="0"/>
                <w:color w:val="auto"/>
                <w:kern w:val="0"/>
                <w:sz w:val="21"/>
                <w:szCs w:val="21"/>
                <w:highlight w:val="none"/>
                <w:lang w:val="en-US" w:eastAsia="zh-CN" w:bidi="ar"/>
              </w:rPr>
              <w:t>子参数属于该</w:t>
            </w:r>
            <w:r>
              <w:rPr>
                <w:rFonts w:hint="eastAsia" w:ascii="宋体" w:hAnsi="宋体" w:cs="宋体"/>
                <w:b w:val="0"/>
                <w:bCs w:val="0"/>
                <w:i w:val="0"/>
                <w:iCs w:val="0"/>
                <w:strike w:val="0"/>
                <w:dstrike w:val="0"/>
                <w:color w:val="auto"/>
                <w:kern w:val="0"/>
                <w:sz w:val="21"/>
                <w:szCs w:val="21"/>
                <w:highlight w:val="none"/>
                <w:lang w:val="en-US" w:eastAsia="zh-CN" w:bidi="ar"/>
              </w:rPr>
              <w:t>项</w:t>
            </w:r>
            <w:r>
              <w:rPr>
                <w:rFonts w:hint="default" w:ascii="宋体" w:hAnsi="宋体" w:cs="宋体"/>
                <w:b w:val="0"/>
                <w:bCs w:val="0"/>
                <w:i w:val="0"/>
                <w:iCs w:val="0"/>
                <w:strike w:val="0"/>
                <w:dstrike w:val="0"/>
                <w:color w:val="auto"/>
                <w:kern w:val="0"/>
                <w:sz w:val="21"/>
                <w:szCs w:val="21"/>
                <w:highlight w:val="none"/>
                <w:lang w:val="en-US" w:eastAsia="zh-CN" w:bidi="ar"/>
              </w:rPr>
              <w:t>的组成内容，每</w:t>
            </w:r>
            <w:r>
              <w:rPr>
                <w:rFonts w:hint="eastAsia" w:ascii="宋体" w:hAnsi="宋体" w:cs="宋体"/>
                <w:b w:val="0"/>
                <w:bCs w:val="0"/>
                <w:i w:val="0"/>
                <w:iCs w:val="0"/>
                <w:strike w:val="0"/>
                <w:dstrike w:val="0"/>
                <w:color w:val="auto"/>
                <w:kern w:val="0"/>
                <w:sz w:val="21"/>
                <w:szCs w:val="21"/>
                <w:highlight w:val="none"/>
                <w:lang w:val="en-US" w:eastAsia="zh-CN" w:bidi="ar"/>
              </w:rPr>
              <w:t>有</w:t>
            </w:r>
            <w:r>
              <w:rPr>
                <w:rFonts w:hint="default" w:ascii="宋体" w:hAnsi="宋体" w:cs="宋体"/>
                <w:b w:val="0"/>
                <w:bCs w:val="0"/>
                <w:i w:val="0"/>
                <w:iCs w:val="0"/>
                <w:strike w:val="0"/>
                <w:dstrike w:val="0"/>
                <w:color w:val="auto"/>
                <w:kern w:val="0"/>
                <w:sz w:val="21"/>
                <w:szCs w:val="21"/>
                <w:highlight w:val="none"/>
                <w:lang w:val="en-US" w:eastAsia="zh-CN" w:bidi="ar"/>
              </w:rPr>
              <w:t>1项子参数负偏离扣1分</w:t>
            </w:r>
            <w:r>
              <w:rPr>
                <w:rFonts w:hint="eastAsia" w:ascii="宋体" w:hAnsi="宋体" w:cs="宋体"/>
                <w:b w:val="0"/>
                <w:bCs w:val="0"/>
                <w:i w:val="0"/>
                <w:iCs w:val="0"/>
                <w:strike w:val="0"/>
                <w:dstrike w:val="0"/>
                <w:color w:val="auto"/>
                <w:kern w:val="0"/>
                <w:sz w:val="21"/>
                <w:szCs w:val="21"/>
                <w:highlight w:val="none"/>
                <w:lang w:val="en-US" w:eastAsia="zh-CN" w:bidi="ar"/>
              </w:rPr>
              <w:t>；</w:t>
            </w:r>
            <w:r>
              <w:rPr>
                <w:rFonts w:hint="default" w:ascii="宋体" w:hAnsi="宋体" w:cs="宋体"/>
                <w:b w:val="0"/>
                <w:bCs w:val="0"/>
                <w:i w:val="0"/>
                <w:iCs w:val="0"/>
                <w:strike w:val="0"/>
                <w:dstrike w:val="0"/>
                <w:color w:val="auto"/>
                <w:kern w:val="0"/>
                <w:sz w:val="21"/>
                <w:szCs w:val="21"/>
                <w:highlight w:val="none"/>
                <w:lang w:val="en-US" w:eastAsia="zh-CN" w:bidi="ar"/>
              </w:rPr>
              <w:t>2项</w:t>
            </w:r>
            <w:r>
              <w:rPr>
                <w:rFonts w:hint="eastAsia" w:ascii="宋体" w:hAnsi="宋体" w:cs="宋体"/>
                <w:b w:val="0"/>
                <w:bCs w:val="0"/>
                <w:i w:val="0"/>
                <w:iCs w:val="0"/>
                <w:strike w:val="0"/>
                <w:dstrike w:val="0"/>
                <w:color w:val="auto"/>
                <w:kern w:val="0"/>
                <w:sz w:val="21"/>
                <w:szCs w:val="21"/>
                <w:highlight w:val="none"/>
                <w:lang w:val="en-US" w:eastAsia="zh-CN" w:bidi="ar"/>
              </w:rPr>
              <w:t>子参数</w:t>
            </w:r>
            <w:r>
              <w:rPr>
                <w:rFonts w:hint="default" w:ascii="宋体" w:hAnsi="宋体" w:cs="宋体"/>
                <w:b w:val="0"/>
                <w:bCs w:val="0"/>
                <w:i w:val="0"/>
                <w:iCs w:val="0"/>
                <w:strike w:val="0"/>
                <w:dstrike w:val="0"/>
                <w:color w:val="auto"/>
                <w:kern w:val="0"/>
                <w:sz w:val="21"/>
                <w:szCs w:val="21"/>
                <w:highlight w:val="none"/>
                <w:lang w:val="en-US" w:eastAsia="zh-CN" w:bidi="ar"/>
              </w:rPr>
              <w:t>负偏离扣2分</w:t>
            </w:r>
            <w:r>
              <w:rPr>
                <w:rFonts w:hint="eastAsia" w:ascii="宋体" w:hAnsi="宋体" w:cs="宋体"/>
                <w:b w:val="0"/>
                <w:bCs w:val="0"/>
                <w:i w:val="0"/>
                <w:iCs w:val="0"/>
                <w:strike w:val="0"/>
                <w:dstrike w:val="0"/>
                <w:color w:val="auto"/>
                <w:kern w:val="0"/>
                <w:sz w:val="21"/>
                <w:szCs w:val="21"/>
                <w:highlight w:val="none"/>
                <w:lang w:val="en-US" w:eastAsia="zh-CN" w:bidi="ar"/>
              </w:rPr>
              <w:t>；</w:t>
            </w:r>
            <w:r>
              <w:rPr>
                <w:rFonts w:hint="default" w:ascii="宋体" w:hAnsi="宋体" w:cs="宋体"/>
                <w:b w:val="0"/>
                <w:bCs w:val="0"/>
                <w:i w:val="0"/>
                <w:iCs w:val="0"/>
                <w:strike w:val="0"/>
                <w:dstrike w:val="0"/>
                <w:color w:val="auto"/>
                <w:kern w:val="0"/>
                <w:sz w:val="21"/>
                <w:szCs w:val="21"/>
                <w:highlight w:val="none"/>
                <w:lang w:val="en-US" w:eastAsia="zh-CN" w:bidi="ar"/>
              </w:rPr>
              <w:t>3项及以上</w:t>
            </w:r>
            <w:r>
              <w:rPr>
                <w:rFonts w:hint="eastAsia" w:ascii="宋体" w:hAnsi="宋体" w:cs="宋体"/>
                <w:b w:val="0"/>
                <w:bCs w:val="0"/>
                <w:i w:val="0"/>
                <w:iCs w:val="0"/>
                <w:strike w:val="0"/>
                <w:dstrike w:val="0"/>
                <w:color w:val="auto"/>
                <w:kern w:val="0"/>
                <w:sz w:val="21"/>
                <w:szCs w:val="21"/>
                <w:highlight w:val="none"/>
                <w:lang w:val="en-US" w:eastAsia="zh-CN" w:bidi="ar"/>
              </w:rPr>
              <w:t>子参数</w:t>
            </w:r>
            <w:r>
              <w:rPr>
                <w:rFonts w:hint="default" w:ascii="宋体" w:hAnsi="宋体" w:cs="宋体"/>
                <w:b w:val="0"/>
                <w:bCs w:val="0"/>
                <w:i w:val="0"/>
                <w:iCs w:val="0"/>
                <w:strike w:val="0"/>
                <w:dstrike w:val="0"/>
                <w:color w:val="auto"/>
                <w:kern w:val="0"/>
                <w:sz w:val="21"/>
                <w:szCs w:val="21"/>
                <w:highlight w:val="none"/>
                <w:lang w:val="en-US" w:eastAsia="zh-CN" w:bidi="ar"/>
              </w:rPr>
              <w:t>负偏离扣</w:t>
            </w:r>
            <w:r>
              <w:rPr>
                <w:rFonts w:hint="eastAsia" w:ascii="宋体" w:hAnsi="宋体" w:cs="宋体"/>
                <w:b w:val="0"/>
                <w:bCs w:val="0"/>
                <w:i w:val="0"/>
                <w:iCs w:val="0"/>
                <w:strike w:val="0"/>
                <w:dstrike w:val="0"/>
                <w:color w:val="auto"/>
                <w:kern w:val="0"/>
                <w:sz w:val="21"/>
                <w:szCs w:val="21"/>
                <w:highlight w:val="none"/>
                <w:lang w:val="en-US" w:eastAsia="zh-CN" w:bidi="ar"/>
              </w:rPr>
              <w:t>完本单项分值5</w:t>
            </w:r>
            <w:r>
              <w:rPr>
                <w:rFonts w:hint="default" w:ascii="宋体" w:hAnsi="宋体" w:cs="宋体"/>
                <w:b w:val="0"/>
                <w:bCs w:val="0"/>
                <w:i w:val="0"/>
                <w:iCs w:val="0"/>
                <w:strike w:val="0"/>
                <w:dstrike w:val="0"/>
                <w:color w:val="auto"/>
                <w:kern w:val="0"/>
                <w:sz w:val="21"/>
                <w:szCs w:val="21"/>
                <w:highlight w:val="none"/>
                <w:lang w:val="en-US" w:eastAsia="zh-CN" w:bidi="ar"/>
              </w:rPr>
              <w:t>分。</w:t>
            </w:r>
          </w:p>
          <w:p w14:paraId="461F818A">
            <w:pPr>
              <w:spacing w:line="360" w:lineRule="auto"/>
              <w:ind w:firstLine="422" w:firstLineChars="200"/>
              <w:rPr>
                <w:rFonts w:hint="eastAsia" w:ascii="宋体" w:hAnsi="宋体" w:cs="宋体"/>
                <w:b/>
                <w:bCs/>
                <w:i w:val="0"/>
                <w:iCs w:val="0"/>
                <w:strike w:val="0"/>
                <w:dstrike w:val="0"/>
                <w:color w:val="auto"/>
                <w:kern w:val="0"/>
                <w:sz w:val="21"/>
                <w:szCs w:val="21"/>
                <w:lang w:val="en-US" w:eastAsia="zh-CN" w:bidi="ar"/>
              </w:rPr>
            </w:pPr>
            <w:r>
              <w:rPr>
                <w:rFonts w:hint="eastAsia" w:ascii="宋体" w:hAnsi="宋体" w:cs="宋体"/>
                <w:b/>
                <w:bCs/>
                <w:i w:val="0"/>
                <w:iCs w:val="0"/>
                <w:strike w:val="0"/>
                <w:dstrike w:val="0"/>
                <w:color w:val="auto"/>
                <w:kern w:val="0"/>
                <w:sz w:val="21"/>
                <w:szCs w:val="21"/>
                <w:lang w:val="en-US" w:eastAsia="zh-CN" w:bidi="ar"/>
              </w:rPr>
              <w:t>2、非标注“</w:t>
            </w:r>
            <w:r>
              <w:rPr>
                <w:rFonts w:hint="eastAsia" w:ascii="宋体" w:hAnsi="宋体" w:eastAsia="宋体" w:cs="宋体"/>
                <w:b/>
                <w:bCs/>
                <w:i w:val="0"/>
                <w:iCs w:val="0"/>
                <w:strike w:val="0"/>
                <w:dstrike w:val="0"/>
                <w:color w:val="auto"/>
                <w:kern w:val="0"/>
                <w:sz w:val="21"/>
                <w:szCs w:val="21"/>
                <w:lang w:val="en-US" w:eastAsia="zh-CN" w:bidi="ar"/>
              </w:rPr>
              <w:t>★</w:t>
            </w:r>
            <w:r>
              <w:rPr>
                <w:rFonts w:hint="eastAsia" w:ascii="宋体" w:hAnsi="宋体" w:cs="宋体"/>
                <w:b/>
                <w:bCs/>
                <w:i w:val="0"/>
                <w:iCs w:val="0"/>
                <w:strike w:val="0"/>
                <w:dstrike w:val="0"/>
                <w:color w:val="auto"/>
                <w:kern w:val="0"/>
                <w:sz w:val="21"/>
                <w:szCs w:val="21"/>
                <w:lang w:val="en-US" w:eastAsia="zh-CN" w:bidi="ar"/>
              </w:rPr>
              <w:t>”的普通参数（10分）</w:t>
            </w:r>
          </w:p>
          <w:p w14:paraId="161D1F4A">
            <w:pPr>
              <w:spacing w:line="360" w:lineRule="auto"/>
              <w:ind w:firstLine="420" w:firstLineChars="200"/>
              <w:rPr>
                <w:rFonts w:hint="eastAsia" w:ascii="宋体" w:hAnsi="宋体" w:cs="宋体"/>
                <w:b w:val="0"/>
                <w:bCs w:val="0"/>
                <w:i w:val="0"/>
                <w:iCs w:val="0"/>
                <w:strike w:val="0"/>
                <w:dstrike w:val="0"/>
                <w:color w:val="auto"/>
                <w:kern w:val="0"/>
                <w:sz w:val="21"/>
                <w:szCs w:val="21"/>
                <w:lang w:val="en-US" w:eastAsia="zh-CN" w:bidi="ar"/>
              </w:rPr>
            </w:pPr>
            <w:r>
              <w:rPr>
                <w:rFonts w:hint="eastAsia" w:ascii="宋体" w:hAnsi="宋体" w:cs="宋体"/>
                <w:b w:val="0"/>
                <w:bCs w:val="0"/>
                <w:i w:val="0"/>
                <w:iCs w:val="0"/>
                <w:strike w:val="0"/>
                <w:dstrike w:val="0"/>
                <w:color w:val="auto"/>
                <w:kern w:val="0"/>
                <w:sz w:val="21"/>
                <w:szCs w:val="21"/>
                <w:lang w:val="en-US" w:eastAsia="zh-CN" w:bidi="ar"/>
              </w:rPr>
              <w:t>每有1项负偏离扣2分，累计5项为0分。</w:t>
            </w:r>
          </w:p>
          <w:p w14:paraId="2234088F">
            <w:pPr>
              <w:spacing w:line="360" w:lineRule="auto"/>
              <w:ind w:firstLine="420" w:firstLineChars="200"/>
              <w:rPr>
                <w:rFonts w:hint="eastAsia" w:ascii="宋体" w:hAnsi="宋体" w:cs="宋体"/>
                <w:b w:val="0"/>
                <w:bCs w:val="0"/>
                <w:i w:val="0"/>
                <w:iCs w:val="0"/>
                <w:strike w:val="0"/>
                <w:dstrike w:val="0"/>
                <w:color w:val="auto"/>
                <w:kern w:val="0"/>
                <w:sz w:val="21"/>
                <w:szCs w:val="21"/>
                <w:lang w:val="en-US" w:eastAsia="zh-CN" w:bidi="ar"/>
              </w:rPr>
            </w:pPr>
          </w:p>
          <w:p w14:paraId="42EC1EC4">
            <w:pPr>
              <w:spacing w:line="360" w:lineRule="auto"/>
              <w:ind w:firstLine="420" w:firstLineChars="200"/>
              <w:rPr>
                <w:rFonts w:hint="default" w:ascii="宋体" w:hAnsi="宋体" w:cs="宋体"/>
                <w:b w:val="0"/>
                <w:bCs w:val="0"/>
                <w:i w:val="0"/>
                <w:iCs w:val="0"/>
                <w:color w:val="auto"/>
                <w:kern w:val="0"/>
                <w:sz w:val="21"/>
                <w:szCs w:val="21"/>
                <w:lang w:val="en-US" w:eastAsia="zh-CN" w:bidi="ar"/>
              </w:rPr>
            </w:pPr>
            <w:r>
              <w:rPr>
                <w:rFonts w:hint="eastAsia" w:ascii="宋体" w:hAnsi="宋体" w:cs="宋体"/>
                <w:b w:val="0"/>
                <w:bCs w:val="0"/>
                <w:i w:val="0"/>
                <w:iCs w:val="0"/>
                <w:color w:val="auto"/>
                <w:kern w:val="0"/>
                <w:sz w:val="21"/>
                <w:szCs w:val="21"/>
                <w:lang w:val="en-US" w:eastAsia="zh-CN" w:bidi="ar"/>
              </w:rPr>
              <w:t>注：</w:t>
            </w:r>
            <w:r>
              <w:rPr>
                <w:rFonts w:hint="default" w:ascii="宋体" w:hAnsi="宋体" w:cs="宋体"/>
                <w:b w:val="0"/>
                <w:bCs w:val="0"/>
                <w:i w:val="0"/>
                <w:iCs w:val="0"/>
                <w:color w:val="auto"/>
                <w:kern w:val="0"/>
                <w:sz w:val="21"/>
                <w:szCs w:val="21"/>
                <w:lang w:val="en-US" w:eastAsia="zh-CN" w:bidi="ar"/>
              </w:rPr>
              <w:t>投标文件中须提供能反映“★”条款要求的相关证明材料扫描件，证明材料包括：除医疗器械注册证外，随注册医疗器械证时提交的“产品技术要求”或“产品检验报告”或技术白皮书或产品彩页。如技术白皮书或产品彩页内容与医疗器械注册证或随注册医疗器械证时提交的“产品技术要求”或“产品检验报告”不一致，以医疗器械注册证或随注册医疗器械证时提交的“产品技术要求”或“产品检验报告”为准。为便于评审，建议投标人对证明材料中的关键参数进行标注。</w:t>
            </w:r>
          </w:p>
        </w:tc>
      </w:tr>
      <w:tr w14:paraId="7BC89CCE">
        <w:tblPrEx>
          <w:tblCellMar>
            <w:top w:w="0" w:type="dxa"/>
            <w:left w:w="108" w:type="dxa"/>
            <w:bottom w:w="0" w:type="dxa"/>
            <w:right w:w="108" w:type="dxa"/>
          </w:tblCellMar>
        </w:tblPrEx>
        <w:trPr>
          <w:trHeight w:val="6344" w:hRule="atLeast"/>
          <w:jc w:val="center"/>
        </w:trPr>
        <w:tc>
          <w:tcPr>
            <w:tcW w:w="666" w:type="dxa"/>
            <w:tcBorders>
              <w:top w:val="single" w:color="auto" w:sz="4" w:space="0"/>
              <w:left w:val="single" w:color="auto" w:sz="4" w:space="0"/>
              <w:bottom w:val="single" w:color="auto" w:sz="4" w:space="0"/>
              <w:right w:val="single" w:color="000000" w:sz="4" w:space="0"/>
            </w:tcBorders>
            <w:noWrap/>
            <w:vAlign w:val="center"/>
          </w:tcPr>
          <w:p w14:paraId="12890B9F">
            <w:pPr>
              <w:spacing w:line="440" w:lineRule="exact"/>
              <w:jc w:val="center"/>
              <w:rPr>
                <w:rFonts w:hint="eastAsia" w:ascii="宋体" w:hAnsi="宋体" w:cs="宋体"/>
                <w:color w:val="auto"/>
                <w:szCs w:val="21"/>
              </w:rPr>
            </w:pPr>
            <w:r>
              <w:rPr>
                <w:rFonts w:hint="eastAsia" w:ascii="宋体" w:hAnsi="宋体" w:cs="宋体"/>
                <w:color w:val="auto"/>
                <w:szCs w:val="21"/>
              </w:rPr>
              <w:t>3</w:t>
            </w:r>
          </w:p>
        </w:tc>
        <w:tc>
          <w:tcPr>
            <w:tcW w:w="1458" w:type="dxa"/>
            <w:tcBorders>
              <w:top w:val="single" w:color="auto" w:sz="4" w:space="0"/>
              <w:left w:val="single" w:color="000000" w:sz="4" w:space="0"/>
              <w:bottom w:val="single" w:color="auto" w:sz="4" w:space="0"/>
              <w:right w:val="single" w:color="000000" w:sz="4" w:space="0"/>
            </w:tcBorders>
            <w:noWrap w:val="0"/>
            <w:vAlign w:val="center"/>
          </w:tcPr>
          <w:p w14:paraId="30161C6E">
            <w:pPr>
              <w:spacing w:line="440" w:lineRule="exact"/>
              <w:jc w:val="center"/>
              <w:rPr>
                <w:rFonts w:hint="eastAsia" w:ascii="宋体" w:hAnsi="宋体" w:cs="宋体"/>
                <w:b/>
                <w:bCs/>
                <w:color w:val="auto"/>
                <w:szCs w:val="21"/>
              </w:rPr>
            </w:pPr>
            <w:r>
              <w:rPr>
                <w:rFonts w:hint="eastAsia" w:ascii="宋体" w:hAnsi="宋体" w:cs="宋体"/>
                <w:b/>
                <w:bCs/>
                <w:color w:val="auto"/>
                <w:szCs w:val="21"/>
              </w:rPr>
              <w:t>项目实施</w:t>
            </w:r>
          </w:p>
          <w:p w14:paraId="674CF7F5">
            <w:pPr>
              <w:spacing w:line="440" w:lineRule="exact"/>
              <w:jc w:val="center"/>
              <w:rPr>
                <w:rFonts w:hint="eastAsia" w:ascii="宋体" w:hAnsi="宋体" w:cs="宋体"/>
                <w:b/>
                <w:bCs/>
                <w:color w:val="auto"/>
                <w:szCs w:val="21"/>
              </w:rPr>
            </w:pPr>
            <w:r>
              <w:rPr>
                <w:rFonts w:hint="eastAsia" w:ascii="宋体" w:hAnsi="宋体" w:cs="宋体"/>
                <w:b/>
                <w:bCs/>
                <w:color w:val="auto"/>
                <w:szCs w:val="21"/>
              </w:rPr>
              <w:t>方案</w:t>
            </w:r>
          </w:p>
          <w:p w14:paraId="6D0E7EA2">
            <w:pPr>
              <w:spacing w:line="440" w:lineRule="exact"/>
              <w:jc w:val="center"/>
              <w:rPr>
                <w:rFonts w:hint="eastAsia" w:ascii="宋体" w:hAnsi="宋体" w:cs="宋体"/>
                <w:b/>
                <w:bCs/>
                <w:color w:val="auto"/>
                <w:szCs w:val="21"/>
              </w:rPr>
            </w:pPr>
            <w:r>
              <w:rPr>
                <w:rFonts w:hint="eastAsia" w:ascii="宋体" w:hAnsi="宋体" w:cs="宋体"/>
                <w:b/>
                <w:bCs/>
                <w:color w:val="auto"/>
                <w:szCs w:val="21"/>
              </w:rPr>
              <w:t>（满分</w:t>
            </w:r>
            <w:r>
              <w:rPr>
                <w:rFonts w:hint="eastAsia" w:ascii="宋体" w:hAnsi="宋体" w:cs="宋体"/>
                <w:b/>
                <w:bCs/>
                <w:color w:val="auto"/>
                <w:szCs w:val="21"/>
                <w:lang w:val="en-US" w:eastAsia="zh-CN"/>
              </w:rPr>
              <w:t>15</w:t>
            </w:r>
            <w:r>
              <w:rPr>
                <w:rFonts w:hint="eastAsia" w:ascii="宋体" w:hAnsi="宋体" w:cs="宋体"/>
                <w:b/>
                <w:bCs/>
                <w:color w:val="auto"/>
                <w:szCs w:val="21"/>
              </w:rPr>
              <w:t>分）</w:t>
            </w:r>
          </w:p>
          <w:p w14:paraId="70D6735A">
            <w:pPr>
              <w:spacing w:line="440" w:lineRule="exact"/>
              <w:jc w:val="center"/>
              <w:rPr>
                <w:rFonts w:hint="eastAsia" w:ascii="宋体" w:hAnsi="宋体" w:cs="宋体"/>
                <w:b/>
                <w:bCs/>
                <w:color w:val="auto"/>
                <w:szCs w:val="21"/>
              </w:rPr>
            </w:pPr>
          </w:p>
        </w:tc>
        <w:tc>
          <w:tcPr>
            <w:tcW w:w="6765" w:type="dxa"/>
            <w:tcBorders>
              <w:top w:val="single" w:color="auto" w:sz="4" w:space="0"/>
              <w:left w:val="single" w:color="000000" w:sz="4" w:space="0"/>
              <w:bottom w:val="single" w:color="auto" w:sz="4" w:space="0"/>
              <w:right w:val="single" w:color="auto" w:sz="4" w:space="0"/>
            </w:tcBorders>
            <w:noWrap w:val="0"/>
            <w:vAlign w:val="center"/>
          </w:tcPr>
          <w:p w14:paraId="2E525D3F">
            <w:pPr>
              <w:spacing w:line="360" w:lineRule="auto"/>
              <w:ind w:firstLine="420" w:firstLineChars="200"/>
              <w:outlineLvl w:val="0"/>
              <w:rPr>
                <w:rFonts w:hint="eastAsia" w:ascii="宋体" w:hAnsi="宋体"/>
                <w:bCs/>
                <w:color w:val="auto"/>
                <w:kern w:val="0"/>
                <w:szCs w:val="21"/>
              </w:rPr>
            </w:pPr>
            <w:r>
              <w:rPr>
                <w:rFonts w:hint="eastAsia" w:ascii="宋体" w:hAnsi="宋体"/>
                <w:bCs/>
                <w:color w:val="auto"/>
                <w:kern w:val="0"/>
                <w:szCs w:val="21"/>
              </w:rPr>
              <w:t>一档（1分）：提供的项目实施方案包含基本实施步骤，能满足货物交付的基本要求。</w:t>
            </w:r>
          </w:p>
          <w:p w14:paraId="505551F7">
            <w:pPr>
              <w:spacing w:line="360" w:lineRule="auto"/>
              <w:ind w:firstLine="420" w:firstLineChars="200"/>
              <w:outlineLvl w:val="0"/>
              <w:rPr>
                <w:rFonts w:hint="eastAsia" w:ascii="宋体" w:hAnsi="宋体"/>
                <w:bCs/>
                <w:color w:val="auto"/>
                <w:kern w:val="0"/>
                <w:szCs w:val="21"/>
              </w:rPr>
            </w:pPr>
            <w:r>
              <w:rPr>
                <w:rFonts w:hint="eastAsia" w:ascii="宋体" w:hAnsi="宋体"/>
                <w:bCs/>
                <w:color w:val="auto"/>
                <w:kern w:val="0"/>
                <w:szCs w:val="21"/>
              </w:rPr>
              <w:t>二档（</w:t>
            </w:r>
            <w:r>
              <w:rPr>
                <w:rFonts w:hint="eastAsia" w:ascii="宋体" w:hAnsi="宋体"/>
                <w:bCs/>
                <w:color w:val="auto"/>
                <w:kern w:val="0"/>
                <w:szCs w:val="21"/>
                <w:lang w:val="en-US" w:eastAsia="zh-CN"/>
              </w:rPr>
              <w:t>5</w:t>
            </w:r>
            <w:r>
              <w:rPr>
                <w:rFonts w:hint="eastAsia" w:ascii="宋体" w:hAnsi="宋体"/>
                <w:bCs/>
                <w:color w:val="auto"/>
                <w:kern w:val="0"/>
                <w:szCs w:val="21"/>
              </w:rPr>
              <w:t>分）：满足一档基础上，方案包含完整的实施计划与组织分工，有明确的实施进度安排（含各节点时间规划），能针对本项目的设备提出初步的安装与调试方法。</w:t>
            </w:r>
          </w:p>
          <w:p w14:paraId="3D55CCFC">
            <w:pPr>
              <w:spacing w:line="360" w:lineRule="auto"/>
              <w:ind w:firstLine="420" w:firstLineChars="200"/>
              <w:outlineLvl w:val="0"/>
              <w:rPr>
                <w:rFonts w:hint="eastAsia" w:ascii="宋体" w:hAnsi="宋体"/>
                <w:bCs/>
                <w:color w:val="auto"/>
                <w:kern w:val="0"/>
                <w:szCs w:val="21"/>
              </w:rPr>
            </w:pPr>
            <w:r>
              <w:rPr>
                <w:rFonts w:hint="eastAsia" w:ascii="宋体" w:hAnsi="宋体"/>
                <w:bCs/>
                <w:color w:val="auto"/>
                <w:kern w:val="0"/>
                <w:szCs w:val="21"/>
              </w:rPr>
              <w:t>三档（</w:t>
            </w:r>
            <w:r>
              <w:rPr>
                <w:rFonts w:hint="eastAsia" w:ascii="宋体" w:hAnsi="宋体"/>
                <w:bCs/>
                <w:color w:val="auto"/>
                <w:kern w:val="0"/>
                <w:szCs w:val="21"/>
                <w:lang w:val="en-US" w:eastAsia="zh-CN"/>
              </w:rPr>
              <w:t>10</w:t>
            </w:r>
            <w:r>
              <w:rPr>
                <w:rFonts w:hint="eastAsia" w:ascii="宋体" w:hAnsi="宋体"/>
                <w:bCs/>
                <w:color w:val="auto"/>
                <w:kern w:val="0"/>
                <w:szCs w:val="21"/>
              </w:rPr>
              <w:t>分）：满足二档基础上，方案详细可行，组织机构及人员分工明确，技术路线清晰；能结合</w:t>
            </w:r>
            <w:r>
              <w:rPr>
                <w:rFonts w:hint="eastAsia" w:ascii="宋体" w:hAnsi="宋体"/>
                <w:bCs/>
                <w:color w:val="auto"/>
                <w:kern w:val="0"/>
                <w:szCs w:val="21"/>
                <w:lang w:val="en-US" w:eastAsia="zh-CN"/>
              </w:rPr>
              <w:t>采购人</w:t>
            </w:r>
            <w:r>
              <w:rPr>
                <w:rFonts w:hint="eastAsia" w:ascii="宋体" w:hAnsi="宋体"/>
                <w:bCs/>
                <w:color w:val="auto"/>
                <w:kern w:val="0"/>
                <w:szCs w:val="21"/>
              </w:rPr>
              <w:t>实际场景保证措施和安全实施工作措施。</w:t>
            </w:r>
          </w:p>
          <w:p w14:paraId="3AA2BB4E">
            <w:pPr>
              <w:spacing w:line="360" w:lineRule="auto"/>
              <w:ind w:firstLine="420" w:firstLineChars="200"/>
              <w:outlineLvl w:val="0"/>
              <w:rPr>
                <w:rFonts w:hint="eastAsia" w:ascii="宋体" w:hAnsi="宋体"/>
                <w:bCs/>
                <w:color w:val="auto"/>
                <w:kern w:val="0"/>
                <w:szCs w:val="21"/>
              </w:rPr>
            </w:pPr>
            <w:r>
              <w:rPr>
                <w:rFonts w:hint="eastAsia" w:ascii="宋体" w:hAnsi="宋体"/>
                <w:bCs/>
                <w:color w:val="auto"/>
                <w:kern w:val="0"/>
                <w:szCs w:val="21"/>
              </w:rPr>
              <w:t>四档（</w:t>
            </w:r>
            <w:r>
              <w:rPr>
                <w:rFonts w:hint="eastAsia" w:ascii="宋体" w:hAnsi="宋体"/>
                <w:bCs/>
                <w:color w:val="auto"/>
                <w:kern w:val="0"/>
                <w:szCs w:val="21"/>
                <w:lang w:val="en-US" w:eastAsia="zh-CN"/>
              </w:rPr>
              <w:t>15</w:t>
            </w:r>
            <w:r>
              <w:rPr>
                <w:rFonts w:hint="eastAsia" w:ascii="宋体" w:hAnsi="宋体"/>
                <w:bCs/>
                <w:color w:val="auto"/>
                <w:kern w:val="0"/>
                <w:szCs w:val="21"/>
              </w:rPr>
              <w:t>分）：满足三档基础上，方案内容全面详实、切合采购人实际，对项目实施各阶段（到货→安装→调试→验收）均有详细描述；方案涵盖设备全生命周期管理，包括但不限于设备运行保障、预防性维护计划、故障应急处理、备件供应保障及长期技术支持等，确保设备在全生命周期内运行可靠、成本可控；能针对医疗设备安装的特殊性提出专项保障措施。</w:t>
            </w:r>
          </w:p>
          <w:p w14:paraId="48F8DD4B">
            <w:pPr>
              <w:spacing w:line="360" w:lineRule="auto"/>
              <w:ind w:firstLine="422" w:firstLineChars="200"/>
              <w:outlineLvl w:val="0"/>
              <w:rPr>
                <w:rFonts w:hint="eastAsia" w:ascii="宋体" w:hAnsi="宋体" w:cs="宋体"/>
                <w:color w:val="auto"/>
                <w:szCs w:val="21"/>
              </w:rPr>
            </w:pPr>
            <w:r>
              <w:rPr>
                <w:rFonts w:hint="eastAsia" w:ascii="宋体" w:hAnsi="宋体" w:cs="宋体"/>
                <w:b/>
                <w:bCs/>
                <w:color w:val="auto"/>
                <w:szCs w:val="21"/>
              </w:rPr>
              <w:t>注：</w:t>
            </w:r>
            <w:r>
              <w:rPr>
                <w:rFonts w:hint="eastAsia" w:ascii="宋体" w:hAnsi="宋体"/>
                <w:b/>
                <w:bCs/>
                <w:color w:val="auto"/>
                <w:kern w:val="0"/>
                <w:szCs w:val="21"/>
              </w:rPr>
              <w:t>未提供项目</w:t>
            </w:r>
            <w:r>
              <w:rPr>
                <w:rFonts w:hint="eastAsia" w:ascii="宋体" w:hAnsi="宋体"/>
                <w:b/>
                <w:bCs/>
                <w:color w:val="auto"/>
                <w:kern w:val="0"/>
                <w:szCs w:val="21"/>
                <w:lang w:val="en-US" w:eastAsia="zh-CN"/>
              </w:rPr>
              <w:t>实施</w:t>
            </w:r>
            <w:r>
              <w:rPr>
                <w:rFonts w:hint="eastAsia" w:ascii="宋体" w:hAnsi="宋体"/>
                <w:b/>
                <w:bCs/>
                <w:color w:val="auto"/>
                <w:kern w:val="0"/>
                <w:szCs w:val="21"/>
              </w:rPr>
              <w:t>方案的不得分。</w:t>
            </w:r>
          </w:p>
        </w:tc>
      </w:tr>
      <w:tr w14:paraId="13253D88">
        <w:tblPrEx>
          <w:tblCellMar>
            <w:top w:w="0" w:type="dxa"/>
            <w:left w:w="108" w:type="dxa"/>
            <w:bottom w:w="0" w:type="dxa"/>
            <w:right w:w="108" w:type="dxa"/>
          </w:tblCellMar>
        </w:tblPrEx>
        <w:trPr>
          <w:trHeight w:val="449" w:hRule="atLeast"/>
          <w:jc w:val="center"/>
        </w:trPr>
        <w:tc>
          <w:tcPr>
            <w:tcW w:w="666" w:type="dxa"/>
            <w:tcBorders>
              <w:top w:val="single" w:color="auto" w:sz="4" w:space="0"/>
              <w:left w:val="single" w:color="auto" w:sz="4" w:space="0"/>
              <w:bottom w:val="single" w:color="auto" w:sz="4" w:space="0"/>
              <w:right w:val="single" w:color="000000" w:sz="4" w:space="0"/>
            </w:tcBorders>
            <w:noWrap/>
            <w:vAlign w:val="center"/>
          </w:tcPr>
          <w:p w14:paraId="6AD61DEA">
            <w:pPr>
              <w:spacing w:line="440" w:lineRule="exact"/>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4</w:t>
            </w:r>
          </w:p>
        </w:tc>
        <w:tc>
          <w:tcPr>
            <w:tcW w:w="1458" w:type="dxa"/>
            <w:tcBorders>
              <w:top w:val="single" w:color="auto" w:sz="4" w:space="0"/>
              <w:left w:val="single" w:color="000000" w:sz="4" w:space="0"/>
              <w:bottom w:val="single" w:color="auto" w:sz="4" w:space="0"/>
              <w:right w:val="single" w:color="000000" w:sz="4" w:space="0"/>
            </w:tcBorders>
            <w:noWrap w:val="0"/>
            <w:vAlign w:val="center"/>
          </w:tcPr>
          <w:p w14:paraId="5E6F9778">
            <w:pPr>
              <w:spacing w:line="440" w:lineRule="exact"/>
              <w:jc w:val="center"/>
              <w:rPr>
                <w:rFonts w:hint="eastAsia" w:ascii="宋体" w:hAnsi="宋体" w:cs="宋体"/>
                <w:b/>
                <w:bCs/>
                <w:color w:val="auto"/>
                <w:szCs w:val="21"/>
              </w:rPr>
            </w:pPr>
            <w:r>
              <w:rPr>
                <w:rFonts w:hint="eastAsia" w:ascii="宋体" w:hAnsi="宋体" w:cs="宋体"/>
                <w:b/>
                <w:bCs/>
                <w:color w:val="auto"/>
                <w:szCs w:val="21"/>
              </w:rPr>
              <w:t>培训方案</w:t>
            </w:r>
          </w:p>
          <w:p w14:paraId="528129A2">
            <w:pPr>
              <w:spacing w:line="440" w:lineRule="exact"/>
              <w:jc w:val="center"/>
              <w:rPr>
                <w:rFonts w:hint="eastAsia" w:ascii="宋体" w:hAnsi="宋体" w:cs="宋体"/>
                <w:b/>
                <w:bCs/>
                <w:color w:val="auto"/>
                <w:szCs w:val="21"/>
              </w:rPr>
            </w:pPr>
            <w:r>
              <w:rPr>
                <w:rFonts w:hint="eastAsia" w:ascii="宋体" w:hAnsi="宋体" w:cs="宋体"/>
                <w:b/>
                <w:bCs/>
                <w:color w:val="auto"/>
                <w:szCs w:val="21"/>
              </w:rPr>
              <w:t>（满分</w:t>
            </w:r>
            <w:r>
              <w:rPr>
                <w:rFonts w:hint="eastAsia" w:ascii="宋体" w:hAnsi="宋体" w:cs="宋体"/>
                <w:b/>
                <w:bCs/>
                <w:color w:val="auto"/>
                <w:szCs w:val="21"/>
                <w:lang w:val="en-US" w:eastAsia="zh-CN"/>
              </w:rPr>
              <w:t>5</w:t>
            </w:r>
            <w:r>
              <w:rPr>
                <w:rFonts w:hint="eastAsia" w:ascii="宋体" w:hAnsi="宋体" w:cs="宋体"/>
                <w:b/>
                <w:bCs/>
                <w:color w:val="auto"/>
                <w:szCs w:val="21"/>
              </w:rPr>
              <w:t>分）</w:t>
            </w:r>
          </w:p>
        </w:tc>
        <w:tc>
          <w:tcPr>
            <w:tcW w:w="6765" w:type="dxa"/>
            <w:tcBorders>
              <w:top w:val="single" w:color="auto" w:sz="4" w:space="0"/>
              <w:left w:val="single" w:color="000000" w:sz="4" w:space="0"/>
              <w:bottom w:val="single" w:color="auto" w:sz="4" w:space="0"/>
              <w:right w:val="single" w:color="auto" w:sz="4" w:space="0"/>
            </w:tcBorders>
            <w:noWrap w:val="0"/>
            <w:vAlign w:val="center"/>
          </w:tcPr>
          <w:p w14:paraId="0F34A963">
            <w:pPr>
              <w:spacing w:line="440" w:lineRule="exact"/>
              <w:ind w:firstLine="420" w:firstLineChars="200"/>
              <w:rPr>
                <w:rFonts w:hint="eastAsia" w:ascii="宋体" w:hAnsi="宋体" w:eastAsia="宋体" w:cs="宋体"/>
                <w:color w:val="auto"/>
                <w:lang w:bidi="ar"/>
              </w:rPr>
            </w:pPr>
            <w:r>
              <w:rPr>
                <w:rFonts w:hint="eastAsia" w:ascii="宋体" w:hAnsi="宋体" w:eastAsia="宋体" w:cs="宋体"/>
                <w:color w:val="auto"/>
                <w:lang w:bidi="ar"/>
              </w:rPr>
              <w:t>一档（</w:t>
            </w:r>
            <w:r>
              <w:rPr>
                <w:rFonts w:hint="eastAsia" w:ascii="宋体" w:hAnsi="宋体" w:cs="宋体"/>
                <w:color w:val="auto"/>
                <w:lang w:val="en-US" w:eastAsia="zh-CN" w:bidi="ar"/>
              </w:rPr>
              <w:t>2</w:t>
            </w:r>
            <w:r>
              <w:rPr>
                <w:rFonts w:hint="eastAsia" w:ascii="宋体" w:hAnsi="宋体" w:eastAsia="宋体" w:cs="宋体"/>
                <w:color w:val="auto"/>
                <w:lang w:bidi="ar"/>
              </w:rPr>
              <w:t>分）：提供培训方案，能满足招标文件的基本培训需求（包含培训安排、培训内容的基本描述）。</w:t>
            </w:r>
          </w:p>
          <w:p w14:paraId="75AE36AB">
            <w:pPr>
              <w:spacing w:line="440" w:lineRule="exact"/>
              <w:ind w:firstLine="420" w:firstLineChars="200"/>
              <w:rPr>
                <w:rFonts w:hint="eastAsia" w:ascii="宋体" w:hAnsi="宋体" w:eastAsia="宋体" w:cs="宋体"/>
                <w:color w:val="auto"/>
                <w:lang w:bidi="ar"/>
              </w:rPr>
            </w:pPr>
            <w:r>
              <w:rPr>
                <w:rFonts w:hint="eastAsia" w:ascii="宋体" w:hAnsi="宋体" w:eastAsia="宋体" w:cs="宋体"/>
                <w:color w:val="auto"/>
                <w:lang w:bidi="ar"/>
              </w:rPr>
              <w:t>二档（</w:t>
            </w:r>
            <w:r>
              <w:rPr>
                <w:rFonts w:hint="eastAsia" w:ascii="宋体" w:hAnsi="宋体" w:cs="宋体"/>
                <w:color w:val="auto"/>
                <w:lang w:val="en-US" w:eastAsia="zh-CN" w:bidi="ar"/>
              </w:rPr>
              <w:t>3</w:t>
            </w:r>
            <w:r>
              <w:rPr>
                <w:rFonts w:hint="eastAsia" w:ascii="宋体" w:hAnsi="宋体" w:eastAsia="宋体" w:cs="宋体"/>
                <w:color w:val="auto"/>
                <w:lang w:bidi="ar"/>
              </w:rPr>
              <w:t>分）：满足一档基础上，培训方案</w:t>
            </w:r>
            <w:r>
              <w:rPr>
                <w:rFonts w:hint="eastAsia" w:ascii="宋体" w:hAnsi="宋体" w:eastAsia="宋体" w:cs="宋体"/>
                <w:color w:val="auto"/>
                <w:lang w:val="en-US" w:eastAsia="zh-CN" w:bidi="ar"/>
              </w:rPr>
              <w:t>包含</w:t>
            </w:r>
            <w:r>
              <w:rPr>
                <w:rFonts w:hint="eastAsia" w:ascii="宋体" w:hAnsi="宋体" w:eastAsia="宋体" w:cs="宋体"/>
                <w:color w:val="auto"/>
                <w:lang w:bidi="ar"/>
              </w:rPr>
              <w:t>完整</w:t>
            </w:r>
            <w:r>
              <w:rPr>
                <w:rFonts w:hint="eastAsia" w:ascii="宋体" w:hAnsi="宋体" w:eastAsia="宋体" w:cs="宋体"/>
                <w:color w:val="auto"/>
                <w:lang w:val="en-US" w:eastAsia="zh-CN" w:bidi="ar"/>
              </w:rPr>
              <w:t>的</w:t>
            </w:r>
            <w:r>
              <w:rPr>
                <w:rFonts w:hint="eastAsia" w:ascii="宋体" w:hAnsi="宋体" w:eastAsia="宋体" w:cs="宋体"/>
                <w:color w:val="auto"/>
                <w:lang w:bidi="ar"/>
              </w:rPr>
              <w:t>培训计划（培训内容、时长、地点、方式、对象等）和培训方法（理论知识讲授、示范演示、实际操作练习），各要素齐全无缺漏。</w:t>
            </w:r>
          </w:p>
          <w:p w14:paraId="55FE00A7">
            <w:pPr>
              <w:spacing w:line="440" w:lineRule="exact"/>
              <w:ind w:firstLine="420" w:firstLineChars="200"/>
              <w:rPr>
                <w:rFonts w:hint="eastAsia" w:ascii="宋体" w:hAnsi="宋体" w:eastAsia="宋体" w:cs="宋体"/>
                <w:color w:val="auto"/>
                <w:lang w:bidi="ar"/>
              </w:rPr>
            </w:pPr>
            <w:r>
              <w:rPr>
                <w:rFonts w:hint="eastAsia" w:ascii="宋体" w:hAnsi="宋体" w:eastAsia="宋体" w:cs="宋体"/>
                <w:color w:val="auto"/>
                <w:lang w:bidi="ar"/>
              </w:rPr>
              <w:t>三档（</w:t>
            </w:r>
            <w:r>
              <w:rPr>
                <w:rFonts w:hint="eastAsia" w:ascii="宋体" w:hAnsi="宋体" w:cs="宋体"/>
                <w:color w:val="auto"/>
                <w:lang w:val="en-US" w:eastAsia="zh-CN" w:bidi="ar"/>
              </w:rPr>
              <w:t>4</w:t>
            </w:r>
            <w:r>
              <w:rPr>
                <w:rFonts w:hint="eastAsia" w:ascii="宋体" w:hAnsi="宋体" w:eastAsia="宋体" w:cs="宋体"/>
                <w:color w:val="auto"/>
                <w:lang w:bidi="ar"/>
              </w:rPr>
              <w:t>分）：满足二档基础上，培训方案能区分操作使用人员与设备维护人员两个层次分别制定培训内容；承诺在设备交付使用后可提供持续性的远程指导与再培训服务。</w:t>
            </w:r>
          </w:p>
          <w:p w14:paraId="50AF6347">
            <w:pPr>
              <w:spacing w:line="440" w:lineRule="exact"/>
              <w:ind w:firstLine="420" w:firstLineChars="200"/>
              <w:rPr>
                <w:rFonts w:hint="eastAsia" w:ascii="宋体" w:hAnsi="宋体" w:eastAsia="宋体" w:cs="宋体"/>
                <w:color w:val="auto"/>
                <w:lang w:bidi="ar"/>
              </w:rPr>
            </w:pPr>
            <w:r>
              <w:rPr>
                <w:rFonts w:hint="eastAsia" w:ascii="宋体" w:hAnsi="宋体" w:eastAsia="宋体" w:cs="宋体"/>
                <w:color w:val="auto"/>
                <w:lang w:bidi="ar"/>
              </w:rPr>
              <w:t>四档（</w:t>
            </w:r>
            <w:r>
              <w:rPr>
                <w:rFonts w:hint="eastAsia" w:ascii="宋体" w:hAnsi="宋体" w:cs="宋体"/>
                <w:color w:val="auto"/>
                <w:lang w:val="en-US" w:eastAsia="zh-CN" w:bidi="ar"/>
              </w:rPr>
              <w:t>5</w:t>
            </w:r>
            <w:r>
              <w:rPr>
                <w:rFonts w:hint="eastAsia" w:ascii="宋体" w:hAnsi="宋体" w:eastAsia="宋体" w:cs="宋体"/>
                <w:color w:val="auto"/>
                <w:lang w:bidi="ar"/>
              </w:rPr>
              <w:t>分）：满足三档基础上，培训方案对培训后的效果有明确的检验标准（如操作考核、独立上机等）；能承诺结合临床使用反馈定期更新培训内容，</w:t>
            </w:r>
            <w:r>
              <w:rPr>
                <w:rFonts w:hint="eastAsia" w:ascii="宋体" w:hAnsi="宋体" w:eastAsia="宋体" w:cs="宋体"/>
                <w:color w:val="auto"/>
                <w:lang w:val="en-US" w:eastAsia="zh-CN" w:bidi="ar"/>
              </w:rPr>
              <w:t>承诺结合临床使用反馈定期更新培训内容，提供终身免费的远程技术指导与不定期的现场巡回培训服务</w:t>
            </w:r>
            <w:r>
              <w:rPr>
                <w:rFonts w:hint="eastAsia" w:ascii="宋体" w:hAnsi="宋体" w:eastAsia="宋体" w:cs="宋体"/>
                <w:color w:val="auto"/>
                <w:lang w:bidi="ar"/>
              </w:rPr>
              <w:t>。</w:t>
            </w:r>
          </w:p>
          <w:p w14:paraId="5D0CC887">
            <w:pPr>
              <w:spacing w:line="440" w:lineRule="exact"/>
              <w:ind w:firstLine="422" w:firstLineChars="200"/>
              <w:rPr>
                <w:rFonts w:hint="eastAsia" w:ascii="宋体" w:hAnsi="宋体" w:cs="宋体"/>
                <w:b/>
                <w:bCs/>
                <w:color w:val="auto"/>
                <w:szCs w:val="21"/>
              </w:rPr>
            </w:pPr>
            <w:r>
              <w:rPr>
                <w:rFonts w:hint="eastAsia" w:ascii="宋体" w:hAnsi="宋体" w:cs="宋体"/>
                <w:b/>
                <w:bCs/>
                <w:color w:val="auto"/>
                <w:szCs w:val="21"/>
              </w:rPr>
              <w:t>注：</w:t>
            </w:r>
            <w:r>
              <w:rPr>
                <w:rFonts w:hint="eastAsia" w:ascii="宋体" w:hAnsi="宋体"/>
                <w:b/>
                <w:bCs/>
                <w:color w:val="auto"/>
                <w:kern w:val="0"/>
                <w:szCs w:val="21"/>
              </w:rPr>
              <w:t>未提供</w:t>
            </w:r>
            <w:r>
              <w:rPr>
                <w:rFonts w:hint="eastAsia" w:ascii="宋体" w:hAnsi="宋体"/>
                <w:b/>
                <w:bCs/>
                <w:color w:val="auto"/>
                <w:kern w:val="0"/>
                <w:szCs w:val="21"/>
                <w:lang w:val="en-US" w:eastAsia="zh-CN"/>
              </w:rPr>
              <w:t>培训</w:t>
            </w:r>
            <w:r>
              <w:rPr>
                <w:rFonts w:hint="eastAsia" w:ascii="宋体" w:hAnsi="宋体"/>
                <w:b/>
                <w:bCs/>
                <w:color w:val="auto"/>
                <w:kern w:val="0"/>
                <w:szCs w:val="21"/>
              </w:rPr>
              <w:t>方案的不得分。</w:t>
            </w:r>
          </w:p>
        </w:tc>
      </w:tr>
      <w:tr w14:paraId="5138BB62">
        <w:tblPrEx>
          <w:tblCellMar>
            <w:top w:w="0" w:type="dxa"/>
            <w:left w:w="108" w:type="dxa"/>
            <w:bottom w:w="0" w:type="dxa"/>
            <w:right w:w="108" w:type="dxa"/>
          </w:tblCellMar>
        </w:tblPrEx>
        <w:trPr>
          <w:trHeight w:val="90" w:hRule="atLeast"/>
          <w:jc w:val="center"/>
        </w:trPr>
        <w:tc>
          <w:tcPr>
            <w:tcW w:w="666" w:type="dxa"/>
            <w:tcBorders>
              <w:top w:val="single" w:color="auto" w:sz="4" w:space="0"/>
              <w:left w:val="single" w:color="000000" w:sz="4" w:space="0"/>
              <w:bottom w:val="single" w:color="000000" w:sz="4" w:space="0"/>
              <w:right w:val="single" w:color="000000" w:sz="4" w:space="0"/>
            </w:tcBorders>
            <w:noWrap/>
            <w:vAlign w:val="center"/>
          </w:tcPr>
          <w:p w14:paraId="4EDADC06">
            <w:pPr>
              <w:spacing w:line="44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5</w:t>
            </w:r>
          </w:p>
        </w:tc>
        <w:tc>
          <w:tcPr>
            <w:tcW w:w="1458" w:type="dxa"/>
            <w:tcBorders>
              <w:top w:val="single" w:color="auto" w:sz="4" w:space="0"/>
              <w:left w:val="single" w:color="000000" w:sz="4" w:space="0"/>
              <w:bottom w:val="single" w:color="000000" w:sz="4" w:space="0"/>
              <w:right w:val="single" w:color="000000" w:sz="4" w:space="0"/>
            </w:tcBorders>
            <w:noWrap w:val="0"/>
            <w:vAlign w:val="center"/>
          </w:tcPr>
          <w:p w14:paraId="6053A10A">
            <w:pPr>
              <w:spacing w:line="440" w:lineRule="exact"/>
              <w:jc w:val="center"/>
              <w:rPr>
                <w:rFonts w:hint="eastAsia" w:ascii="宋体" w:hAnsi="宋体" w:cs="宋体"/>
                <w:b/>
                <w:bCs/>
                <w:color w:val="auto"/>
                <w:szCs w:val="21"/>
              </w:rPr>
            </w:pPr>
            <w:r>
              <w:rPr>
                <w:rFonts w:hint="eastAsia" w:ascii="宋体" w:hAnsi="宋体" w:cs="宋体"/>
                <w:b/>
                <w:bCs/>
                <w:color w:val="auto"/>
                <w:szCs w:val="21"/>
              </w:rPr>
              <w:t>售后服务</w:t>
            </w:r>
          </w:p>
          <w:p w14:paraId="25B6A5F9">
            <w:pPr>
              <w:spacing w:line="440" w:lineRule="exact"/>
              <w:jc w:val="center"/>
              <w:rPr>
                <w:rFonts w:hint="eastAsia" w:ascii="宋体" w:hAnsi="宋体" w:cs="宋体"/>
                <w:b/>
                <w:bCs/>
                <w:color w:val="auto"/>
                <w:szCs w:val="21"/>
              </w:rPr>
            </w:pPr>
            <w:r>
              <w:rPr>
                <w:rFonts w:hint="eastAsia" w:ascii="宋体" w:hAnsi="宋体" w:cs="宋体"/>
                <w:b/>
                <w:bCs/>
                <w:color w:val="auto"/>
                <w:szCs w:val="21"/>
              </w:rPr>
              <w:t>方案及承诺</w:t>
            </w:r>
          </w:p>
          <w:p w14:paraId="656756DF">
            <w:pPr>
              <w:spacing w:line="440" w:lineRule="exact"/>
              <w:jc w:val="center"/>
              <w:rPr>
                <w:rFonts w:hint="eastAsia" w:ascii="宋体" w:hAnsi="宋体" w:cs="宋体"/>
                <w:b/>
                <w:bCs/>
                <w:color w:val="auto"/>
                <w:szCs w:val="21"/>
              </w:rPr>
            </w:pPr>
            <w:r>
              <w:rPr>
                <w:rFonts w:hint="eastAsia" w:ascii="宋体" w:hAnsi="宋体" w:cs="宋体"/>
                <w:b/>
                <w:bCs/>
                <w:color w:val="auto"/>
                <w:szCs w:val="21"/>
              </w:rPr>
              <w:t>（满分</w:t>
            </w:r>
            <w:r>
              <w:rPr>
                <w:rFonts w:hint="eastAsia" w:ascii="宋体" w:hAnsi="宋体" w:cs="宋体"/>
                <w:b/>
                <w:bCs/>
                <w:color w:val="auto"/>
                <w:szCs w:val="21"/>
                <w:lang w:val="en-US" w:eastAsia="zh-CN"/>
              </w:rPr>
              <w:t>10</w:t>
            </w:r>
            <w:r>
              <w:rPr>
                <w:rFonts w:hint="eastAsia" w:ascii="宋体" w:hAnsi="宋体" w:cs="宋体"/>
                <w:b/>
                <w:bCs/>
                <w:color w:val="auto"/>
                <w:szCs w:val="21"/>
              </w:rPr>
              <w:t>分）</w:t>
            </w:r>
          </w:p>
          <w:p w14:paraId="6039C588">
            <w:pPr>
              <w:spacing w:line="440" w:lineRule="exact"/>
              <w:jc w:val="center"/>
              <w:rPr>
                <w:rFonts w:hint="eastAsia" w:ascii="宋体" w:hAnsi="宋体" w:cs="宋体"/>
                <w:b/>
                <w:bCs/>
                <w:color w:val="auto"/>
                <w:szCs w:val="21"/>
              </w:rPr>
            </w:pPr>
          </w:p>
        </w:tc>
        <w:tc>
          <w:tcPr>
            <w:tcW w:w="6765" w:type="dxa"/>
            <w:tcBorders>
              <w:top w:val="single" w:color="auto" w:sz="4" w:space="0"/>
              <w:left w:val="single" w:color="000000" w:sz="4" w:space="0"/>
              <w:bottom w:val="single" w:color="000000" w:sz="4" w:space="0"/>
              <w:right w:val="single" w:color="000000" w:sz="4" w:space="0"/>
            </w:tcBorders>
            <w:noWrap w:val="0"/>
            <w:vAlign w:val="center"/>
          </w:tcPr>
          <w:p w14:paraId="17E720FA">
            <w:pPr>
              <w:spacing w:line="440" w:lineRule="exact"/>
              <w:ind w:firstLine="420" w:firstLineChars="200"/>
              <w:rPr>
                <w:rFonts w:hint="eastAsia" w:ascii="宋体" w:hAnsi="宋体"/>
                <w:bCs/>
                <w:color w:val="auto"/>
                <w:kern w:val="0"/>
                <w:szCs w:val="21"/>
              </w:rPr>
            </w:pPr>
            <w:r>
              <w:rPr>
                <w:rFonts w:hint="eastAsia" w:ascii="宋体" w:hAnsi="宋体"/>
                <w:bCs/>
                <w:color w:val="auto"/>
                <w:kern w:val="0"/>
                <w:szCs w:val="21"/>
              </w:rPr>
              <w:t>一档（1分）：仅提供售后服务方案及承诺，仅有售后服务、故障报修简单文字描述，方案内容简略。</w:t>
            </w:r>
          </w:p>
          <w:p w14:paraId="5E54B8A3">
            <w:pPr>
              <w:spacing w:line="440" w:lineRule="exact"/>
              <w:ind w:firstLine="420" w:firstLineChars="200"/>
              <w:rPr>
                <w:rFonts w:hint="eastAsia" w:ascii="宋体" w:hAnsi="宋体"/>
                <w:bCs/>
                <w:color w:val="auto"/>
                <w:kern w:val="0"/>
                <w:szCs w:val="21"/>
              </w:rPr>
            </w:pPr>
            <w:r>
              <w:rPr>
                <w:rFonts w:hint="eastAsia" w:ascii="宋体" w:hAnsi="宋体"/>
                <w:bCs/>
                <w:color w:val="auto"/>
                <w:kern w:val="0"/>
                <w:szCs w:val="21"/>
              </w:rPr>
              <w:t xml:space="preserve"> 二档（4分）：满足一档基础上，方案完整包含质保期内、质保期外服务流程，常见故障处置方案，服务质量保障措施，定期维保计划，故障响应处置流程，内容完整齐全。</w:t>
            </w:r>
          </w:p>
          <w:p w14:paraId="44E0D808">
            <w:pPr>
              <w:spacing w:line="440" w:lineRule="exact"/>
              <w:ind w:firstLine="420" w:firstLineChars="200"/>
              <w:rPr>
                <w:rFonts w:hint="eastAsia" w:ascii="宋体" w:hAnsi="宋体"/>
                <w:bCs/>
                <w:color w:val="auto"/>
                <w:kern w:val="0"/>
                <w:szCs w:val="21"/>
              </w:rPr>
            </w:pPr>
            <w:r>
              <w:rPr>
                <w:rFonts w:hint="eastAsia" w:ascii="宋体" w:hAnsi="宋体"/>
                <w:bCs/>
                <w:color w:val="auto"/>
                <w:kern w:val="0"/>
                <w:szCs w:val="21"/>
              </w:rPr>
              <w:t>三档（7分）：满足二档全部基础上，提供增值服务：①设有本地备品备件库或承诺核心配件48小时内到货；②在招标文件每年不少于2次保养基础上，质保期内每年额外增加1次保养（合计每年不少于三次），每次保养均出具完整书面维护保养报告。</w:t>
            </w:r>
          </w:p>
          <w:p w14:paraId="2802900F">
            <w:pPr>
              <w:spacing w:line="440" w:lineRule="exact"/>
              <w:ind w:firstLine="420" w:firstLineChars="200"/>
              <w:rPr>
                <w:rFonts w:hint="eastAsia" w:ascii="宋体" w:hAnsi="宋体"/>
                <w:bCs/>
                <w:color w:val="auto"/>
                <w:kern w:val="0"/>
                <w:szCs w:val="21"/>
              </w:rPr>
            </w:pPr>
            <w:r>
              <w:rPr>
                <w:rFonts w:hint="eastAsia" w:ascii="宋体" w:hAnsi="宋体"/>
                <w:bCs/>
                <w:color w:val="auto"/>
                <w:kern w:val="0"/>
                <w:szCs w:val="21"/>
              </w:rPr>
              <w:t xml:space="preserve"> 四档（10分）：满足三档全部基础上，提供进一步增值优化：①故障4小时内无法修复，承诺工程师18小时内到达现场维修（优于招标文件24小时到场要求）；②</w:t>
            </w:r>
            <w:r>
              <w:rPr>
                <w:rFonts w:hint="eastAsia" w:ascii="宋体" w:hAnsi="宋体"/>
                <w:bCs/>
                <w:color w:val="auto"/>
                <w:kern w:val="0"/>
                <w:szCs w:val="21"/>
                <w:lang w:val="en-US" w:eastAsia="zh-CN"/>
              </w:rPr>
              <w:t>承诺设备全生命周期内备件供应保障，明确备件供应年限及供应方式</w:t>
            </w:r>
            <w:r>
              <w:rPr>
                <w:rFonts w:hint="eastAsia" w:ascii="宋体" w:hAnsi="宋体"/>
                <w:bCs/>
                <w:color w:val="auto"/>
                <w:kern w:val="0"/>
                <w:szCs w:val="21"/>
              </w:rPr>
              <w:t>；③具备设备使用跟踪服务机制，明确跟踪回访的实施方式、服务内容，</w:t>
            </w:r>
            <w:r>
              <w:rPr>
                <w:rFonts w:hint="eastAsia" w:ascii="宋体" w:hAnsi="宋体"/>
                <w:bCs/>
                <w:color w:val="auto"/>
                <w:kern w:val="0"/>
                <w:szCs w:val="21"/>
                <w:lang w:val="en-US" w:eastAsia="zh-CN"/>
              </w:rPr>
              <w:t>建立设备使用档案，定期回访并记录设备运行情况</w:t>
            </w:r>
            <w:r>
              <w:rPr>
                <w:rFonts w:hint="eastAsia" w:ascii="宋体" w:hAnsi="宋体"/>
                <w:bCs/>
                <w:color w:val="auto"/>
                <w:kern w:val="0"/>
                <w:szCs w:val="21"/>
              </w:rPr>
              <w:t>。</w:t>
            </w:r>
          </w:p>
          <w:p w14:paraId="185C2075">
            <w:pPr>
              <w:spacing w:line="440" w:lineRule="exact"/>
              <w:ind w:firstLine="422" w:firstLineChars="200"/>
              <w:rPr>
                <w:rFonts w:hint="eastAsia" w:ascii="宋体" w:hAnsi="宋体" w:cs="宋体"/>
                <w:color w:val="auto"/>
                <w:szCs w:val="21"/>
              </w:rPr>
            </w:pPr>
            <w:r>
              <w:rPr>
                <w:rFonts w:hint="eastAsia" w:ascii="宋体" w:hAnsi="宋体" w:cs="宋体"/>
                <w:b/>
                <w:bCs/>
                <w:color w:val="auto"/>
                <w:szCs w:val="21"/>
              </w:rPr>
              <w:t>注：</w:t>
            </w:r>
            <w:r>
              <w:rPr>
                <w:rFonts w:hint="eastAsia" w:ascii="宋体" w:hAnsi="宋体"/>
                <w:b/>
                <w:bCs/>
                <w:color w:val="auto"/>
                <w:kern w:val="0"/>
                <w:szCs w:val="21"/>
              </w:rPr>
              <w:t>未提供</w:t>
            </w:r>
            <w:r>
              <w:rPr>
                <w:rFonts w:hint="eastAsia" w:ascii="宋体" w:hAnsi="宋体"/>
                <w:b/>
                <w:bCs/>
                <w:color w:val="auto"/>
                <w:kern w:val="0"/>
                <w:szCs w:val="21"/>
                <w:lang w:val="en-US" w:eastAsia="zh-CN"/>
              </w:rPr>
              <w:t>售后服务方案及承诺</w:t>
            </w:r>
            <w:r>
              <w:rPr>
                <w:rFonts w:hint="eastAsia" w:ascii="宋体" w:hAnsi="宋体"/>
                <w:b/>
                <w:bCs/>
                <w:strike w:val="0"/>
                <w:dstrike w:val="0"/>
                <w:color w:val="auto"/>
                <w:kern w:val="0"/>
                <w:szCs w:val="21"/>
              </w:rPr>
              <w:t>的</w:t>
            </w:r>
            <w:r>
              <w:rPr>
                <w:rFonts w:hint="eastAsia" w:ascii="宋体" w:hAnsi="宋体"/>
                <w:b/>
                <w:bCs/>
                <w:color w:val="auto"/>
                <w:kern w:val="0"/>
                <w:szCs w:val="21"/>
              </w:rPr>
              <w:t>不得分。</w:t>
            </w:r>
          </w:p>
        </w:tc>
      </w:tr>
      <w:tr w14:paraId="37EEF18C">
        <w:tblPrEx>
          <w:tblCellMar>
            <w:top w:w="0" w:type="dxa"/>
            <w:left w:w="108" w:type="dxa"/>
            <w:bottom w:w="0" w:type="dxa"/>
            <w:right w:w="108" w:type="dxa"/>
          </w:tblCellMar>
        </w:tblPrEx>
        <w:trPr>
          <w:trHeight w:val="1027"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333109D9">
            <w:pPr>
              <w:spacing w:line="44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6</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4DD41194">
            <w:pPr>
              <w:spacing w:line="440" w:lineRule="exact"/>
              <w:jc w:val="center"/>
              <w:rPr>
                <w:rFonts w:hint="eastAsia" w:ascii="宋体" w:hAnsi="宋体" w:cs="宋体"/>
                <w:b/>
                <w:bCs/>
                <w:color w:val="auto"/>
                <w:szCs w:val="21"/>
              </w:rPr>
            </w:pPr>
            <w:r>
              <w:rPr>
                <w:rFonts w:hint="eastAsia" w:ascii="宋体" w:hAnsi="宋体" w:cs="宋体"/>
                <w:b/>
                <w:bCs/>
                <w:color w:val="auto"/>
                <w:szCs w:val="21"/>
              </w:rPr>
              <w:t>信誉分</w:t>
            </w:r>
          </w:p>
          <w:p w14:paraId="47EA7F07">
            <w:pPr>
              <w:spacing w:line="440" w:lineRule="exact"/>
              <w:jc w:val="center"/>
              <w:rPr>
                <w:rFonts w:hint="eastAsia" w:ascii="宋体" w:hAnsi="宋体" w:cs="宋体"/>
                <w:b/>
                <w:bCs/>
                <w:color w:val="auto"/>
                <w:szCs w:val="21"/>
              </w:rPr>
            </w:pPr>
            <w:r>
              <w:rPr>
                <w:rFonts w:hint="eastAsia" w:ascii="宋体" w:hAnsi="宋体" w:cs="宋体"/>
                <w:b/>
                <w:bCs/>
                <w:color w:val="auto"/>
                <w:szCs w:val="21"/>
              </w:rPr>
              <w:t>（满分3分）</w:t>
            </w:r>
          </w:p>
        </w:tc>
        <w:tc>
          <w:tcPr>
            <w:tcW w:w="6765" w:type="dxa"/>
            <w:tcBorders>
              <w:top w:val="single" w:color="000000" w:sz="4" w:space="0"/>
              <w:left w:val="single" w:color="000000" w:sz="4" w:space="0"/>
              <w:bottom w:val="single" w:color="000000" w:sz="4" w:space="0"/>
              <w:right w:val="single" w:color="000000" w:sz="4" w:space="0"/>
            </w:tcBorders>
            <w:noWrap w:val="0"/>
            <w:vAlign w:val="center"/>
          </w:tcPr>
          <w:p w14:paraId="21E83C58">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供应商或</w:t>
            </w:r>
            <w:r>
              <w:rPr>
                <w:rFonts w:hint="eastAsia" w:ascii="宋体" w:hAnsi="宋体" w:cs="宋体"/>
                <w:strike w:val="0"/>
                <w:dstrike w:val="0"/>
                <w:color w:val="auto"/>
                <w:szCs w:val="21"/>
              </w:rPr>
              <w:t>生产</w:t>
            </w:r>
            <w:r>
              <w:rPr>
                <w:rFonts w:hint="eastAsia" w:ascii="宋体" w:hAnsi="宋体" w:cs="宋体"/>
                <w:color w:val="auto"/>
                <w:szCs w:val="21"/>
              </w:rPr>
              <w:t>厂家具有ISO13485医疗器械质量管理体系认证得1分；ISO9001质量管理体系认证得1分；ISO14001环境管理体系认证得1分，满分3分。</w:t>
            </w:r>
          </w:p>
          <w:p w14:paraId="55A01638">
            <w:pPr>
              <w:spacing w:line="440" w:lineRule="exact"/>
              <w:ind w:firstLine="422" w:firstLineChars="200"/>
              <w:rPr>
                <w:rFonts w:hint="eastAsia" w:ascii="宋体" w:hAnsi="宋体" w:eastAsia="宋体" w:cs="宋体"/>
                <w:color w:val="auto"/>
                <w:szCs w:val="21"/>
                <w:lang w:eastAsia="zh-CN"/>
              </w:rPr>
            </w:pPr>
            <w:r>
              <w:rPr>
                <w:rFonts w:hint="eastAsia" w:ascii="宋体" w:hAnsi="宋体" w:cs="宋体"/>
                <w:b/>
                <w:bCs/>
                <w:color w:val="auto"/>
                <w:szCs w:val="21"/>
                <w:lang w:val="en-US" w:eastAsia="zh-CN"/>
              </w:rPr>
              <w:t>注：</w:t>
            </w:r>
            <w:r>
              <w:rPr>
                <w:rFonts w:hint="eastAsia" w:ascii="宋体" w:hAnsi="宋体" w:cs="宋体"/>
                <w:b/>
                <w:bCs/>
                <w:color w:val="auto"/>
                <w:szCs w:val="21"/>
              </w:rPr>
              <w:t>提供有效的证书原件扫描件并加盖供应商电子公章，否则不予计分</w:t>
            </w:r>
            <w:r>
              <w:rPr>
                <w:rFonts w:hint="eastAsia" w:ascii="宋体" w:hAnsi="宋体" w:cs="宋体"/>
                <w:b/>
                <w:bCs/>
                <w:color w:val="auto"/>
                <w:szCs w:val="21"/>
                <w:lang w:eastAsia="zh-CN"/>
              </w:rPr>
              <w:t>。</w:t>
            </w:r>
          </w:p>
        </w:tc>
      </w:tr>
      <w:tr w14:paraId="4761D405">
        <w:tblPrEx>
          <w:tblCellMar>
            <w:top w:w="0" w:type="dxa"/>
            <w:left w:w="108" w:type="dxa"/>
            <w:bottom w:w="0" w:type="dxa"/>
            <w:right w:w="108" w:type="dxa"/>
          </w:tblCellMar>
        </w:tblPrEx>
        <w:trPr>
          <w:trHeight w:val="215"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326B263C">
            <w:pPr>
              <w:spacing w:line="44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7</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12B3C1DC">
            <w:pPr>
              <w:spacing w:line="440" w:lineRule="exact"/>
              <w:jc w:val="center"/>
              <w:rPr>
                <w:rFonts w:hint="eastAsia" w:ascii="宋体" w:hAnsi="宋体" w:cs="宋体"/>
                <w:b/>
                <w:bCs/>
                <w:color w:val="auto"/>
                <w:szCs w:val="21"/>
              </w:rPr>
            </w:pPr>
            <w:r>
              <w:rPr>
                <w:rFonts w:hint="eastAsia" w:ascii="宋体" w:hAnsi="宋体" w:cs="宋体"/>
                <w:b/>
                <w:bCs/>
                <w:color w:val="auto"/>
                <w:szCs w:val="21"/>
              </w:rPr>
              <w:t>业绩分</w:t>
            </w:r>
          </w:p>
          <w:p w14:paraId="583BAD62">
            <w:pPr>
              <w:spacing w:line="440" w:lineRule="exact"/>
              <w:jc w:val="center"/>
              <w:rPr>
                <w:rFonts w:hint="eastAsia" w:ascii="宋体" w:hAnsi="宋体" w:cs="宋体"/>
                <w:b/>
                <w:bCs/>
                <w:color w:val="auto"/>
                <w:szCs w:val="21"/>
              </w:rPr>
            </w:pPr>
            <w:r>
              <w:rPr>
                <w:rFonts w:hint="eastAsia" w:ascii="宋体" w:hAnsi="宋体" w:cs="宋体"/>
                <w:b/>
                <w:bCs/>
                <w:color w:val="auto"/>
                <w:szCs w:val="21"/>
              </w:rPr>
              <w:t>（满分6分）</w:t>
            </w:r>
          </w:p>
        </w:tc>
        <w:tc>
          <w:tcPr>
            <w:tcW w:w="6765" w:type="dxa"/>
            <w:tcBorders>
              <w:top w:val="single" w:color="000000" w:sz="4" w:space="0"/>
              <w:left w:val="single" w:color="000000" w:sz="4" w:space="0"/>
              <w:bottom w:val="single" w:color="000000" w:sz="4" w:space="0"/>
              <w:right w:val="single" w:color="000000" w:sz="4" w:space="0"/>
            </w:tcBorders>
            <w:noWrap w:val="0"/>
            <w:vAlign w:val="center"/>
          </w:tcPr>
          <w:p w14:paraId="3B152553">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供应商所投产品自</w:t>
            </w:r>
            <w:r>
              <w:rPr>
                <w:rFonts w:hint="eastAsia" w:ascii="宋体" w:hAnsi="宋体" w:cs="宋体"/>
                <w:color w:val="auto"/>
                <w:szCs w:val="21"/>
                <w:lang w:val="en-US" w:eastAsia="zh-CN"/>
              </w:rPr>
              <w:t>2023</w:t>
            </w:r>
            <w:r>
              <w:rPr>
                <w:rFonts w:hint="eastAsia" w:ascii="宋体" w:hAnsi="宋体" w:cs="宋体"/>
                <w:color w:val="auto"/>
                <w:szCs w:val="21"/>
              </w:rPr>
              <w:t>年1月1日以来的与本项目采购类似产品业绩合同，每项2分，满分6分。</w:t>
            </w:r>
          </w:p>
          <w:p w14:paraId="6EFF141C">
            <w:pPr>
              <w:spacing w:line="440" w:lineRule="exact"/>
              <w:ind w:firstLine="422" w:firstLineChars="200"/>
              <w:rPr>
                <w:rFonts w:hint="eastAsia" w:ascii="宋体" w:hAnsi="宋体" w:eastAsia="宋体" w:cs="宋体"/>
                <w:color w:val="auto"/>
                <w:szCs w:val="21"/>
                <w:lang w:eastAsia="zh-CN"/>
              </w:rPr>
            </w:pPr>
            <w:r>
              <w:rPr>
                <w:rFonts w:hint="eastAsia" w:ascii="宋体" w:hAnsi="宋体" w:cs="宋体"/>
                <w:b/>
                <w:bCs/>
                <w:color w:val="auto"/>
                <w:szCs w:val="21"/>
                <w:lang w:val="en-US" w:eastAsia="zh-CN"/>
              </w:rPr>
              <w:t>注：</w:t>
            </w:r>
            <w:r>
              <w:rPr>
                <w:rFonts w:hint="eastAsia" w:ascii="宋体" w:hAnsi="宋体" w:cs="宋体"/>
                <w:b/>
                <w:bCs/>
                <w:color w:val="auto"/>
                <w:szCs w:val="21"/>
              </w:rPr>
              <w:t>提供有效的合同书原件扫描件并加盖供应商电子公章且合同能清晰反映产品名称、品牌及规格型号等内容，否则不予计分</w:t>
            </w:r>
            <w:r>
              <w:rPr>
                <w:rFonts w:hint="eastAsia" w:ascii="宋体" w:hAnsi="宋体" w:cs="宋体"/>
                <w:b/>
                <w:bCs/>
                <w:color w:val="auto"/>
                <w:szCs w:val="21"/>
                <w:lang w:eastAsia="zh-CN"/>
              </w:rPr>
              <w:t>。</w:t>
            </w:r>
          </w:p>
        </w:tc>
      </w:tr>
      <w:tr w14:paraId="652C85CD">
        <w:tblPrEx>
          <w:tblCellMar>
            <w:top w:w="0" w:type="dxa"/>
            <w:left w:w="108" w:type="dxa"/>
            <w:bottom w:w="0" w:type="dxa"/>
            <w:right w:w="108" w:type="dxa"/>
          </w:tblCellMar>
        </w:tblPrEx>
        <w:trPr>
          <w:trHeight w:val="90" w:hRule="atLeast"/>
          <w:jc w:val="center"/>
        </w:trPr>
        <w:tc>
          <w:tcPr>
            <w:tcW w:w="666" w:type="dxa"/>
            <w:tcBorders>
              <w:top w:val="single" w:color="000000" w:sz="4" w:space="0"/>
              <w:left w:val="single" w:color="000000" w:sz="4" w:space="0"/>
              <w:bottom w:val="single" w:color="000000" w:sz="4" w:space="0"/>
              <w:right w:val="single" w:color="000000" w:sz="4" w:space="0"/>
            </w:tcBorders>
            <w:noWrap/>
            <w:vAlign w:val="center"/>
          </w:tcPr>
          <w:p w14:paraId="0ED56427">
            <w:pPr>
              <w:spacing w:line="440" w:lineRule="exact"/>
              <w:jc w:val="center"/>
              <w:rPr>
                <w:rFonts w:hint="eastAsia" w:ascii="宋体" w:hAnsi="宋体" w:cs="宋体"/>
                <w:color w:val="auto"/>
                <w:szCs w:val="21"/>
              </w:rPr>
            </w:pPr>
          </w:p>
          <w:p w14:paraId="09D8147B">
            <w:pPr>
              <w:spacing w:line="44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8</w:t>
            </w:r>
          </w:p>
        </w:tc>
        <w:tc>
          <w:tcPr>
            <w:tcW w:w="1458" w:type="dxa"/>
            <w:tcBorders>
              <w:top w:val="single" w:color="000000" w:sz="4" w:space="0"/>
              <w:left w:val="single" w:color="000000" w:sz="4" w:space="0"/>
              <w:bottom w:val="single" w:color="000000" w:sz="4" w:space="0"/>
              <w:right w:val="single" w:color="000000" w:sz="4" w:space="0"/>
            </w:tcBorders>
            <w:noWrap w:val="0"/>
            <w:vAlign w:val="center"/>
          </w:tcPr>
          <w:p w14:paraId="4CD0C333">
            <w:pPr>
              <w:spacing w:line="440" w:lineRule="exact"/>
              <w:jc w:val="center"/>
              <w:rPr>
                <w:rFonts w:hint="eastAsia" w:ascii="宋体" w:hAnsi="宋体" w:cs="宋体"/>
                <w:color w:val="auto"/>
                <w:szCs w:val="21"/>
              </w:rPr>
            </w:pPr>
          </w:p>
          <w:p w14:paraId="1D5B7038">
            <w:pPr>
              <w:spacing w:line="440" w:lineRule="exact"/>
              <w:jc w:val="center"/>
              <w:rPr>
                <w:rFonts w:hint="eastAsia" w:ascii="宋体" w:hAnsi="宋体" w:cs="宋体"/>
                <w:color w:val="auto"/>
                <w:szCs w:val="21"/>
              </w:rPr>
            </w:pPr>
            <w:r>
              <w:rPr>
                <w:rFonts w:hint="eastAsia" w:ascii="宋体" w:hAnsi="宋体" w:cs="宋体"/>
                <w:b/>
                <w:bCs/>
                <w:color w:val="auto"/>
                <w:szCs w:val="21"/>
              </w:rPr>
              <w:t>政策功能分（满分</w:t>
            </w:r>
            <w:r>
              <w:rPr>
                <w:rFonts w:hint="eastAsia" w:ascii="宋体" w:hAnsi="宋体" w:cs="宋体"/>
                <w:b/>
                <w:bCs/>
                <w:color w:val="auto"/>
                <w:szCs w:val="21"/>
                <w:lang w:val="en-US" w:eastAsia="zh-CN"/>
              </w:rPr>
              <w:t>1</w:t>
            </w:r>
            <w:r>
              <w:rPr>
                <w:rFonts w:hint="eastAsia" w:ascii="宋体" w:hAnsi="宋体" w:cs="宋体"/>
                <w:b/>
                <w:bCs/>
                <w:color w:val="auto"/>
                <w:szCs w:val="21"/>
              </w:rPr>
              <w:t>分）</w:t>
            </w:r>
          </w:p>
        </w:tc>
        <w:tc>
          <w:tcPr>
            <w:tcW w:w="6765" w:type="dxa"/>
            <w:tcBorders>
              <w:top w:val="single" w:color="000000" w:sz="4" w:space="0"/>
              <w:left w:val="single" w:color="000000" w:sz="4" w:space="0"/>
              <w:bottom w:val="single" w:color="000000" w:sz="4" w:space="0"/>
              <w:right w:val="single" w:color="000000" w:sz="4" w:space="0"/>
            </w:tcBorders>
            <w:noWrap w:val="0"/>
            <w:vAlign w:val="center"/>
          </w:tcPr>
          <w:p w14:paraId="2267884C">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（1）节能产品：投标产品属于财政部《节能产品政府采购品目清单》内优先采购（清单内未标注“★”的品目）的产品的，提供有效的节能产品认证证书得</w:t>
            </w:r>
            <w:r>
              <w:rPr>
                <w:rFonts w:hint="eastAsia" w:ascii="宋体" w:hAnsi="宋体" w:cs="宋体"/>
                <w:color w:val="auto"/>
                <w:szCs w:val="21"/>
                <w:lang w:val="en-US" w:eastAsia="zh-CN"/>
              </w:rPr>
              <w:t>0.5</w:t>
            </w:r>
            <w:r>
              <w:rPr>
                <w:rFonts w:hint="eastAsia" w:ascii="宋体" w:hAnsi="宋体" w:cs="宋体"/>
                <w:color w:val="auto"/>
                <w:szCs w:val="21"/>
              </w:rPr>
              <w:t>分，满分</w:t>
            </w:r>
            <w:r>
              <w:rPr>
                <w:rFonts w:hint="eastAsia" w:ascii="宋体" w:hAnsi="宋体" w:cs="宋体"/>
                <w:color w:val="auto"/>
                <w:szCs w:val="21"/>
                <w:lang w:val="en-US" w:eastAsia="zh-CN"/>
              </w:rPr>
              <w:t>0.5</w:t>
            </w:r>
            <w:r>
              <w:rPr>
                <w:rFonts w:hint="eastAsia" w:ascii="宋体" w:hAnsi="宋体" w:cs="宋体"/>
                <w:color w:val="auto"/>
                <w:szCs w:val="21"/>
              </w:rPr>
              <w:t>分。（须提供清晰的证书并对投标型号做醒目标记，否则不予计分）。</w:t>
            </w:r>
          </w:p>
          <w:p w14:paraId="48112AD9">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（2）环保产品：投标产品属于财政部《环境标志产品政府采购品目清单》内的产品的，提供有效的环境标志产品认证证书得</w:t>
            </w:r>
            <w:r>
              <w:rPr>
                <w:rFonts w:hint="eastAsia" w:ascii="宋体" w:hAnsi="宋体" w:cs="宋体"/>
                <w:color w:val="auto"/>
                <w:szCs w:val="21"/>
                <w:lang w:val="en-US" w:eastAsia="zh-CN"/>
              </w:rPr>
              <w:t>0.5</w:t>
            </w:r>
            <w:r>
              <w:rPr>
                <w:rFonts w:hint="eastAsia" w:ascii="宋体" w:hAnsi="宋体" w:cs="宋体"/>
                <w:color w:val="auto"/>
                <w:szCs w:val="21"/>
              </w:rPr>
              <w:t>分，满分</w:t>
            </w:r>
            <w:r>
              <w:rPr>
                <w:rFonts w:hint="eastAsia" w:ascii="宋体" w:hAnsi="宋体" w:cs="宋体"/>
                <w:color w:val="auto"/>
                <w:szCs w:val="21"/>
                <w:lang w:val="en-US" w:eastAsia="zh-CN"/>
              </w:rPr>
              <w:t>0.5</w:t>
            </w:r>
            <w:r>
              <w:rPr>
                <w:rFonts w:hint="eastAsia" w:ascii="宋体" w:hAnsi="宋体" w:cs="宋体"/>
                <w:color w:val="auto"/>
                <w:szCs w:val="21"/>
              </w:rPr>
              <w:t>分。（须提供清晰的证书并对投标型号做醒目标记，否则不予计分）。</w:t>
            </w:r>
          </w:p>
        </w:tc>
      </w:tr>
      <w:tr w14:paraId="205A76AB">
        <w:tblPrEx>
          <w:tblCellMar>
            <w:top w:w="0" w:type="dxa"/>
            <w:left w:w="108" w:type="dxa"/>
            <w:bottom w:w="0" w:type="dxa"/>
            <w:right w:w="108" w:type="dxa"/>
          </w:tblCellMar>
        </w:tblPrEx>
        <w:trPr>
          <w:trHeight w:val="90" w:hRule="atLeast"/>
          <w:jc w:val="center"/>
        </w:trPr>
        <w:tc>
          <w:tcPr>
            <w:tcW w:w="8889" w:type="dxa"/>
            <w:gridSpan w:val="3"/>
            <w:tcBorders>
              <w:top w:val="single" w:color="000000" w:sz="4" w:space="0"/>
              <w:left w:val="single" w:color="000000" w:sz="4" w:space="0"/>
              <w:bottom w:val="single" w:color="000000" w:sz="4" w:space="0"/>
              <w:right w:val="single" w:color="000000" w:sz="4" w:space="0"/>
            </w:tcBorders>
            <w:noWrap/>
            <w:vAlign w:val="center"/>
          </w:tcPr>
          <w:p w14:paraId="09D40F51">
            <w:pPr>
              <w:spacing w:line="440" w:lineRule="exact"/>
              <w:rPr>
                <w:rFonts w:hint="default" w:ascii="宋体" w:hAnsi="宋体" w:eastAsia="宋体" w:cs="宋体"/>
                <w:color w:val="auto"/>
                <w:szCs w:val="21"/>
                <w:lang w:val="en-US" w:eastAsia="zh-CN"/>
              </w:rPr>
            </w:pPr>
            <w:r>
              <w:rPr>
                <w:rFonts w:hint="eastAsia" w:ascii="宋体" w:hAnsi="宋体" w:cs="宋体"/>
                <w:color w:val="auto"/>
                <w:szCs w:val="21"/>
                <w:lang w:val="en-US" w:eastAsia="zh-CN"/>
              </w:rPr>
              <w:t>总得分：1+2+3+4+5+6+7+8</w:t>
            </w:r>
          </w:p>
        </w:tc>
      </w:tr>
    </w:tbl>
    <w:p w14:paraId="47676DC8">
      <w:pPr>
        <w:pStyle w:val="3"/>
        <w:keepNext w:val="0"/>
        <w:keepLines w:val="0"/>
        <w:spacing w:line="360" w:lineRule="auto"/>
        <w:jc w:val="center"/>
        <w:rPr>
          <w:rFonts w:ascii="宋体" w:hAnsi="宋体" w:eastAsia="宋体"/>
          <w:color w:val="auto"/>
          <w:sz w:val="30"/>
          <w:szCs w:val="30"/>
        </w:rPr>
      </w:pPr>
      <w:r>
        <w:rPr>
          <w:rFonts w:hint="eastAsia" w:ascii="宋体" w:hAnsi="宋体" w:eastAsia="宋体"/>
          <w:color w:val="auto"/>
          <w:sz w:val="30"/>
          <w:szCs w:val="30"/>
        </w:rPr>
        <w:t>四、中标候选人推荐原则</w:t>
      </w:r>
    </w:p>
    <w:p w14:paraId="70C75579">
      <w:pPr>
        <w:pStyle w:val="24"/>
        <w:spacing w:line="360" w:lineRule="auto"/>
        <w:ind w:firstLine="420" w:firstLineChars="200"/>
        <w:contextualSpacing/>
        <w:rPr>
          <w:rFonts w:hint="eastAsia" w:hAnsi="宋体"/>
          <w:color w:val="auto"/>
          <w:sz w:val="21"/>
        </w:rPr>
      </w:pPr>
      <w:r>
        <w:rPr>
          <w:rFonts w:hint="eastAsia" w:hAnsi="宋体"/>
          <w:color w:val="auto"/>
          <w:sz w:val="21"/>
          <w:lang w:val="en-US" w:eastAsia="zh-CN"/>
        </w:rPr>
        <w:t>1、</w:t>
      </w:r>
      <w:r>
        <w:rPr>
          <w:rFonts w:hint="eastAsia" w:hAnsi="宋体"/>
          <w:color w:val="auto"/>
          <w:sz w:val="21"/>
        </w:rPr>
        <w:t>评标委员会将根据总得分由高到低</w:t>
      </w:r>
      <w:r>
        <w:rPr>
          <w:rFonts w:hint="eastAsia" w:hAnsi="宋体"/>
          <w:color w:val="auto"/>
          <w:sz w:val="21"/>
          <w:lang w:val="en-US" w:eastAsia="zh-CN"/>
        </w:rPr>
        <w:t>顺序</w:t>
      </w:r>
      <w:r>
        <w:rPr>
          <w:rFonts w:hint="eastAsia" w:hAnsi="宋体"/>
          <w:color w:val="auto"/>
          <w:sz w:val="21"/>
        </w:rPr>
        <w:t>排列次序并推荐中标候选人。出现中标候选人并列的情形，</w:t>
      </w:r>
      <w:r>
        <w:rPr>
          <w:rFonts w:hint="eastAsia" w:hAnsi="宋体"/>
          <w:color w:val="auto"/>
          <w:sz w:val="21"/>
          <w:lang w:val="en-US" w:eastAsia="zh-CN"/>
        </w:rPr>
        <w:t>按投标报价由低到高顺序排列</w:t>
      </w:r>
      <w:r>
        <w:rPr>
          <w:rFonts w:hint="eastAsia" w:hAnsi="宋体"/>
          <w:color w:val="auto"/>
          <w:sz w:val="21"/>
        </w:rPr>
        <w:t>原则确定，投标报价相同的按综合评分中技术分、商务分高低依次确定。如再相同，则采取随机抽取的方式确定。</w:t>
      </w:r>
    </w:p>
    <w:p w14:paraId="31A3FDE9">
      <w:pPr>
        <w:pStyle w:val="24"/>
        <w:spacing w:line="360" w:lineRule="auto"/>
        <w:ind w:firstLine="420" w:firstLineChars="200"/>
        <w:contextualSpacing/>
        <w:rPr>
          <w:rFonts w:hint="eastAsia" w:hAnsi="宋体"/>
          <w:color w:val="auto"/>
          <w:sz w:val="21"/>
        </w:rPr>
      </w:pPr>
      <w:r>
        <w:rPr>
          <w:rFonts w:hint="eastAsia" w:hAnsi="宋体"/>
          <w:color w:val="auto"/>
          <w:sz w:val="21"/>
          <w:lang w:val="en-US" w:eastAsia="zh-CN"/>
        </w:rPr>
        <w:t>2、</w:t>
      </w:r>
      <w:r>
        <w:rPr>
          <w:rFonts w:hint="eastAsia" w:hAnsi="宋体"/>
          <w:color w:val="auto"/>
          <w:sz w:val="21"/>
        </w:rPr>
        <w:t>排名第一的中标候选人放弃中标、因不可抗力提出不能履行合同，或者招标文件规定应当提交履约保证金而在规定的期限内未能提交的，采购单位可以确定排名第二的中标候选人为中标人。排名第二的中标候选人因前款规定的同样原因不能签订合同的，采购单位可以确定排名第三的中标候选人为中标人。</w:t>
      </w:r>
      <w:bookmarkStart w:id="141" w:name="_Toc74320804"/>
    </w:p>
    <w:p w14:paraId="248B7DB0">
      <w:pPr>
        <w:pStyle w:val="24"/>
        <w:spacing w:line="360" w:lineRule="auto"/>
        <w:ind w:firstLine="420" w:firstLineChars="200"/>
        <w:contextualSpacing/>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3、根据《政府采购货物和服务招标投标管理办法》（财政部令第87号）第三十一条，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622C77A3">
      <w:pPr>
        <w:snapToGrid w:val="0"/>
        <w:spacing w:line="360" w:lineRule="auto"/>
        <w:jc w:val="center"/>
        <w:rPr>
          <w:rFonts w:ascii="宋体" w:hAnsi="宋体"/>
          <w:bCs/>
          <w:color w:val="auto"/>
          <w:sz w:val="32"/>
          <w:szCs w:val="32"/>
        </w:rPr>
      </w:pPr>
      <w:r>
        <w:rPr>
          <w:rFonts w:hint="eastAsia" w:ascii="宋体" w:hAnsi="宋体"/>
          <w:color w:val="auto"/>
        </w:rPr>
        <w:br w:type="page"/>
      </w:r>
    </w:p>
    <w:p w14:paraId="56AEFBD0">
      <w:pPr>
        <w:snapToGrid w:val="0"/>
        <w:spacing w:line="360" w:lineRule="auto"/>
        <w:jc w:val="center"/>
        <w:rPr>
          <w:rFonts w:ascii="宋体" w:hAnsi="宋体"/>
          <w:bCs/>
          <w:color w:val="auto"/>
          <w:sz w:val="32"/>
          <w:szCs w:val="32"/>
        </w:rPr>
      </w:pPr>
    </w:p>
    <w:p w14:paraId="56368748">
      <w:pPr>
        <w:snapToGrid w:val="0"/>
        <w:spacing w:line="360" w:lineRule="auto"/>
        <w:jc w:val="center"/>
        <w:rPr>
          <w:rFonts w:ascii="宋体" w:hAnsi="宋体"/>
          <w:bCs/>
          <w:color w:val="auto"/>
          <w:sz w:val="32"/>
          <w:szCs w:val="32"/>
        </w:rPr>
      </w:pPr>
    </w:p>
    <w:p w14:paraId="3B81836C">
      <w:pPr>
        <w:snapToGrid w:val="0"/>
        <w:spacing w:line="360" w:lineRule="auto"/>
        <w:jc w:val="center"/>
        <w:rPr>
          <w:rFonts w:ascii="宋体" w:hAnsi="宋体"/>
          <w:bCs/>
          <w:color w:val="auto"/>
          <w:sz w:val="32"/>
          <w:szCs w:val="32"/>
        </w:rPr>
      </w:pPr>
    </w:p>
    <w:p w14:paraId="6A6614F1">
      <w:pPr>
        <w:snapToGrid w:val="0"/>
        <w:spacing w:line="360" w:lineRule="auto"/>
        <w:jc w:val="center"/>
        <w:rPr>
          <w:rFonts w:ascii="宋体" w:hAnsi="宋体"/>
          <w:bCs/>
          <w:color w:val="auto"/>
          <w:sz w:val="32"/>
          <w:szCs w:val="32"/>
        </w:rPr>
      </w:pPr>
    </w:p>
    <w:p w14:paraId="021C7B26">
      <w:pPr>
        <w:snapToGrid w:val="0"/>
        <w:spacing w:line="360" w:lineRule="auto"/>
        <w:jc w:val="center"/>
        <w:rPr>
          <w:rFonts w:ascii="宋体" w:hAnsi="宋体"/>
          <w:bCs/>
          <w:color w:val="auto"/>
          <w:sz w:val="32"/>
          <w:szCs w:val="32"/>
        </w:rPr>
      </w:pPr>
    </w:p>
    <w:p w14:paraId="4125E82C">
      <w:pPr>
        <w:snapToGrid w:val="0"/>
        <w:spacing w:line="360" w:lineRule="auto"/>
        <w:jc w:val="center"/>
        <w:rPr>
          <w:rFonts w:ascii="宋体" w:hAnsi="宋体"/>
          <w:bCs/>
          <w:color w:val="auto"/>
          <w:sz w:val="32"/>
          <w:szCs w:val="32"/>
        </w:rPr>
      </w:pPr>
    </w:p>
    <w:p w14:paraId="19B7F185">
      <w:pPr>
        <w:snapToGrid w:val="0"/>
        <w:spacing w:line="360" w:lineRule="auto"/>
        <w:jc w:val="center"/>
        <w:rPr>
          <w:rFonts w:ascii="宋体" w:hAnsi="宋体"/>
          <w:bCs/>
          <w:color w:val="auto"/>
          <w:sz w:val="32"/>
          <w:szCs w:val="32"/>
        </w:rPr>
      </w:pPr>
    </w:p>
    <w:p w14:paraId="52DF2DDB">
      <w:pPr>
        <w:snapToGrid w:val="0"/>
        <w:spacing w:line="360" w:lineRule="auto"/>
        <w:jc w:val="center"/>
        <w:rPr>
          <w:rFonts w:ascii="宋体" w:hAnsi="宋体"/>
          <w:bCs/>
          <w:color w:val="auto"/>
          <w:sz w:val="32"/>
          <w:szCs w:val="32"/>
        </w:rPr>
      </w:pPr>
    </w:p>
    <w:p w14:paraId="2ED4910D">
      <w:pPr>
        <w:snapToGrid w:val="0"/>
        <w:spacing w:line="360" w:lineRule="auto"/>
        <w:jc w:val="center"/>
        <w:rPr>
          <w:rFonts w:ascii="宋体" w:hAnsi="宋体"/>
          <w:bCs/>
          <w:color w:val="auto"/>
          <w:sz w:val="32"/>
          <w:szCs w:val="32"/>
        </w:rPr>
      </w:pPr>
    </w:p>
    <w:p w14:paraId="46D139FE">
      <w:pPr>
        <w:pStyle w:val="2"/>
        <w:spacing w:line="360" w:lineRule="auto"/>
        <w:rPr>
          <w:rFonts w:ascii="宋体" w:hAnsi="宋体"/>
          <w:color w:val="auto"/>
        </w:rPr>
      </w:pPr>
      <w:r>
        <w:rPr>
          <w:rFonts w:hint="eastAsia" w:ascii="宋体" w:hAnsi="宋体"/>
          <w:color w:val="auto"/>
        </w:rPr>
        <w:t>第五章  拟签订的合同文本</w:t>
      </w:r>
    </w:p>
    <w:p w14:paraId="48FDF658">
      <w:pPr>
        <w:snapToGrid w:val="0"/>
        <w:spacing w:before="50" w:after="50" w:line="360" w:lineRule="auto"/>
        <w:rPr>
          <w:rFonts w:ascii="宋体" w:hAnsi="宋体"/>
          <w:color w:val="auto"/>
          <w:sz w:val="32"/>
          <w:szCs w:val="20"/>
        </w:rPr>
      </w:pPr>
    </w:p>
    <w:p w14:paraId="581F9841">
      <w:pPr>
        <w:snapToGrid w:val="0"/>
        <w:spacing w:before="50" w:after="50" w:line="360" w:lineRule="auto"/>
        <w:rPr>
          <w:rFonts w:ascii="宋体" w:hAnsi="宋体"/>
          <w:color w:val="auto"/>
          <w:sz w:val="32"/>
          <w:szCs w:val="20"/>
        </w:rPr>
      </w:pPr>
    </w:p>
    <w:p w14:paraId="41E292D9">
      <w:pPr>
        <w:snapToGrid w:val="0"/>
        <w:spacing w:before="50" w:after="50" w:line="360" w:lineRule="auto"/>
        <w:rPr>
          <w:rFonts w:ascii="宋体" w:hAnsi="宋体"/>
          <w:color w:val="auto"/>
          <w:sz w:val="32"/>
          <w:szCs w:val="20"/>
        </w:rPr>
      </w:pPr>
    </w:p>
    <w:p w14:paraId="53E315D3">
      <w:pPr>
        <w:snapToGrid w:val="0"/>
        <w:spacing w:before="50" w:after="50" w:line="360" w:lineRule="auto"/>
        <w:rPr>
          <w:rFonts w:ascii="宋体" w:hAnsi="宋体"/>
          <w:color w:val="auto"/>
          <w:sz w:val="32"/>
          <w:szCs w:val="20"/>
        </w:rPr>
      </w:pPr>
    </w:p>
    <w:p w14:paraId="67A6580E">
      <w:pPr>
        <w:snapToGrid w:val="0"/>
        <w:spacing w:before="50" w:after="50" w:line="360" w:lineRule="auto"/>
        <w:rPr>
          <w:rFonts w:ascii="宋体" w:hAnsi="宋体"/>
          <w:color w:val="auto"/>
          <w:sz w:val="32"/>
          <w:szCs w:val="20"/>
        </w:rPr>
      </w:pPr>
    </w:p>
    <w:p w14:paraId="1CC4E397">
      <w:pPr>
        <w:snapToGrid w:val="0"/>
        <w:spacing w:before="50" w:after="50" w:line="360" w:lineRule="auto"/>
        <w:rPr>
          <w:rFonts w:ascii="宋体" w:hAnsi="宋体"/>
          <w:color w:val="auto"/>
          <w:sz w:val="32"/>
          <w:szCs w:val="20"/>
        </w:rPr>
      </w:pPr>
    </w:p>
    <w:p w14:paraId="308C347A">
      <w:pPr>
        <w:snapToGrid w:val="0"/>
        <w:spacing w:before="50" w:after="50" w:line="360" w:lineRule="auto"/>
        <w:rPr>
          <w:rFonts w:ascii="宋体" w:hAnsi="宋体"/>
          <w:color w:val="auto"/>
          <w:sz w:val="32"/>
          <w:szCs w:val="20"/>
        </w:rPr>
      </w:pPr>
    </w:p>
    <w:p w14:paraId="4316BDE9">
      <w:pPr>
        <w:snapToGrid w:val="0"/>
        <w:spacing w:before="50" w:after="50" w:line="360" w:lineRule="auto"/>
        <w:rPr>
          <w:rFonts w:ascii="宋体" w:hAnsi="宋体"/>
          <w:color w:val="auto"/>
          <w:sz w:val="32"/>
          <w:szCs w:val="20"/>
        </w:rPr>
      </w:pPr>
    </w:p>
    <w:p w14:paraId="30862ECE">
      <w:pPr>
        <w:snapToGrid w:val="0"/>
        <w:spacing w:before="120" w:beforeLines="50" w:after="50" w:line="360" w:lineRule="auto"/>
        <w:rPr>
          <w:rFonts w:ascii="宋体" w:hAnsi="宋体"/>
          <w:color w:val="auto"/>
        </w:rPr>
      </w:pPr>
    </w:p>
    <w:bookmarkEnd w:id="141"/>
    <w:p w14:paraId="47BF9AE2">
      <w:pPr>
        <w:snapToGrid w:val="0"/>
        <w:spacing w:line="360" w:lineRule="auto"/>
        <w:jc w:val="center"/>
        <w:rPr>
          <w:rFonts w:hint="eastAsia" w:ascii="宋体" w:hAnsi="宋体"/>
          <w:b/>
          <w:bCs/>
          <w:color w:val="auto"/>
          <w:sz w:val="32"/>
          <w:szCs w:val="32"/>
        </w:rPr>
      </w:pPr>
      <w:bookmarkStart w:id="142" w:name="_Hlk55381736"/>
    </w:p>
    <w:p w14:paraId="0DD09119">
      <w:pPr>
        <w:snapToGrid w:val="0"/>
        <w:spacing w:line="360" w:lineRule="auto"/>
        <w:jc w:val="center"/>
        <w:rPr>
          <w:rFonts w:hint="eastAsia" w:ascii="宋体" w:hAnsi="宋体"/>
          <w:b/>
          <w:bCs/>
          <w:color w:val="auto"/>
          <w:sz w:val="32"/>
          <w:szCs w:val="32"/>
        </w:rPr>
      </w:pPr>
    </w:p>
    <w:p w14:paraId="5315C974">
      <w:pPr>
        <w:snapToGrid w:val="0"/>
        <w:spacing w:line="360" w:lineRule="auto"/>
        <w:jc w:val="center"/>
        <w:rPr>
          <w:rFonts w:ascii="宋体" w:hAnsi="宋体"/>
          <w:b/>
          <w:bCs/>
          <w:color w:val="auto"/>
          <w:sz w:val="32"/>
          <w:szCs w:val="32"/>
        </w:rPr>
      </w:pPr>
      <w:r>
        <w:rPr>
          <w:rFonts w:hint="eastAsia" w:ascii="宋体" w:hAnsi="宋体"/>
          <w:b/>
          <w:bCs/>
          <w:color w:val="auto"/>
          <w:sz w:val="32"/>
          <w:szCs w:val="32"/>
        </w:rPr>
        <w:t>合 同 书</w:t>
      </w:r>
    </w:p>
    <w:p w14:paraId="55E83FE3">
      <w:pPr>
        <w:snapToGrid w:val="0"/>
        <w:spacing w:line="360" w:lineRule="exact"/>
        <w:jc w:val="center"/>
        <w:rPr>
          <w:rFonts w:hint="eastAsia" w:ascii="宋体" w:hAnsi="宋体"/>
          <w:color w:val="auto"/>
          <w:spacing w:val="-20"/>
          <w:szCs w:val="21"/>
        </w:rPr>
      </w:pPr>
      <w:r>
        <w:rPr>
          <w:rFonts w:hint="eastAsia" w:ascii="宋体" w:hAnsi="宋体"/>
          <w:color w:val="auto"/>
          <w:spacing w:val="-20"/>
          <w:szCs w:val="21"/>
        </w:rPr>
        <w:t xml:space="preserve">                                                                                          合  同  编  号：</w:t>
      </w:r>
      <w:r>
        <w:rPr>
          <w:rFonts w:hint="eastAsia" w:ascii="宋体" w:hAnsi="宋体"/>
          <w:color w:val="auto"/>
          <w:szCs w:val="21"/>
          <w:u w:val="single"/>
        </w:rPr>
        <w:t xml:space="preserve">          </w:t>
      </w:r>
    </w:p>
    <w:p w14:paraId="3E1BEAA7">
      <w:pPr>
        <w:snapToGrid w:val="0"/>
        <w:spacing w:line="360" w:lineRule="exact"/>
        <w:jc w:val="center"/>
        <w:rPr>
          <w:rFonts w:ascii="宋体" w:hAnsi="宋体"/>
          <w:color w:val="auto"/>
          <w:szCs w:val="21"/>
          <w:u w:val="single"/>
        </w:rPr>
      </w:pPr>
      <w:r>
        <w:rPr>
          <w:rFonts w:hint="eastAsia" w:ascii="宋体" w:hAnsi="宋体"/>
          <w:color w:val="auto"/>
          <w:spacing w:val="-20"/>
          <w:szCs w:val="21"/>
        </w:rPr>
        <w:t xml:space="preserve">                                                                                     采  购 计 划 编 号</w:t>
      </w:r>
      <w:r>
        <w:rPr>
          <w:rFonts w:hint="eastAsia" w:ascii="宋体" w:hAnsi="宋体"/>
          <w:color w:val="auto"/>
          <w:szCs w:val="21"/>
        </w:rPr>
        <w:t>：</w:t>
      </w:r>
      <w:r>
        <w:rPr>
          <w:rFonts w:hint="eastAsia" w:ascii="宋体" w:hAnsi="宋体"/>
          <w:color w:val="auto"/>
          <w:szCs w:val="21"/>
          <w:u w:val="single"/>
        </w:rPr>
        <w:t xml:space="preserve">          </w:t>
      </w:r>
    </w:p>
    <w:p w14:paraId="3EEF1D29">
      <w:pPr>
        <w:snapToGrid w:val="0"/>
        <w:spacing w:line="360" w:lineRule="auto"/>
        <w:rPr>
          <w:rFonts w:hint="eastAsia" w:ascii="宋体" w:hAnsi="宋体"/>
          <w:color w:val="auto"/>
          <w:szCs w:val="21"/>
        </w:rPr>
      </w:pPr>
    </w:p>
    <w:p w14:paraId="466041AC">
      <w:pPr>
        <w:snapToGrid w:val="0"/>
        <w:spacing w:line="360" w:lineRule="auto"/>
        <w:rPr>
          <w:rFonts w:hint="eastAsia" w:ascii="宋体" w:hAnsi="宋体"/>
          <w:color w:val="auto"/>
          <w:szCs w:val="21"/>
        </w:rPr>
      </w:pPr>
      <w:r>
        <w:rPr>
          <w:rFonts w:hint="eastAsia" w:ascii="宋体" w:hAnsi="宋体"/>
          <w:color w:val="auto"/>
          <w:szCs w:val="21"/>
        </w:rPr>
        <w:t>采购单位（甲方）</w:t>
      </w:r>
      <w:r>
        <w:rPr>
          <w:rFonts w:hint="eastAsia" w:ascii="宋体" w:hAnsi="宋体"/>
          <w:color w:val="auto"/>
          <w:szCs w:val="21"/>
          <w:u w:val="single"/>
        </w:rPr>
        <w:t xml:space="preserve">                          </w:t>
      </w:r>
      <w:r>
        <w:rPr>
          <w:rFonts w:hint="eastAsia" w:ascii="宋体" w:hAnsi="宋体"/>
          <w:color w:val="auto"/>
          <w:szCs w:val="21"/>
        </w:rPr>
        <w:t xml:space="preserve">  </w:t>
      </w:r>
    </w:p>
    <w:p w14:paraId="2AAC5206">
      <w:pPr>
        <w:snapToGrid w:val="0"/>
        <w:spacing w:line="360" w:lineRule="auto"/>
        <w:rPr>
          <w:rFonts w:hint="eastAsia" w:ascii="宋体" w:hAnsi="宋体"/>
          <w:color w:val="auto"/>
          <w:spacing w:val="-20"/>
          <w:szCs w:val="21"/>
        </w:rPr>
      </w:pPr>
      <w:r>
        <w:rPr>
          <w:rFonts w:hint="eastAsia" w:ascii="宋体" w:hAnsi="宋体"/>
          <w:color w:val="auto"/>
          <w:szCs w:val="21"/>
        </w:rPr>
        <w:t>供 应 商（乙方）</w:t>
      </w:r>
      <w:r>
        <w:rPr>
          <w:rFonts w:hint="eastAsia" w:ascii="宋体" w:hAnsi="宋体"/>
          <w:color w:val="auto"/>
          <w:szCs w:val="21"/>
          <w:u w:val="single"/>
        </w:rPr>
        <w:t xml:space="preserve">                          </w:t>
      </w:r>
      <w:r>
        <w:rPr>
          <w:rFonts w:hint="eastAsia" w:ascii="宋体" w:hAnsi="宋体"/>
          <w:color w:val="auto"/>
          <w:szCs w:val="21"/>
        </w:rPr>
        <w:t xml:space="preserve">  </w:t>
      </w:r>
    </w:p>
    <w:p w14:paraId="4B0D1408">
      <w:pPr>
        <w:snapToGrid w:val="0"/>
        <w:spacing w:line="360" w:lineRule="auto"/>
        <w:rPr>
          <w:rFonts w:hint="eastAsia" w:ascii="宋体" w:hAnsi="宋体"/>
          <w:color w:val="auto"/>
          <w:szCs w:val="21"/>
          <w:u w:val="single"/>
        </w:rPr>
      </w:pPr>
      <w:r>
        <w:rPr>
          <w:rFonts w:hint="eastAsia" w:ascii="宋体" w:hAnsi="宋体"/>
          <w:color w:val="auto"/>
          <w:szCs w:val="21"/>
        </w:rPr>
        <w:t>项目名称及编号：</w:t>
      </w:r>
      <w:r>
        <w:rPr>
          <w:rFonts w:hint="eastAsia" w:ascii="宋体" w:hAnsi="宋体"/>
          <w:color w:val="auto"/>
          <w:szCs w:val="21"/>
          <w:u w:val="single"/>
        </w:rPr>
        <w:t xml:space="preserve">                          </w:t>
      </w:r>
      <w:r>
        <w:rPr>
          <w:rFonts w:hint="eastAsia" w:ascii="宋体" w:hAnsi="宋体"/>
          <w:color w:val="auto"/>
          <w:szCs w:val="21"/>
        </w:rPr>
        <w:t xml:space="preserve">     </w:t>
      </w:r>
    </w:p>
    <w:p w14:paraId="0A4175FC">
      <w:pPr>
        <w:snapToGrid w:val="0"/>
        <w:spacing w:line="360" w:lineRule="auto"/>
        <w:rPr>
          <w:rFonts w:hint="eastAsia" w:ascii="宋体" w:hAnsi="宋体"/>
          <w:color w:val="auto"/>
          <w:szCs w:val="21"/>
          <w:u w:val="single"/>
        </w:rPr>
      </w:pPr>
      <w:r>
        <w:rPr>
          <w:rFonts w:hint="eastAsia" w:ascii="宋体" w:hAnsi="宋体"/>
          <w:color w:val="auto"/>
          <w:szCs w:val="21"/>
        </w:rPr>
        <w:t xml:space="preserve">签  订  地  点： </w:t>
      </w:r>
      <w:r>
        <w:rPr>
          <w:rFonts w:hint="eastAsia" w:ascii="宋体" w:hAnsi="宋体"/>
          <w:color w:val="auto"/>
          <w:szCs w:val="21"/>
          <w:u w:val="single"/>
        </w:rPr>
        <w:t xml:space="preserve">                          </w:t>
      </w:r>
      <w:r>
        <w:rPr>
          <w:rFonts w:hint="eastAsia" w:ascii="宋体" w:hAnsi="宋体"/>
          <w:color w:val="auto"/>
          <w:szCs w:val="21"/>
        </w:rPr>
        <w:t xml:space="preserve">  签 订 时 间：</w:t>
      </w:r>
      <w:r>
        <w:rPr>
          <w:rFonts w:hint="eastAsia" w:ascii="宋体" w:hAnsi="宋体"/>
          <w:color w:val="auto"/>
          <w:szCs w:val="21"/>
          <w:u w:val="single"/>
        </w:rPr>
        <w:t xml:space="preserve">             </w:t>
      </w:r>
    </w:p>
    <w:p w14:paraId="0ABD48DB">
      <w:pPr>
        <w:snapToGrid w:val="0"/>
        <w:spacing w:line="360" w:lineRule="auto"/>
        <w:ind w:firstLine="420" w:firstLineChars="200"/>
        <w:rPr>
          <w:rFonts w:hint="eastAsia" w:ascii="宋体" w:hAnsi="宋体"/>
          <w:color w:val="auto"/>
          <w:szCs w:val="21"/>
        </w:rPr>
      </w:pPr>
      <w:r>
        <w:rPr>
          <w:rFonts w:hint="eastAsia" w:ascii="宋体" w:hAnsi="宋体"/>
          <w:color w:val="auto"/>
          <w:szCs w:val="21"/>
        </w:rPr>
        <w:t>根据《中华人民共和国政府采购法》、《中华人民共和国民法典》等法律、法规规定，按照招投标文件规定条款和中标人承诺，甲乙双方签订本合同。</w:t>
      </w:r>
    </w:p>
    <w:p w14:paraId="108CE126">
      <w:pPr>
        <w:snapToGrid w:val="0"/>
        <w:spacing w:line="360" w:lineRule="auto"/>
        <w:ind w:firstLine="422" w:firstLineChars="200"/>
        <w:rPr>
          <w:rFonts w:hint="eastAsia" w:ascii="宋体" w:hAnsi="宋体"/>
          <w:b/>
          <w:color w:val="auto"/>
          <w:szCs w:val="21"/>
        </w:rPr>
      </w:pPr>
      <w:r>
        <w:rPr>
          <w:rFonts w:hint="eastAsia" w:ascii="宋体" w:hAnsi="宋体"/>
          <w:b/>
          <w:color w:val="auto"/>
          <w:szCs w:val="21"/>
        </w:rPr>
        <w:t>第一条　合同标的</w:t>
      </w:r>
    </w:p>
    <w:p w14:paraId="7B6A367C">
      <w:pPr>
        <w:numPr>
          <w:ilvl w:val="0"/>
          <w:numId w:val="6"/>
        </w:numPr>
        <w:snapToGrid w:val="0"/>
        <w:spacing w:line="360" w:lineRule="auto"/>
        <w:rPr>
          <w:rFonts w:hint="eastAsia" w:ascii="宋体" w:hAnsi="宋体"/>
          <w:color w:val="auto"/>
          <w:szCs w:val="21"/>
        </w:rPr>
      </w:pPr>
      <w:r>
        <w:rPr>
          <w:rFonts w:hint="eastAsia" w:ascii="宋体" w:hAnsi="宋体"/>
          <w:color w:val="auto"/>
          <w:szCs w:val="21"/>
        </w:rPr>
        <w:t>供货一览表</w:t>
      </w:r>
    </w:p>
    <w:tbl>
      <w:tblPr>
        <w:tblStyle w:val="47"/>
        <w:tblW w:w="104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7"/>
        <w:gridCol w:w="1171"/>
        <w:gridCol w:w="1417"/>
        <w:gridCol w:w="850"/>
        <w:gridCol w:w="1215"/>
        <w:gridCol w:w="1140"/>
        <w:gridCol w:w="1320"/>
        <w:gridCol w:w="975"/>
        <w:gridCol w:w="1721"/>
      </w:tblGrid>
      <w:tr w14:paraId="1CE733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57" w:type="dxa"/>
            <w:tcBorders>
              <w:top w:val="single" w:color="auto" w:sz="4" w:space="0"/>
              <w:left w:val="single" w:color="auto" w:sz="4" w:space="0"/>
              <w:bottom w:val="single" w:color="auto" w:sz="4" w:space="0"/>
              <w:right w:val="single" w:color="auto" w:sz="4" w:space="0"/>
            </w:tcBorders>
            <w:noWrap/>
            <w:vAlign w:val="center"/>
          </w:tcPr>
          <w:p w14:paraId="4862C95C">
            <w:pPr>
              <w:snapToGrid w:val="0"/>
              <w:spacing w:before="50" w:after="50" w:line="360" w:lineRule="auto"/>
              <w:rPr>
                <w:rFonts w:ascii="宋体" w:hAnsi="宋体"/>
                <w:color w:val="auto"/>
                <w:szCs w:val="21"/>
              </w:rPr>
            </w:pPr>
            <w:r>
              <w:rPr>
                <w:rFonts w:hint="eastAsia" w:ascii="宋体" w:hAnsi="宋体"/>
                <w:color w:val="auto"/>
                <w:szCs w:val="21"/>
              </w:rPr>
              <w:t>序号</w:t>
            </w:r>
          </w:p>
        </w:tc>
        <w:tc>
          <w:tcPr>
            <w:tcW w:w="1171" w:type="dxa"/>
            <w:tcBorders>
              <w:top w:val="single" w:color="auto" w:sz="4" w:space="0"/>
              <w:left w:val="single" w:color="auto" w:sz="4" w:space="0"/>
              <w:bottom w:val="single" w:color="auto" w:sz="4" w:space="0"/>
              <w:right w:val="single" w:color="auto" w:sz="4" w:space="0"/>
            </w:tcBorders>
            <w:noWrap/>
            <w:vAlign w:val="center"/>
          </w:tcPr>
          <w:p w14:paraId="01235BA5">
            <w:pPr>
              <w:snapToGrid w:val="0"/>
              <w:spacing w:before="50" w:after="50" w:line="360" w:lineRule="auto"/>
              <w:jc w:val="center"/>
              <w:rPr>
                <w:rFonts w:ascii="宋体" w:hAnsi="宋体"/>
                <w:color w:val="auto"/>
                <w:szCs w:val="21"/>
              </w:rPr>
            </w:pPr>
            <w:r>
              <w:rPr>
                <w:rFonts w:hint="eastAsia" w:ascii="宋体" w:hAnsi="宋体"/>
                <w:color w:val="auto"/>
                <w:szCs w:val="21"/>
              </w:rPr>
              <w:t>标的名称</w:t>
            </w:r>
          </w:p>
        </w:tc>
        <w:tc>
          <w:tcPr>
            <w:tcW w:w="1417" w:type="dxa"/>
            <w:tcBorders>
              <w:top w:val="single" w:color="auto" w:sz="4" w:space="0"/>
              <w:left w:val="single" w:color="auto" w:sz="4" w:space="0"/>
              <w:bottom w:val="single" w:color="auto" w:sz="4" w:space="0"/>
              <w:right w:val="single" w:color="auto" w:sz="4" w:space="0"/>
            </w:tcBorders>
            <w:noWrap/>
            <w:vAlign w:val="center"/>
          </w:tcPr>
          <w:p w14:paraId="55C423DF">
            <w:pPr>
              <w:snapToGrid w:val="0"/>
              <w:spacing w:before="50" w:after="50" w:line="360" w:lineRule="auto"/>
              <w:jc w:val="center"/>
              <w:rPr>
                <w:rFonts w:ascii="宋体" w:hAnsi="宋体"/>
                <w:color w:val="auto"/>
                <w:szCs w:val="21"/>
              </w:rPr>
            </w:pPr>
            <w:r>
              <w:rPr>
                <w:rFonts w:hint="eastAsia" w:ascii="宋体" w:hAnsi="宋体"/>
                <w:color w:val="auto"/>
                <w:szCs w:val="21"/>
              </w:rPr>
              <w:t>医疗器械备案证/注册证产品名称</w:t>
            </w:r>
          </w:p>
        </w:tc>
        <w:tc>
          <w:tcPr>
            <w:tcW w:w="850" w:type="dxa"/>
            <w:tcBorders>
              <w:top w:val="single" w:color="auto" w:sz="4" w:space="0"/>
              <w:left w:val="single" w:color="auto" w:sz="4" w:space="0"/>
              <w:bottom w:val="single" w:color="auto" w:sz="4" w:space="0"/>
              <w:right w:val="single" w:color="auto" w:sz="4" w:space="0"/>
            </w:tcBorders>
            <w:noWrap/>
            <w:vAlign w:val="center"/>
          </w:tcPr>
          <w:p w14:paraId="1B46F03D">
            <w:pPr>
              <w:snapToGrid w:val="0"/>
              <w:spacing w:before="50" w:after="50" w:line="360" w:lineRule="auto"/>
              <w:jc w:val="center"/>
              <w:rPr>
                <w:rFonts w:hint="eastAsia" w:ascii="宋体" w:hAnsi="宋体"/>
                <w:color w:val="auto"/>
                <w:szCs w:val="21"/>
              </w:rPr>
            </w:pPr>
            <w:r>
              <w:rPr>
                <w:rFonts w:hint="eastAsia" w:ascii="宋体" w:hAnsi="宋体"/>
                <w:color w:val="auto"/>
                <w:szCs w:val="21"/>
              </w:rPr>
              <w:t>品牌</w:t>
            </w:r>
          </w:p>
        </w:tc>
        <w:tc>
          <w:tcPr>
            <w:tcW w:w="1215" w:type="dxa"/>
            <w:tcBorders>
              <w:top w:val="single" w:color="auto" w:sz="4" w:space="0"/>
              <w:left w:val="single" w:color="auto" w:sz="4" w:space="0"/>
              <w:bottom w:val="single" w:color="auto" w:sz="4" w:space="0"/>
              <w:right w:val="single" w:color="auto" w:sz="4" w:space="0"/>
            </w:tcBorders>
            <w:noWrap/>
            <w:vAlign w:val="center"/>
          </w:tcPr>
          <w:p w14:paraId="3A95754D">
            <w:pPr>
              <w:snapToGrid w:val="0"/>
              <w:spacing w:before="50" w:after="50" w:line="360" w:lineRule="auto"/>
              <w:jc w:val="center"/>
              <w:rPr>
                <w:rFonts w:ascii="宋体" w:hAnsi="宋体"/>
                <w:color w:val="auto"/>
                <w:szCs w:val="21"/>
              </w:rPr>
            </w:pPr>
            <w:r>
              <w:rPr>
                <w:rFonts w:hint="eastAsia" w:ascii="宋体" w:hAnsi="宋体"/>
                <w:color w:val="auto"/>
                <w:szCs w:val="21"/>
              </w:rPr>
              <w:t>生产厂家</w:t>
            </w:r>
          </w:p>
        </w:tc>
        <w:tc>
          <w:tcPr>
            <w:tcW w:w="1140" w:type="dxa"/>
            <w:tcBorders>
              <w:top w:val="single" w:color="auto" w:sz="4" w:space="0"/>
              <w:left w:val="single" w:color="auto" w:sz="4" w:space="0"/>
              <w:bottom w:val="single" w:color="auto" w:sz="4" w:space="0"/>
              <w:right w:val="single" w:color="auto" w:sz="4" w:space="0"/>
            </w:tcBorders>
            <w:noWrap/>
            <w:vAlign w:val="center"/>
          </w:tcPr>
          <w:p w14:paraId="060974B7">
            <w:pPr>
              <w:snapToGrid w:val="0"/>
              <w:spacing w:before="50" w:after="50" w:line="360" w:lineRule="auto"/>
              <w:jc w:val="center"/>
              <w:rPr>
                <w:rFonts w:ascii="宋体" w:hAnsi="宋体"/>
                <w:color w:val="auto"/>
                <w:szCs w:val="21"/>
              </w:rPr>
            </w:pPr>
            <w:r>
              <w:rPr>
                <w:rFonts w:hint="eastAsia" w:ascii="宋体" w:hAnsi="宋体"/>
                <w:color w:val="auto"/>
                <w:szCs w:val="21"/>
              </w:rPr>
              <w:t>规格型号</w:t>
            </w:r>
          </w:p>
        </w:tc>
        <w:tc>
          <w:tcPr>
            <w:tcW w:w="1320" w:type="dxa"/>
            <w:tcBorders>
              <w:top w:val="single" w:color="auto" w:sz="4" w:space="0"/>
              <w:left w:val="single" w:color="auto" w:sz="4" w:space="0"/>
              <w:bottom w:val="single" w:color="auto" w:sz="4" w:space="0"/>
              <w:right w:val="single" w:color="auto" w:sz="4" w:space="0"/>
            </w:tcBorders>
            <w:noWrap/>
            <w:vAlign w:val="center"/>
          </w:tcPr>
          <w:p w14:paraId="2F4208ED">
            <w:pPr>
              <w:snapToGrid w:val="0"/>
              <w:spacing w:before="50" w:after="50" w:line="360" w:lineRule="auto"/>
              <w:jc w:val="center"/>
              <w:rPr>
                <w:rFonts w:hint="eastAsia" w:ascii="宋体" w:hAnsi="宋体"/>
                <w:color w:val="auto"/>
                <w:szCs w:val="21"/>
              </w:rPr>
            </w:pPr>
            <w:r>
              <w:rPr>
                <w:rFonts w:hint="eastAsia" w:ascii="宋体" w:hAnsi="宋体"/>
                <w:color w:val="auto"/>
                <w:szCs w:val="21"/>
              </w:rPr>
              <w:t>数量及单位</w:t>
            </w:r>
          </w:p>
          <w:p w14:paraId="232FDB87">
            <w:pPr>
              <w:pStyle w:val="46"/>
              <w:ind w:left="0" w:leftChars="0" w:firstLine="0" w:firstLineChars="0"/>
              <w:jc w:val="center"/>
              <w:rPr>
                <w:rFonts w:hint="eastAsia"/>
                <w:color w:val="auto"/>
              </w:rPr>
            </w:pPr>
            <w:r>
              <w:rPr>
                <w:rFonts w:ascii="Calibri" w:hAnsi="Calibri" w:cs="Calibri"/>
                <w:color w:val="auto"/>
              </w:rPr>
              <w:t>①</w:t>
            </w:r>
          </w:p>
        </w:tc>
        <w:tc>
          <w:tcPr>
            <w:tcW w:w="975" w:type="dxa"/>
            <w:tcBorders>
              <w:top w:val="single" w:color="auto" w:sz="4" w:space="0"/>
              <w:left w:val="single" w:color="auto" w:sz="4" w:space="0"/>
              <w:bottom w:val="single" w:color="auto" w:sz="4" w:space="0"/>
              <w:right w:val="single" w:color="auto" w:sz="4" w:space="0"/>
            </w:tcBorders>
            <w:noWrap/>
            <w:vAlign w:val="center"/>
          </w:tcPr>
          <w:p w14:paraId="675B46E4">
            <w:pPr>
              <w:snapToGrid w:val="0"/>
              <w:spacing w:before="50" w:after="50" w:line="360" w:lineRule="auto"/>
              <w:jc w:val="center"/>
              <w:rPr>
                <w:rFonts w:hint="eastAsia" w:ascii="宋体" w:hAnsi="宋体"/>
                <w:color w:val="auto"/>
                <w:szCs w:val="21"/>
              </w:rPr>
            </w:pPr>
            <w:r>
              <w:rPr>
                <w:rFonts w:hint="eastAsia" w:ascii="宋体" w:hAnsi="宋体"/>
                <w:color w:val="auto"/>
                <w:szCs w:val="21"/>
              </w:rPr>
              <w:t>单价</w:t>
            </w:r>
          </w:p>
          <w:p w14:paraId="15A7089C">
            <w:pPr>
              <w:snapToGrid w:val="0"/>
              <w:spacing w:before="50" w:after="50" w:line="360" w:lineRule="auto"/>
              <w:jc w:val="center"/>
              <w:rPr>
                <w:rFonts w:ascii="宋体" w:hAnsi="宋体"/>
                <w:color w:val="auto"/>
                <w:szCs w:val="21"/>
              </w:rPr>
            </w:pPr>
            <w:r>
              <w:rPr>
                <w:rFonts w:ascii="Calibri" w:hAnsi="Calibri" w:cs="Calibri"/>
                <w:color w:val="auto"/>
                <w:szCs w:val="21"/>
              </w:rPr>
              <w:t>②</w:t>
            </w:r>
          </w:p>
        </w:tc>
        <w:tc>
          <w:tcPr>
            <w:tcW w:w="1721" w:type="dxa"/>
            <w:tcBorders>
              <w:top w:val="single" w:color="auto" w:sz="4" w:space="0"/>
              <w:left w:val="single" w:color="auto" w:sz="4" w:space="0"/>
              <w:bottom w:val="single" w:color="auto" w:sz="4" w:space="0"/>
              <w:right w:val="single" w:color="auto" w:sz="4" w:space="0"/>
            </w:tcBorders>
            <w:noWrap/>
            <w:vAlign w:val="center"/>
          </w:tcPr>
          <w:p w14:paraId="47AC7A67">
            <w:pPr>
              <w:snapToGrid w:val="0"/>
              <w:spacing w:before="50" w:after="50" w:line="360" w:lineRule="auto"/>
              <w:jc w:val="center"/>
              <w:rPr>
                <w:rFonts w:hint="eastAsia" w:ascii="宋体" w:hAnsi="宋体"/>
                <w:color w:val="auto"/>
                <w:szCs w:val="21"/>
              </w:rPr>
            </w:pPr>
            <w:r>
              <w:rPr>
                <w:rFonts w:hint="eastAsia" w:ascii="宋体" w:hAnsi="宋体"/>
                <w:color w:val="auto"/>
                <w:szCs w:val="21"/>
              </w:rPr>
              <w:t>总价</w:t>
            </w:r>
          </w:p>
          <w:p w14:paraId="06CA0E6D">
            <w:pPr>
              <w:snapToGrid w:val="0"/>
              <w:spacing w:before="50" w:after="50" w:line="360" w:lineRule="auto"/>
              <w:jc w:val="center"/>
              <w:rPr>
                <w:rFonts w:ascii="宋体" w:hAnsi="宋体"/>
                <w:color w:val="auto"/>
                <w:szCs w:val="21"/>
              </w:rPr>
            </w:pPr>
            <w:r>
              <w:rPr>
                <w:rFonts w:ascii="Calibri" w:hAnsi="Calibri" w:cs="Calibri"/>
                <w:color w:val="auto"/>
                <w:szCs w:val="21"/>
              </w:rPr>
              <w:t>③</w:t>
            </w:r>
            <w:r>
              <w:rPr>
                <w:rFonts w:hint="eastAsia" w:ascii="宋体" w:hAnsi="宋体"/>
                <w:color w:val="auto"/>
                <w:szCs w:val="21"/>
              </w:rPr>
              <w:t>=</w:t>
            </w:r>
            <w:r>
              <w:rPr>
                <w:rFonts w:ascii="Calibri" w:hAnsi="Calibri" w:cs="Calibri"/>
                <w:color w:val="auto"/>
              </w:rPr>
              <w:t>①</w:t>
            </w:r>
            <w:r>
              <w:rPr>
                <w:rFonts w:ascii="Arial" w:hAnsi="Arial" w:cs="Arial"/>
                <w:color w:val="auto"/>
              </w:rPr>
              <w:t>×</w:t>
            </w:r>
            <w:r>
              <w:rPr>
                <w:rFonts w:ascii="Calibri" w:hAnsi="Calibri" w:cs="Calibri"/>
                <w:color w:val="auto"/>
                <w:szCs w:val="21"/>
              </w:rPr>
              <w:t>②</w:t>
            </w:r>
          </w:p>
        </w:tc>
      </w:tr>
      <w:tr w14:paraId="092541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657" w:type="dxa"/>
            <w:tcBorders>
              <w:top w:val="single" w:color="auto" w:sz="4" w:space="0"/>
              <w:left w:val="single" w:color="auto" w:sz="4" w:space="0"/>
              <w:bottom w:val="single" w:color="auto" w:sz="4" w:space="0"/>
              <w:right w:val="single" w:color="auto" w:sz="4" w:space="0"/>
            </w:tcBorders>
            <w:noWrap/>
            <w:vAlign w:val="center"/>
          </w:tcPr>
          <w:p w14:paraId="05F37D84">
            <w:pPr>
              <w:snapToGrid w:val="0"/>
              <w:spacing w:before="50" w:after="50" w:line="360" w:lineRule="auto"/>
              <w:jc w:val="center"/>
              <w:rPr>
                <w:rFonts w:ascii="宋体" w:hAnsi="宋体"/>
                <w:color w:val="auto"/>
                <w:szCs w:val="21"/>
              </w:rPr>
            </w:pPr>
            <w:r>
              <w:rPr>
                <w:rFonts w:hint="eastAsia" w:ascii="宋体" w:hAnsi="宋体"/>
                <w:color w:val="auto"/>
                <w:szCs w:val="21"/>
              </w:rPr>
              <w:t>1</w:t>
            </w:r>
          </w:p>
        </w:tc>
        <w:tc>
          <w:tcPr>
            <w:tcW w:w="1171" w:type="dxa"/>
            <w:tcBorders>
              <w:top w:val="single" w:color="auto" w:sz="4" w:space="0"/>
              <w:left w:val="single" w:color="auto" w:sz="4" w:space="0"/>
              <w:bottom w:val="single" w:color="auto" w:sz="4" w:space="0"/>
              <w:right w:val="single" w:color="auto" w:sz="4" w:space="0"/>
            </w:tcBorders>
            <w:noWrap/>
            <w:vAlign w:val="center"/>
          </w:tcPr>
          <w:p w14:paraId="0CF52E4D">
            <w:pPr>
              <w:snapToGrid w:val="0"/>
              <w:spacing w:before="50" w:after="50" w:line="360" w:lineRule="auto"/>
              <w:jc w:val="left"/>
              <w:rPr>
                <w:rFonts w:ascii="宋体" w:hAnsi="宋体"/>
                <w:bCs/>
                <w:color w:val="auto"/>
                <w:szCs w:val="21"/>
              </w:rPr>
            </w:pPr>
          </w:p>
        </w:tc>
        <w:tc>
          <w:tcPr>
            <w:tcW w:w="1417" w:type="dxa"/>
            <w:tcBorders>
              <w:top w:val="single" w:color="auto" w:sz="4" w:space="0"/>
              <w:left w:val="single" w:color="auto" w:sz="4" w:space="0"/>
              <w:bottom w:val="single" w:color="auto" w:sz="4" w:space="0"/>
              <w:right w:val="single" w:color="auto" w:sz="4" w:space="0"/>
            </w:tcBorders>
            <w:noWrap/>
            <w:vAlign w:val="center"/>
          </w:tcPr>
          <w:p w14:paraId="16F5DC9F">
            <w:pPr>
              <w:snapToGrid w:val="0"/>
              <w:spacing w:before="50" w:after="50" w:line="360" w:lineRule="auto"/>
              <w:jc w:val="left"/>
              <w:rPr>
                <w:rFonts w:ascii="宋体" w:hAnsi="宋体"/>
                <w:bCs/>
                <w:color w:val="auto"/>
                <w:szCs w:val="21"/>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79BA92F3">
            <w:pPr>
              <w:snapToGrid w:val="0"/>
              <w:spacing w:before="50" w:after="50" w:line="360" w:lineRule="auto"/>
              <w:jc w:val="center"/>
              <w:rPr>
                <w:rFonts w:ascii="宋体" w:hAnsi="宋体"/>
                <w:color w:val="auto"/>
                <w:szCs w:val="21"/>
              </w:rPr>
            </w:pPr>
          </w:p>
        </w:tc>
        <w:tc>
          <w:tcPr>
            <w:tcW w:w="1215" w:type="dxa"/>
            <w:tcBorders>
              <w:top w:val="single" w:color="auto" w:sz="4" w:space="0"/>
              <w:left w:val="single" w:color="auto" w:sz="4" w:space="0"/>
              <w:bottom w:val="single" w:color="auto" w:sz="4" w:space="0"/>
              <w:right w:val="single" w:color="auto" w:sz="4" w:space="0"/>
            </w:tcBorders>
            <w:noWrap/>
            <w:vAlign w:val="center"/>
          </w:tcPr>
          <w:p w14:paraId="495BE13D">
            <w:pPr>
              <w:snapToGrid w:val="0"/>
              <w:spacing w:before="50" w:after="50" w:line="360" w:lineRule="auto"/>
              <w:jc w:val="center"/>
              <w:rPr>
                <w:rFonts w:ascii="宋体" w:hAnsi="宋体"/>
                <w:color w:val="auto"/>
                <w:szCs w:val="21"/>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0BF927D3">
            <w:pPr>
              <w:snapToGrid w:val="0"/>
              <w:spacing w:before="50" w:after="50" w:line="360" w:lineRule="auto"/>
              <w:rPr>
                <w:rFonts w:ascii="宋体" w:hAnsi="宋体"/>
                <w:color w:val="auto"/>
                <w:szCs w:val="21"/>
              </w:rPr>
            </w:pPr>
          </w:p>
        </w:tc>
        <w:tc>
          <w:tcPr>
            <w:tcW w:w="1320" w:type="dxa"/>
            <w:tcBorders>
              <w:top w:val="single" w:color="auto" w:sz="4" w:space="0"/>
              <w:left w:val="single" w:color="auto" w:sz="4" w:space="0"/>
              <w:bottom w:val="single" w:color="auto" w:sz="4" w:space="0"/>
              <w:right w:val="single" w:color="auto" w:sz="4" w:space="0"/>
            </w:tcBorders>
            <w:noWrap/>
            <w:vAlign w:val="center"/>
          </w:tcPr>
          <w:p w14:paraId="7078D4F3">
            <w:pPr>
              <w:snapToGrid w:val="0"/>
              <w:spacing w:before="50" w:after="50" w:line="360" w:lineRule="auto"/>
              <w:rPr>
                <w:rFonts w:ascii="宋体" w:hAnsi="宋体"/>
                <w:color w:val="auto"/>
                <w:szCs w:val="21"/>
              </w:rPr>
            </w:pPr>
          </w:p>
        </w:tc>
        <w:tc>
          <w:tcPr>
            <w:tcW w:w="975" w:type="dxa"/>
            <w:tcBorders>
              <w:top w:val="single" w:color="auto" w:sz="4" w:space="0"/>
              <w:left w:val="single" w:color="auto" w:sz="4" w:space="0"/>
              <w:bottom w:val="single" w:color="auto" w:sz="4" w:space="0"/>
              <w:right w:val="single" w:color="auto" w:sz="4" w:space="0"/>
            </w:tcBorders>
            <w:noWrap/>
            <w:vAlign w:val="center"/>
          </w:tcPr>
          <w:p w14:paraId="0F0C858F">
            <w:pPr>
              <w:snapToGrid w:val="0"/>
              <w:spacing w:before="50" w:after="50" w:line="360" w:lineRule="auto"/>
              <w:rPr>
                <w:rFonts w:ascii="宋体" w:hAnsi="宋体"/>
                <w:color w:val="auto"/>
                <w:szCs w:val="21"/>
              </w:rPr>
            </w:pPr>
          </w:p>
        </w:tc>
        <w:tc>
          <w:tcPr>
            <w:tcW w:w="1721" w:type="dxa"/>
            <w:tcBorders>
              <w:top w:val="single" w:color="auto" w:sz="4" w:space="0"/>
              <w:left w:val="single" w:color="auto" w:sz="4" w:space="0"/>
              <w:bottom w:val="single" w:color="auto" w:sz="4" w:space="0"/>
              <w:right w:val="single" w:color="auto" w:sz="4" w:space="0"/>
            </w:tcBorders>
            <w:noWrap/>
            <w:vAlign w:val="center"/>
          </w:tcPr>
          <w:p w14:paraId="7CAA697D">
            <w:pPr>
              <w:snapToGrid w:val="0"/>
              <w:spacing w:before="50" w:after="50" w:line="360" w:lineRule="auto"/>
              <w:rPr>
                <w:rFonts w:ascii="宋体" w:hAnsi="宋体"/>
                <w:color w:val="auto"/>
                <w:szCs w:val="21"/>
              </w:rPr>
            </w:pPr>
          </w:p>
        </w:tc>
      </w:tr>
      <w:tr w14:paraId="23800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657" w:type="dxa"/>
            <w:tcBorders>
              <w:top w:val="single" w:color="auto" w:sz="4" w:space="0"/>
              <w:left w:val="single" w:color="auto" w:sz="4" w:space="0"/>
              <w:bottom w:val="single" w:color="auto" w:sz="4" w:space="0"/>
              <w:right w:val="single" w:color="auto" w:sz="4" w:space="0"/>
            </w:tcBorders>
            <w:noWrap/>
            <w:vAlign w:val="center"/>
          </w:tcPr>
          <w:p w14:paraId="1F189DA5">
            <w:pPr>
              <w:snapToGrid w:val="0"/>
              <w:spacing w:before="50" w:after="50" w:line="360" w:lineRule="auto"/>
              <w:jc w:val="center"/>
              <w:rPr>
                <w:rFonts w:ascii="宋体" w:hAnsi="宋体"/>
                <w:color w:val="auto"/>
                <w:szCs w:val="21"/>
              </w:rPr>
            </w:pPr>
            <w:r>
              <w:rPr>
                <w:rFonts w:ascii="宋体" w:hAnsi="宋体"/>
                <w:color w:val="auto"/>
                <w:szCs w:val="21"/>
              </w:rPr>
              <w:t>……</w:t>
            </w:r>
          </w:p>
        </w:tc>
        <w:tc>
          <w:tcPr>
            <w:tcW w:w="1171" w:type="dxa"/>
            <w:tcBorders>
              <w:top w:val="single" w:color="auto" w:sz="4" w:space="0"/>
              <w:left w:val="single" w:color="auto" w:sz="4" w:space="0"/>
              <w:bottom w:val="single" w:color="auto" w:sz="4" w:space="0"/>
              <w:right w:val="single" w:color="auto" w:sz="4" w:space="0"/>
            </w:tcBorders>
            <w:noWrap/>
            <w:vAlign w:val="center"/>
          </w:tcPr>
          <w:p w14:paraId="44C881CC">
            <w:pPr>
              <w:snapToGrid w:val="0"/>
              <w:spacing w:before="50" w:after="50" w:line="360" w:lineRule="auto"/>
              <w:jc w:val="center"/>
              <w:rPr>
                <w:rFonts w:ascii="宋体" w:hAnsi="宋体"/>
                <w:bCs/>
                <w:color w:val="auto"/>
                <w:szCs w:val="21"/>
              </w:rPr>
            </w:pPr>
          </w:p>
        </w:tc>
        <w:tc>
          <w:tcPr>
            <w:tcW w:w="1417" w:type="dxa"/>
            <w:tcBorders>
              <w:top w:val="single" w:color="auto" w:sz="4" w:space="0"/>
              <w:left w:val="single" w:color="auto" w:sz="4" w:space="0"/>
              <w:bottom w:val="single" w:color="auto" w:sz="4" w:space="0"/>
              <w:right w:val="single" w:color="auto" w:sz="4" w:space="0"/>
            </w:tcBorders>
            <w:noWrap/>
            <w:vAlign w:val="center"/>
          </w:tcPr>
          <w:p w14:paraId="3E5EE6B3">
            <w:pPr>
              <w:snapToGrid w:val="0"/>
              <w:spacing w:before="50" w:after="50" w:line="360" w:lineRule="auto"/>
              <w:jc w:val="center"/>
              <w:rPr>
                <w:rFonts w:ascii="宋体" w:hAnsi="宋体"/>
                <w:bCs/>
                <w:color w:val="auto"/>
                <w:szCs w:val="21"/>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22619E11">
            <w:pPr>
              <w:snapToGrid w:val="0"/>
              <w:spacing w:before="50" w:after="50" w:line="360" w:lineRule="auto"/>
              <w:jc w:val="center"/>
              <w:rPr>
                <w:rFonts w:ascii="宋体" w:hAnsi="宋体"/>
                <w:color w:val="auto"/>
                <w:szCs w:val="21"/>
              </w:rPr>
            </w:pPr>
          </w:p>
        </w:tc>
        <w:tc>
          <w:tcPr>
            <w:tcW w:w="1215" w:type="dxa"/>
            <w:tcBorders>
              <w:top w:val="single" w:color="auto" w:sz="4" w:space="0"/>
              <w:left w:val="single" w:color="auto" w:sz="4" w:space="0"/>
              <w:bottom w:val="single" w:color="auto" w:sz="4" w:space="0"/>
              <w:right w:val="single" w:color="auto" w:sz="4" w:space="0"/>
            </w:tcBorders>
            <w:noWrap/>
            <w:vAlign w:val="center"/>
          </w:tcPr>
          <w:p w14:paraId="2082D969">
            <w:pPr>
              <w:snapToGrid w:val="0"/>
              <w:spacing w:before="50" w:after="50" w:line="360" w:lineRule="auto"/>
              <w:jc w:val="center"/>
              <w:rPr>
                <w:rFonts w:ascii="宋体" w:hAnsi="宋体"/>
                <w:color w:val="auto"/>
                <w:szCs w:val="21"/>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4D2A6AD7">
            <w:pPr>
              <w:snapToGrid w:val="0"/>
              <w:spacing w:before="50" w:after="50" w:line="360" w:lineRule="auto"/>
              <w:rPr>
                <w:rFonts w:ascii="宋体" w:hAnsi="宋体"/>
                <w:color w:val="auto"/>
                <w:szCs w:val="21"/>
              </w:rPr>
            </w:pPr>
          </w:p>
        </w:tc>
        <w:tc>
          <w:tcPr>
            <w:tcW w:w="1320" w:type="dxa"/>
            <w:tcBorders>
              <w:top w:val="single" w:color="auto" w:sz="4" w:space="0"/>
              <w:left w:val="single" w:color="auto" w:sz="4" w:space="0"/>
              <w:bottom w:val="single" w:color="auto" w:sz="4" w:space="0"/>
              <w:right w:val="single" w:color="auto" w:sz="4" w:space="0"/>
            </w:tcBorders>
            <w:noWrap/>
            <w:vAlign w:val="center"/>
          </w:tcPr>
          <w:p w14:paraId="4C37169D">
            <w:pPr>
              <w:snapToGrid w:val="0"/>
              <w:spacing w:before="50" w:after="50" w:line="360" w:lineRule="auto"/>
              <w:rPr>
                <w:rFonts w:ascii="宋体" w:hAnsi="宋体"/>
                <w:color w:val="auto"/>
                <w:szCs w:val="21"/>
              </w:rPr>
            </w:pPr>
          </w:p>
        </w:tc>
        <w:tc>
          <w:tcPr>
            <w:tcW w:w="975" w:type="dxa"/>
            <w:tcBorders>
              <w:top w:val="single" w:color="auto" w:sz="4" w:space="0"/>
              <w:left w:val="single" w:color="auto" w:sz="4" w:space="0"/>
              <w:bottom w:val="single" w:color="auto" w:sz="4" w:space="0"/>
              <w:right w:val="single" w:color="auto" w:sz="4" w:space="0"/>
            </w:tcBorders>
            <w:noWrap/>
            <w:vAlign w:val="center"/>
          </w:tcPr>
          <w:p w14:paraId="130843D8">
            <w:pPr>
              <w:snapToGrid w:val="0"/>
              <w:spacing w:before="50" w:after="50" w:line="360" w:lineRule="auto"/>
              <w:rPr>
                <w:rFonts w:ascii="宋体" w:hAnsi="宋体"/>
                <w:color w:val="auto"/>
                <w:szCs w:val="21"/>
              </w:rPr>
            </w:pPr>
          </w:p>
        </w:tc>
        <w:tc>
          <w:tcPr>
            <w:tcW w:w="1721" w:type="dxa"/>
            <w:tcBorders>
              <w:top w:val="single" w:color="auto" w:sz="4" w:space="0"/>
              <w:left w:val="single" w:color="auto" w:sz="4" w:space="0"/>
              <w:bottom w:val="single" w:color="auto" w:sz="4" w:space="0"/>
              <w:right w:val="single" w:color="auto" w:sz="4" w:space="0"/>
            </w:tcBorders>
            <w:noWrap/>
            <w:vAlign w:val="center"/>
          </w:tcPr>
          <w:p w14:paraId="103990EE">
            <w:pPr>
              <w:snapToGrid w:val="0"/>
              <w:spacing w:before="50" w:after="50" w:line="360" w:lineRule="auto"/>
              <w:rPr>
                <w:rFonts w:ascii="宋体" w:hAnsi="宋体"/>
                <w:color w:val="auto"/>
                <w:szCs w:val="21"/>
              </w:rPr>
            </w:pPr>
          </w:p>
        </w:tc>
      </w:tr>
      <w:tr w14:paraId="2089A0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10466" w:type="dxa"/>
            <w:gridSpan w:val="9"/>
            <w:tcBorders>
              <w:top w:val="single" w:color="auto" w:sz="4" w:space="0"/>
              <w:left w:val="single" w:color="auto" w:sz="4" w:space="0"/>
              <w:bottom w:val="single" w:color="auto" w:sz="4" w:space="0"/>
              <w:right w:val="single" w:color="auto" w:sz="4" w:space="0"/>
            </w:tcBorders>
            <w:noWrap/>
            <w:vAlign w:val="center"/>
          </w:tcPr>
          <w:p w14:paraId="466AA2AC">
            <w:pPr>
              <w:snapToGrid w:val="0"/>
              <w:spacing w:before="50" w:after="50" w:line="360" w:lineRule="auto"/>
              <w:rPr>
                <w:rFonts w:hint="eastAsia" w:ascii="宋体" w:hAnsi="宋体"/>
                <w:color w:val="auto"/>
                <w:szCs w:val="21"/>
              </w:rPr>
            </w:pPr>
            <w:r>
              <w:rPr>
                <w:rFonts w:hint="eastAsia" w:ascii="宋体" w:hAnsi="宋体"/>
                <w:color w:val="auto"/>
                <w:szCs w:val="21"/>
              </w:rPr>
              <w:t>本项目合计金额（大写）：人民币</w:t>
            </w:r>
            <w:r>
              <w:rPr>
                <w:rFonts w:hint="eastAsia" w:ascii="宋体" w:hAnsi="宋体"/>
                <w:color w:val="auto"/>
                <w:szCs w:val="21"/>
                <w:u w:val="single"/>
              </w:rPr>
              <w:t xml:space="preserve">               </w:t>
            </w:r>
            <w:r>
              <w:rPr>
                <w:rFonts w:hint="eastAsia" w:ascii="宋体" w:hAnsi="宋体"/>
                <w:color w:val="auto"/>
                <w:szCs w:val="21"/>
              </w:rPr>
              <w:t xml:space="preserve">元 （¥ </w:t>
            </w:r>
            <w:r>
              <w:rPr>
                <w:rFonts w:hint="eastAsia" w:ascii="宋体" w:hAnsi="宋体"/>
                <w:color w:val="auto"/>
                <w:szCs w:val="21"/>
                <w:u w:val="single"/>
              </w:rPr>
              <w:t xml:space="preserve">               </w:t>
            </w:r>
            <w:r>
              <w:rPr>
                <w:rFonts w:hint="eastAsia" w:ascii="宋体" w:hAnsi="宋体"/>
                <w:color w:val="auto"/>
                <w:szCs w:val="21"/>
              </w:rPr>
              <w:t>）</w:t>
            </w:r>
          </w:p>
        </w:tc>
      </w:tr>
    </w:tbl>
    <w:p w14:paraId="223B5554">
      <w:pPr>
        <w:snapToGrid w:val="0"/>
        <w:spacing w:line="360" w:lineRule="auto"/>
        <w:ind w:firstLine="420" w:firstLineChars="200"/>
        <w:rPr>
          <w:rFonts w:hint="eastAsia" w:ascii="宋体" w:hAnsi="宋体"/>
          <w:color w:val="auto"/>
          <w:szCs w:val="21"/>
        </w:rPr>
      </w:pPr>
      <w:r>
        <w:rPr>
          <w:rFonts w:hint="eastAsia" w:ascii="宋体" w:hAnsi="宋体"/>
          <w:color w:val="auto"/>
          <w:szCs w:val="21"/>
        </w:rPr>
        <w:t>2、合同合计金额包含设备本身费用以及设备调试至可正常使用前，发生的运输费、安装调试费等以及其他所有可能发生的费用。如招投标文件对其另有规定的，从其规定。</w:t>
      </w:r>
    </w:p>
    <w:p w14:paraId="2FCA9D4C">
      <w:pPr>
        <w:snapToGrid w:val="0"/>
        <w:spacing w:line="360" w:lineRule="auto"/>
        <w:ind w:firstLine="422" w:firstLineChars="200"/>
        <w:rPr>
          <w:rFonts w:hint="eastAsia" w:ascii="宋体" w:hAnsi="宋体"/>
          <w:b/>
          <w:color w:val="auto"/>
          <w:szCs w:val="21"/>
          <w:lang w:val="en-US" w:eastAsia="zh-CN"/>
        </w:rPr>
      </w:pPr>
      <w:r>
        <w:rPr>
          <w:rFonts w:hint="eastAsia" w:ascii="宋体" w:hAnsi="宋体"/>
          <w:b/>
          <w:color w:val="auto"/>
          <w:szCs w:val="21"/>
        </w:rPr>
        <w:t>第二条　</w:t>
      </w:r>
      <w:r>
        <w:rPr>
          <w:rFonts w:hint="eastAsia" w:ascii="宋体" w:hAnsi="宋体"/>
          <w:b/>
          <w:color w:val="auto"/>
          <w:szCs w:val="21"/>
          <w:lang w:val="en-US" w:eastAsia="zh-CN"/>
        </w:rPr>
        <w:t>基本要求</w:t>
      </w:r>
    </w:p>
    <w:p w14:paraId="4E9EFF6B">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w:t>
      </w:r>
      <w:r>
        <w:rPr>
          <w:rFonts w:hint="eastAsia" w:ascii="宋体" w:hAnsi="宋体" w:eastAsia="宋体" w:cs="宋体"/>
          <w:color w:val="auto"/>
          <w:lang w:eastAsia="zh-CN"/>
        </w:rPr>
        <w:t>、</w:t>
      </w:r>
      <w:r>
        <w:rPr>
          <w:rFonts w:hint="eastAsia" w:ascii="宋体" w:hAnsi="宋体" w:eastAsia="宋体" w:cs="宋体"/>
          <w:color w:val="auto"/>
          <w:lang w:eastAsia="en-US"/>
        </w:rPr>
        <w:t>乙方提供的彩色多普勒超声诊断</w:t>
      </w:r>
      <w:r>
        <w:rPr>
          <w:rFonts w:hint="eastAsia" w:ascii="宋体" w:hAnsi="宋体" w:eastAsia="宋体" w:cs="宋体"/>
          <w:color w:val="auto"/>
          <w:lang w:eastAsia="zh-CN"/>
        </w:rPr>
        <w:t>仪</w:t>
      </w:r>
      <w:r>
        <w:rPr>
          <w:rFonts w:hint="eastAsia" w:ascii="宋体" w:hAnsi="宋体" w:eastAsia="宋体" w:cs="宋体"/>
          <w:color w:val="auto"/>
          <w:lang w:eastAsia="en-US"/>
        </w:rPr>
        <w:t>，必须是全新、完整、未使用过的原装产品，严禁翻新、样机、返修机等设备。</w:t>
      </w:r>
    </w:p>
    <w:p w14:paraId="1F383686">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2</w:t>
      </w:r>
      <w:r>
        <w:rPr>
          <w:rFonts w:hint="eastAsia" w:ascii="宋体" w:hAnsi="宋体" w:eastAsia="宋体" w:cs="宋体"/>
          <w:color w:val="auto"/>
          <w:lang w:eastAsia="zh-CN"/>
        </w:rPr>
        <w:t>、</w:t>
      </w:r>
      <w:r>
        <w:rPr>
          <w:rFonts w:hint="eastAsia" w:ascii="宋体" w:hAnsi="宋体" w:eastAsia="宋体" w:cs="宋体"/>
          <w:color w:val="auto"/>
          <w:lang w:eastAsia="en-US"/>
        </w:rPr>
        <w:t>乙方提供详细完整的中文说明书、产品合格证明材料、简易操作规程等资料交给</w:t>
      </w:r>
      <w:r>
        <w:rPr>
          <w:rFonts w:hint="eastAsia" w:ascii="宋体" w:hAnsi="宋体" w:eastAsia="宋体" w:cs="宋体"/>
          <w:color w:val="auto"/>
          <w:lang w:val="en-US" w:eastAsia="zh-CN"/>
        </w:rPr>
        <w:t>甲方</w:t>
      </w:r>
      <w:r>
        <w:rPr>
          <w:rFonts w:hint="eastAsia" w:ascii="宋体" w:hAnsi="宋体" w:eastAsia="宋体" w:cs="宋体"/>
          <w:color w:val="auto"/>
          <w:lang w:eastAsia="en-US"/>
        </w:rPr>
        <w:t>。</w:t>
      </w:r>
    </w:p>
    <w:p w14:paraId="6048F7EB">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3</w:t>
      </w:r>
      <w:r>
        <w:rPr>
          <w:rFonts w:hint="eastAsia" w:ascii="宋体" w:hAnsi="宋体" w:eastAsia="宋体" w:cs="宋体"/>
          <w:color w:val="auto"/>
          <w:lang w:eastAsia="zh-CN"/>
        </w:rPr>
        <w:t>、</w:t>
      </w:r>
      <w:r>
        <w:rPr>
          <w:rFonts w:hint="eastAsia" w:ascii="宋体" w:hAnsi="宋体" w:eastAsia="宋体" w:cs="宋体"/>
          <w:color w:val="auto"/>
          <w:lang w:eastAsia="en-US"/>
        </w:rPr>
        <w:t>产品及服务应符合本采购文件的技术要求，如没有提及适用标准，则应符合中国人民共和国国家标准或行业标准，如果中华人民共和国没有相关标准的，则采用货物来源国适用的官方标准。这些标准必须是有关机构发布的最新版本的标准。</w:t>
      </w:r>
    </w:p>
    <w:p w14:paraId="7D2ED7CE">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4</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应保证产品涉及到的知识产权和所提供的相关技术资料是合法取得，并享有完整的知识产权，不会因为</w:t>
      </w:r>
      <w:r>
        <w:rPr>
          <w:rFonts w:hint="eastAsia" w:ascii="宋体" w:hAnsi="宋体" w:eastAsia="宋体" w:cs="宋体"/>
          <w:color w:val="auto"/>
          <w:lang w:val="en-US" w:eastAsia="zh-CN"/>
        </w:rPr>
        <w:t>甲方</w:t>
      </w:r>
      <w:r>
        <w:rPr>
          <w:rFonts w:hint="eastAsia" w:ascii="宋体" w:hAnsi="宋体" w:eastAsia="宋体" w:cs="宋体"/>
          <w:color w:val="auto"/>
          <w:lang w:eastAsia="en-US"/>
        </w:rPr>
        <w:t>的使用而被责令停止使用、追偿或要求赔偿损失，如出现此情况，一切经济和法律责任均由</w:t>
      </w:r>
      <w:r>
        <w:rPr>
          <w:rFonts w:hint="eastAsia" w:ascii="宋体" w:hAnsi="宋体"/>
          <w:color w:val="auto"/>
          <w:szCs w:val="21"/>
        </w:rPr>
        <w:t>乙方</w:t>
      </w:r>
      <w:r>
        <w:rPr>
          <w:rFonts w:hint="eastAsia" w:ascii="宋体" w:hAnsi="宋体" w:eastAsia="宋体" w:cs="宋体"/>
          <w:color w:val="auto"/>
          <w:lang w:eastAsia="en-US"/>
        </w:rPr>
        <w:t>承担。</w:t>
      </w:r>
    </w:p>
    <w:p w14:paraId="7F847582">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5</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的投标文件应列明详细的产品及相关产品及部件名称、品牌、材质、型号规格、产地和生产厂家及提供完整的技术文件（技术文件应与实物一致），技术文件包括产品的主要性能技术参数、适用范围以及外形图样、安装尺寸、设计图型等。</w:t>
      </w:r>
    </w:p>
    <w:p w14:paraId="26428F8D">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6</w:t>
      </w:r>
      <w:r>
        <w:rPr>
          <w:rFonts w:hint="eastAsia" w:ascii="宋体" w:hAnsi="宋体" w:eastAsia="宋体" w:cs="宋体"/>
          <w:color w:val="auto"/>
          <w:lang w:eastAsia="zh-CN"/>
        </w:rPr>
        <w:t>、</w:t>
      </w:r>
      <w:r>
        <w:rPr>
          <w:rFonts w:hint="eastAsia" w:ascii="宋体" w:hAnsi="宋体" w:eastAsia="宋体" w:cs="宋体"/>
          <w:color w:val="auto"/>
          <w:lang w:eastAsia="en-US"/>
        </w:rPr>
        <w:t>投标文件应正确反映所投产品的技术水平和科技含量，所投产品如包括必备的随机附件及零配件、易损易耗备品备件和专用工具，供应商应提供其清单。</w:t>
      </w:r>
    </w:p>
    <w:p w14:paraId="5FE8A619">
      <w:pPr>
        <w:snapToGrid w:val="0"/>
        <w:spacing w:line="360" w:lineRule="auto"/>
        <w:ind w:firstLine="420" w:firstLineChars="200"/>
        <w:rPr>
          <w:rFonts w:hint="default" w:ascii="宋体" w:hAnsi="宋体"/>
          <w:b/>
          <w:color w:val="auto"/>
          <w:szCs w:val="21"/>
          <w:lang w:val="en-US" w:eastAsia="zh-CN"/>
        </w:rPr>
      </w:pPr>
      <w:r>
        <w:rPr>
          <w:rFonts w:hint="eastAsia" w:ascii="宋体" w:hAnsi="宋体" w:eastAsia="宋体" w:cs="宋体"/>
          <w:color w:val="auto"/>
          <w:lang w:eastAsia="en-US"/>
        </w:rPr>
        <w:t>7</w:t>
      </w:r>
      <w:r>
        <w:rPr>
          <w:rFonts w:hint="eastAsia" w:ascii="宋体" w:hAnsi="宋体" w:eastAsia="宋体" w:cs="宋体"/>
          <w:color w:val="auto"/>
          <w:lang w:eastAsia="zh-CN"/>
        </w:rPr>
        <w:t>、</w:t>
      </w:r>
      <w:r>
        <w:rPr>
          <w:rFonts w:hint="eastAsia" w:ascii="宋体" w:hAnsi="宋体" w:eastAsia="宋体" w:cs="宋体"/>
          <w:color w:val="auto"/>
          <w:lang w:eastAsia="en-US"/>
        </w:rPr>
        <w:t>未尽事宜按设计图及国家现行有关规范、标准执行。</w:t>
      </w:r>
    </w:p>
    <w:p w14:paraId="5D348538">
      <w:pPr>
        <w:snapToGrid w:val="0"/>
        <w:spacing w:line="360" w:lineRule="auto"/>
        <w:ind w:firstLine="422" w:firstLineChars="200"/>
        <w:rPr>
          <w:rFonts w:hint="default" w:ascii="宋体" w:hAnsi="宋体" w:eastAsia="宋体"/>
          <w:color w:val="auto"/>
          <w:szCs w:val="21"/>
          <w:lang w:val="en-US" w:eastAsia="zh-CN"/>
        </w:rPr>
      </w:pPr>
      <w:r>
        <w:rPr>
          <w:rFonts w:hint="eastAsia" w:ascii="宋体" w:hAnsi="宋体"/>
          <w:b/>
          <w:color w:val="auto"/>
          <w:szCs w:val="21"/>
        </w:rPr>
        <w:t>第三条　</w:t>
      </w:r>
      <w:r>
        <w:rPr>
          <w:rFonts w:hint="eastAsia" w:ascii="宋体" w:hAnsi="宋体"/>
          <w:b/>
          <w:color w:val="auto"/>
          <w:szCs w:val="21"/>
          <w:lang w:val="en-US" w:eastAsia="zh-CN"/>
        </w:rPr>
        <w:t>设备质量保修要求</w:t>
      </w:r>
    </w:p>
    <w:p w14:paraId="0A6B3FB8">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w:t>
      </w:r>
      <w:r>
        <w:rPr>
          <w:rFonts w:hint="eastAsia" w:ascii="宋体" w:hAnsi="宋体" w:eastAsia="宋体" w:cs="宋体"/>
          <w:color w:val="auto"/>
          <w:lang w:eastAsia="zh-CN"/>
        </w:rPr>
        <w:t>、</w:t>
      </w:r>
      <w:r>
        <w:rPr>
          <w:rFonts w:hint="eastAsia" w:ascii="宋体" w:hAnsi="宋体" w:cs="宋体"/>
          <w:bCs/>
          <w:strike w:val="0"/>
          <w:dstrike w:val="0"/>
          <w:color w:val="auto"/>
          <w:kern w:val="0"/>
          <w:szCs w:val="21"/>
          <w:lang w:val="en-US" w:eastAsia="zh-CN"/>
        </w:rPr>
        <w:t>设备使用年限≥10年，</w:t>
      </w:r>
      <w:r>
        <w:rPr>
          <w:rFonts w:hint="eastAsia" w:ascii="宋体" w:hAnsi="宋体" w:eastAsia="宋体" w:cs="宋体"/>
          <w:color w:val="auto"/>
          <w:lang w:eastAsia="en-US"/>
        </w:rPr>
        <w:t>彩色多普勒</w:t>
      </w:r>
      <w:r>
        <w:rPr>
          <w:rFonts w:hint="eastAsia" w:ascii="宋体" w:hAnsi="宋体" w:eastAsia="宋体" w:cs="宋体"/>
          <w:color w:val="auto"/>
          <w:lang w:eastAsia="zh-CN"/>
        </w:rPr>
        <w:t>超声仪</w:t>
      </w:r>
      <w:r>
        <w:rPr>
          <w:rFonts w:hint="eastAsia" w:ascii="宋体" w:hAnsi="宋体" w:cs="宋体"/>
          <w:bCs/>
          <w:strike w:val="0"/>
          <w:dstrike w:val="0"/>
          <w:color w:val="auto"/>
          <w:kern w:val="0"/>
          <w:szCs w:val="21"/>
          <w:lang w:val="en-US" w:eastAsia="zh-CN"/>
        </w:rPr>
        <w:t>（整机含探头）</w:t>
      </w:r>
      <w:r>
        <w:rPr>
          <w:rFonts w:hint="eastAsia" w:ascii="宋体" w:hAnsi="宋体" w:eastAsia="宋体" w:cs="宋体"/>
          <w:color w:val="auto"/>
          <w:lang w:eastAsia="en-US"/>
        </w:rPr>
        <w:t>提供</w:t>
      </w:r>
      <w:r>
        <w:rPr>
          <w:rFonts w:hint="eastAsia" w:ascii="宋体" w:hAnsi="宋体" w:cs="宋体"/>
          <w:color w:val="auto"/>
          <w:u w:val="single"/>
          <w:lang w:val="en-US" w:eastAsia="zh-CN"/>
        </w:rPr>
        <w:t xml:space="preserve">        </w:t>
      </w:r>
      <w:r>
        <w:rPr>
          <w:rFonts w:hint="eastAsia" w:ascii="宋体" w:hAnsi="宋体" w:eastAsia="宋体" w:cs="宋体"/>
          <w:color w:val="auto"/>
          <w:lang w:eastAsia="en-US"/>
        </w:rPr>
        <w:t>年保修服务，保修期从双方共同签署设备验收报告之日算起，保修期内不收取任何费用，质保期过后的维修只能收取零配件费，终身维护。</w:t>
      </w:r>
    </w:p>
    <w:p w14:paraId="4BC63E0C">
      <w:pPr>
        <w:snapToGrid w:val="0"/>
        <w:spacing w:line="360" w:lineRule="auto"/>
        <w:ind w:firstLine="420" w:firstLineChars="200"/>
        <w:rPr>
          <w:rFonts w:hint="eastAsia" w:ascii="宋体" w:hAnsi="宋体" w:eastAsia="宋体" w:cs="宋体"/>
          <w:color w:val="auto"/>
          <w:lang w:eastAsia="en-US"/>
        </w:rPr>
      </w:pPr>
      <w:r>
        <w:rPr>
          <w:rFonts w:hint="eastAsia" w:ascii="宋体" w:hAnsi="宋体" w:eastAsia="宋体" w:cs="宋体"/>
          <w:color w:val="auto"/>
          <w:lang w:eastAsia="en-US"/>
        </w:rPr>
        <w:t>2</w:t>
      </w:r>
      <w:r>
        <w:rPr>
          <w:rFonts w:hint="eastAsia" w:ascii="宋体" w:hAnsi="宋体" w:eastAsia="宋体" w:cs="宋体"/>
          <w:color w:val="auto"/>
          <w:lang w:eastAsia="zh-CN"/>
        </w:rPr>
        <w:t>、</w:t>
      </w:r>
      <w:r>
        <w:rPr>
          <w:rFonts w:hint="eastAsia" w:ascii="宋体" w:hAnsi="宋体" w:eastAsia="宋体" w:cs="宋体"/>
          <w:color w:val="auto"/>
          <w:lang w:eastAsia="en-US"/>
        </w:rPr>
        <w:t>保修期内设备发生一般故障时，</w:t>
      </w:r>
      <w:r>
        <w:rPr>
          <w:rFonts w:hint="eastAsia" w:ascii="宋体" w:hAnsi="宋体"/>
          <w:color w:val="auto"/>
          <w:szCs w:val="21"/>
        </w:rPr>
        <w:t>乙方</w:t>
      </w:r>
      <w:r>
        <w:rPr>
          <w:rFonts w:hint="eastAsia" w:ascii="宋体" w:hAnsi="宋体" w:eastAsia="宋体" w:cs="宋体"/>
          <w:color w:val="auto"/>
          <w:lang w:eastAsia="en-US"/>
        </w:rPr>
        <w:t>应负责维修、更换零配件；设备发生大故障（指主要部件出现质量问题）时，</w:t>
      </w:r>
      <w:r>
        <w:rPr>
          <w:rFonts w:hint="eastAsia" w:ascii="宋体" w:hAnsi="宋体"/>
          <w:color w:val="auto"/>
          <w:szCs w:val="21"/>
        </w:rPr>
        <w:t>乙方</w:t>
      </w:r>
      <w:r>
        <w:rPr>
          <w:rFonts w:hint="eastAsia" w:ascii="宋体" w:hAnsi="宋体" w:eastAsia="宋体" w:cs="宋体"/>
          <w:color w:val="auto"/>
          <w:lang w:eastAsia="en-US"/>
        </w:rPr>
        <w:t>应负责更换相同品牌、型号的新设备，设备维修或更换后其保修期相应顺延。所有非故意性损坏以及在要求质量标准范围内的正常使用造成的损坏，</w:t>
      </w:r>
      <w:r>
        <w:rPr>
          <w:rFonts w:hint="eastAsia" w:ascii="宋体" w:hAnsi="宋体"/>
          <w:color w:val="auto"/>
          <w:szCs w:val="21"/>
        </w:rPr>
        <w:t>乙方</w:t>
      </w:r>
      <w:r>
        <w:rPr>
          <w:rFonts w:hint="eastAsia" w:ascii="宋体" w:hAnsi="宋体" w:eastAsia="宋体" w:cs="宋体"/>
          <w:color w:val="auto"/>
          <w:lang w:eastAsia="en-US"/>
        </w:rPr>
        <w:t>均要维修。保修期内发生的故障维修服务及更换配件均包含在投标报价中，</w:t>
      </w:r>
      <w:r>
        <w:rPr>
          <w:rFonts w:hint="eastAsia" w:ascii="宋体" w:hAnsi="宋体" w:eastAsia="宋体" w:cs="宋体"/>
          <w:color w:val="auto"/>
          <w:lang w:val="en-US" w:eastAsia="zh-CN"/>
        </w:rPr>
        <w:t>甲方</w:t>
      </w:r>
      <w:r>
        <w:rPr>
          <w:rFonts w:hint="eastAsia" w:ascii="宋体" w:hAnsi="宋体" w:eastAsia="宋体" w:cs="宋体"/>
          <w:color w:val="auto"/>
          <w:lang w:eastAsia="en-US"/>
        </w:rPr>
        <w:t>不另外支付费用。对因</w:t>
      </w:r>
      <w:r>
        <w:rPr>
          <w:rFonts w:hint="eastAsia" w:ascii="宋体" w:hAnsi="宋体" w:eastAsia="宋体" w:cs="宋体"/>
          <w:color w:val="auto"/>
          <w:lang w:val="en-US" w:eastAsia="zh-CN"/>
        </w:rPr>
        <w:t>甲方</w:t>
      </w:r>
      <w:r>
        <w:rPr>
          <w:rFonts w:hint="eastAsia" w:ascii="宋体" w:hAnsi="宋体" w:eastAsia="宋体" w:cs="宋体"/>
          <w:color w:val="auto"/>
          <w:lang w:eastAsia="en-US"/>
        </w:rPr>
        <w:t>人员的不正当使用所造成的设备损坏不在供应商保修范围，但</w:t>
      </w:r>
      <w:r>
        <w:rPr>
          <w:rFonts w:hint="eastAsia" w:ascii="宋体" w:hAnsi="宋体"/>
          <w:color w:val="auto"/>
          <w:szCs w:val="21"/>
        </w:rPr>
        <w:t>乙方</w:t>
      </w:r>
      <w:r>
        <w:rPr>
          <w:rFonts w:hint="eastAsia" w:ascii="宋体" w:hAnsi="宋体" w:eastAsia="宋体" w:cs="宋体"/>
          <w:color w:val="auto"/>
          <w:lang w:eastAsia="en-US"/>
        </w:rPr>
        <w:t>也要积极帮助采购方修理设备，并保证提供优惠价格的配件和服务。质保期后，</w:t>
      </w:r>
      <w:r>
        <w:rPr>
          <w:rFonts w:hint="eastAsia" w:ascii="宋体" w:hAnsi="宋体"/>
          <w:color w:val="auto"/>
          <w:szCs w:val="21"/>
        </w:rPr>
        <w:t>乙方</w:t>
      </w:r>
      <w:r>
        <w:rPr>
          <w:rFonts w:hint="eastAsia" w:ascii="宋体" w:hAnsi="宋体" w:eastAsia="宋体" w:cs="宋体"/>
          <w:color w:val="auto"/>
          <w:lang w:eastAsia="en-US"/>
        </w:rPr>
        <w:t>须提供终身维修服务。定期随访、解决使用过程中的问题。</w:t>
      </w:r>
    </w:p>
    <w:p w14:paraId="5F4909E3">
      <w:pPr>
        <w:snapToGrid w:val="0"/>
        <w:spacing w:line="360" w:lineRule="auto"/>
        <w:ind w:firstLine="422" w:firstLineChars="200"/>
        <w:rPr>
          <w:rFonts w:hint="eastAsia" w:ascii="宋体" w:hAnsi="宋体"/>
          <w:b/>
          <w:color w:val="auto"/>
          <w:szCs w:val="21"/>
        </w:rPr>
      </w:pPr>
      <w:r>
        <w:rPr>
          <w:rFonts w:hint="eastAsia" w:ascii="宋体" w:hAnsi="宋体"/>
          <w:b/>
          <w:color w:val="auto"/>
          <w:szCs w:val="21"/>
        </w:rPr>
        <w:t>第四条　包装和运输</w:t>
      </w:r>
    </w:p>
    <w:p w14:paraId="6E257085">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负责设备的包装、运输、卸货、就位、安装、调试、保险及通过相关部门的检测验收，并承担相关的一切费用。</w:t>
      </w:r>
    </w:p>
    <w:p w14:paraId="733A4ACD">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2</w:t>
      </w:r>
      <w:r>
        <w:rPr>
          <w:rFonts w:hint="eastAsia" w:ascii="宋体" w:hAnsi="宋体" w:eastAsia="宋体" w:cs="宋体"/>
          <w:color w:val="auto"/>
          <w:lang w:eastAsia="zh-CN"/>
        </w:rPr>
        <w:t>、</w:t>
      </w:r>
      <w:r>
        <w:rPr>
          <w:rFonts w:hint="eastAsia" w:ascii="宋体" w:hAnsi="宋体" w:eastAsia="宋体" w:cs="宋体"/>
          <w:color w:val="auto"/>
          <w:lang w:eastAsia="en-US"/>
        </w:rPr>
        <w:t xml:space="preserve">如仪器具有配套的耗材，提供配套耗材的名称、规格、单位、单价、总价。 </w:t>
      </w:r>
    </w:p>
    <w:p w14:paraId="38799A72">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3.供应商所投设备须预留接入采购人信息网络（含信息网、无线网、设备网、物联网等）的通信接口，接口相关配套服务不得另行收取任何费用。若采购人后续需要将设备接入其他医疗信息网络系统，供应商须无</w:t>
      </w:r>
      <w:r>
        <w:rPr>
          <w:rFonts w:hint="eastAsia" w:ascii="宋体" w:hAnsi="宋体" w:cs="宋体"/>
          <w:color w:val="auto"/>
          <w:lang w:val="en-US" w:eastAsia="zh-CN"/>
        </w:rPr>
        <w:t>条件</w:t>
      </w:r>
      <w:r>
        <w:rPr>
          <w:rFonts w:hint="eastAsia" w:ascii="宋体" w:hAnsi="宋体" w:eastAsia="宋体" w:cs="宋体"/>
          <w:color w:val="auto"/>
          <w:lang w:eastAsia="en-US"/>
        </w:rPr>
        <w:t>积极配合完成对接调试工作。</w:t>
      </w:r>
    </w:p>
    <w:p w14:paraId="568E27FB">
      <w:pPr>
        <w:snapToGrid w:val="0"/>
        <w:spacing w:line="360" w:lineRule="auto"/>
        <w:ind w:firstLine="420" w:firstLineChars="200"/>
        <w:rPr>
          <w:rFonts w:hint="eastAsia" w:ascii="宋体" w:hAnsi="宋体"/>
          <w:color w:val="auto"/>
          <w:szCs w:val="21"/>
        </w:rPr>
      </w:pPr>
      <w:r>
        <w:rPr>
          <w:rFonts w:hint="eastAsia" w:ascii="宋体" w:hAnsi="宋体" w:eastAsia="宋体" w:cs="宋体"/>
          <w:color w:val="auto"/>
          <w:lang w:eastAsia="en-US"/>
        </w:rPr>
        <w:t>4</w:t>
      </w:r>
      <w:r>
        <w:rPr>
          <w:rFonts w:hint="eastAsia" w:ascii="宋体" w:hAnsi="宋体" w:eastAsia="宋体" w:cs="宋体"/>
          <w:color w:val="auto"/>
          <w:lang w:eastAsia="zh-CN"/>
        </w:rPr>
        <w:t>、</w:t>
      </w:r>
      <w:r>
        <w:rPr>
          <w:rFonts w:hint="eastAsia" w:ascii="宋体" w:hAnsi="宋体" w:eastAsia="宋体" w:cs="宋体"/>
          <w:color w:val="auto"/>
          <w:lang w:eastAsia="en-US"/>
        </w:rPr>
        <w:t>供货产品为生产厂家6个月内生产的设备（自设备出厂日期起至交货日期止不超6个月）。</w:t>
      </w:r>
    </w:p>
    <w:p w14:paraId="7DECF24B">
      <w:pPr>
        <w:snapToGrid w:val="0"/>
        <w:spacing w:line="360" w:lineRule="auto"/>
        <w:ind w:firstLine="420" w:firstLineChars="200"/>
        <w:rPr>
          <w:rFonts w:hint="eastAsia" w:ascii="宋体" w:hAnsi="宋体"/>
          <w:color w:val="auto"/>
          <w:szCs w:val="21"/>
        </w:rPr>
      </w:pPr>
      <w:r>
        <w:rPr>
          <w:rFonts w:hint="eastAsia" w:ascii="宋体" w:hAnsi="宋体"/>
          <w:color w:val="auto"/>
          <w:szCs w:val="21"/>
          <w:lang w:val="en-US" w:eastAsia="zh-CN"/>
        </w:rPr>
        <w:t>5</w:t>
      </w:r>
      <w:r>
        <w:rPr>
          <w:rFonts w:hint="eastAsia" w:ascii="宋体" w:hAnsi="宋体"/>
          <w:color w:val="auto"/>
          <w:szCs w:val="21"/>
        </w:rPr>
        <w:t>、货物的运输方式：</w:t>
      </w:r>
      <w:r>
        <w:rPr>
          <w:rFonts w:hint="eastAsia" w:ascii="宋体" w:hAnsi="宋体"/>
          <w:color w:val="auto"/>
          <w:szCs w:val="21"/>
          <w:u w:val="single"/>
        </w:rPr>
        <w:t xml:space="preserve">   不限，由乙方自负并承担相应费用 。</w:t>
      </w:r>
    </w:p>
    <w:p w14:paraId="4FBEBB6A">
      <w:pPr>
        <w:snapToGrid w:val="0"/>
        <w:spacing w:line="360" w:lineRule="auto"/>
        <w:ind w:firstLine="422" w:firstLineChars="200"/>
        <w:rPr>
          <w:rFonts w:hint="eastAsia" w:ascii="宋体" w:hAnsi="宋体"/>
          <w:b/>
          <w:color w:val="auto"/>
          <w:szCs w:val="21"/>
          <w:lang w:val="en-US" w:eastAsia="zh-CN"/>
        </w:rPr>
      </w:pPr>
      <w:r>
        <w:rPr>
          <w:rFonts w:hint="eastAsia" w:ascii="宋体" w:hAnsi="宋体"/>
          <w:b/>
          <w:color w:val="auto"/>
          <w:szCs w:val="21"/>
        </w:rPr>
        <w:t>第五条　交付和</w:t>
      </w:r>
      <w:r>
        <w:rPr>
          <w:rFonts w:hint="eastAsia" w:ascii="宋体" w:hAnsi="宋体"/>
          <w:b/>
          <w:color w:val="auto"/>
          <w:szCs w:val="21"/>
          <w:lang w:val="en-US" w:eastAsia="zh-CN"/>
        </w:rPr>
        <w:t>安装</w:t>
      </w:r>
    </w:p>
    <w:p w14:paraId="79A34FA6">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w:t>
      </w:r>
      <w:r>
        <w:rPr>
          <w:rFonts w:hint="eastAsia" w:ascii="宋体" w:hAnsi="宋体" w:eastAsia="宋体" w:cs="宋体"/>
          <w:color w:val="auto"/>
          <w:lang w:eastAsia="zh-CN"/>
        </w:rPr>
        <w:t>、</w:t>
      </w:r>
      <w:r>
        <w:rPr>
          <w:rFonts w:hint="eastAsia" w:ascii="宋体" w:hAnsi="宋体" w:eastAsia="宋体" w:cs="宋体"/>
          <w:color w:val="auto"/>
          <w:lang w:eastAsia="en-US"/>
        </w:rPr>
        <w:t>设备供货时间要求：</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eastAsia="en-US"/>
        </w:rPr>
        <w:t xml:space="preserve">。 </w:t>
      </w:r>
    </w:p>
    <w:p w14:paraId="2C115F97">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2</w:t>
      </w:r>
      <w:r>
        <w:rPr>
          <w:rFonts w:hint="eastAsia" w:ascii="宋体" w:hAnsi="宋体" w:eastAsia="宋体" w:cs="宋体"/>
          <w:color w:val="auto"/>
          <w:lang w:eastAsia="zh-CN"/>
        </w:rPr>
        <w:t>、</w:t>
      </w:r>
      <w:r>
        <w:rPr>
          <w:rFonts w:hint="eastAsia" w:ascii="宋体" w:hAnsi="宋体" w:eastAsia="宋体" w:cs="宋体"/>
          <w:color w:val="auto"/>
          <w:lang w:eastAsia="en-US"/>
        </w:rPr>
        <w:t>交付地点：广西柳州市内</w:t>
      </w:r>
      <w:r>
        <w:rPr>
          <w:rFonts w:hint="eastAsia" w:ascii="宋体" w:hAnsi="宋体" w:eastAsia="宋体" w:cs="宋体"/>
          <w:color w:val="auto"/>
          <w:lang w:val="en-US" w:eastAsia="zh-CN"/>
        </w:rPr>
        <w:t>甲方</w:t>
      </w:r>
      <w:r>
        <w:rPr>
          <w:rFonts w:hint="eastAsia" w:ascii="宋体" w:hAnsi="宋体" w:eastAsia="宋体" w:cs="宋体"/>
          <w:color w:val="auto"/>
          <w:lang w:eastAsia="en-US"/>
        </w:rPr>
        <w:t>院内指定地点。</w:t>
      </w:r>
    </w:p>
    <w:p w14:paraId="4ECA2ADA">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3</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提供不符合响应文件和签订的合同规定的货物，</w:t>
      </w:r>
      <w:r>
        <w:rPr>
          <w:rFonts w:hint="eastAsia" w:ascii="宋体" w:hAnsi="宋体" w:eastAsia="宋体" w:cs="宋体"/>
          <w:color w:val="auto"/>
          <w:lang w:val="en-US" w:eastAsia="zh-CN"/>
        </w:rPr>
        <w:t>甲方</w:t>
      </w:r>
      <w:r>
        <w:rPr>
          <w:rFonts w:hint="eastAsia" w:ascii="宋体" w:hAnsi="宋体" w:eastAsia="宋体" w:cs="宋体"/>
          <w:color w:val="auto"/>
          <w:lang w:eastAsia="en-US"/>
        </w:rPr>
        <w:t>有权拒绝接收。</w:t>
      </w:r>
    </w:p>
    <w:p w14:paraId="1CBFDCE9">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4</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应将所提供货物的装箱清单、用户手册、原厂保修卡、随附资料、工具和备品、备件等一并交付给</w:t>
      </w:r>
      <w:r>
        <w:rPr>
          <w:rFonts w:hint="eastAsia" w:ascii="宋体" w:hAnsi="宋体" w:eastAsia="宋体" w:cs="宋体"/>
          <w:color w:val="auto"/>
          <w:lang w:val="en-US" w:eastAsia="zh-CN"/>
        </w:rPr>
        <w:t>甲方</w:t>
      </w:r>
      <w:r>
        <w:rPr>
          <w:rFonts w:hint="eastAsia" w:ascii="宋体" w:hAnsi="宋体" w:eastAsia="宋体" w:cs="宋体"/>
          <w:color w:val="auto"/>
          <w:lang w:eastAsia="en-US"/>
        </w:rPr>
        <w:t>，如有缺失应及时补齐，否则视为逾期交货。</w:t>
      </w:r>
    </w:p>
    <w:p w14:paraId="4163241F">
      <w:pPr>
        <w:widowControl/>
        <w:spacing w:line="360" w:lineRule="auto"/>
        <w:ind w:firstLine="420" w:firstLineChars="200"/>
        <w:jc w:val="left"/>
        <w:textAlignment w:val="center"/>
        <w:rPr>
          <w:rFonts w:hint="default" w:ascii="宋体" w:hAnsi="宋体" w:eastAsia="宋体" w:cs="宋体"/>
          <w:color w:val="auto"/>
          <w:lang w:val="en-US" w:eastAsia="zh-CN"/>
        </w:rPr>
      </w:pPr>
      <w:r>
        <w:rPr>
          <w:rFonts w:hint="eastAsia" w:ascii="宋体" w:hAnsi="宋体" w:eastAsia="宋体" w:cs="宋体"/>
          <w:color w:val="auto"/>
          <w:lang w:eastAsia="en-US"/>
        </w:rPr>
        <w:t>5</w:t>
      </w:r>
      <w:r>
        <w:rPr>
          <w:rFonts w:hint="eastAsia" w:ascii="宋体" w:hAnsi="宋体" w:eastAsia="宋体" w:cs="宋体"/>
          <w:color w:val="auto"/>
          <w:lang w:eastAsia="zh-CN"/>
        </w:rPr>
        <w:t>、</w:t>
      </w:r>
      <w:r>
        <w:rPr>
          <w:rFonts w:hint="eastAsia" w:ascii="宋体" w:hAnsi="宋体" w:eastAsia="宋体" w:cs="宋体"/>
          <w:color w:val="auto"/>
          <w:lang w:eastAsia="en-US"/>
        </w:rPr>
        <w:t>乙方交货前应对产品作出全面检查和对验收文件进行整理，并列出清单，作为</w:t>
      </w:r>
      <w:r>
        <w:rPr>
          <w:rFonts w:hint="eastAsia" w:ascii="宋体" w:hAnsi="宋体" w:eastAsia="宋体" w:cs="宋体"/>
          <w:color w:val="auto"/>
          <w:lang w:val="en-US" w:eastAsia="zh-CN"/>
        </w:rPr>
        <w:t>甲方</w:t>
      </w:r>
      <w:r>
        <w:rPr>
          <w:rFonts w:hint="eastAsia" w:ascii="宋体" w:hAnsi="宋体" w:eastAsia="宋体" w:cs="宋体"/>
          <w:color w:val="auto"/>
          <w:lang w:eastAsia="en-US"/>
        </w:rPr>
        <w:t>收货验收和使用的技术条件依据，检验的结果应随货物交</w:t>
      </w:r>
      <w:r>
        <w:rPr>
          <w:rFonts w:hint="eastAsia" w:ascii="宋体" w:hAnsi="宋体" w:eastAsia="宋体" w:cs="宋体"/>
          <w:color w:val="auto"/>
          <w:lang w:val="en-US" w:eastAsia="zh-CN"/>
        </w:rPr>
        <w:t>甲方</w:t>
      </w:r>
      <w:r>
        <w:rPr>
          <w:rFonts w:hint="eastAsia" w:ascii="宋体" w:hAnsi="宋体" w:eastAsia="宋体" w:cs="宋体"/>
          <w:color w:val="auto"/>
          <w:lang w:eastAsia="en-US"/>
        </w:rPr>
        <w:t>。</w:t>
      </w:r>
      <w:r>
        <w:rPr>
          <w:rFonts w:hint="eastAsia" w:ascii="宋体" w:hAnsi="宋体" w:eastAsia="宋体" w:cs="宋体"/>
          <w:color w:val="auto"/>
          <w:lang w:val="en-US" w:eastAsia="zh-CN"/>
        </w:rPr>
        <w:t>甲方</w:t>
      </w:r>
      <w:r>
        <w:rPr>
          <w:rFonts w:hint="eastAsia" w:ascii="宋体" w:hAnsi="宋体" w:eastAsia="宋体" w:cs="宋体"/>
          <w:color w:val="auto"/>
          <w:lang w:eastAsia="en-US"/>
        </w:rPr>
        <w:t>核对医疗器械注册证，实物型号与注册证型号</w:t>
      </w:r>
      <w:r>
        <w:rPr>
          <w:rFonts w:hint="eastAsia" w:ascii="宋体" w:hAnsi="宋体" w:eastAsia="宋体" w:cs="宋体"/>
          <w:color w:val="auto"/>
          <w:lang w:val="en-US" w:eastAsia="zh-CN"/>
        </w:rPr>
        <w:t>应</w:t>
      </w:r>
      <w:r>
        <w:rPr>
          <w:rFonts w:hint="eastAsia" w:ascii="宋体" w:hAnsi="宋体" w:eastAsia="宋体" w:cs="宋体"/>
          <w:color w:val="auto"/>
          <w:lang w:eastAsia="en-US"/>
        </w:rPr>
        <w:t>完全一致；全套资质</w:t>
      </w:r>
      <w:r>
        <w:rPr>
          <w:rFonts w:hint="eastAsia" w:ascii="宋体" w:hAnsi="宋体" w:eastAsia="宋体" w:cs="宋体"/>
          <w:color w:val="auto"/>
          <w:lang w:val="en-US" w:eastAsia="zh-CN"/>
        </w:rPr>
        <w:t>材料须</w:t>
      </w:r>
      <w:r>
        <w:rPr>
          <w:rFonts w:hint="eastAsia" w:ascii="宋体" w:hAnsi="宋体" w:eastAsia="宋体" w:cs="宋体"/>
          <w:color w:val="auto"/>
          <w:lang w:eastAsia="en-US"/>
        </w:rPr>
        <w:t>加盖乙方公章</w:t>
      </w:r>
      <w:r>
        <w:rPr>
          <w:rFonts w:hint="eastAsia" w:ascii="宋体" w:hAnsi="宋体" w:eastAsia="宋体" w:cs="宋体"/>
          <w:color w:val="auto"/>
          <w:lang w:eastAsia="zh-CN"/>
        </w:rPr>
        <w:t>。</w:t>
      </w:r>
    </w:p>
    <w:p w14:paraId="2FA6962C">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6</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负责货物的卸货、搬运及安装，按照</w:t>
      </w:r>
      <w:r>
        <w:rPr>
          <w:rFonts w:hint="eastAsia" w:ascii="宋体" w:hAnsi="宋体" w:eastAsia="宋体" w:cs="宋体"/>
          <w:color w:val="auto"/>
          <w:lang w:val="en-US" w:eastAsia="zh-CN"/>
        </w:rPr>
        <w:t>甲方</w:t>
      </w:r>
      <w:r>
        <w:rPr>
          <w:rFonts w:hint="eastAsia" w:ascii="宋体" w:hAnsi="宋体" w:eastAsia="宋体" w:cs="宋体"/>
          <w:color w:val="auto"/>
          <w:lang w:eastAsia="en-US"/>
        </w:rPr>
        <w:t>要求将货物搬运至指定地点并由安装技术人员负责安装、组合成套。</w:t>
      </w:r>
    </w:p>
    <w:p w14:paraId="121D842D">
      <w:pPr>
        <w:snapToGrid w:val="0"/>
        <w:spacing w:line="360" w:lineRule="auto"/>
        <w:ind w:firstLine="420" w:firstLineChars="200"/>
        <w:rPr>
          <w:rFonts w:hint="default" w:ascii="宋体" w:hAnsi="宋体"/>
          <w:b/>
          <w:color w:val="auto"/>
          <w:szCs w:val="21"/>
          <w:lang w:val="en-US" w:eastAsia="zh-CN"/>
        </w:rPr>
      </w:pPr>
      <w:r>
        <w:rPr>
          <w:rFonts w:hint="eastAsia" w:ascii="宋体" w:hAnsi="宋体" w:eastAsia="宋体" w:cs="宋体"/>
          <w:color w:val="auto"/>
          <w:lang w:eastAsia="en-US"/>
        </w:rPr>
        <w:t>7</w:t>
      </w:r>
      <w:r>
        <w:rPr>
          <w:rFonts w:hint="eastAsia" w:ascii="宋体" w:hAnsi="宋体" w:eastAsia="宋体" w:cs="宋体"/>
          <w:color w:val="auto"/>
          <w:lang w:eastAsia="zh-CN"/>
        </w:rPr>
        <w:t>、</w:t>
      </w:r>
      <w:r>
        <w:rPr>
          <w:rFonts w:hint="eastAsia" w:ascii="宋体" w:hAnsi="宋体" w:eastAsia="宋体" w:cs="宋体"/>
          <w:color w:val="auto"/>
          <w:lang w:eastAsia="en-US"/>
        </w:rPr>
        <w:t>设备安装完毕，由</w:t>
      </w:r>
      <w:r>
        <w:rPr>
          <w:rFonts w:hint="eastAsia" w:ascii="宋体" w:hAnsi="宋体"/>
          <w:color w:val="auto"/>
          <w:szCs w:val="21"/>
        </w:rPr>
        <w:t>乙方</w:t>
      </w:r>
      <w:r>
        <w:rPr>
          <w:rFonts w:hint="eastAsia" w:ascii="宋体" w:hAnsi="宋体" w:eastAsia="宋体" w:cs="宋体"/>
          <w:color w:val="auto"/>
          <w:lang w:eastAsia="en-US"/>
        </w:rPr>
        <w:t>工程师对</w:t>
      </w:r>
      <w:r>
        <w:rPr>
          <w:rFonts w:hint="eastAsia" w:ascii="宋体" w:hAnsi="宋体" w:eastAsia="宋体" w:cs="宋体"/>
          <w:color w:val="auto"/>
          <w:lang w:val="en-US" w:eastAsia="zh-CN"/>
        </w:rPr>
        <w:t>甲方</w:t>
      </w:r>
      <w:r>
        <w:rPr>
          <w:rFonts w:hint="eastAsia" w:ascii="宋体" w:hAnsi="宋体" w:eastAsia="宋体" w:cs="宋体"/>
          <w:color w:val="auto"/>
          <w:lang w:eastAsia="en-US"/>
        </w:rPr>
        <w:t>操作人员和维修人员现场进行设备的应用、保养和维护培训，培训主要内容包括设备的基本结构、性能、主要部件的构造，日常使用保养与管理，常见故障的维修，使相关人员掌握常规操作规程和各种功能的使用，并能处理简单故障，由此产生的一切支出，由</w:t>
      </w:r>
      <w:r>
        <w:rPr>
          <w:rFonts w:hint="eastAsia" w:ascii="宋体" w:hAnsi="宋体"/>
          <w:color w:val="auto"/>
          <w:szCs w:val="21"/>
        </w:rPr>
        <w:t>乙方</w:t>
      </w:r>
      <w:r>
        <w:rPr>
          <w:rFonts w:hint="eastAsia" w:ascii="宋体" w:hAnsi="宋体" w:eastAsia="宋体" w:cs="宋体"/>
          <w:color w:val="auto"/>
          <w:lang w:eastAsia="en-US"/>
        </w:rPr>
        <w:t>负担。</w:t>
      </w:r>
    </w:p>
    <w:p w14:paraId="4E9950FE">
      <w:pPr>
        <w:snapToGrid w:val="0"/>
        <w:spacing w:line="360" w:lineRule="auto"/>
        <w:ind w:firstLine="422" w:firstLineChars="200"/>
        <w:rPr>
          <w:rFonts w:hint="eastAsia" w:ascii="宋体" w:hAnsi="宋体"/>
          <w:b/>
          <w:color w:val="auto"/>
          <w:szCs w:val="21"/>
          <w:lang w:val="en-US" w:eastAsia="zh-CN"/>
        </w:rPr>
      </w:pPr>
      <w:r>
        <w:rPr>
          <w:rFonts w:hint="eastAsia" w:ascii="宋体" w:hAnsi="宋体"/>
          <w:b/>
          <w:color w:val="auto"/>
          <w:szCs w:val="21"/>
          <w:lang w:val="en-US" w:eastAsia="zh-CN"/>
        </w:rPr>
        <w:t>第六条 验收标准</w:t>
      </w:r>
    </w:p>
    <w:p w14:paraId="6CB19581">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w:t>
      </w:r>
      <w:r>
        <w:rPr>
          <w:rFonts w:hint="eastAsia" w:ascii="宋体" w:hAnsi="宋体" w:eastAsia="宋体" w:cs="宋体"/>
          <w:color w:val="auto"/>
          <w:lang w:eastAsia="zh-CN"/>
        </w:rPr>
        <w:t>、</w:t>
      </w:r>
      <w:r>
        <w:rPr>
          <w:rFonts w:hint="eastAsia" w:ascii="宋体" w:hAnsi="宋体" w:eastAsia="宋体" w:cs="宋体"/>
          <w:color w:val="auto"/>
          <w:lang w:eastAsia="en-US"/>
        </w:rPr>
        <w:t>交付验收标准依次序对照适用标准为：①符合中华人民共和国国家安全质量标准、环保标准或行业标准；②符合招标文件和投标文件承诺中</w:t>
      </w:r>
      <w:r>
        <w:rPr>
          <w:rFonts w:hint="eastAsia" w:ascii="宋体" w:hAnsi="宋体" w:eastAsia="宋体" w:cs="宋体"/>
          <w:color w:val="auto"/>
          <w:lang w:val="en-US" w:eastAsia="zh-CN"/>
        </w:rPr>
        <w:t>甲方</w:t>
      </w:r>
      <w:r>
        <w:rPr>
          <w:rFonts w:hint="eastAsia" w:ascii="宋体" w:hAnsi="宋体" w:eastAsia="宋体" w:cs="宋体"/>
          <w:color w:val="auto"/>
          <w:lang w:eastAsia="en-US"/>
        </w:rPr>
        <w:t>认可的合理最佳配置、参数及各项要求；③货物符合国家合格标准。</w:t>
      </w:r>
    </w:p>
    <w:p w14:paraId="00647DC4">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2</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须确保货物为原制造商制造的全新产品，无污染，无侵权行为、表面无划损、无任何缺陷隐患，在中国境内可依常规安全合法使用。</w:t>
      </w:r>
    </w:p>
    <w:p w14:paraId="46837836">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3</w:t>
      </w:r>
      <w:r>
        <w:rPr>
          <w:rFonts w:hint="eastAsia" w:ascii="宋体" w:hAnsi="宋体" w:eastAsia="宋体" w:cs="宋体"/>
          <w:color w:val="auto"/>
          <w:lang w:eastAsia="zh-CN"/>
        </w:rPr>
        <w:t>、</w:t>
      </w:r>
      <w:r>
        <w:rPr>
          <w:rFonts w:hint="eastAsia" w:ascii="宋体" w:hAnsi="宋体" w:eastAsia="宋体" w:cs="宋体"/>
          <w:color w:val="auto"/>
          <w:lang w:eastAsia="en-US"/>
        </w:rPr>
        <w:t>供货时</w:t>
      </w:r>
      <w:r>
        <w:rPr>
          <w:rFonts w:hint="eastAsia" w:ascii="宋体" w:hAnsi="宋体"/>
          <w:color w:val="auto"/>
          <w:szCs w:val="21"/>
        </w:rPr>
        <w:t>乙方</w:t>
      </w:r>
      <w:r>
        <w:rPr>
          <w:rFonts w:hint="eastAsia" w:ascii="宋体" w:hAnsi="宋体" w:eastAsia="宋体" w:cs="宋体"/>
          <w:color w:val="auto"/>
          <w:lang w:eastAsia="en-US"/>
        </w:rPr>
        <w:t>应将关键货物的用户手册、保修手册、有关单证资料及配备件等交付给</w:t>
      </w:r>
      <w:r>
        <w:rPr>
          <w:rFonts w:hint="eastAsia" w:ascii="宋体" w:hAnsi="宋体" w:eastAsia="宋体" w:cs="宋体"/>
          <w:color w:val="auto"/>
          <w:lang w:val="en-US" w:eastAsia="zh-CN"/>
        </w:rPr>
        <w:t>甲方</w:t>
      </w:r>
      <w:r>
        <w:rPr>
          <w:rFonts w:hint="eastAsia" w:ascii="宋体" w:hAnsi="宋体" w:eastAsia="宋体" w:cs="宋体"/>
          <w:color w:val="auto"/>
          <w:lang w:eastAsia="en-US"/>
        </w:rPr>
        <w:t>，使用操作及安全须知等重要资料应附有中文说明。</w:t>
      </w:r>
    </w:p>
    <w:p w14:paraId="2FA6F9F5">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4</w:t>
      </w:r>
      <w:r>
        <w:rPr>
          <w:rFonts w:hint="eastAsia" w:ascii="宋体" w:hAnsi="宋体" w:eastAsia="宋体" w:cs="宋体"/>
          <w:color w:val="auto"/>
          <w:lang w:eastAsia="zh-CN"/>
        </w:rPr>
        <w:t>、</w:t>
      </w:r>
      <w:r>
        <w:rPr>
          <w:rFonts w:hint="eastAsia" w:ascii="宋体" w:hAnsi="宋体" w:eastAsia="宋体" w:cs="宋体"/>
          <w:color w:val="auto"/>
          <w:lang w:val="en-US" w:eastAsia="zh-CN"/>
        </w:rPr>
        <w:t>甲方</w:t>
      </w:r>
      <w:r>
        <w:rPr>
          <w:rFonts w:hint="eastAsia" w:ascii="宋体" w:hAnsi="宋体" w:eastAsia="宋体" w:cs="宋体"/>
          <w:color w:val="auto"/>
          <w:lang w:eastAsia="en-US"/>
        </w:rPr>
        <w:t>按国家有关规定、规范进行验收，必要时邀请相关的专业人员或机构参与验收。因货物质量问题发生争议时，由本地质量技术监督部门鉴定，鉴定费由</w:t>
      </w:r>
      <w:r>
        <w:rPr>
          <w:rFonts w:hint="eastAsia" w:ascii="宋体" w:hAnsi="宋体"/>
          <w:color w:val="auto"/>
          <w:szCs w:val="21"/>
        </w:rPr>
        <w:t>乙方</w:t>
      </w:r>
      <w:r>
        <w:rPr>
          <w:rFonts w:hint="eastAsia" w:ascii="宋体" w:hAnsi="宋体" w:eastAsia="宋体" w:cs="宋体"/>
          <w:color w:val="auto"/>
          <w:lang w:eastAsia="en-US"/>
        </w:rPr>
        <w:t>承担。</w:t>
      </w:r>
    </w:p>
    <w:p w14:paraId="5FB9C04D">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5</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必须依照招标文件的要求和投标文件的承诺，将设备、系统安装并调试至正常运行的最佳状态。</w:t>
      </w:r>
    </w:p>
    <w:p w14:paraId="680884D2">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6</w:t>
      </w:r>
      <w:r>
        <w:rPr>
          <w:rFonts w:hint="eastAsia" w:ascii="宋体" w:hAnsi="宋体" w:eastAsia="宋体" w:cs="宋体"/>
          <w:color w:val="auto"/>
          <w:lang w:eastAsia="zh-CN"/>
        </w:rPr>
        <w:t>、</w:t>
      </w:r>
      <w:r>
        <w:rPr>
          <w:rFonts w:hint="eastAsia" w:ascii="宋体" w:hAnsi="宋体" w:eastAsia="宋体" w:cs="宋体"/>
          <w:color w:val="auto"/>
          <w:lang w:val="en-US" w:eastAsia="zh-CN"/>
        </w:rPr>
        <w:t>甲方</w:t>
      </w:r>
      <w:r>
        <w:rPr>
          <w:rFonts w:hint="eastAsia" w:ascii="宋体" w:hAnsi="宋体" w:eastAsia="宋体" w:cs="宋体"/>
          <w:color w:val="auto"/>
          <w:lang w:eastAsia="en-US"/>
        </w:rPr>
        <w:t>对</w:t>
      </w:r>
      <w:r>
        <w:rPr>
          <w:rFonts w:hint="eastAsia" w:ascii="宋体" w:hAnsi="宋体"/>
          <w:color w:val="auto"/>
          <w:szCs w:val="21"/>
        </w:rPr>
        <w:t>乙方</w:t>
      </w:r>
      <w:r>
        <w:rPr>
          <w:rFonts w:hint="eastAsia" w:ascii="宋体" w:hAnsi="宋体" w:eastAsia="宋体" w:cs="宋体"/>
          <w:color w:val="auto"/>
          <w:lang w:eastAsia="en-US"/>
        </w:rPr>
        <w:t>提交的货物依据招标（或投标）文件及签订的合同上的技术规格要求和国家有关质量标准进行现场初步验收，外观、说明书符合招标文件技术要求的，给予签收，初步验收不合格的不予签收。</w:t>
      </w:r>
    </w:p>
    <w:p w14:paraId="32998C4D">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7</w:t>
      </w:r>
      <w:r>
        <w:rPr>
          <w:rFonts w:hint="eastAsia" w:ascii="宋体" w:hAnsi="宋体" w:eastAsia="宋体" w:cs="宋体"/>
          <w:color w:val="auto"/>
          <w:lang w:eastAsia="zh-CN"/>
        </w:rPr>
        <w:t>、</w:t>
      </w:r>
      <w:r>
        <w:rPr>
          <w:rFonts w:hint="eastAsia" w:ascii="宋体" w:hAnsi="宋体" w:eastAsia="宋体" w:cs="宋体"/>
          <w:color w:val="auto"/>
          <w:lang w:val="en-US" w:eastAsia="zh-CN"/>
        </w:rPr>
        <w:t>甲方</w:t>
      </w:r>
      <w:r>
        <w:rPr>
          <w:rFonts w:hint="eastAsia" w:ascii="宋体" w:hAnsi="宋体" w:eastAsia="宋体" w:cs="宋体"/>
          <w:color w:val="auto"/>
          <w:lang w:eastAsia="en-US"/>
        </w:rPr>
        <w:t>对</w:t>
      </w:r>
      <w:r>
        <w:rPr>
          <w:rFonts w:hint="eastAsia" w:ascii="宋体" w:hAnsi="宋体"/>
          <w:color w:val="auto"/>
          <w:szCs w:val="21"/>
        </w:rPr>
        <w:t>乙方</w:t>
      </w:r>
      <w:r>
        <w:rPr>
          <w:rFonts w:hint="eastAsia" w:ascii="宋体" w:hAnsi="宋体" w:eastAsia="宋体" w:cs="宋体"/>
          <w:color w:val="auto"/>
          <w:lang w:eastAsia="en-US"/>
        </w:rPr>
        <w:t>提供的货物验收前，</w:t>
      </w:r>
      <w:r>
        <w:rPr>
          <w:rFonts w:hint="eastAsia" w:ascii="宋体" w:hAnsi="宋体"/>
          <w:color w:val="auto"/>
          <w:szCs w:val="21"/>
        </w:rPr>
        <w:t>乙方</w:t>
      </w:r>
      <w:r>
        <w:rPr>
          <w:rFonts w:hint="eastAsia" w:ascii="宋体" w:hAnsi="宋体" w:eastAsia="宋体" w:cs="宋体"/>
          <w:color w:val="auto"/>
          <w:lang w:eastAsia="en-US"/>
        </w:rPr>
        <w:t>需负责安装完毕、培训</w:t>
      </w:r>
      <w:r>
        <w:rPr>
          <w:rFonts w:hint="eastAsia" w:ascii="宋体" w:hAnsi="宋体" w:eastAsia="宋体" w:cs="宋体"/>
          <w:color w:val="auto"/>
          <w:lang w:val="en-US" w:eastAsia="zh-CN"/>
        </w:rPr>
        <w:t>甲方</w:t>
      </w:r>
      <w:r>
        <w:rPr>
          <w:rFonts w:hint="eastAsia" w:ascii="宋体" w:hAnsi="宋体" w:eastAsia="宋体" w:cs="宋体"/>
          <w:color w:val="auto"/>
          <w:lang w:eastAsia="en-US"/>
        </w:rPr>
        <w:t>的使用操作人员并协助</w:t>
      </w:r>
      <w:r>
        <w:rPr>
          <w:rFonts w:hint="eastAsia" w:ascii="宋体" w:hAnsi="宋体" w:eastAsia="宋体" w:cs="宋体"/>
          <w:color w:val="auto"/>
          <w:lang w:val="en-US" w:eastAsia="zh-CN"/>
        </w:rPr>
        <w:t>甲方</w:t>
      </w:r>
      <w:r>
        <w:rPr>
          <w:rFonts w:hint="eastAsia" w:ascii="宋体" w:hAnsi="宋体" w:eastAsia="宋体" w:cs="宋体"/>
          <w:color w:val="auto"/>
          <w:lang w:eastAsia="en-US"/>
        </w:rPr>
        <w:t>一起调试，直到符合招投标文件及签订的合同规定的技术要求，</w:t>
      </w:r>
      <w:r>
        <w:rPr>
          <w:rFonts w:hint="eastAsia" w:ascii="宋体" w:hAnsi="宋体" w:eastAsia="宋体" w:cs="宋体"/>
          <w:color w:val="auto"/>
          <w:lang w:val="en-US" w:eastAsia="zh-CN"/>
        </w:rPr>
        <w:t>甲方</w:t>
      </w:r>
      <w:r>
        <w:rPr>
          <w:rFonts w:hint="eastAsia" w:ascii="宋体" w:hAnsi="宋体" w:eastAsia="宋体" w:cs="宋体"/>
          <w:color w:val="auto"/>
          <w:lang w:eastAsia="en-US"/>
        </w:rPr>
        <w:t>才做最终验收。在验收过程中发现</w:t>
      </w:r>
      <w:r>
        <w:rPr>
          <w:rFonts w:hint="eastAsia" w:ascii="宋体" w:hAnsi="宋体"/>
          <w:color w:val="auto"/>
          <w:szCs w:val="21"/>
        </w:rPr>
        <w:t>乙方</w:t>
      </w:r>
      <w:r>
        <w:rPr>
          <w:rFonts w:hint="eastAsia" w:ascii="宋体" w:hAnsi="宋体" w:eastAsia="宋体" w:cs="宋体"/>
          <w:color w:val="auto"/>
          <w:lang w:eastAsia="en-US"/>
        </w:rPr>
        <w:t>有违约问题，可暂缓资金结算，待违约问题解决后，方可办理资金结算事宜。</w:t>
      </w:r>
    </w:p>
    <w:p w14:paraId="3D8A95B0">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8</w:t>
      </w:r>
      <w:r>
        <w:rPr>
          <w:rFonts w:hint="eastAsia" w:ascii="宋体" w:hAnsi="宋体" w:eastAsia="宋体" w:cs="宋体"/>
          <w:color w:val="auto"/>
          <w:lang w:eastAsia="zh-CN"/>
        </w:rPr>
        <w:t>、</w:t>
      </w:r>
      <w:r>
        <w:rPr>
          <w:rFonts w:hint="eastAsia" w:ascii="宋体" w:hAnsi="宋体" w:eastAsia="宋体" w:cs="宋体"/>
          <w:color w:val="auto"/>
          <w:lang w:eastAsia="en-US"/>
        </w:rPr>
        <w:t>对技术复杂的货物，采购人可聘请国家认可的第三方检测机构参与初步验收及最终验收并由其出具质量检测报告，检测费用由</w:t>
      </w:r>
      <w:r>
        <w:rPr>
          <w:rFonts w:hint="eastAsia" w:ascii="宋体" w:hAnsi="宋体"/>
          <w:color w:val="auto"/>
          <w:szCs w:val="21"/>
        </w:rPr>
        <w:t>乙方</w:t>
      </w:r>
      <w:r>
        <w:rPr>
          <w:rFonts w:hint="eastAsia" w:ascii="宋体" w:hAnsi="宋体" w:eastAsia="宋体" w:cs="宋体"/>
          <w:color w:val="auto"/>
          <w:lang w:eastAsia="en-US"/>
        </w:rPr>
        <w:t>承担。</w:t>
      </w:r>
    </w:p>
    <w:p w14:paraId="74B17F26">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9</w:t>
      </w:r>
      <w:r>
        <w:rPr>
          <w:rFonts w:hint="eastAsia" w:ascii="宋体" w:hAnsi="宋体" w:eastAsia="宋体" w:cs="宋体"/>
          <w:color w:val="auto"/>
          <w:lang w:eastAsia="zh-CN"/>
        </w:rPr>
        <w:t>、</w:t>
      </w:r>
      <w:r>
        <w:rPr>
          <w:rFonts w:hint="eastAsia" w:ascii="宋体" w:hAnsi="宋体" w:eastAsia="宋体" w:cs="宋体"/>
          <w:color w:val="auto"/>
          <w:lang w:eastAsia="en-US"/>
        </w:rPr>
        <w:t>验收时</w:t>
      </w:r>
      <w:r>
        <w:rPr>
          <w:rFonts w:hint="eastAsia" w:ascii="宋体" w:hAnsi="宋体"/>
          <w:color w:val="auto"/>
          <w:szCs w:val="21"/>
        </w:rPr>
        <w:t>乙方</w:t>
      </w:r>
      <w:r>
        <w:rPr>
          <w:rFonts w:hint="eastAsia" w:ascii="宋体" w:hAnsi="宋体" w:eastAsia="宋体" w:cs="宋体"/>
          <w:color w:val="auto"/>
          <w:lang w:eastAsia="en-US"/>
        </w:rPr>
        <w:t>代表必须在现场，验收完毕后作出验收结果报告；验收费用由</w:t>
      </w:r>
      <w:r>
        <w:rPr>
          <w:rFonts w:hint="eastAsia" w:ascii="宋体" w:hAnsi="宋体"/>
          <w:color w:val="auto"/>
          <w:szCs w:val="21"/>
        </w:rPr>
        <w:t>乙方</w:t>
      </w:r>
      <w:r>
        <w:rPr>
          <w:rFonts w:hint="eastAsia" w:ascii="宋体" w:hAnsi="宋体" w:eastAsia="宋体" w:cs="宋体"/>
          <w:color w:val="auto"/>
          <w:lang w:eastAsia="en-US"/>
        </w:rPr>
        <w:t>承担。</w:t>
      </w:r>
    </w:p>
    <w:p w14:paraId="74B3552A">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10</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对验收结果有异议的，须在验收后五个工作日内以书面形式向</w:t>
      </w:r>
      <w:r>
        <w:rPr>
          <w:rFonts w:hint="eastAsia" w:ascii="宋体" w:hAnsi="宋体" w:eastAsia="宋体" w:cs="宋体"/>
          <w:color w:val="auto"/>
          <w:lang w:val="en-US" w:eastAsia="zh-CN"/>
        </w:rPr>
        <w:t>甲方</w:t>
      </w:r>
      <w:r>
        <w:rPr>
          <w:rFonts w:hint="eastAsia" w:ascii="宋体" w:hAnsi="宋体" w:eastAsia="宋体" w:cs="宋体"/>
          <w:color w:val="auto"/>
          <w:lang w:eastAsia="en-US"/>
        </w:rPr>
        <w:t>提出，</w:t>
      </w:r>
      <w:r>
        <w:rPr>
          <w:rFonts w:hint="eastAsia" w:ascii="宋体" w:hAnsi="宋体" w:eastAsia="宋体" w:cs="宋体"/>
          <w:color w:val="auto"/>
          <w:lang w:val="en-US" w:eastAsia="zh-CN"/>
        </w:rPr>
        <w:t>甲方</w:t>
      </w:r>
      <w:r>
        <w:rPr>
          <w:rFonts w:hint="eastAsia" w:ascii="宋体" w:hAnsi="宋体" w:eastAsia="宋体" w:cs="宋体"/>
          <w:color w:val="auto"/>
          <w:lang w:eastAsia="en-US"/>
        </w:rPr>
        <w:t>自收到</w:t>
      </w:r>
      <w:r>
        <w:rPr>
          <w:rFonts w:hint="eastAsia" w:ascii="宋体" w:hAnsi="宋体"/>
          <w:color w:val="auto"/>
          <w:szCs w:val="21"/>
        </w:rPr>
        <w:t>乙方</w:t>
      </w:r>
      <w:r>
        <w:rPr>
          <w:rFonts w:hint="eastAsia" w:ascii="宋体" w:hAnsi="宋体" w:eastAsia="宋体" w:cs="宋体"/>
          <w:color w:val="auto"/>
          <w:lang w:eastAsia="en-US"/>
        </w:rPr>
        <w:t>书面异议后 5 个工作日内及时予以复核并书面回复最终验收结果。</w:t>
      </w:r>
    </w:p>
    <w:p w14:paraId="405E79B4">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11</w:t>
      </w:r>
      <w:r>
        <w:rPr>
          <w:rFonts w:hint="eastAsia" w:ascii="宋体" w:hAnsi="宋体" w:eastAsia="宋体" w:cs="宋体"/>
          <w:color w:val="auto"/>
          <w:lang w:eastAsia="zh-CN"/>
        </w:rPr>
        <w:t>、</w:t>
      </w:r>
      <w:r>
        <w:rPr>
          <w:rFonts w:hint="eastAsia" w:ascii="宋体" w:hAnsi="宋体" w:eastAsia="宋体" w:cs="宋体"/>
          <w:color w:val="auto"/>
          <w:lang w:eastAsia="en-US"/>
        </w:rPr>
        <w:t>如</w:t>
      </w:r>
      <w:r>
        <w:rPr>
          <w:rFonts w:hint="eastAsia" w:ascii="宋体" w:hAnsi="宋体"/>
          <w:color w:val="auto"/>
          <w:szCs w:val="21"/>
        </w:rPr>
        <w:t>乙方</w:t>
      </w:r>
      <w:r>
        <w:rPr>
          <w:rFonts w:hint="eastAsia" w:ascii="宋体" w:hAnsi="宋体" w:eastAsia="宋体" w:cs="宋体"/>
          <w:color w:val="auto"/>
          <w:lang w:eastAsia="en-US"/>
        </w:rPr>
        <w:t>有下列情况之一的，</w:t>
      </w:r>
      <w:r>
        <w:rPr>
          <w:rFonts w:hint="eastAsia" w:ascii="宋体" w:hAnsi="宋体" w:eastAsia="宋体" w:cs="宋体"/>
          <w:color w:val="auto"/>
          <w:lang w:val="en-US" w:eastAsia="zh-CN"/>
        </w:rPr>
        <w:t>甲方</w:t>
      </w:r>
      <w:r>
        <w:rPr>
          <w:rFonts w:hint="eastAsia" w:ascii="宋体" w:hAnsi="宋体" w:eastAsia="宋体" w:cs="宋体"/>
          <w:color w:val="auto"/>
          <w:lang w:eastAsia="en-US"/>
        </w:rPr>
        <w:t>有权拒绝验收和支付款项，并依照处罚条款作出相应处罚：</w:t>
      </w:r>
    </w:p>
    <w:p w14:paraId="0512AAAE">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（1）提供的货物规格、技术标准、材料未达到其投标文件所承诺的，导致无法通过验收交付使用的；</w:t>
      </w:r>
    </w:p>
    <w:p w14:paraId="736B0B09">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（2）提供的货物经查证无法得到生产厂家正规售后服务的；</w:t>
      </w:r>
    </w:p>
    <w:p w14:paraId="53EC6F20">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（3）提供的货物未经正规合法经销渠道的；</w:t>
      </w:r>
    </w:p>
    <w:p w14:paraId="4423AC1F">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（4）提供的货物侵犯了第三方合法权益而引发了纠纷或诉讼，导致无法按期交付使用的；</w:t>
      </w:r>
    </w:p>
    <w:p w14:paraId="6DE4F623">
      <w:pPr>
        <w:widowControl/>
        <w:spacing w:line="360" w:lineRule="auto"/>
        <w:ind w:firstLine="420" w:firstLineChars="200"/>
        <w:jc w:val="left"/>
        <w:textAlignment w:val="center"/>
        <w:rPr>
          <w:rFonts w:hint="eastAsia" w:ascii="宋体" w:hAnsi="宋体" w:eastAsia="宋体" w:cs="宋体"/>
          <w:color w:val="auto"/>
          <w:highlight w:val="none"/>
          <w:lang w:eastAsia="en-US"/>
        </w:rPr>
      </w:pPr>
      <w:r>
        <w:rPr>
          <w:rFonts w:hint="eastAsia" w:ascii="宋体" w:hAnsi="宋体" w:eastAsia="宋体" w:cs="宋体"/>
          <w:color w:val="auto"/>
          <w:highlight w:val="none"/>
          <w:lang w:eastAsia="en-US"/>
        </w:rPr>
        <w:t>（5）所交的货物品种、型号、规格、质量等不符合投标文件提供的技术数据经实际测试发现不真实的。</w:t>
      </w:r>
    </w:p>
    <w:p w14:paraId="3251597F">
      <w:pPr>
        <w:snapToGrid w:val="0"/>
        <w:spacing w:line="360" w:lineRule="auto"/>
        <w:ind w:firstLine="420" w:firstLineChars="200"/>
        <w:rPr>
          <w:rFonts w:hint="default" w:ascii="宋体" w:hAnsi="宋体"/>
          <w:b/>
          <w:color w:val="auto"/>
          <w:szCs w:val="21"/>
          <w:highlight w:val="none"/>
          <w:lang w:val="en-US" w:eastAsia="zh-CN"/>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val="en-US" w:eastAsia="en-US"/>
        </w:rPr>
        <w:t>发现所提供的产品有弄虚作假的行为的</w:t>
      </w:r>
      <w:r>
        <w:rPr>
          <w:rFonts w:hint="eastAsia" w:ascii="宋体" w:hAnsi="宋体" w:cs="宋体"/>
          <w:color w:val="auto"/>
          <w:highlight w:val="none"/>
          <w:lang w:val="en-US" w:eastAsia="zh-CN"/>
        </w:rPr>
        <w:t>。</w:t>
      </w:r>
    </w:p>
    <w:p w14:paraId="3863DA3B">
      <w:pPr>
        <w:snapToGrid w:val="0"/>
        <w:spacing w:line="360" w:lineRule="auto"/>
        <w:ind w:firstLine="422" w:firstLineChars="200"/>
        <w:rPr>
          <w:rFonts w:hint="default" w:ascii="宋体" w:hAnsi="宋体" w:eastAsia="宋体"/>
          <w:b/>
          <w:color w:val="auto"/>
          <w:szCs w:val="21"/>
          <w:lang w:val="en-US" w:eastAsia="zh-CN"/>
        </w:rPr>
      </w:pPr>
      <w:r>
        <w:rPr>
          <w:rFonts w:hint="eastAsia" w:ascii="宋体" w:hAnsi="宋体"/>
          <w:b/>
          <w:color w:val="auto"/>
          <w:szCs w:val="21"/>
        </w:rPr>
        <w:t xml:space="preserve">第七条  </w:t>
      </w:r>
      <w:r>
        <w:rPr>
          <w:rFonts w:hint="eastAsia" w:ascii="宋体" w:hAnsi="宋体"/>
          <w:b/>
          <w:color w:val="auto"/>
          <w:szCs w:val="21"/>
          <w:lang w:val="en-US" w:eastAsia="zh-CN"/>
        </w:rPr>
        <w:t>维护保修售后服务要求</w:t>
      </w:r>
    </w:p>
    <w:p w14:paraId="14FD031F">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1</w:t>
      </w:r>
      <w:r>
        <w:rPr>
          <w:rFonts w:hint="eastAsia" w:ascii="宋体" w:hAnsi="宋体" w:eastAsia="宋体" w:cs="宋体"/>
          <w:color w:val="auto"/>
          <w:lang w:eastAsia="zh-CN"/>
        </w:rPr>
        <w:t>、</w:t>
      </w:r>
      <w:r>
        <w:rPr>
          <w:rFonts w:hint="eastAsia" w:ascii="宋体" w:hAnsi="宋体" w:eastAsia="宋体" w:cs="宋体"/>
          <w:color w:val="auto"/>
          <w:lang w:eastAsia="en-US"/>
        </w:rPr>
        <w:t>设备在国内有维修中心及零配件库。</w:t>
      </w:r>
    </w:p>
    <w:p w14:paraId="6A55AEA6">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2</w:t>
      </w:r>
      <w:r>
        <w:rPr>
          <w:rFonts w:hint="eastAsia" w:ascii="宋体" w:hAnsi="宋体" w:eastAsia="宋体" w:cs="宋体"/>
          <w:color w:val="auto"/>
          <w:lang w:eastAsia="zh-CN"/>
        </w:rPr>
        <w:t>、</w:t>
      </w:r>
      <w:r>
        <w:rPr>
          <w:rFonts w:hint="eastAsia" w:ascii="宋体" w:hAnsi="宋体"/>
          <w:color w:val="auto"/>
          <w:szCs w:val="21"/>
        </w:rPr>
        <w:t>乙方</w:t>
      </w:r>
      <w:r>
        <w:rPr>
          <w:rFonts w:hint="eastAsia" w:ascii="宋体" w:hAnsi="宋体" w:eastAsia="宋体" w:cs="宋体"/>
          <w:color w:val="auto"/>
          <w:lang w:eastAsia="en-US"/>
        </w:rPr>
        <w:t>提供</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eastAsia="en-US"/>
        </w:rPr>
        <w:t>小时响应维护服务，接到</w:t>
      </w:r>
      <w:r>
        <w:rPr>
          <w:rFonts w:hint="eastAsia" w:ascii="宋体" w:hAnsi="宋体" w:eastAsia="宋体" w:cs="宋体"/>
          <w:color w:val="auto"/>
          <w:lang w:val="en-US" w:eastAsia="zh-CN"/>
        </w:rPr>
        <w:t>甲方</w:t>
      </w:r>
      <w:r>
        <w:rPr>
          <w:rFonts w:hint="eastAsia" w:ascii="宋体" w:hAnsi="宋体" w:eastAsia="宋体" w:cs="宋体"/>
          <w:color w:val="auto"/>
          <w:lang w:eastAsia="en-US"/>
        </w:rPr>
        <w:t>设备报修通知后立即响应，电话指导采购方工程师维修。若</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eastAsia="en-US"/>
        </w:rPr>
        <w:t>小时内不能修复，</w:t>
      </w:r>
      <w:r>
        <w:rPr>
          <w:rFonts w:hint="eastAsia" w:ascii="宋体" w:hAnsi="宋体"/>
          <w:color w:val="auto"/>
          <w:szCs w:val="21"/>
        </w:rPr>
        <w:t>乙方</w:t>
      </w:r>
      <w:r>
        <w:rPr>
          <w:rFonts w:hint="eastAsia" w:ascii="宋体" w:hAnsi="宋体" w:eastAsia="宋体" w:cs="宋体"/>
          <w:color w:val="auto"/>
          <w:lang w:eastAsia="en-US"/>
        </w:rPr>
        <w:t>在</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eastAsia="en-US"/>
        </w:rPr>
        <w:t>小时内派工程师到达设备现场及时维修，按国家及行业标准对故障进行及时处理，保证不影响</w:t>
      </w:r>
      <w:r>
        <w:rPr>
          <w:rFonts w:hint="eastAsia" w:ascii="宋体" w:hAnsi="宋体" w:eastAsia="宋体" w:cs="宋体"/>
          <w:color w:val="auto"/>
          <w:lang w:val="en-US" w:eastAsia="zh-CN"/>
        </w:rPr>
        <w:t>甲方</w:t>
      </w:r>
      <w:r>
        <w:rPr>
          <w:rFonts w:hint="eastAsia" w:ascii="宋体" w:hAnsi="宋体" w:eastAsia="宋体" w:cs="宋体"/>
          <w:color w:val="auto"/>
          <w:lang w:eastAsia="en-US"/>
        </w:rPr>
        <w:t>正常使用，每次维修应提供维修报告交给采购方备案。规定时限内</w:t>
      </w:r>
      <w:r>
        <w:rPr>
          <w:rFonts w:hint="eastAsia" w:ascii="宋体" w:hAnsi="宋体"/>
          <w:color w:val="auto"/>
          <w:szCs w:val="21"/>
        </w:rPr>
        <w:t>乙方</w:t>
      </w:r>
      <w:r>
        <w:rPr>
          <w:rFonts w:hint="eastAsia" w:ascii="宋体" w:hAnsi="宋体" w:eastAsia="宋体" w:cs="宋体"/>
          <w:color w:val="auto"/>
          <w:lang w:eastAsia="en-US"/>
        </w:rPr>
        <w:t>未能按时响应，</w:t>
      </w:r>
      <w:r>
        <w:rPr>
          <w:rFonts w:hint="eastAsia" w:ascii="宋体" w:hAnsi="宋体" w:eastAsia="宋体" w:cs="宋体"/>
          <w:color w:val="auto"/>
          <w:lang w:val="en-US" w:eastAsia="zh-CN"/>
        </w:rPr>
        <w:t>甲方</w:t>
      </w:r>
      <w:r>
        <w:rPr>
          <w:rFonts w:hint="eastAsia" w:ascii="宋体" w:hAnsi="宋体" w:eastAsia="宋体" w:cs="宋体"/>
          <w:color w:val="auto"/>
          <w:lang w:eastAsia="en-US"/>
        </w:rPr>
        <w:t>有权聘请第三方进行维修处理，由此产生的相关费用由</w:t>
      </w:r>
      <w:r>
        <w:rPr>
          <w:rFonts w:hint="eastAsia" w:ascii="宋体" w:hAnsi="宋体"/>
          <w:color w:val="auto"/>
          <w:szCs w:val="21"/>
        </w:rPr>
        <w:t>乙方</w:t>
      </w:r>
      <w:r>
        <w:rPr>
          <w:rFonts w:hint="eastAsia" w:ascii="宋体" w:hAnsi="宋体" w:eastAsia="宋体" w:cs="宋体"/>
          <w:color w:val="auto"/>
          <w:lang w:eastAsia="en-US"/>
        </w:rPr>
        <w:t>承担。</w:t>
      </w:r>
    </w:p>
    <w:p w14:paraId="6141CEA9">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eastAsia="en-US"/>
        </w:rPr>
        <w:t>3</w:t>
      </w:r>
      <w:r>
        <w:rPr>
          <w:rFonts w:hint="eastAsia" w:ascii="宋体" w:hAnsi="宋体" w:eastAsia="宋体" w:cs="宋体"/>
          <w:color w:val="auto"/>
          <w:lang w:eastAsia="zh-CN"/>
        </w:rPr>
        <w:t>、</w:t>
      </w:r>
      <w:r>
        <w:rPr>
          <w:rFonts w:hint="eastAsia" w:ascii="宋体" w:hAnsi="宋体" w:eastAsia="宋体" w:cs="宋体"/>
          <w:color w:val="auto"/>
          <w:lang w:eastAsia="en-US"/>
        </w:rPr>
        <w:t>保修期内开机率：≥98%(按365日计算)。如果保修期内停机时间超过2%（停机故障日/365日×100%≥2%），则超出天数按1：2加倍延长保修期限；超出10%（停机故障日/365日×100%≥10%）乙方应无条件为甲方更换相同品牌型号的新设备，并承担因换货产生的相关费用和所造成甲方的直接经济损失及可预期收益。（不足12小时算半日，超过12小时不足24小时算一日，以此类推）</w:t>
      </w:r>
    </w:p>
    <w:p w14:paraId="056CA6C9">
      <w:pPr>
        <w:snapToGrid w:val="0"/>
        <w:spacing w:line="360" w:lineRule="auto"/>
        <w:ind w:firstLine="420" w:firstLineChars="200"/>
        <w:rPr>
          <w:rFonts w:hint="eastAsia" w:ascii="宋体" w:hAnsi="宋体" w:eastAsia="宋体" w:cs="宋体"/>
          <w:color w:val="auto"/>
          <w:lang w:eastAsia="en-US"/>
        </w:rPr>
      </w:pPr>
      <w:r>
        <w:rPr>
          <w:rFonts w:hint="eastAsia" w:ascii="宋体" w:hAnsi="宋体" w:eastAsia="宋体" w:cs="宋体"/>
          <w:color w:val="auto"/>
          <w:lang w:val="en-US" w:eastAsia="zh-CN"/>
        </w:rPr>
        <w:t>4</w:t>
      </w:r>
      <w:r>
        <w:rPr>
          <w:rFonts w:hint="eastAsia" w:ascii="宋体" w:hAnsi="宋体" w:eastAsia="宋体" w:cs="宋体"/>
          <w:color w:val="auto"/>
          <w:lang w:eastAsia="zh-CN"/>
        </w:rPr>
        <w:t>、</w:t>
      </w:r>
      <w:r>
        <w:rPr>
          <w:rFonts w:hint="eastAsia" w:ascii="宋体" w:hAnsi="宋体" w:eastAsia="宋体" w:cs="宋体"/>
          <w:color w:val="auto"/>
          <w:lang w:eastAsia="en-US"/>
        </w:rPr>
        <w:t>设备保修期内，</w:t>
      </w:r>
      <w:r>
        <w:rPr>
          <w:rFonts w:hint="eastAsia" w:ascii="宋体" w:hAnsi="宋体"/>
          <w:color w:val="auto"/>
          <w:szCs w:val="21"/>
        </w:rPr>
        <w:t>乙方</w:t>
      </w:r>
      <w:r>
        <w:rPr>
          <w:rFonts w:hint="eastAsia" w:ascii="宋体" w:hAnsi="宋体" w:eastAsia="宋体" w:cs="宋体"/>
          <w:color w:val="auto"/>
          <w:lang w:eastAsia="en-US"/>
        </w:rPr>
        <w:t>负责对设备进行定期维护保养，每年至少二次，包括设备的安全检查、质量检查，运行状态检查，提供设备维护保养情况书面报告。并承担所发生的一切费用（包括更换零部件费、人工费和差旅费等）。</w:t>
      </w:r>
    </w:p>
    <w:p w14:paraId="712D9BDE">
      <w:pPr>
        <w:snapToGrid w:val="0"/>
        <w:spacing w:line="360" w:lineRule="auto"/>
        <w:ind w:firstLine="422" w:firstLineChars="200"/>
        <w:rPr>
          <w:rFonts w:hint="eastAsia" w:ascii="宋体" w:hAnsi="宋体"/>
          <w:color w:val="auto"/>
          <w:szCs w:val="21"/>
        </w:rPr>
      </w:pPr>
      <w:r>
        <w:rPr>
          <w:rFonts w:hint="eastAsia" w:ascii="宋体" w:hAnsi="宋体"/>
          <w:b/>
          <w:color w:val="auto"/>
          <w:szCs w:val="21"/>
        </w:rPr>
        <w:t>第八条　付款方式</w:t>
      </w:r>
    </w:p>
    <w:p w14:paraId="1DD95C8E">
      <w:pPr>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color w:val="auto"/>
          <w:szCs w:val="21"/>
        </w:rPr>
        <w:t>1、资金性质：</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525F2632">
      <w:pPr>
        <w:spacing w:line="360" w:lineRule="auto"/>
        <w:ind w:firstLine="420" w:firstLineChars="200"/>
        <w:rPr>
          <w:rFonts w:hint="eastAsia" w:ascii="宋体" w:hAnsi="宋体"/>
          <w:color w:val="auto"/>
          <w:szCs w:val="21"/>
        </w:rPr>
      </w:pPr>
      <w:r>
        <w:rPr>
          <w:rFonts w:ascii="宋体" w:hAnsi="宋体"/>
          <w:color w:val="auto"/>
          <w:szCs w:val="21"/>
        </w:rPr>
        <w:t>2</w:t>
      </w:r>
      <w:r>
        <w:rPr>
          <w:rFonts w:hint="eastAsia" w:ascii="宋体" w:hAnsi="宋体"/>
          <w:color w:val="auto"/>
          <w:szCs w:val="21"/>
        </w:rPr>
        <w:t>、付款方式：</w:t>
      </w:r>
    </w:p>
    <w:p w14:paraId="6B02E97B">
      <w:pPr>
        <w:widowControl/>
        <w:spacing w:line="360" w:lineRule="auto"/>
        <w:ind w:firstLine="420" w:firstLineChars="200"/>
        <w:jc w:val="left"/>
        <w:textAlignment w:val="center"/>
        <w:rPr>
          <w:rFonts w:hint="eastAsia" w:ascii="宋体" w:hAnsi="宋体" w:eastAsia="宋体" w:cs="宋体"/>
          <w:color w:val="auto"/>
          <w:lang w:eastAsia="en-US"/>
        </w:rPr>
      </w:pPr>
      <w:r>
        <w:rPr>
          <w:rFonts w:hint="eastAsia" w:ascii="宋体" w:hAnsi="宋体" w:eastAsia="宋体" w:cs="宋体"/>
          <w:color w:val="auto"/>
          <w:lang w:val="en-US" w:eastAsia="zh-CN"/>
        </w:rPr>
        <w:t>2.1</w:t>
      </w:r>
      <w:r>
        <w:rPr>
          <w:rFonts w:hint="eastAsia" w:ascii="宋体" w:hAnsi="宋体" w:eastAsia="宋体" w:cs="宋体"/>
          <w:color w:val="auto"/>
          <w:lang w:eastAsia="en-US"/>
        </w:rPr>
        <w:t>由</w:t>
      </w:r>
      <w:r>
        <w:rPr>
          <w:rFonts w:hint="eastAsia" w:ascii="宋体" w:hAnsi="宋体" w:cs="宋体"/>
          <w:color w:val="auto"/>
          <w:lang w:val="en-US" w:eastAsia="zh-CN"/>
        </w:rPr>
        <w:t>甲方</w:t>
      </w:r>
      <w:r>
        <w:rPr>
          <w:rFonts w:hint="eastAsia" w:ascii="宋体" w:hAnsi="宋体" w:eastAsia="宋体" w:cs="宋体"/>
          <w:color w:val="auto"/>
          <w:lang w:eastAsia="en-US"/>
        </w:rPr>
        <w:t>通过银行转账方式向</w:t>
      </w:r>
      <w:r>
        <w:rPr>
          <w:rFonts w:hint="eastAsia" w:ascii="宋体" w:hAnsi="宋体" w:cs="宋体"/>
          <w:color w:val="auto"/>
          <w:lang w:val="en-US" w:eastAsia="zh-CN"/>
        </w:rPr>
        <w:t>乙方</w:t>
      </w:r>
      <w:r>
        <w:rPr>
          <w:rFonts w:hint="eastAsia" w:ascii="宋体" w:hAnsi="宋体" w:eastAsia="宋体" w:cs="宋体"/>
          <w:color w:val="auto"/>
          <w:lang w:eastAsia="en-US"/>
        </w:rPr>
        <w:t>结算货款的，设备验收合格使用第3个月后首年付</w:t>
      </w:r>
      <w:r>
        <w:rPr>
          <w:rFonts w:hint="eastAsia" w:ascii="宋体" w:hAnsi="宋体" w:cs="宋体"/>
          <w:color w:val="auto"/>
          <w:lang w:val="en-US" w:eastAsia="zh-CN"/>
        </w:rPr>
        <w:t>5</w:t>
      </w:r>
      <w:r>
        <w:rPr>
          <w:rFonts w:hint="eastAsia" w:ascii="宋体" w:hAnsi="宋体" w:eastAsia="宋体" w:cs="宋体"/>
          <w:color w:val="auto"/>
          <w:lang w:eastAsia="en-US"/>
        </w:rPr>
        <w:t>0%、</w:t>
      </w:r>
      <w:r>
        <w:rPr>
          <w:rFonts w:hint="eastAsia" w:ascii="宋体" w:hAnsi="宋体" w:cs="宋体"/>
          <w:color w:val="auto"/>
          <w:highlight w:val="none"/>
          <w:lang w:val="en-US" w:eastAsia="zh-CN"/>
        </w:rPr>
        <w:t>验收合格使用满一年并以</w:t>
      </w:r>
      <w:r>
        <w:rPr>
          <w:rFonts w:hint="eastAsia" w:ascii="宋体" w:hAnsi="宋体" w:cs="宋体"/>
          <w:color w:val="auto"/>
          <w:lang w:val="en-US" w:eastAsia="zh-CN"/>
        </w:rPr>
        <w:t>乙方的投标服务承诺进行</w:t>
      </w:r>
      <w:r>
        <w:rPr>
          <w:rFonts w:hint="eastAsia" w:ascii="宋体" w:hAnsi="宋体" w:cs="宋体"/>
          <w:color w:val="auto"/>
          <w:highlight w:val="none"/>
          <w:lang w:val="en-US" w:eastAsia="zh-CN"/>
        </w:rPr>
        <w:t>考核通过后</w:t>
      </w:r>
      <w:r>
        <w:rPr>
          <w:rFonts w:hint="eastAsia" w:ascii="宋体" w:hAnsi="宋体" w:eastAsia="宋体" w:cs="宋体"/>
          <w:color w:val="auto"/>
          <w:highlight w:val="none"/>
          <w:lang w:eastAsia="en-US"/>
        </w:rPr>
        <w:t>付</w:t>
      </w:r>
      <w:r>
        <w:rPr>
          <w:rFonts w:hint="eastAsia" w:ascii="宋体" w:hAnsi="宋体" w:cs="宋体"/>
          <w:color w:val="auto"/>
          <w:highlight w:val="none"/>
          <w:lang w:val="en-US" w:eastAsia="zh-CN"/>
        </w:rPr>
        <w:t>剩余5</w:t>
      </w:r>
      <w:r>
        <w:rPr>
          <w:rFonts w:hint="eastAsia" w:ascii="宋体" w:hAnsi="宋体" w:eastAsia="宋体" w:cs="宋体"/>
          <w:color w:val="auto"/>
          <w:highlight w:val="none"/>
          <w:lang w:eastAsia="en-US"/>
        </w:rPr>
        <w:t>0%。</w:t>
      </w:r>
    </w:p>
    <w:p w14:paraId="05580ABE">
      <w:pPr>
        <w:snapToGrid w:val="0"/>
        <w:spacing w:line="360" w:lineRule="auto"/>
        <w:ind w:firstLine="420" w:firstLineChars="200"/>
        <w:rPr>
          <w:rFonts w:hint="default" w:ascii="宋体" w:hAnsi="宋体"/>
          <w:color w:val="auto"/>
          <w:szCs w:val="21"/>
          <w:lang w:val="en-US" w:eastAsia="zh-CN"/>
        </w:rPr>
      </w:pPr>
      <w:r>
        <w:rPr>
          <w:rFonts w:hint="eastAsia" w:ascii="宋体" w:hAnsi="宋体" w:eastAsia="宋体" w:cs="宋体"/>
          <w:color w:val="auto"/>
          <w:lang w:eastAsia="en-US"/>
        </w:rPr>
        <w:t>2.</w:t>
      </w:r>
      <w:r>
        <w:rPr>
          <w:rFonts w:hint="eastAsia" w:ascii="宋体" w:hAnsi="宋体" w:eastAsia="宋体" w:cs="宋体"/>
          <w:color w:val="auto"/>
          <w:lang w:val="en-US" w:eastAsia="zh-CN"/>
        </w:rPr>
        <w:t>2</w:t>
      </w:r>
      <w:r>
        <w:rPr>
          <w:rFonts w:hint="eastAsia" w:ascii="宋体" w:hAnsi="宋体" w:eastAsia="宋体" w:cs="宋体"/>
          <w:color w:val="auto"/>
          <w:lang w:eastAsia="en-US"/>
        </w:rPr>
        <w:t>付款前</w:t>
      </w:r>
      <w:r>
        <w:rPr>
          <w:rFonts w:hint="eastAsia" w:ascii="宋体" w:hAnsi="宋体"/>
          <w:color w:val="auto"/>
          <w:szCs w:val="21"/>
        </w:rPr>
        <w:t>乙方</w:t>
      </w:r>
      <w:r>
        <w:rPr>
          <w:rFonts w:hint="eastAsia" w:ascii="宋体" w:hAnsi="宋体" w:eastAsia="宋体" w:cs="宋体"/>
          <w:color w:val="auto"/>
          <w:lang w:eastAsia="zh-CN"/>
        </w:rPr>
        <w:t>提供</w:t>
      </w:r>
      <w:r>
        <w:rPr>
          <w:rFonts w:hint="eastAsia" w:ascii="宋体" w:hAnsi="宋体" w:eastAsia="宋体" w:cs="宋体"/>
          <w:color w:val="auto"/>
          <w:lang w:eastAsia="en-US"/>
        </w:rPr>
        <w:t>合法有效的全额正式发票</w:t>
      </w:r>
      <w:r>
        <w:rPr>
          <w:rFonts w:hint="eastAsia" w:ascii="宋体" w:hAnsi="宋体" w:eastAsia="宋体" w:cs="宋体"/>
          <w:color w:val="auto"/>
          <w:lang w:eastAsia="zh-CN"/>
        </w:rPr>
        <w:t>。</w:t>
      </w:r>
    </w:p>
    <w:p w14:paraId="09138068">
      <w:pPr>
        <w:spacing w:line="360" w:lineRule="auto"/>
        <w:ind w:firstLine="422" w:firstLineChars="200"/>
        <w:rPr>
          <w:rFonts w:hint="eastAsia" w:ascii="宋体" w:hAnsi="宋体"/>
          <w:b/>
          <w:color w:val="auto"/>
          <w:szCs w:val="21"/>
        </w:rPr>
      </w:pPr>
      <w:r>
        <w:rPr>
          <w:rFonts w:hint="eastAsia" w:ascii="宋体" w:hAnsi="宋体"/>
          <w:b/>
          <w:color w:val="auto"/>
          <w:szCs w:val="21"/>
        </w:rPr>
        <w:t>第九条　履约保证金</w:t>
      </w:r>
    </w:p>
    <w:p w14:paraId="144902A9">
      <w:pPr>
        <w:adjustRightInd w:val="0"/>
        <w:snapToGrid w:val="0"/>
        <w:spacing w:line="360" w:lineRule="auto"/>
        <w:ind w:firstLine="420" w:firstLineChars="200"/>
        <w:rPr>
          <w:rFonts w:hAnsi="宋体"/>
          <w:bCs/>
          <w:color w:val="auto"/>
        </w:rPr>
      </w:pPr>
      <w:r>
        <w:rPr>
          <w:rFonts w:hint="eastAsia" w:hAnsi="宋体"/>
          <w:bCs/>
          <w:color w:val="auto"/>
        </w:rPr>
        <w:t>本项目不收取履约保证金。</w:t>
      </w:r>
    </w:p>
    <w:p w14:paraId="044A8C3A">
      <w:pPr>
        <w:snapToGrid w:val="0"/>
        <w:spacing w:line="360" w:lineRule="auto"/>
        <w:ind w:firstLine="422" w:firstLineChars="200"/>
        <w:rPr>
          <w:rFonts w:hint="eastAsia" w:ascii="宋体" w:hAnsi="宋体"/>
          <w:b/>
          <w:color w:val="auto"/>
          <w:szCs w:val="21"/>
        </w:rPr>
      </w:pPr>
      <w:r>
        <w:rPr>
          <w:rFonts w:hint="eastAsia" w:ascii="宋体" w:hAnsi="宋体"/>
          <w:b/>
          <w:color w:val="auto"/>
          <w:szCs w:val="21"/>
        </w:rPr>
        <w:t>第十条  税费</w:t>
      </w:r>
    </w:p>
    <w:p w14:paraId="540F8B12">
      <w:pPr>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本合同执行中相关的一切税费均由乙方负担。</w:t>
      </w:r>
    </w:p>
    <w:p w14:paraId="55FA5D77">
      <w:pPr>
        <w:pStyle w:val="24"/>
        <w:snapToGrid w:val="0"/>
        <w:spacing w:before="120" w:after="120" w:line="360" w:lineRule="auto"/>
        <w:ind w:firstLine="413" w:firstLineChars="196"/>
        <w:rPr>
          <w:rFonts w:hint="eastAsia" w:hAnsi="宋体"/>
          <w:b/>
          <w:color w:val="auto"/>
          <w:sz w:val="21"/>
        </w:rPr>
      </w:pPr>
      <w:r>
        <w:rPr>
          <w:rFonts w:hint="eastAsia" w:hAnsi="宋体"/>
          <w:b/>
          <w:color w:val="auto"/>
          <w:sz w:val="21"/>
        </w:rPr>
        <w:t>第十一条  货物包装、发运及运输</w:t>
      </w:r>
    </w:p>
    <w:p w14:paraId="1F107F4D">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1、乙方应在货物发运前对其进行满足运输距离、防潮、防震、防锈和防破损装卸等要求包装，以保证货物安全运达甲方指定地点。</w:t>
      </w:r>
    </w:p>
    <w:p w14:paraId="295B6442">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2、使用说明书、质量检验证明书、随配附件和工具以及清单一并附于货物内。</w:t>
      </w:r>
    </w:p>
    <w:p w14:paraId="2D78ACB3">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3、乙方在货物发运手续办理完毕后二十四小时内或货到甲方四十八小时前通知甲方，以准备接货。</w:t>
      </w:r>
    </w:p>
    <w:p w14:paraId="78145CDA">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4、货物在交付甲方前发生的风险均由乙方负责。</w:t>
      </w:r>
    </w:p>
    <w:p w14:paraId="1E2238AA">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5、货物在规定的交付期限内由乙方送达甲方指定的地点视为交付，乙方同时需通知甲方货物已送达。</w:t>
      </w:r>
    </w:p>
    <w:p w14:paraId="270D6640">
      <w:pPr>
        <w:snapToGrid w:val="0"/>
        <w:spacing w:line="360" w:lineRule="auto"/>
        <w:ind w:firstLine="422" w:firstLineChars="200"/>
        <w:rPr>
          <w:rFonts w:hint="eastAsia" w:ascii="宋体" w:hAnsi="宋体"/>
          <w:b/>
          <w:color w:val="auto"/>
          <w:szCs w:val="21"/>
        </w:rPr>
      </w:pPr>
      <w:r>
        <w:rPr>
          <w:rFonts w:hint="eastAsia" w:ascii="宋体" w:hAnsi="宋体"/>
          <w:b/>
          <w:color w:val="auto"/>
          <w:szCs w:val="21"/>
        </w:rPr>
        <w:t>第十二条　违约责任</w:t>
      </w:r>
    </w:p>
    <w:p w14:paraId="45AA86E3">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 xml:space="preserve">1、乙方所提供的货物规格、技术标准、材料等质量不合格或不符合相关法律法规的，应按要求在 5日内更换完毕，更换不及时的按逾期交货处罚，并承担由此造成的损失；若货物投入使用后，甲方在使用过程中发现货物存在交货当下未发现的其他技术标准、材料等质量不合格或不符合相关法律法规问题的（包括乙方应提供而未提供的相关法律法规要求必须具备的资质材料或资质材料到期未及时更新提供的），甲方可要求更换或退货，乙方须支付甲方该批货款额的30%作为赔偿金。存在质量问题的，甲方有权拒绝接收，同时有权要求乙方支付该批货款额5%违约金并赔偿甲方经济损失。                                       </w:t>
      </w:r>
    </w:p>
    <w:p w14:paraId="6AB20752">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2、乙方提供的货物如侵犯了第三方合法权益而引发的任何纠纷或诉讼，均由乙方负责交涉并承担全部责任。如因提供的货物侵犯了第三方合法权益而引发了纠纷或诉讼，导致无法按期交付使用的，甲方可拒绝验收，同时有权要求乙方支付该批货款额5%违约金并赔偿甲方经济损失。</w:t>
      </w:r>
    </w:p>
    <w:p w14:paraId="04FFB963">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3、因包装、运输引起的货物损坏，按质量不合格处理。</w:t>
      </w:r>
    </w:p>
    <w:p w14:paraId="79C1E2EC">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4、乙方逾期交货的，每天向甲方偿付该逾期交付货物金额的3‰违约金，但违约金累计不得超过该批货款额5%。超过10天甲方有权解除合同，乙方承担因此给甲方造成的经济损失。</w:t>
      </w:r>
    </w:p>
    <w:p w14:paraId="144C4986">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5、乙方未按签订的合同和投标文件中规定的服务承诺提供售后服务的，乙方应按签订的合同合计金额5%向甲方支付违约金；承诺由生产厂家提供正规售后服务但经查证后无法得到生产厂家正规售后服务的，甲方可拒绝验收。</w:t>
      </w:r>
    </w:p>
    <w:p w14:paraId="5AA1467C">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6、乙方提供的货物在质量保证期内，因设计、工艺或材料的缺陷和其它质量原因造成的问题的，产生的维修或更换费用、给甲方造成的经济损失均由乙方承担。</w:t>
      </w:r>
    </w:p>
    <w:p w14:paraId="0CA69FAA">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7、如发现所提供的产品有弄虚作假的行为，甲方有权拒绝接收产品或退货，并要求乙方赔偿损失，此条赔偿总额为该批货款的50%，同时甲方有权单方终止协议。</w:t>
      </w:r>
    </w:p>
    <w:p w14:paraId="63AFE1F3">
      <w:pPr>
        <w:snapToGrid w:val="0"/>
        <w:spacing w:line="460" w:lineRule="exact"/>
        <w:ind w:right="-16" w:firstLine="420" w:firstLineChars="200"/>
        <w:rPr>
          <w:rFonts w:hint="eastAsia" w:ascii="宋体" w:hAnsi="宋体" w:cs="宋体"/>
          <w:color w:val="auto"/>
          <w:szCs w:val="21"/>
        </w:rPr>
      </w:pPr>
      <w:r>
        <w:rPr>
          <w:rFonts w:hint="eastAsia" w:ascii="宋体" w:hAnsi="宋体" w:cs="宋体"/>
          <w:color w:val="auto"/>
          <w:szCs w:val="21"/>
        </w:rPr>
        <w:t>8、将本项目转让、分包给他人的，一经发现，甲方有权单方终止协议，并有权要求乙方承担由此造成的一切经济损失。</w:t>
      </w:r>
    </w:p>
    <w:p w14:paraId="417B4603">
      <w:pPr>
        <w:pStyle w:val="24"/>
        <w:snapToGrid w:val="0"/>
        <w:spacing w:before="120" w:after="120" w:line="360" w:lineRule="auto"/>
        <w:ind w:firstLine="411" w:firstLineChars="196"/>
        <w:rPr>
          <w:rFonts w:hint="eastAsia" w:hAnsi="宋体" w:cs="宋体"/>
          <w:color w:val="auto"/>
          <w:sz w:val="21"/>
        </w:rPr>
      </w:pPr>
      <w:r>
        <w:rPr>
          <w:rFonts w:hint="eastAsia" w:hAnsi="宋体" w:cs="宋体"/>
          <w:color w:val="auto"/>
          <w:sz w:val="21"/>
        </w:rPr>
        <w:t>9、其它违约行为按违约货款额5%收取违约金并赔偿经济损失。</w:t>
      </w:r>
    </w:p>
    <w:p w14:paraId="67BFF818">
      <w:pPr>
        <w:pStyle w:val="24"/>
        <w:snapToGrid w:val="0"/>
        <w:spacing w:before="120" w:after="120" w:line="360" w:lineRule="auto"/>
        <w:ind w:firstLine="413" w:firstLineChars="196"/>
        <w:rPr>
          <w:rFonts w:hint="eastAsia" w:hAnsi="宋体"/>
          <w:b/>
          <w:color w:val="auto"/>
          <w:sz w:val="21"/>
        </w:rPr>
      </w:pPr>
      <w:r>
        <w:rPr>
          <w:rFonts w:hint="eastAsia" w:hAnsi="宋体"/>
          <w:b/>
          <w:color w:val="auto"/>
          <w:sz w:val="21"/>
        </w:rPr>
        <w:t>第十三条  不可抗力事件处理</w:t>
      </w:r>
    </w:p>
    <w:p w14:paraId="7F7B4A43">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1、在合同有效期内，任何一方因不可抗力事件导致不能履行合同，则合同履行期可延长，其延长期与不可抗力影响期相同。</w:t>
      </w:r>
    </w:p>
    <w:p w14:paraId="0CE0D74A">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2、不可抗力事件发生后，应立即通知对方，并寄送有关权威机构出具的证明。</w:t>
      </w:r>
    </w:p>
    <w:p w14:paraId="1816E71E">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3、不可抗力事件延续一百二十天以上，双方应通过友好协商，确定是否继续履行合同。</w:t>
      </w:r>
    </w:p>
    <w:p w14:paraId="42A1DA98">
      <w:pPr>
        <w:snapToGrid w:val="0"/>
        <w:spacing w:line="360" w:lineRule="auto"/>
        <w:ind w:firstLine="422" w:firstLineChars="200"/>
        <w:rPr>
          <w:rFonts w:hint="eastAsia" w:ascii="宋体" w:hAnsi="宋体"/>
          <w:color w:val="auto"/>
          <w:szCs w:val="21"/>
        </w:rPr>
      </w:pPr>
      <w:r>
        <w:rPr>
          <w:rFonts w:hint="eastAsia" w:ascii="宋体" w:hAnsi="宋体"/>
          <w:b/>
          <w:color w:val="auto"/>
          <w:szCs w:val="21"/>
        </w:rPr>
        <w:t>第十四条  合同争议解决</w:t>
      </w:r>
    </w:p>
    <w:p w14:paraId="2157B1EB">
      <w:pPr>
        <w:snapToGrid w:val="0"/>
        <w:spacing w:line="360" w:lineRule="auto"/>
        <w:ind w:firstLine="420" w:firstLineChars="200"/>
        <w:rPr>
          <w:rFonts w:hint="eastAsia" w:ascii="宋体" w:hAnsi="宋体"/>
          <w:color w:val="auto"/>
          <w:szCs w:val="21"/>
        </w:rPr>
      </w:pPr>
      <w:r>
        <w:rPr>
          <w:rFonts w:hint="eastAsia" w:ascii="宋体" w:hAnsi="宋体"/>
          <w:color w:val="auto"/>
          <w:szCs w:val="21"/>
        </w:rPr>
        <w:t>1、因货物质量问题发生争议的，应邀请国家认可的质量检测机构对货物质量进行鉴定。货物符合标准的，鉴定费由甲方承担；货物不符合标准的，鉴定费由乙方承担。</w:t>
      </w:r>
    </w:p>
    <w:p w14:paraId="4CD78192">
      <w:pPr>
        <w:snapToGrid w:val="0"/>
        <w:spacing w:line="360" w:lineRule="auto"/>
        <w:ind w:firstLine="420" w:firstLineChars="200"/>
        <w:rPr>
          <w:rFonts w:hint="eastAsia" w:ascii="宋体" w:hAnsi="宋体"/>
          <w:color w:val="auto"/>
          <w:szCs w:val="21"/>
        </w:rPr>
      </w:pPr>
      <w:r>
        <w:rPr>
          <w:rFonts w:hint="eastAsia" w:ascii="宋体" w:hAnsi="宋体"/>
          <w:color w:val="auto"/>
          <w:szCs w:val="21"/>
        </w:rPr>
        <w:t>2、因履行本合同引起的或与本合同有关的争议，甲乙双方应首先通过友好协商解决，如果协商不能解决，可向甲方所在地人民法院提起诉讼。</w:t>
      </w:r>
    </w:p>
    <w:p w14:paraId="2C650FA8">
      <w:pPr>
        <w:snapToGrid w:val="0"/>
        <w:spacing w:line="360" w:lineRule="auto"/>
        <w:ind w:firstLine="420" w:firstLineChars="200"/>
        <w:rPr>
          <w:rFonts w:hint="eastAsia" w:ascii="宋体" w:hAnsi="宋体"/>
          <w:b/>
          <w:color w:val="auto"/>
          <w:szCs w:val="21"/>
        </w:rPr>
      </w:pPr>
      <w:r>
        <w:rPr>
          <w:rFonts w:hint="eastAsia" w:ascii="宋体" w:hAnsi="宋体"/>
          <w:color w:val="auto"/>
          <w:szCs w:val="21"/>
        </w:rPr>
        <w:t>3、诉讼期间，本合同继续履行。</w:t>
      </w:r>
    </w:p>
    <w:p w14:paraId="168F5D59">
      <w:pPr>
        <w:pStyle w:val="24"/>
        <w:snapToGrid w:val="0"/>
        <w:spacing w:before="120" w:after="120" w:line="360" w:lineRule="auto"/>
        <w:ind w:left="561" w:leftChars="267"/>
        <w:rPr>
          <w:rFonts w:hint="eastAsia" w:hAnsi="宋体"/>
          <w:b/>
          <w:color w:val="auto"/>
          <w:kern w:val="2"/>
          <w:sz w:val="21"/>
        </w:rPr>
      </w:pPr>
      <w:r>
        <w:rPr>
          <w:rFonts w:hint="eastAsia" w:hAnsi="宋体"/>
          <w:b/>
          <w:color w:val="auto"/>
          <w:kern w:val="2"/>
          <w:sz w:val="21"/>
        </w:rPr>
        <w:t>第十五条  合同生效及其它</w:t>
      </w:r>
    </w:p>
    <w:p w14:paraId="10B8B3F4">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1、合同经双方法定代表人或授权代表签字并加盖单位公章后生效。</w:t>
      </w:r>
    </w:p>
    <w:p w14:paraId="66BCB670">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2、</w:t>
      </w:r>
      <w:r>
        <w:rPr>
          <w:rFonts w:hint="eastAsia"/>
          <w:color w:val="auto"/>
          <w:lang w:val="en-US" w:eastAsia="zh-CN"/>
        </w:rPr>
        <w:t>本合同涉及采购内容变更的，甲乙双方协商一致签订书面补充协议，补充协议不得改变招标文件、投标文件的实质性约定，按政府采购管理要求报送财政部门备案。</w:t>
      </w:r>
    </w:p>
    <w:p w14:paraId="6C3CB8C3">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3、本合同未尽事宜，遵照《民法典》有关条文执行。</w:t>
      </w:r>
    </w:p>
    <w:p w14:paraId="76C4CB5D">
      <w:pPr>
        <w:snapToGrid w:val="0"/>
        <w:spacing w:line="360" w:lineRule="auto"/>
        <w:ind w:firstLine="422" w:firstLineChars="200"/>
        <w:rPr>
          <w:rFonts w:hint="eastAsia" w:ascii="宋体" w:hAnsi="宋体"/>
          <w:b/>
          <w:color w:val="auto"/>
          <w:szCs w:val="21"/>
        </w:rPr>
      </w:pPr>
      <w:r>
        <w:rPr>
          <w:rFonts w:hint="eastAsia" w:ascii="宋体" w:hAnsi="宋体"/>
          <w:b/>
          <w:color w:val="auto"/>
          <w:szCs w:val="21"/>
        </w:rPr>
        <w:t>第十六条　合同的变更、终止与转让</w:t>
      </w:r>
    </w:p>
    <w:p w14:paraId="069413A0">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1、除《中华人民共和国政府采购法》第50条规定的情形外，本合同一经签订，双方协商一致，可以变更、中止、终止合同。</w:t>
      </w:r>
    </w:p>
    <w:p w14:paraId="652D2919">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2、乙方不得擅自转让（无进口资格的供应商委托进口货物除外）其应履行的合同义务。</w:t>
      </w:r>
    </w:p>
    <w:p w14:paraId="4F177383">
      <w:pPr>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3、合同经双方法定代表人或授权代表签字并加盖单位公章后生效。</w:t>
      </w:r>
    </w:p>
    <w:p w14:paraId="3E88B8BF">
      <w:pPr>
        <w:snapToGrid w:val="0"/>
        <w:spacing w:line="360" w:lineRule="auto"/>
        <w:ind w:firstLine="422" w:firstLineChars="200"/>
        <w:rPr>
          <w:rFonts w:hint="eastAsia" w:ascii="宋体" w:hAnsi="宋体"/>
          <w:b/>
          <w:color w:val="auto"/>
          <w:szCs w:val="21"/>
        </w:rPr>
      </w:pPr>
      <w:r>
        <w:rPr>
          <w:rFonts w:hint="eastAsia" w:ascii="宋体" w:hAnsi="宋体"/>
          <w:b/>
          <w:color w:val="auto"/>
          <w:szCs w:val="21"/>
        </w:rPr>
        <w:t>第十七条　签订本合同依据</w:t>
      </w:r>
    </w:p>
    <w:p w14:paraId="0B9061B1">
      <w:pPr>
        <w:snapToGrid w:val="0"/>
        <w:spacing w:line="360" w:lineRule="auto"/>
        <w:ind w:firstLine="420" w:firstLineChars="200"/>
        <w:rPr>
          <w:rFonts w:hint="eastAsia" w:ascii="宋体" w:hAnsi="宋体"/>
          <w:color w:val="auto"/>
          <w:szCs w:val="21"/>
        </w:rPr>
      </w:pPr>
      <w:r>
        <w:rPr>
          <w:rFonts w:hint="eastAsia" w:ascii="宋体" w:hAnsi="宋体"/>
          <w:color w:val="auto"/>
          <w:szCs w:val="21"/>
        </w:rPr>
        <w:t>1、政府采购招标文件；</w:t>
      </w:r>
    </w:p>
    <w:p w14:paraId="7B15F44E">
      <w:pPr>
        <w:snapToGrid w:val="0"/>
        <w:spacing w:line="360" w:lineRule="auto"/>
        <w:ind w:firstLine="420" w:firstLineChars="200"/>
        <w:rPr>
          <w:rFonts w:hint="eastAsia" w:ascii="宋体" w:hAnsi="宋体"/>
          <w:color w:val="auto"/>
          <w:szCs w:val="21"/>
        </w:rPr>
      </w:pPr>
      <w:r>
        <w:rPr>
          <w:rFonts w:hint="eastAsia" w:ascii="宋体" w:hAnsi="宋体"/>
          <w:color w:val="auto"/>
          <w:szCs w:val="21"/>
        </w:rPr>
        <w:t>2、乙方提供的投标文件；</w:t>
      </w:r>
    </w:p>
    <w:p w14:paraId="2567D570">
      <w:pPr>
        <w:snapToGrid w:val="0"/>
        <w:spacing w:line="360" w:lineRule="auto"/>
        <w:ind w:firstLine="420" w:firstLineChars="200"/>
        <w:rPr>
          <w:rFonts w:hint="eastAsia" w:ascii="宋体" w:hAnsi="宋体"/>
          <w:color w:val="auto"/>
          <w:szCs w:val="21"/>
        </w:rPr>
      </w:pPr>
      <w:r>
        <w:rPr>
          <w:rFonts w:hint="eastAsia" w:ascii="宋体" w:hAnsi="宋体"/>
          <w:color w:val="auto"/>
          <w:szCs w:val="21"/>
        </w:rPr>
        <w:t>3、投标承诺书；</w:t>
      </w:r>
    </w:p>
    <w:p w14:paraId="788730CF">
      <w:pPr>
        <w:snapToGrid w:val="0"/>
        <w:spacing w:line="360" w:lineRule="auto"/>
        <w:ind w:firstLine="420" w:firstLineChars="200"/>
        <w:rPr>
          <w:rFonts w:hint="eastAsia" w:ascii="宋体" w:hAnsi="宋体"/>
          <w:color w:val="auto"/>
          <w:szCs w:val="21"/>
        </w:rPr>
      </w:pPr>
      <w:r>
        <w:rPr>
          <w:rFonts w:hint="eastAsia" w:ascii="宋体" w:hAnsi="宋体"/>
          <w:color w:val="auto"/>
          <w:szCs w:val="21"/>
        </w:rPr>
        <w:t>4、中标</w:t>
      </w:r>
      <w:r>
        <w:rPr>
          <w:rFonts w:hint="eastAsia" w:ascii="宋体" w:hAnsi="宋体"/>
          <w:color w:val="auto"/>
          <w:szCs w:val="21"/>
          <w:lang w:eastAsia="zh-CN"/>
        </w:rPr>
        <w:t>（</w:t>
      </w:r>
      <w:r>
        <w:rPr>
          <w:rFonts w:hint="eastAsia" w:ascii="宋体" w:hAnsi="宋体"/>
          <w:color w:val="auto"/>
          <w:szCs w:val="21"/>
        </w:rPr>
        <w:t>成交</w:t>
      </w:r>
      <w:r>
        <w:rPr>
          <w:rFonts w:hint="eastAsia" w:ascii="宋体" w:hAnsi="宋体"/>
          <w:color w:val="auto"/>
          <w:szCs w:val="21"/>
          <w:lang w:eastAsia="zh-CN"/>
        </w:rPr>
        <w:t>）</w:t>
      </w:r>
      <w:r>
        <w:rPr>
          <w:rFonts w:hint="eastAsia" w:ascii="宋体" w:hAnsi="宋体"/>
          <w:color w:val="auto"/>
          <w:szCs w:val="21"/>
        </w:rPr>
        <w:t>通知书。</w:t>
      </w:r>
    </w:p>
    <w:p w14:paraId="73136F5E">
      <w:pPr>
        <w:snapToGrid w:val="0"/>
        <w:spacing w:line="360" w:lineRule="auto"/>
        <w:ind w:firstLine="422" w:firstLineChars="200"/>
        <w:rPr>
          <w:rFonts w:hint="eastAsia" w:ascii="宋体" w:hAnsi="宋体"/>
          <w:color w:val="auto"/>
          <w:szCs w:val="21"/>
        </w:rPr>
      </w:pPr>
      <w:r>
        <w:rPr>
          <w:rFonts w:hint="eastAsia" w:ascii="宋体" w:hAnsi="宋体"/>
          <w:b/>
          <w:color w:val="auto"/>
          <w:szCs w:val="21"/>
        </w:rPr>
        <w:t>第十八条　</w:t>
      </w: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份，具有同等法律效力，甲方执</w:t>
      </w:r>
      <w:r>
        <w:rPr>
          <w:rFonts w:hint="eastAsia" w:ascii="宋体" w:hAnsi="宋体"/>
          <w:color w:val="auto"/>
          <w:szCs w:val="21"/>
          <w:u w:val="single"/>
        </w:rPr>
        <w:t xml:space="preserve">   </w:t>
      </w:r>
      <w:r>
        <w:rPr>
          <w:rFonts w:hint="eastAsia" w:ascii="宋体" w:hAnsi="宋体"/>
          <w:color w:val="auto"/>
          <w:szCs w:val="21"/>
        </w:rPr>
        <w:t>份，乙方执</w:t>
      </w:r>
      <w:r>
        <w:rPr>
          <w:rFonts w:hint="eastAsia" w:ascii="宋体" w:hAnsi="宋体"/>
          <w:color w:val="auto"/>
          <w:szCs w:val="21"/>
          <w:u w:val="single"/>
        </w:rPr>
        <w:t xml:space="preserve">   </w:t>
      </w:r>
      <w:r>
        <w:rPr>
          <w:rFonts w:hint="eastAsia" w:ascii="宋体" w:hAnsi="宋体"/>
          <w:color w:val="auto"/>
          <w:szCs w:val="21"/>
        </w:rPr>
        <w:t>份；采购代理机构执壹份。</w:t>
      </w:r>
    </w:p>
    <w:p w14:paraId="2C9812FB">
      <w:pPr>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本合同甲乙双方</w:t>
      </w:r>
      <w:r>
        <w:rPr>
          <w:rFonts w:hint="eastAsia" w:ascii="宋体" w:hAnsi="宋体"/>
          <w:color w:val="auto"/>
          <w:szCs w:val="21"/>
          <w:lang w:eastAsia="zh-Hans"/>
        </w:rPr>
        <w:t>法定代表人或委托代理人</w:t>
      </w:r>
      <w:r>
        <w:rPr>
          <w:rFonts w:hint="eastAsia" w:ascii="宋体" w:hAnsi="宋体"/>
          <w:color w:val="auto"/>
          <w:szCs w:val="21"/>
        </w:rPr>
        <w:t>签字</w:t>
      </w:r>
      <w:r>
        <w:rPr>
          <w:rFonts w:hint="eastAsia" w:ascii="宋体" w:hAnsi="宋体"/>
          <w:color w:val="auto"/>
          <w:szCs w:val="21"/>
          <w:lang w:eastAsia="zh-Hans"/>
        </w:rPr>
        <w:t>并加</w:t>
      </w:r>
      <w:r>
        <w:rPr>
          <w:rFonts w:hint="eastAsia" w:ascii="宋体" w:hAnsi="宋体"/>
          <w:color w:val="auto"/>
          <w:szCs w:val="21"/>
        </w:rPr>
        <w:t>盖</w:t>
      </w:r>
      <w:r>
        <w:rPr>
          <w:rFonts w:hint="eastAsia" w:ascii="宋体" w:hAnsi="宋体"/>
          <w:color w:val="auto"/>
          <w:szCs w:val="21"/>
          <w:lang w:eastAsia="zh-Hans"/>
        </w:rPr>
        <w:t>公</w:t>
      </w:r>
      <w:r>
        <w:rPr>
          <w:rFonts w:hint="eastAsia" w:ascii="宋体" w:hAnsi="宋体"/>
          <w:color w:val="auto"/>
          <w:szCs w:val="21"/>
        </w:rPr>
        <w:t>章后生效。</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0914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316562DF">
            <w:pPr>
              <w:snapToGrid w:val="0"/>
              <w:spacing w:line="360" w:lineRule="auto"/>
              <w:rPr>
                <w:rFonts w:ascii="宋体" w:hAnsi="宋体"/>
                <w:color w:val="auto"/>
                <w:szCs w:val="21"/>
              </w:rPr>
            </w:pPr>
            <w:r>
              <w:rPr>
                <w:rFonts w:hint="eastAsia" w:ascii="宋体" w:hAnsi="宋体"/>
                <w:color w:val="auto"/>
                <w:szCs w:val="21"/>
              </w:rPr>
              <w:t xml:space="preserve">甲方（章）           </w:t>
            </w:r>
          </w:p>
          <w:p w14:paraId="0D9E56CC">
            <w:pPr>
              <w:snapToGrid w:val="0"/>
              <w:spacing w:line="360" w:lineRule="auto"/>
              <w:ind w:firstLine="945" w:firstLineChars="450"/>
              <w:jc w:val="right"/>
              <w:rPr>
                <w:rFonts w:ascii="宋体" w:hAnsi="宋体"/>
                <w:color w:val="auto"/>
                <w:szCs w:val="21"/>
              </w:rPr>
            </w:pPr>
            <w:r>
              <w:rPr>
                <w:rFonts w:hint="eastAsia" w:ascii="宋体" w:hAnsi="宋体"/>
                <w:color w:val="auto"/>
                <w:szCs w:val="21"/>
              </w:rPr>
              <w:t>年   月   日</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72DFD3E6">
            <w:pPr>
              <w:snapToGrid w:val="0"/>
              <w:spacing w:line="360" w:lineRule="auto"/>
              <w:rPr>
                <w:rFonts w:ascii="宋体" w:hAnsi="宋体"/>
                <w:color w:val="auto"/>
                <w:szCs w:val="21"/>
              </w:rPr>
            </w:pPr>
            <w:r>
              <w:rPr>
                <w:rFonts w:hint="eastAsia" w:ascii="宋体" w:hAnsi="宋体"/>
                <w:color w:val="auto"/>
                <w:szCs w:val="21"/>
              </w:rPr>
              <w:t xml:space="preserve">乙方（章）              </w:t>
            </w:r>
          </w:p>
          <w:p w14:paraId="5163FADB">
            <w:pPr>
              <w:snapToGrid w:val="0"/>
              <w:spacing w:line="360" w:lineRule="auto"/>
              <w:jc w:val="right"/>
              <w:rPr>
                <w:rFonts w:ascii="宋体" w:hAnsi="宋体"/>
                <w:color w:val="auto"/>
                <w:szCs w:val="21"/>
              </w:rPr>
            </w:pPr>
            <w:r>
              <w:rPr>
                <w:rFonts w:hint="eastAsia" w:ascii="宋体" w:hAnsi="宋体"/>
                <w:color w:val="auto"/>
                <w:szCs w:val="21"/>
              </w:rPr>
              <w:t xml:space="preserve"> 年   月   日</w:t>
            </w:r>
          </w:p>
        </w:tc>
      </w:tr>
      <w:tr w14:paraId="78D7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2A3E1BD0">
            <w:pPr>
              <w:snapToGrid w:val="0"/>
              <w:spacing w:line="360" w:lineRule="auto"/>
              <w:rPr>
                <w:rFonts w:ascii="宋体" w:hAnsi="宋体"/>
                <w:color w:val="auto"/>
                <w:szCs w:val="21"/>
              </w:rPr>
            </w:pPr>
            <w:r>
              <w:rPr>
                <w:rFonts w:hint="eastAsia" w:ascii="宋体" w:hAnsi="宋体"/>
                <w:color w:val="auto"/>
                <w:szCs w:val="21"/>
              </w:rPr>
              <w:t>单位地址：</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14AA0E43">
            <w:pPr>
              <w:snapToGrid w:val="0"/>
              <w:spacing w:line="360" w:lineRule="auto"/>
              <w:rPr>
                <w:rFonts w:ascii="宋体" w:hAnsi="宋体"/>
                <w:color w:val="auto"/>
                <w:szCs w:val="21"/>
              </w:rPr>
            </w:pPr>
            <w:r>
              <w:rPr>
                <w:rFonts w:hint="eastAsia" w:ascii="宋体" w:hAnsi="宋体"/>
                <w:color w:val="auto"/>
                <w:szCs w:val="21"/>
              </w:rPr>
              <w:t>单位地址：</w:t>
            </w:r>
          </w:p>
        </w:tc>
      </w:tr>
      <w:tr w14:paraId="485F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4F06D43F">
            <w:pPr>
              <w:snapToGrid w:val="0"/>
              <w:spacing w:line="360" w:lineRule="auto"/>
              <w:rPr>
                <w:rFonts w:ascii="宋体" w:hAnsi="宋体"/>
                <w:color w:val="auto"/>
                <w:szCs w:val="21"/>
              </w:rPr>
            </w:pPr>
            <w:r>
              <w:rPr>
                <w:rFonts w:hint="eastAsia" w:ascii="宋体" w:hAnsi="宋体"/>
                <w:color w:val="auto"/>
                <w:szCs w:val="21"/>
              </w:rPr>
              <w:t>法定代表人：</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00E2825F">
            <w:pPr>
              <w:snapToGrid w:val="0"/>
              <w:spacing w:line="360" w:lineRule="auto"/>
              <w:rPr>
                <w:rFonts w:ascii="宋体" w:hAnsi="宋体"/>
                <w:color w:val="auto"/>
                <w:szCs w:val="21"/>
              </w:rPr>
            </w:pPr>
            <w:r>
              <w:rPr>
                <w:rFonts w:hint="eastAsia" w:ascii="宋体" w:hAnsi="宋体"/>
                <w:color w:val="auto"/>
                <w:szCs w:val="21"/>
              </w:rPr>
              <w:t>法定代表人：</w:t>
            </w:r>
          </w:p>
        </w:tc>
      </w:tr>
      <w:tr w14:paraId="33CD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0CBA76D9">
            <w:pPr>
              <w:snapToGrid w:val="0"/>
              <w:spacing w:line="360" w:lineRule="auto"/>
              <w:rPr>
                <w:rFonts w:ascii="宋体" w:hAnsi="宋体"/>
                <w:color w:val="auto"/>
                <w:szCs w:val="21"/>
              </w:rPr>
            </w:pPr>
            <w:r>
              <w:rPr>
                <w:rFonts w:hint="eastAsia" w:ascii="宋体" w:hAnsi="宋体"/>
                <w:color w:val="auto"/>
                <w:szCs w:val="21"/>
              </w:rPr>
              <w:t>委托代理人：</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5924F223">
            <w:pPr>
              <w:snapToGrid w:val="0"/>
              <w:spacing w:line="360" w:lineRule="auto"/>
              <w:rPr>
                <w:rFonts w:ascii="宋体" w:hAnsi="宋体"/>
                <w:color w:val="auto"/>
                <w:szCs w:val="21"/>
              </w:rPr>
            </w:pPr>
            <w:r>
              <w:rPr>
                <w:rFonts w:hint="eastAsia" w:ascii="宋体" w:hAnsi="宋体"/>
                <w:color w:val="auto"/>
                <w:szCs w:val="21"/>
              </w:rPr>
              <w:t>委托代理人</w:t>
            </w:r>
          </w:p>
        </w:tc>
      </w:tr>
      <w:tr w14:paraId="3614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72AE2147">
            <w:pPr>
              <w:snapToGrid w:val="0"/>
              <w:spacing w:line="360" w:lineRule="auto"/>
              <w:rPr>
                <w:rFonts w:ascii="宋体" w:hAnsi="宋体"/>
                <w:color w:val="auto"/>
                <w:szCs w:val="21"/>
              </w:rPr>
            </w:pPr>
            <w:r>
              <w:rPr>
                <w:rFonts w:hint="eastAsia" w:ascii="宋体" w:hAnsi="宋体"/>
                <w:color w:val="auto"/>
                <w:szCs w:val="21"/>
              </w:rPr>
              <w:t>电话：</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21332302">
            <w:pPr>
              <w:snapToGrid w:val="0"/>
              <w:spacing w:line="360" w:lineRule="auto"/>
              <w:rPr>
                <w:rFonts w:ascii="宋体" w:hAnsi="宋体"/>
                <w:color w:val="auto"/>
                <w:szCs w:val="21"/>
              </w:rPr>
            </w:pPr>
            <w:r>
              <w:rPr>
                <w:rFonts w:hint="eastAsia" w:ascii="宋体" w:hAnsi="宋体"/>
                <w:color w:val="auto"/>
                <w:szCs w:val="21"/>
              </w:rPr>
              <w:t>电话：</w:t>
            </w:r>
          </w:p>
        </w:tc>
      </w:tr>
      <w:tr w14:paraId="5475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2FE6E620">
            <w:pPr>
              <w:snapToGrid w:val="0"/>
              <w:spacing w:line="360" w:lineRule="auto"/>
              <w:rPr>
                <w:rFonts w:ascii="宋体" w:hAnsi="宋体"/>
                <w:color w:val="auto"/>
                <w:szCs w:val="21"/>
              </w:rPr>
            </w:pPr>
            <w:r>
              <w:rPr>
                <w:rFonts w:hint="eastAsia" w:ascii="宋体" w:hAnsi="宋体"/>
                <w:color w:val="auto"/>
                <w:szCs w:val="21"/>
              </w:rPr>
              <w:t>开户银行：</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304B9584">
            <w:pPr>
              <w:snapToGrid w:val="0"/>
              <w:spacing w:line="360" w:lineRule="auto"/>
              <w:rPr>
                <w:rFonts w:ascii="宋体" w:hAnsi="宋体"/>
                <w:color w:val="auto"/>
                <w:szCs w:val="21"/>
              </w:rPr>
            </w:pPr>
            <w:r>
              <w:rPr>
                <w:rFonts w:hint="eastAsia" w:ascii="宋体" w:hAnsi="宋体"/>
                <w:color w:val="auto"/>
                <w:szCs w:val="21"/>
              </w:rPr>
              <w:t>开户银行：</w:t>
            </w:r>
          </w:p>
        </w:tc>
      </w:tr>
      <w:tr w14:paraId="20D5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25729D2A">
            <w:pPr>
              <w:snapToGrid w:val="0"/>
              <w:spacing w:line="360" w:lineRule="auto"/>
              <w:rPr>
                <w:rFonts w:ascii="宋体" w:hAnsi="宋体"/>
                <w:color w:val="auto"/>
                <w:szCs w:val="21"/>
              </w:rPr>
            </w:pPr>
            <w:r>
              <w:rPr>
                <w:rFonts w:hint="eastAsia" w:ascii="宋体" w:hAnsi="宋体"/>
                <w:color w:val="auto"/>
                <w:szCs w:val="21"/>
              </w:rPr>
              <w:t>账号：</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71F80F72">
            <w:pPr>
              <w:snapToGrid w:val="0"/>
              <w:spacing w:line="360" w:lineRule="auto"/>
              <w:rPr>
                <w:rFonts w:ascii="宋体" w:hAnsi="宋体"/>
                <w:color w:val="auto"/>
                <w:szCs w:val="21"/>
              </w:rPr>
            </w:pPr>
            <w:r>
              <w:rPr>
                <w:rFonts w:hint="eastAsia" w:ascii="宋体" w:hAnsi="宋体"/>
                <w:color w:val="auto"/>
                <w:szCs w:val="21"/>
              </w:rPr>
              <w:t>账号：</w:t>
            </w:r>
          </w:p>
        </w:tc>
      </w:tr>
      <w:tr w14:paraId="7DC1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0F2F3BFF">
            <w:pPr>
              <w:snapToGrid w:val="0"/>
              <w:spacing w:line="360" w:lineRule="auto"/>
              <w:rPr>
                <w:rFonts w:ascii="宋体" w:hAnsi="宋体"/>
                <w:color w:val="auto"/>
                <w:szCs w:val="21"/>
              </w:rPr>
            </w:pPr>
            <w:r>
              <w:rPr>
                <w:rFonts w:hint="eastAsia" w:ascii="宋体" w:hAnsi="宋体"/>
                <w:color w:val="auto"/>
                <w:szCs w:val="21"/>
              </w:rPr>
              <w:t>邮政编码：</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69B1C593">
            <w:pPr>
              <w:snapToGrid w:val="0"/>
              <w:spacing w:line="360" w:lineRule="auto"/>
              <w:rPr>
                <w:rFonts w:ascii="宋体" w:hAnsi="宋体"/>
                <w:color w:val="auto"/>
                <w:szCs w:val="21"/>
              </w:rPr>
            </w:pPr>
            <w:r>
              <w:rPr>
                <w:rFonts w:hint="eastAsia" w:ascii="宋体" w:hAnsi="宋体"/>
                <w:color w:val="auto"/>
                <w:szCs w:val="21"/>
              </w:rPr>
              <w:t>邮政编码：</w:t>
            </w:r>
          </w:p>
        </w:tc>
      </w:tr>
    </w:tbl>
    <w:p w14:paraId="613FDB33">
      <w:pPr>
        <w:snapToGrid w:val="0"/>
        <w:spacing w:line="360" w:lineRule="auto"/>
        <w:jc w:val="center"/>
        <w:rPr>
          <w:rFonts w:hint="eastAsia" w:ascii="宋体" w:hAnsi="宋体"/>
          <w:b/>
          <w:color w:val="auto"/>
          <w:szCs w:val="21"/>
        </w:rPr>
      </w:pPr>
      <w:r>
        <w:rPr>
          <w:rFonts w:hint="eastAsia" w:ascii="宋体" w:hAnsi="宋体"/>
          <w:b/>
          <w:color w:val="auto"/>
          <w:szCs w:val="21"/>
        </w:rPr>
        <w:br w:type="page"/>
      </w:r>
      <w:r>
        <w:rPr>
          <w:rFonts w:hint="eastAsia" w:ascii="宋体" w:hAnsi="宋体"/>
          <w:b/>
          <w:color w:val="auto"/>
          <w:szCs w:val="21"/>
        </w:rPr>
        <w:t>合 同 附 件</w:t>
      </w:r>
    </w:p>
    <w:tbl>
      <w:tblPr>
        <w:tblStyle w:val="47"/>
        <w:tblW w:w="0" w:type="auto"/>
        <w:jc w:val="center"/>
        <w:tblLayout w:type="fixed"/>
        <w:tblCellMar>
          <w:top w:w="0" w:type="dxa"/>
          <w:left w:w="108" w:type="dxa"/>
          <w:bottom w:w="0" w:type="dxa"/>
          <w:right w:w="108" w:type="dxa"/>
        </w:tblCellMar>
      </w:tblPr>
      <w:tblGrid>
        <w:gridCol w:w="4248"/>
        <w:gridCol w:w="4860"/>
      </w:tblGrid>
      <w:tr w14:paraId="58E18D6C">
        <w:tblPrEx>
          <w:tblCellMar>
            <w:top w:w="0" w:type="dxa"/>
            <w:left w:w="108" w:type="dxa"/>
            <w:bottom w:w="0" w:type="dxa"/>
            <w:right w:w="108" w:type="dxa"/>
          </w:tblCellMar>
        </w:tblPrEx>
        <w:trPr>
          <w:trHeight w:val="454" w:hRule="atLeast"/>
          <w:jc w:val="center"/>
        </w:trPr>
        <w:tc>
          <w:tcPr>
            <w:tcW w:w="9108" w:type="dxa"/>
            <w:gridSpan w:val="2"/>
            <w:tcBorders>
              <w:top w:val="single" w:color="auto" w:sz="4" w:space="0"/>
              <w:left w:val="single" w:color="auto" w:sz="4" w:space="0"/>
              <w:bottom w:val="nil"/>
              <w:right w:val="single" w:color="auto" w:sz="4" w:space="0"/>
            </w:tcBorders>
            <w:noWrap w:val="0"/>
            <w:vAlign w:val="center"/>
          </w:tcPr>
          <w:p w14:paraId="45E4A17E">
            <w:pPr>
              <w:snapToGrid w:val="0"/>
              <w:spacing w:line="360" w:lineRule="auto"/>
              <w:ind w:firstLine="422" w:firstLineChars="200"/>
              <w:rPr>
                <w:rFonts w:ascii="宋体" w:hAnsi="宋体"/>
                <w:b/>
                <w:color w:val="auto"/>
                <w:szCs w:val="21"/>
              </w:rPr>
            </w:pPr>
            <w:r>
              <w:rPr>
                <w:rFonts w:hint="eastAsia" w:ascii="宋体" w:hAnsi="宋体"/>
                <w:b/>
                <w:color w:val="auto"/>
                <w:szCs w:val="21"/>
              </w:rPr>
              <w:t>1、供应商承诺具体事项：</w:t>
            </w:r>
          </w:p>
        </w:tc>
      </w:tr>
      <w:tr w14:paraId="2FBC27F5">
        <w:tblPrEx>
          <w:tblCellMar>
            <w:top w:w="0" w:type="dxa"/>
            <w:left w:w="108" w:type="dxa"/>
            <w:bottom w:w="0" w:type="dxa"/>
            <w:right w:w="108" w:type="dxa"/>
          </w:tblCellMar>
        </w:tblPrEx>
        <w:trPr>
          <w:trHeight w:val="183" w:hRule="atLeast"/>
          <w:jc w:val="center"/>
        </w:trPr>
        <w:tc>
          <w:tcPr>
            <w:tcW w:w="9108" w:type="dxa"/>
            <w:gridSpan w:val="2"/>
            <w:tcBorders>
              <w:top w:val="nil"/>
              <w:left w:val="single" w:color="auto" w:sz="4" w:space="0"/>
              <w:bottom w:val="nil"/>
              <w:right w:val="single" w:color="auto" w:sz="4" w:space="0"/>
            </w:tcBorders>
            <w:noWrap w:val="0"/>
            <w:vAlign w:val="center"/>
          </w:tcPr>
          <w:p w14:paraId="7BBBA73A">
            <w:pPr>
              <w:snapToGrid w:val="0"/>
              <w:spacing w:line="360" w:lineRule="auto"/>
              <w:rPr>
                <w:rFonts w:ascii="宋体" w:hAnsi="宋体"/>
                <w:b/>
                <w:color w:val="auto"/>
                <w:szCs w:val="21"/>
              </w:rPr>
            </w:pPr>
          </w:p>
        </w:tc>
      </w:tr>
      <w:tr w14:paraId="2B38E050">
        <w:tblPrEx>
          <w:tblCellMar>
            <w:top w:w="0" w:type="dxa"/>
            <w:left w:w="108" w:type="dxa"/>
            <w:bottom w:w="0" w:type="dxa"/>
            <w:right w:w="108" w:type="dxa"/>
          </w:tblCellMar>
        </w:tblPrEx>
        <w:trPr>
          <w:trHeight w:val="454" w:hRule="atLeast"/>
          <w:jc w:val="center"/>
        </w:trPr>
        <w:tc>
          <w:tcPr>
            <w:tcW w:w="9108" w:type="dxa"/>
            <w:gridSpan w:val="2"/>
            <w:tcBorders>
              <w:top w:val="single" w:color="auto" w:sz="4" w:space="0"/>
              <w:left w:val="single" w:color="auto" w:sz="4" w:space="0"/>
              <w:bottom w:val="nil"/>
              <w:right w:val="single" w:color="auto" w:sz="4" w:space="0"/>
            </w:tcBorders>
            <w:noWrap w:val="0"/>
            <w:vAlign w:val="center"/>
          </w:tcPr>
          <w:p w14:paraId="442BA00C">
            <w:pPr>
              <w:snapToGrid w:val="0"/>
              <w:spacing w:line="360" w:lineRule="auto"/>
              <w:ind w:firstLine="422" w:firstLineChars="200"/>
              <w:rPr>
                <w:rFonts w:ascii="宋体" w:hAnsi="宋体"/>
                <w:b/>
                <w:color w:val="auto"/>
                <w:szCs w:val="21"/>
              </w:rPr>
            </w:pPr>
            <w:r>
              <w:rPr>
                <w:rFonts w:hint="eastAsia" w:ascii="宋体" w:hAnsi="宋体"/>
                <w:b/>
                <w:color w:val="auto"/>
                <w:szCs w:val="21"/>
              </w:rPr>
              <w:t>2、售后服务具体事项：</w:t>
            </w:r>
          </w:p>
        </w:tc>
      </w:tr>
      <w:tr w14:paraId="7A4FA7FE">
        <w:tblPrEx>
          <w:tblCellMar>
            <w:top w:w="0" w:type="dxa"/>
            <w:left w:w="108" w:type="dxa"/>
            <w:bottom w:w="0" w:type="dxa"/>
            <w:right w:w="108" w:type="dxa"/>
          </w:tblCellMar>
        </w:tblPrEx>
        <w:trPr>
          <w:trHeight w:val="391" w:hRule="atLeast"/>
          <w:jc w:val="center"/>
        </w:trPr>
        <w:tc>
          <w:tcPr>
            <w:tcW w:w="9108" w:type="dxa"/>
            <w:gridSpan w:val="2"/>
            <w:tcBorders>
              <w:top w:val="nil"/>
              <w:left w:val="single" w:color="auto" w:sz="4" w:space="0"/>
              <w:bottom w:val="single" w:color="auto" w:sz="4" w:space="0"/>
              <w:right w:val="single" w:color="auto" w:sz="4" w:space="0"/>
            </w:tcBorders>
            <w:noWrap w:val="0"/>
            <w:vAlign w:val="center"/>
          </w:tcPr>
          <w:p w14:paraId="02A2F556">
            <w:pPr>
              <w:snapToGrid w:val="0"/>
              <w:spacing w:line="360" w:lineRule="auto"/>
              <w:rPr>
                <w:rFonts w:ascii="宋体" w:hAnsi="宋体"/>
                <w:b/>
                <w:color w:val="auto"/>
                <w:szCs w:val="21"/>
              </w:rPr>
            </w:pPr>
          </w:p>
        </w:tc>
      </w:tr>
      <w:tr w14:paraId="2EECFE77">
        <w:tblPrEx>
          <w:tblCellMar>
            <w:top w:w="0" w:type="dxa"/>
            <w:left w:w="108" w:type="dxa"/>
            <w:bottom w:w="0" w:type="dxa"/>
            <w:right w:w="108" w:type="dxa"/>
          </w:tblCellMar>
        </w:tblPrEx>
        <w:trPr>
          <w:trHeight w:val="442" w:hRule="atLeast"/>
          <w:jc w:val="center"/>
        </w:trPr>
        <w:tc>
          <w:tcPr>
            <w:tcW w:w="9108" w:type="dxa"/>
            <w:gridSpan w:val="2"/>
            <w:tcBorders>
              <w:top w:val="single" w:color="auto" w:sz="4" w:space="0"/>
              <w:left w:val="single" w:color="auto" w:sz="4" w:space="0"/>
              <w:bottom w:val="nil"/>
              <w:right w:val="single" w:color="auto" w:sz="4" w:space="0"/>
            </w:tcBorders>
            <w:noWrap w:val="0"/>
            <w:vAlign w:val="center"/>
          </w:tcPr>
          <w:p w14:paraId="5C7C8C86">
            <w:pPr>
              <w:snapToGrid w:val="0"/>
              <w:spacing w:line="360" w:lineRule="auto"/>
              <w:ind w:firstLine="422" w:firstLineChars="200"/>
              <w:rPr>
                <w:rFonts w:ascii="宋体" w:hAnsi="宋体"/>
                <w:b/>
                <w:color w:val="auto"/>
                <w:szCs w:val="21"/>
              </w:rPr>
            </w:pPr>
            <w:r>
              <w:rPr>
                <w:rFonts w:hint="eastAsia" w:ascii="宋体" w:hAnsi="宋体"/>
                <w:b/>
                <w:color w:val="auto"/>
                <w:szCs w:val="21"/>
              </w:rPr>
              <w:t>3、保修期责任：</w:t>
            </w:r>
          </w:p>
        </w:tc>
      </w:tr>
      <w:tr w14:paraId="3D93E4BB">
        <w:tblPrEx>
          <w:tblCellMar>
            <w:top w:w="0" w:type="dxa"/>
            <w:left w:w="108" w:type="dxa"/>
            <w:bottom w:w="0" w:type="dxa"/>
            <w:right w:w="108" w:type="dxa"/>
          </w:tblCellMar>
        </w:tblPrEx>
        <w:trPr>
          <w:trHeight w:val="467" w:hRule="atLeast"/>
          <w:jc w:val="center"/>
        </w:trPr>
        <w:tc>
          <w:tcPr>
            <w:tcW w:w="9108" w:type="dxa"/>
            <w:gridSpan w:val="2"/>
            <w:tcBorders>
              <w:top w:val="nil"/>
              <w:left w:val="single" w:color="auto" w:sz="4" w:space="0"/>
              <w:bottom w:val="single" w:color="auto" w:sz="4" w:space="0"/>
              <w:right w:val="single" w:color="auto" w:sz="4" w:space="0"/>
            </w:tcBorders>
            <w:noWrap w:val="0"/>
            <w:vAlign w:val="center"/>
          </w:tcPr>
          <w:p w14:paraId="0B25CBE1">
            <w:pPr>
              <w:snapToGrid w:val="0"/>
              <w:spacing w:line="360" w:lineRule="auto"/>
              <w:rPr>
                <w:rFonts w:ascii="宋体" w:hAnsi="宋体"/>
                <w:b/>
                <w:color w:val="auto"/>
                <w:szCs w:val="21"/>
              </w:rPr>
            </w:pPr>
          </w:p>
        </w:tc>
      </w:tr>
      <w:tr w14:paraId="6F28449E">
        <w:tblPrEx>
          <w:tblCellMar>
            <w:top w:w="0" w:type="dxa"/>
            <w:left w:w="108" w:type="dxa"/>
            <w:bottom w:w="0" w:type="dxa"/>
            <w:right w:w="108" w:type="dxa"/>
          </w:tblCellMar>
        </w:tblPrEx>
        <w:trPr>
          <w:trHeight w:val="467" w:hRule="atLeast"/>
          <w:jc w:val="center"/>
        </w:trPr>
        <w:tc>
          <w:tcPr>
            <w:tcW w:w="9108" w:type="dxa"/>
            <w:gridSpan w:val="2"/>
            <w:tcBorders>
              <w:top w:val="nil"/>
              <w:left w:val="single" w:color="auto" w:sz="4" w:space="0"/>
              <w:bottom w:val="single" w:color="auto" w:sz="4" w:space="0"/>
              <w:right w:val="single" w:color="auto" w:sz="4" w:space="0"/>
            </w:tcBorders>
            <w:noWrap w:val="0"/>
            <w:vAlign w:val="center"/>
          </w:tcPr>
          <w:p w14:paraId="755CFD33">
            <w:pPr>
              <w:snapToGrid w:val="0"/>
              <w:spacing w:line="360" w:lineRule="auto"/>
              <w:ind w:firstLine="413" w:firstLineChars="196"/>
              <w:rPr>
                <w:rFonts w:ascii="宋体" w:hAnsi="宋体"/>
                <w:b/>
                <w:color w:val="auto"/>
                <w:szCs w:val="21"/>
              </w:rPr>
            </w:pPr>
            <w:r>
              <w:rPr>
                <w:rFonts w:hint="eastAsia" w:ascii="宋体" w:hAnsi="宋体"/>
                <w:b/>
                <w:color w:val="auto"/>
                <w:szCs w:val="21"/>
              </w:rPr>
              <w:t>4、其他具体事项：</w:t>
            </w:r>
          </w:p>
          <w:p w14:paraId="051A0078">
            <w:pPr>
              <w:snapToGrid w:val="0"/>
              <w:spacing w:line="360" w:lineRule="auto"/>
              <w:rPr>
                <w:rFonts w:ascii="宋体" w:hAnsi="宋体"/>
                <w:b/>
                <w:color w:val="auto"/>
                <w:szCs w:val="21"/>
              </w:rPr>
            </w:pPr>
          </w:p>
        </w:tc>
      </w:tr>
      <w:tr w14:paraId="706F292D">
        <w:tblPrEx>
          <w:tblCellMar>
            <w:top w:w="0" w:type="dxa"/>
            <w:left w:w="108" w:type="dxa"/>
            <w:bottom w:w="0" w:type="dxa"/>
            <w:right w:w="108" w:type="dxa"/>
          </w:tblCellMar>
        </w:tblPrEx>
        <w:trPr>
          <w:trHeight w:val="1549" w:hRule="atLeast"/>
          <w:jc w:val="center"/>
        </w:trPr>
        <w:tc>
          <w:tcPr>
            <w:tcW w:w="4248" w:type="dxa"/>
            <w:tcBorders>
              <w:top w:val="single" w:color="auto" w:sz="4" w:space="0"/>
              <w:left w:val="single" w:color="auto" w:sz="4" w:space="0"/>
              <w:bottom w:val="single" w:color="auto" w:sz="4" w:space="0"/>
              <w:right w:val="single" w:color="auto" w:sz="4" w:space="0"/>
            </w:tcBorders>
            <w:noWrap w:val="0"/>
            <w:vAlign w:val="center"/>
          </w:tcPr>
          <w:p w14:paraId="710E6B41">
            <w:pPr>
              <w:snapToGrid w:val="0"/>
              <w:spacing w:line="360" w:lineRule="auto"/>
              <w:ind w:firstLine="422" w:firstLineChars="200"/>
              <w:rPr>
                <w:rFonts w:ascii="宋体" w:hAnsi="宋体"/>
                <w:b/>
                <w:color w:val="auto"/>
                <w:szCs w:val="21"/>
              </w:rPr>
            </w:pPr>
            <w:r>
              <w:rPr>
                <w:rFonts w:hint="eastAsia" w:ascii="宋体" w:hAnsi="宋体"/>
                <w:b/>
                <w:color w:val="auto"/>
                <w:szCs w:val="21"/>
              </w:rPr>
              <w:t>甲方（章）</w:t>
            </w:r>
          </w:p>
          <w:p w14:paraId="55F47683">
            <w:pPr>
              <w:snapToGrid w:val="0"/>
              <w:spacing w:line="360" w:lineRule="auto"/>
              <w:rPr>
                <w:rFonts w:hint="eastAsia" w:ascii="宋体" w:hAnsi="宋体"/>
                <w:b/>
                <w:color w:val="auto"/>
                <w:szCs w:val="21"/>
              </w:rPr>
            </w:pPr>
          </w:p>
          <w:p w14:paraId="7FF49A8D">
            <w:pPr>
              <w:snapToGrid w:val="0"/>
              <w:spacing w:line="360" w:lineRule="auto"/>
              <w:ind w:firstLine="422" w:firstLineChars="200"/>
              <w:rPr>
                <w:rFonts w:ascii="宋体" w:hAnsi="宋体"/>
                <w:b/>
                <w:color w:val="auto"/>
                <w:szCs w:val="21"/>
              </w:rPr>
            </w:pPr>
            <w:r>
              <w:rPr>
                <w:rFonts w:hint="eastAsia" w:ascii="宋体" w:hAnsi="宋体"/>
                <w:b/>
                <w:color w:val="auto"/>
                <w:szCs w:val="21"/>
              </w:rPr>
              <w:t xml:space="preserve">                 年   月   日 </w:t>
            </w:r>
          </w:p>
        </w:tc>
        <w:tc>
          <w:tcPr>
            <w:tcW w:w="4860" w:type="dxa"/>
            <w:tcBorders>
              <w:top w:val="single" w:color="auto" w:sz="4" w:space="0"/>
              <w:left w:val="single" w:color="auto" w:sz="4" w:space="0"/>
              <w:bottom w:val="single" w:color="auto" w:sz="4" w:space="0"/>
              <w:right w:val="single" w:color="auto" w:sz="4" w:space="0"/>
            </w:tcBorders>
            <w:noWrap w:val="0"/>
            <w:vAlign w:val="center"/>
          </w:tcPr>
          <w:p w14:paraId="62A5AB98">
            <w:pPr>
              <w:snapToGrid w:val="0"/>
              <w:spacing w:line="360" w:lineRule="auto"/>
              <w:ind w:firstLine="422" w:firstLineChars="200"/>
              <w:rPr>
                <w:rFonts w:ascii="宋体" w:hAnsi="宋体"/>
                <w:b/>
                <w:color w:val="auto"/>
                <w:szCs w:val="21"/>
              </w:rPr>
            </w:pPr>
            <w:r>
              <w:rPr>
                <w:rFonts w:hint="eastAsia" w:ascii="宋体" w:hAnsi="宋体"/>
                <w:b/>
                <w:color w:val="auto"/>
                <w:szCs w:val="21"/>
              </w:rPr>
              <w:t>乙方（章）</w:t>
            </w:r>
          </w:p>
          <w:p w14:paraId="00BE8A21">
            <w:pPr>
              <w:snapToGrid w:val="0"/>
              <w:spacing w:line="360" w:lineRule="auto"/>
              <w:ind w:firstLine="422" w:firstLineChars="200"/>
              <w:rPr>
                <w:rFonts w:hint="eastAsia" w:ascii="宋体" w:hAnsi="宋体"/>
                <w:b/>
                <w:color w:val="auto"/>
                <w:szCs w:val="21"/>
              </w:rPr>
            </w:pPr>
          </w:p>
          <w:p w14:paraId="677AE839">
            <w:pPr>
              <w:snapToGrid w:val="0"/>
              <w:spacing w:line="360" w:lineRule="auto"/>
              <w:ind w:firstLine="422" w:firstLineChars="200"/>
              <w:rPr>
                <w:rFonts w:ascii="宋体" w:hAnsi="宋体"/>
                <w:b/>
                <w:color w:val="auto"/>
                <w:szCs w:val="21"/>
              </w:rPr>
            </w:pPr>
            <w:r>
              <w:rPr>
                <w:rFonts w:hint="eastAsia" w:ascii="宋体" w:hAnsi="宋体"/>
                <w:b/>
                <w:color w:val="auto"/>
                <w:szCs w:val="21"/>
              </w:rPr>
              <w:t xml:space="preserve">                年   月   日</w:t>
            </w:r>
          </w:p>
        </w:tc>
      </w:tr>
    </w:tbl>
    <w:p w14:paraId="6D1D9346">
      <w:pPr>
        <w:snapToGrid w:val="0"/>
        <w:spacing w:line="360" w:lineRule="auto"/>
        <w:rPr>
          <w:rFonts w:hint="eastAsia" w:ascii="宋体" w:hAnsi="宋体"/>
          <w:color w:val="auto"/>
          <w:szCs w:val="21"/>
        </w:rPr>
      </w:pPr>
      <w:r>
        <w:rPr>
          <w:rFonts w:hint="eastAsia" w:ascii="宋体" w:hAnsi="宋体"/>
          <w:color w:val="auto"/>
          <w:szCs w:val="21"/>
        </w:rPr>
        <w:t xml:space="preserve">  注：售后服务事项填不下时可另加附页</w:t>
      </w:r>
    </w:p>
    <w:p w14:paraId="1942B6EA">
      <w:pPr>
        <w:snapToGrid w:val="0"/>
        <w:spacing w:line="360" w:lineRule="auto"/>
        <w:jc w:val="left"/>
        <w:rPr>
          <w:rFonts w:ascii="宋体" w:hAnsi="宋体"/>
          <w:color w:val="auto"/>
          <w:szCs w:val="21"/>
        </w:rPr>
      </w:pPr>
    </w:p>
    <w:p w14:paraId="0EC6608B">
      <w:pPr>
        <w:snapToGrid w:val="0"/>
        <w:spacing w:line="360" w:lineRule="auto"/>
        <w:jc w:val="center"/>
        <w:rPr>
          <w:rFonts w:ascii="宋体" w:hAnsi="宋体"/>
          <w:color w:val="auto"/>
          <w:szCs w:val="21"/>
        </w:rPr>
      </w:pPr>
    </w:p>
    <w:p w14:paraId="6A8DB616">
      <w:pPr>
        <w:snapToGrid w:val="0"/>
        <w:spacing w:line="360" w:lineRule="auto"/>
        <w:jc w:val="left"/>
        <w:rPr>
          <w:rFonts w:ascii="宋体" w:hAnsi="宋体"/>
          <w:color w:val="auto"/>
          <w:szCs w:val="21"/>
        </w:rPr>
      </w:pPr>
    </w:p>
    <w:p w14:paraId="28C2C01A">
      <w:pPr>
        <w:snapToGrid w:val="0"/>
        <w:spacing w:line="360" w:lineRule="auto"/>
        <w:jc w:val="left"/>
        <w:rPr>
          <w:rFonts w:ascii="宋体" w:hAnsi="宋体"/>
          <w:color w:val="auto"/>
          <w:szCs w:val="21"/>
        </w:rPr>
      </w:pPr>
    </w:p>
    <w:p w14:paraId="3C80474C">
      <w:pPr>
        <w:snapToGrid w:val="0"/>
        <w:spacing w:line="360" w:lineRule="auto"/>
        <w:ind w:firstLine="643" w:firstLineChars="200"/>
        <w:rPr>
          <w:rFonts w:hint="eastAsia" w:ascii="宋体" w:hAnsi="宋体"/>
          <w:color w:val="auto"/>
          <w:szCs w:val="21"/>
        </w:rPr>
      </w:pPr>
      <w:r>
        <w:rPr>
          <w:rFonts w:ascii="宋体" w:hAnsi="宋体"/>
          <w:b/>
          <w:color w:val="auto"/>
          <w:sz w:val="32"/>
          <w:szCs w:val="32"/>
        </w:rPr>
        <w:br w:type="page"/>
      </w:r>
    </w:p>
    <w:bookmarkEnd w:id="142"/>
    <w:p w14:paraId="671E900D">
      <w:pPr>
        <w:snapToGrid w:val="0"/>
        <w:spacing w:line="360" w:lineRule="auto"/>
        <w:jc w:val="center"/>
        <w:rPr>
          <w:rFonts w:ascii="宋体" w:hAnsi="宋体"/>
          <w:bCs/>
          <w:color w:val="auto"/>
          <w:sz w:val="32"/>
          <w:szCs w:val="32"/>
        </w:rPr>
      </w:pPr>
    </w:p>
    <w:p w14:paraId="56CE27C5">
      <w:pPr>
        <w:snapToGrid w:val="0"/>
        <w:spacing w:line="360" w:lineRule="auto"/>
        <w:jc w:val="center"/>
        <w:rPr>
          <w:rFonts w:ascii="宋体" w:hAnsi="宋体"/>
          <w:bCs/>
          <w:color w:val="auto"/>
          <w:sz w:val="32"/>
          <w:szCs w:val="32"/>
        </w:rPr>
      </w:pPr>
    </w:p>
    <w:p w14:paraId="030062E8">
      <w:pPr>
        <w:snapToGrid w:val="0"/>
        <w:spacing w:line="360" w:lineRule="auto"/>
        <w:jc w:val="center"/>
        <w:rPr>
          <w:rFonts w:ascii="宋体" w:hAnsi="宋体"/>
          <w:bCs/>
          <w:color w:val="auto"/>
          <w:sz w:val="32"/>
          <w:szCs w:val="32"/>
        </w:rPr>
      </w:pPr>
    </w:p>
    <w:p w14:paraId="2E279A2D">
      <w:pPr>
        <w:snapToGrid w:val="0"/>
        <w:spacing w:line="360" w:lineRule="auto"/>
        <w:jc w:val="center"/>
        <w:rPr>
          <w:rFonts w:ascii="宋体" w:hAnsi="宋体"/>
          <w:bCs/>
          <w:color w:val="auto"/>
          <w:sz w:val="32"/>
          <w:szCs w:val="32"/>
        </w:rPr>
      </w:pPr>
    </w:p>
    <w:p w14:paraId="6DE24DAB">
      <w:pPr>
        <w:snapToGrid w:val="0"/>
        <w:spacing w:line="360" w:lineRule="auto"/>
        <w:jc w:val="center"/>
        <w:rPr>
          <w:rFonts w:ascii="宋体" w:hAnsi="宋体"/>
          <w:bCs/>
          <w:color w:val="auto"/>
          <w:sz w:val="32"/>
          <w:szCs w:val="32"/>
        </w:rPr>
      </w:pPr>
    </w:p>
    <w:p w14:paraId="32BB7108">
      <w:pPr>
        <w:snapToGrid w:val="0"/>
        <w:spacing w:line="360" w:lineRule="auto"/>
        <w:jc w:val="center"/>
        <w:rPr>
          <w:rFonts w:ascii="宋体" w:hAnsi="宋体"/>
          <w:bCs/>
          <w:color w:val="auto"/>
          <w:sz w:val="32"/>
          <w:szCs w:val="32"/>
        </w:rPr>
      </w:pPr>
    </w:p>
    <w:p w14:paraId="33722CEA">
      <w:pPr>
        <w:snapToGrid w:val="0"/>
        <w:spacing w:line="360" w:lineRule="auto"/>
        <w:jc w:val="center"/>
        <w:rPr>
          <w:rFonts w:ascii="宋体" w:hAnsi="宋体"/>
          <w:bCs/>
          <w:color w:val="auto"/>
          <w:sz w:val="32"/>
          <w:szCs w:val="32"/>
        </w:rPr>
      </w:pPr>
    </w:p>
    <w:p w14:paraId="7E14A58F">
      <w:pPr>
        <w:snapToGrid w:val="0"/>
        <w:spacing w:line="360" w:lineRule="auto"/>
        <w:jc w:val="center"/>
        <w:rPr>
          <w:rFonts w:ascii="宋体" w:hAnsi="宋体"/>
          <w:bCs/>
          <w:color w:val="auto"/>
          <w:sz w:val="32"/>
          <w:szCs w:val="32"/>
        </w:rPr>
      </w:pPr>
    </w:p>
    <w:p w14:paraId="38291184">
      <w:pPr>
        <w:snapToGrid w:val="0"/>
        <w:spacing w:line="360" w:lineRule="auto"/>
        <w:jc w:val="center"/>
        <w:rPr>
          <w:rFonts w:ascii="宋体" w:hAnsi="宋体"/>
          <w:bCs/>
          <w:color w:val="auto"/>
          <w:sz w:val="32"/>
          <w:szCs w:val="32"/>
        </w:rPr>
      </w:pPr>
    </w:p>
    <w:p w14:paraId="2F5F1829">
      <w:pPr>
        <w:snapToGrid w:val="0"/>
        <w:spacing w:line="360" w:lineRule="auto"/>
        <w:jc w:val="center"/>
        <w:rPr>
          <w:rFonts w:ascii="宋体" w:hAnsi="宋体"/>
          <w:bCs/>
          <w:color w:val="auto"/>
          <w:sz w:val="32"/>
          <w:szCs w:val="32"/>
        </w:rPr>
      </w:pPr>
    </w:p>
    <w:p w14:paraId="3F92995D">
      <w:pPr>
        <w:pStyle w:val="2"/>
        <w:spacing w:line="360" w:lineRule="auto"/>
        <w:rPr>
          <w:rFonts w:ascii="宋体" w:hAnsi="宋体"/>
          <w:color w:val="auto"/>
        </w:rPr>
      </w:pPr>
      <w:bookmarkStart w:id="143" w:name="_Toc74320805"/>
      <w:r>
        <w:rPr>
          <w:rFonts w:hint="eastAsia" w:ascii="宋体" w:hAnsi="宋体"/>
          <w:color w:val="auto"/>
        </w:rPr>
        <w:t>第六章  投标文件格式</w:t>
      </w:r>
      <w:bookmarkEnd w:id="143"/>
    </w:p>
    <w:p w14:paraId="621906BD">
      <w:pPr>
        <w:snapToGrid w:val="0"/>
        <w:spacing w:before="50" w:after="50" w:line="360" w:lineRule="auto"/>
        <w:rPr>
          <w:rFonts w:ascii="宋体" w:hAnsi="宋体"/>
          <w:color w:val="auto"/>
          <w:sz w:val="32"/>
          <w:szCs w:val="20"/>
        </w:rPr>
      </w:pPr>
    </w:p>
    <w:p w14:paraId="6ED0FD12">
      <w:pPr>
        <w:snapToGrid w:val="0"/>
        <w:spacing w:before="50" w:after="50" w:line="360" w:lineRule="auto"/>
        <w:rPr>
          <w:rFonts w:ascii="宋体" w:hAnsi="宋体"/>
          <w:color w:val="auto"/>
          <w:sz w:val="32"/>
          <w:szCs w:val="20"/>
        </w:rPr>
      </w:pPr>
    </w:p>
    <w:p w14:paraId="248F216A">
      <w:pPr>
        <w:snapToGrid w:val="0"/>
        <w:spacing w:before="50" w:after="50" w:line="360" w:lineRule="auto"/>
        <w:rPr>
          <w:rFonts w:ascii="宋体" w:hAnsi="宋体"/>
          <w:color w:val="auto"/>
          <w:sz w:val="32"/>
          <w:szCs w:val="20"/>
        </w:rPr>
      </w:pPr>
    </w:p>
    <w:p w14:paraId="732E3E15">
      <w:pPr>
        <w:snapToGrid w:val="0"/>
        <w:spacing w:before="50" w:after="50" w:line="360" w:lineRule="auto"/>
        <w:rPr>
          <w:rFonts w:ascii="宋体" w:hAnsi="宋体"/>
          <w:color w:val="auto"/>
          <w:sz w:val="32"/>
          <w:szCs w:val="20"/>
        </w:rPr>
      </w:pPr>
    </w:p>
    <w:p w14:paraId="34F344CE">
      <w:pPr>
        <w:snapToGrid w:val="0"/>
        <w:spacing w:before="50" w:after="50" w:line="360" w:lineRule="auto"/>
        <w:rPr>
          <w:rFonts w:ascii="宋体" w:hAnsi="宋体"/>
          <w:color w:val="auto"/>
          <w:sz w:val="32"/>
          <w:szCs w:val="20"/>
        </w:rPr>
      </w:pPr>
    </w:p>
    <w:p w14:paraId="46F47053">
      <w:pPr>
        <w:snapToGrid w:val="0"/>
        <w:spacing w:before="50" w:after="50" w:line="360" w:lineRule="auto"/>
        <w:rPr>
          <w:rFonts w:ascii="宋体" w:hAnsi="宋体"/>
          <w:color w:val="auto"/>
          <w:sz w:val="32"/>
          <w:szCs w:val="20"/>
        </w:rPr>
      </w:pPr>
    </w:p>
    <w:p w14:paraId="0F66BA4A">
      <w:pPr>
        <w:snapToGrid w:val="0"/>
        <w:spacing w:before="50" w:after="50" w:line="360" w:lineRule="auto"/>
        <w:rPr>
          <w:rFonts w:ascii="宋体" w:hAnsi="宋体"/>
          <w:color w:val="auto"/>
          <w:sz w:val="32"/>
          <w:szCs w:val="20"/>
        </w:rPr>
      </w:pPr>
    </w:p>
    <w:p w14:paraId="032760D6">
      <w:pPr>
        <w:snapToGrid w:val="0"/>
        <w:spacing w:before="50" w:after="50" w:line="360" w:lineRule="auto"/>
        <w:rPr>
          <w:rFonts w:ascii="宋体" w:hAnsi="宋体"/>
          <w:color w:val="auto"/>
          <w:sz w:val="32"/>
          <w:szCs w:val="20"/>
        </w:rPr>
      </w:pPr>
    </w:p>
    <w:p w14:paraId="35222D26">
      <w:pPr>
        <w:snapToGrid w:val="0"/>
        <w:spacing w:before="120" w:beforeLines="50" w:after="50" w:line="360" w:lineRule="auto"/>
        <w:rPr>
          <w:rFonts w:ascii="宋体" w:hAnsi="宋体"/>
          <w:color w:val="auto"/>
        </w:rPr>
      </w:pPr>
    </w:p>
    <w:p w14:paraId="0AE803C5">
      <w:pPr>
        <w:spacing w:line="360" w:lineRule="auto"/>
        <w:rPr>
          <w:rFonts w:hint="eastAsia" w:ascii="宋体" w:hAnsi="宋体"/>
          <w:color w:val="auto"/>
          <w:szCs w:val="21"/>
        </w:rPr>
      </w:pPr>
      <w:bookmarkStart w:id="144" w:name="_Toc254970698"/>
      <w:bookmarkStart w:id="145" w:name="_Toc254970557"/>
      <w:r>
        <w:rPr>
          <w:rFonts w:hint="eastAsia" w:ascii="宋体" w:hAnsi="宋体"/>
          <w:color w:val="auto"/>
          <w:szCs w:val="21"/>
        </w:rPr>
        <w:t xml:space="preserve"> </w:t>
      </w:r>
    </w:p>
    <w:p w14:paraId="77A799C1">
      <w:pPr>
        <w:spacing w:line="360" w:lineRule="auto"/>
        <w:rPr>
          <w:rFonts w:ascii="宋体" w:hAnsi="宋体"/>
          <w:b/>
          <w:color w:val="auto"/>
          <w:sz w:val="28"/>
          <w:szCs w:val="28"/>
        </w:rPr>
      </w:pPr>
      <w:bookmarkStart w:id="146" w:name="_Toc19686837"/>
      <w:r>
        <w:rPr>
          <w:rFonts w:hint="eastAsia" w:ascii="宋体" w:hAnsi="宋体"/>
          <w:b/>
          <w:color w:val="auto"/>
          <w:sz w:val="28"/>
          <w:szCs w:val="28"/>
        </w:rPr>
        <w:t>一、资格证明文件格式</w:t>
      </w:r>
      <w:bookmarkEnd w:id="144"/>
      <w:bookmarkEnd w:id="145"/>
      <w:bookmarkEnd w:id="146"/>
    </w:p>
    <w:p w14:paraId="3DEA2629">
      <w:pPr>
        <w:snapToGrid w:val="0"/>
        <w:spacing w:before="120" w:beforeLines="50" w:after="50" w:line="360" w:lineRule="auto"/>
        <w:ind w:left="142"/>
        <w:jc w:val="left"/>
        <w:rPr>
          <w:rFonts w:ascii="宋体" w:hAnsi="宋体"/>
          <w:color w:val="auto"/>
          <w:sz w:val="22"/>
          <w:szCs w:val="18"/>
        </w:rPr>
      </w:pPr>
      <w:r>
        <w:rPr>
          <w:rFonts w:hint="eastAsia" w:ascii="宋体" w:hAnsi="宋体"/>
          <w:b/>
          <w:color w:val="auto"/>
          <w:sz w:val="22"/>
          <w:szCs w:val="22"/>
        </w:rPr>
        <w:t xml:space="preserve">资格证明封面格式： </w:t>
      </w:r>
    </w:p>
    <w:p w14:paraId="741AE9A6">
      <w:pPr>
        <w:snapToGrid w:val="0"/>
        <w:spacing w:before="120" w:beforeLines="50" w:after="50" w:line="360" w:lineRule="auto"/>
        <w:rPr>
          <w:rFonts w:ascii="宋体" w:hAnsi="宋体"/>
          <w:bCs/>
          <w:color w:val="auto"/>
          <w:sz w:val="32"/>
          <w:szCs w:val="20"/>
        </w:rPr>
      </w:pPr>
    </w:p>
    <w:p w14:paraId="5B77EA24">
      <w:pPr>
        <w:snapToGrid w:val="0"/>
        <w:spacing w:before="120" w:beforeLines="50" w:after="50" w:line="360" w:lineRule="auto"/>
        <w:jc w:val="center"/>
        <w:rPr>
          <w:rFonts w:ascii="宋体" w:hAnsi="宋体"/>
          <w:bCs/>
          <w:color w:val="auto"/>
          <w:sz w:val="24"/>
          <w:szCs w:val="20"/>
        </w:rPr>
      </w:pPr>
    </w:p>
    <w:p w14:paraId="081C817F">
      <w:pPr>
        <w:snapToGrid w:val="0"/>
        <w:spacing w:before="120" w:beforeLines="50" w:after="50" w:line="360" w:lineRule="auto"/>
        <w:jc w:val="center"/>
        <w:rPr>
          <w:rFonts w:ascii="宋体" w:hAnsi="宋体" w:cs="微软雅黑"/>
          <w:color w:val="auto"/>
          <w:sz w:val="84"/>
          <w:szCs w:val="84"/>
        </w:rPr>
      </w:pPr>
      <w:r>
        <w:rPr>
          <w:rFonts w:hint="eastAsia" w:ascii="宋体" w:hAnsi="宋体" w:cs="微软雅黑"/>
          <w:color w:val="auto"/>
          <w:sz w:val="84"/>
          <w:szCs w:val="84"/>
        </w:rPr>
        <w:t>投  标  文  件</w:t>
      </w:r>
    </w:p>
    <w:p w14:paraId="2673DE8C">
      <w:pPr>
        <w:snapToGrid w:val="0"/>
        <w:spacing w:before="120" w:beforeLines="50" w:after="50" w:line="360" w:lineRule="auto"/>
        <w:jc w:val="center"/>
        <w:rPr>
          <w:rFonts w:ascii="宋体" w:hAnsi="宋体"/>
          <w:bCs/>
          <w:color w:val="auto"/>
          <w:sz w:val="32"/>
          <w:szCs w:val="32"/>
        </w:rPr>
      </w:pPr>
    </w:p>
    <w:p w14:paraId="35139F9E">
      <w:pPr>
        <w:snapToGrid w:val="0"/>
        <w:spacing w:before="120" w:beforeLines="50" w:after="50" w:line="360" w:lineRule="auto"/>
        <w:jc w:val="center"/>
        <w:rPr>
          <w:rFonts w:ascii="宋体" w:hAnsi="宋体" w:cs="微软雅黑"/>
          <w:color w:val="auto"/>
          <w:sz w:val="32"/>
          <w:szCs w:val="32"/>
        </w:rPr>
      </w:pPr>
      <w:r>
        <w:rPr>
          <w:rFonts w:hint="eastAsia" w:ascii="宋体" w:hAnsi="宋体" w:cs="微软雅黑"/>
          <w:color w:val="auto"/>
          <w:sz w:val="32"/>
          <w:szCs w:val="32"/>
        </w:rPr>
        <w:t>资格证明文件</w:t>
      </w:r>
    </w:p>
    <w:p w14:paraId="5F28CF01">
      <w:pPr>
        <w:snapToGrid w:val="0"/>
        <w:spacing w:before="120" w:beforeLines="50" w:after="50" w:line="360" w:lineRule="auto"/>
        <w:rPr>
          <w:rFonts w:ascii="宋体" w:hAnsi="宋体"/>
          <w:bCs/>
          <w:color w:val="auto"/>
          <w:sz w:val="24"/>
          <w:szCs w:val="20"/>
        </w:rPr>
      </w:pPr>
    </w:p>
    <w:p w14:paraId="63020A79">
      <w:pPr>
        <w:snapToGrid w:val="0"/>
        <w:spacing w:before="120" w:beforeLines="50" w:after="50" w:line="360" w:lineRule="auto"/>
        <w:rPr>
          <w:rFonts w:ascii="宋体" w:hAnsi="宋体"/>
          <w:bCs/>
          <w:color w:val="auto"/>
          <w:sz w:val="24"/>
          <w:szCs w:val="20"/>
        </w:rPr>
      </w:pPr>
    </w:p>
    <w:p w14:paraId="1B85BCB7">
      <w:pPr>
        <w:snapToGrid w:val="0"/>
        <w:spacing w:before="120" w:beforeLines="50" w:after="50" w:line="360" w:lineRule="auto"/>
        <w:rPr>
          <w:rFonts w:ascii="宋体" w:hAnsi="宋体"/>
          <w:bCs/>
          <w:color w:val="auto"/>
          <w:sz w:val="24"/>
          <w:szCs w:val="20"/>
        </w:rPr>
      </w:pPr>
    </w:p>
    <w:p w14:paraId="1A88451D">
      <w:pPr>
        <w:snapToGrid w:val="0"/>
        <w:spacing w:before="120" w:beforeLines="50" w:after="50" w:line="360" w:lineRule="auto"/>
        <w:rPr>
          <w:rFonts w:ascii="宋体" w:hAnsi="宋体"/>
          <w:bCs/>
          <w:color w:val="auto"/>
          <w:sz w:val="24"/>
          <w:szCs w:val="20"/>
        </w:rPr>
      </w:pPr>
    </w:p>
    <w:p w14:paraId="48D16E8A">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 xml:space="preserve">项目名称： </w:t>
      </w:r>
    </w:p>
    <w:p w14:paraId="063BFDB3">
      <w:pPr>
        <w:snapToGrid w:val="0"/>
        <w:spacing w:before="120" w:beforeLines="50" w:after="50" w:line="360" w:lineRule="auto"/>
        <w:ind w:firstLine="360" w:firstLineChars="150"/>
        <w:rPr>
          <w:rFonts w:ascii="宋体" w:hAnsi="宋体"/>
          <w:bCs/>
          <w:color w:val="auto"/>
          <w:sz w:val="24"/>
        </w:rPr>
      </w:pPr>
    </w:p>
    <w:p w14:paraId="62039F97">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 xml:space="preserve">项目编号： </w:t>
      </w:r>
    </w:p>
    <w:p w14:paraId="1E5732EF">
      <w:pPr>
        <w:snapToGrid w:val="0"/>
        <w:spacing w:before="120" w:beforeLines="50" w:after="50" w:line="360" w:lineRule="auto"/>
        <w:rPr>
          <w:rFonts w:ascii="宋体" w:hAnsi="宋体"/>
          <w:bCs/>
          <w:color w:val="auto"/>
          <w:sz w:val="24"/>
        </w:rPr>
      </w:pPr>
    </w:p>
    <w:p w14:paraId="221F62B9">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供应商名称：</w:t>
      </w:r>
    </w:p>
    <w:p w14:paraId="537FFBB4">
      <w:pPr>
        <w:snapToGrid w:val="0"/>
        <w:spacing w:before="120" w:beforeLines="50" w:after="50" w:line="360" w:lineRule="auto"/>
        <w:ind w:firstLine="360" w:firstLineChars="150"/>
        <w:rPr>
          <w:rFonts w:ascii="宋体" w:hAnsi="宋体"/>
          <w:bCs/>
          <w:color w:val="auto"/>
          <w:sz w:val="24"/>
        </w:rPr>
      </w:pPr>
    </w:p>
    <w:p w14:paraId="64C95DAD">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供应商地址：</w:t>
      </w:r>
    </w:p>
    <w:p w14:paraId="11DA0CFB">
      <w:pPr>
        <w:pStyle w:val="7"/>
        <w:snapToGrid w:val="0"/>
        <w:spacing w:before="50" w:after="50" w:line="360" w:lineRule="auto"/>
        <w:ind w:firstLine="960" w:firstLineChars="400"/>
        <w:rPr>
          <w:rFonts w:ascii="宋体" w:hAnsi="宋体"/>
          <w:bCs/>
          <w:color w:val="auto"/>
          <w:sz w:val="24"/>
          <w:szCs w:val="24"/>
        </w:rPr>
      </w:pPr>
    </w:p>
    <w:p w14:paraId="78BE2581">
      <w:pPr>
        <w:snapToGrid w:val="0"/>
        <w:spacing w:before="120" w:beforeLines="50" w:after="50" w:line="360" w:lineRule="auto"/>
        <w:rPr>
          <w:rFonts w:ascii="宋体" w:hAnsi="宋体"/>
          <w:color w:val="auto"/>
          <w:sz w:val="30"/>
          <w:szCs w:val="20"/>
        </w:rPr>
      </w:pPr>
      <w:r>
        <w:rPr>
          <w:rFonts w:hint="eastAsia" w:ascii="宋体" w:hAnsi="宋体"/>
          <w:color w:val="auto"/>
          <w:sz w:val="24"/>
        </w:rPr>
        <w:t xml:space="preserve">                                   年  月  日</w:t>
      </w:r>
    </w:p>
    <w:p w14:paraId="4C647CB6">
      <w:pPr>
        <w:snapToGrid w:val="0"/>
        <w:spacing w:before="120" w:beforeLines="50" w:after="50" w:line="360" w:lineRule="auto"/>
        <w:jc w:val="left"/>
        <w:rPr>
          <w:rFonts w:ascii="宋体" w:hAnsi="宋体"/>
          <w:color w:val="auto"/>
          <w:sz w:val="24"/>
          <w:szCs w:val="20"/>
        </w:rPr>
      </w:pPr>
      <w:r>
        <w:rPr>
          <w:rFonts w:hint="eastAsia" w:ascii="宋体" w:hAnsi="宋体"/>
          <w:b/>
          <w:color w:val="auto"/>
          <w:sz w:val="24"/>
        </w:rPr>
        <w:br w:type="page"/>
      </w:r>
      <w:r>
        <w:rPr>
          <w:rFonts w:hint="eastAsia" w:ascii="宋体" w:hAnsi="宋体"/>
          <w:b/>
          <w:color w:val="auto"/>
          <w:sz w:val="22"/>
          <w:szCs w:val="22"/>
        </w:rPr>
        <w:t>资格证明</w:t>
      </w:r>
      <w:r>
        <w:rPr>
          <w:rFonts w:hint="eastAsia" w:ascii="宋体" w:hAnsi="宋体"/>
          <w:b/>
          <w:bCs/>
          <w:color w:val="auto"/>
          <w:sz w:val="22"/>
          <w:szCs w:val="22"/>
        </w:rPr>
        <w:t>文件目录</w:t>
      </w:r>
    </w:p>
    <w:p w14:paraId="5C960CB4">
      <w:pPr>
        <w:snapToGrid w:val="0"/>
        <w:spacing w:before="50" w:after="120" w:afterLines="50" w:line="360" w:lineRule="auto"/>
        <w:jc w:val="left"/>
        <w:rPr>
          <w:rFonts w:ascii="宋体" w:hAnsi="宋体"/>
          <w:b/>
          <w:color w:val="auto"/>
          <w:sz w:val="24"/>
        </w:rPr>
      </w:pPr>
      <w:r>
        <w:rPr>
          <w:rFonts w:hint="eastAsia" w:ascii="宋体" w:hAnsi="宋体"/>
          <w:color w:val="auto"/>
          <w:szCs w:val="21"/>
        </w:rPr>
        <w:t>根据招标文件规定及供应商提供的材料自行编写目录。</w:t>
      </w:r>
    </w:p>
    <w:p w14:paraId="63DD3141">
      <w:pPr>
        <w:autoSpaceDE w:val="0"/>
        <w:autoSpaceDN w:val="0"/>
        <w:adjustRightInd w:val="0"/>
        <w:spacing w:line="360" w:lineRule="auto"/>
        <w:jc w:val="left"/>
        <w:rPr>
          <w:rFonts w:hint="eastAsia" w:ascii="宋体" w:hAnsi="宋体"/>
          <w:b/>
          <w:color w:val="auto"/>
          <w:sz w:val="28"/>
          <w:szCs w:val="28"/>
        </w:rPr>
      </w:pPr>
      <w:r>
        <w:rPr>
          <w:rFonts w:hint="eastAsia" w:ascii="宋体" w:hAnsi="宋体"/>
          <w:b/>
          <w:color w:val="auto"/>
          <w:sz w:val="24"/>
        </w:rPr>
        <w:br w:type="page"/>
      </w:r>
      <w:r>
        <w:rPr>
          <w:rFonts w:hint="eastAsia" w:ascii="宋体" w:hAnsi="宋体"/>
          <w:b/>
          <w:color w:val="auto"/>
          <w:sz w:val="24"/>
        </w:rPr>
        <w:t>1.</w:t>
      </w:r>
      <w:r>
        <w:rPr>
          <w:rFonts w:hint="eastAsia" w:ascii="宋体" w:hAnsi="宋体" w:cs="黑体"/>
          <w:b/>
          <w:bCs/>
          <w:color w:val="auto"/>
          <w:sz w:val="28"/>
          <w:szCs w:val="28"/>
        </w:rPr>
        <w:t>政府采购供应商资格信用承诺函（格式）</w:t>
      </w:r>
    </w:p>
    <w:p w14:paraId="2A5E0268">
      <w:pPr>
        <w:autoSpaceDE w:val="0"/>
        <w:autoSpaceDN w:val="0"/>
        <w:adjustRightInd w:val="0"/>
        <w:spacing w:line="360" w:lineRule="auto"/>
        <w:jc w:val="center"/>
        <w:rPr>
          <w:rFonts w:hint="eastAsia" w:ascii="宋体" w:hAnsi="宋体" w:cs="黑体"/>
          <w:b/>
          <w:bCs/>
          <w:color w:val="auto"/>
          <w:sz w:val="32"/>
          <w:szCs w:val="32"/>
        </w:rPr>
      </w:pPr>
    </w:p>
    <w:p w14:paraId="7CDF78CE">
      <w:pPr>
        <w:autoSpaceDE w:val="0"/>
        <w:autoSpaceDN w:val="0"/>
        <w:adjustRightInd w:val="0"/>
        <w:spacing w:line="360" w:lineRule="auto"/>
        <w:jc w:val="center"/>
        <w:rPr>
          <w:rFonts w:ascii="宋体" w:hAnsi="宋体" w:cs="黑体"/>
          <w:b/>
          <w:bCs/>
          <w:color w:val="auto"/>
          <w:sz w:val="32"/>
          <w:szCs w:val="32"/>
        </w:rPr>
      </w:pPr>
      <w:r>
        <w:rPr>
          <w:rFonts w:hint="eastAsia" w:ascii="宋体" w:hAnsi="宋体" w:cs="黑体"/>
          <w:b/>
          <w:bCs/>
          <w:color w:val="auto"/>
          <w:sz w:val="32"/>
          <w:szCs w:val="32"/>
        </w:rPr>
        <w:t>政府采购供应商资格信用承诺函</w:t>
      </w:r>
    </w:p>
    <w:p w14:paraId="694ED89F">
      <w:pPr>
        <w:pStyle w:val="37"/>
        <w:spacing w:line="360" w:lineRule="auto"/>
        <w:rPr>
          <w:rFonts w:ascii="宋体" w:hAnsi="宋体"/>
          <w:color w:val="auto"/>
          <w:sz w:val="32"/>
          <w:szCs w:val="32"/>
        </w:rPr>
      </w:pPr>
    </w:p>
    <w:p w14:paraId="5B066D6B">
      <w:pPr>
        <w:autoSpaceDE w:val="0"/>
        <w:autoSpaceDN w:val="0"/>
        <w:adjustRightInd w:val="0"/>
        <w:spacing w:line="360" w:lineRule="auto"/>
        <w:rPr>
          <w:rFonts w:ascii="宋体" w:hAnsi="宋体"/>
          <w:color w:val="auto"/>
          <w:spacing w:val="6"/>
          <w:szCs w:val="21"/>
        </w:rPr>
      </w:pPr>
      <w:r>
        <w:rPr>
          <w:rFonts w:hint="eastAsia" w:ascii="宋体" w:hAnsi="宋体"/>
          <w:color w:val="auto"/>
          <w:spacing w:val="6"/>
          <w:szCs w:val="21"/>
        </w:rPr>
        <w:t>致：</w:t>
      </w:r>
      <w:r>
        <w:rPr>
          <w:rFonts w:hint="eastAsia" w:ascii="宋体" w:hAnsi="宋体"/>
          <w:color w:val="auto"/>
          <w:spacing w:val="6"/>
          <w:szCs w:val="21"/>
          <w:u w:val="single"/>
        </w:rPr>
        <w:t>（采购人名称）、（代理机构名称）</w:t>
      </w:r>
      <w:r>
        <w:rPr>
          <w:rFonts w:hint="eastAsia" w:ascii="宋体" w:hAnsi="宋体"/>
          <w:color w:val="auto"/>
          <w:spacing w:val="6"/>
          <w:szCs w:val="21"/>
        </w:rPr>
        <w:t>：</w:t>
      </w:r>
    </w:p>
    <w:p w14:paraId="3B8F85EF">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我方自愿参加</w:t>
      </w:r>
      <w:r>
        <w:rPr>
          <w:rFonts w:hint="eastAsia" w:ascii="宋体" w:hAnsi="宋体"/>
          <w:color w:val="auto"/>
          <w:spacing w:val="6"/>
          <w:szCs w:val="21"/>
          <w:u w:val="single"/>
        </w:rPr>
        <w:t xml:space="preserve">                     </w:t>
      </w:r>
      <w:r>
        <w:rPr>
          <w:rFonts w:hint="eastAsia" w:ascii="宋体" w:hAnsi="宋体"/>
          <w:color w:val="auto"/>
          <w:spacing w:val="6"/>
          <w:szCs w:val="21"/>
        </w:rPr>
        <w:t>项目（项目编号：</w:t>
      </w:r>
      <w:r>
        <w:rPr>
          <w:rFonts w:hint="eastAsia" w:ascii="宋体" w:hAnsi="宋体"/>
          <w:color w:val="auto"/>
          <w:spacing w:val="6"/>
          <w:szCs w:val="21"/>
          <w:u w:val="single"/>
        </w:rPr>
        <w:t xml:space="preserve">                </w:t>
      </w:r>
      <w:r>
        <w:rPr>
          <w:rFonts w:hint="eastAsia" w:ascii="宋体" w:hAnsi="宋体"/>
          <w:color w:val="auto"/>
          <w:spacing w:val="6"/>
          <w:szCs w:val="21"/>
        </w:rPr>
        <w:t>）的政府采购活动，并郑重承诺我方符合《中华人民共和国政府采购法》第二十二条规定的条件：</w:t>
      </w:r>
    </w:p>
    <w:p w14:paraId="27564805">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 xml:space="preserve">（一）具有独立承担民事责任的能力； </w:t>
      </w:r>
    </w:p>
    <w:p w14:paraId="6629D2D8">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 xml:space="preserve">（二）具有良好的商业信誉和健全的财务会计制度； </w:t>
      </w:r>
    </w:p>
    <w:p w14:paraId="1B83DF6C">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 xml:space="preserve">（三）具有履行合同所必需的设备和专业技术能力； </w:t>
      </w:r>
    </w:p>
    <w:p w14:paraId="37F195C3">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 xml:space="preserve">（四）有依法缴纳税收和社会保障资金的良好记录； </w:t>
      </w:r>
    </w:p>
    <w:p w14:paraId="4B596405">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 xml:space="preserve">（五）参加政府采购活动前三年内，在经营活动中没有重大违法记录； </w:t>
      </w:r>
    </w:p>
    <w:p w14:paraId="292A9125">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 xml:space="preserve">（六）法律、行政法规规定的其他条件。 </w:t>
      </w:r>
    </w:p>
    <w:p w14:paraId="12934AFB">
      <w:pPr>
        <w:autoSpaceDE w:val="0"/>
        <w:autoSpaceDN w:val="0"/>
        <w:adjustRightInd w:val="0"/>
        <w:spacing w:line="360" w:lineRule="auto"/>
        <w:ind w:firstLine="640"/>
        <w:rPr>
          <w:rFonts w:ascii="宋体" w:hAnsi="宋体"/>
          <w:color w:val="auto"/>
          <w:spacing w:val="6"/>
          <w:szCs w:val="21"/>
        </w:rPr>
      </w:pPr>
      <w:r>
        <w:rPr>
          <w:rFonts w:hint="eastAsia" w:ascii="宋体" w:hAnsi="宋体"/>
          <w:color w:val="auto"/>
          <w:spacing w:val="6"/>
          <w:szCs w:val="21"/>
        </w:rPr>
        <w:t>我方保证上述承诺事项的真实性，如有弄虚作假或其他违法违规行为，愿意承担一切法律责任，并承担因此所造成的一切损失。</w:t>
      </w:r>
    </w:p>
    <w:p w14:paraId="20C9C752">
      <w:pPr>
        <w:autoSpaceDE w:val="0"/>
        <w:autoSpaceDN w:val="0"/>
        <w:adjustRightInd w:val="0"/>
        <w:spacing w:line="360" w:lineRule="auto"/>
        <w:ind w:firstLine="640"/>
        <w:rPr>
          <w:rFonts w:ascii="宋体" w:hAnsi="宋体"/>
          <w:color w:val="auto"/>
          <w:spacing w:val="6"/>
          <w:szCs w:val="21"/>
        </w:rPr>
      </w:pPr>
      <w:r>
        <w:rPr>
          <w:rFonts w:hint="eastAsia" w:ascii="宋体" w:hAnsi="宋体"/>
          <w:b/>
          <w:bCs/>
          <w:color w:val="auto"/>
          <w:spacing w:val="6"/>
          <w:szCs w:val="21"/>
        </w:rPr>
        <w:t>特此声明！</w:t>
      </w:r>
    </w:p>
    <w:p w14:paraId="58D148FB">
      <w:pPr>
        <w:pStyle w:val="46"/>
        <w:spacing w:line="360" w:lineRule="auto"/>
        <w:ind w:firstLine="444"/>
        <w:rPr>
          <w:rFonts w:ascii="宋体" w:hAnsi="宋体"/>
          <w:color w:val="auto"/>
          <w:spacing w:val="6"/>
          <w:szCs w:val="21"/>
        </w:rPr>
      </w:pPr>
    </w:p>
    <w:p w14:paraId="1959586A">
      <w:pPr>
        <w:spacing w:line="360" w:lineRule="auto"/>
        <w:rPr>
          <w:rFonts w:ascii="宋体" w:hAnsi="宋体"/>
          <w:color w:val="auto"/>
          <w:szCs w:val="21"/>
        </w:rPr>
      </w:pPr>
    </w:p>
    <w:p w14:paraId="27F013BB">
      <w:pPr>
        <w:spacing w:line="360" w:lineRule="auto"/>
        <w:jc w:val="center"/>
        <w:rPr>
          <w:rFonts w:ascii="宋体" w:hAnsi="宋体"/>
          <w:color w:val="auto"/>
          <w:szCs w:val="21"/>
          <w:u w:val="single"/>
        </w:rPr>
      </w:pPr>
      <w:r>
        <w:rPr>
          <w:rFonts w:hint="eastAsia" w:ascii="宋体" w:hAnsi="宋体"/>
          <w:color w:val="auto"/>
          <w:szCs w:val="21"/>
        </w:rPr>
        <w:t>法定代表人或委托代理人</w:t>
      </w:r>
      <w:r>
        <w:rPr>
          <w:rFonts w:hint="eastAsia" w:ascii="宋体" w:hAnsi="宋体"/>
          <w:b/>
          <w:bCs/>
          <w:color w:val="auto"/>
          <w:szCs w:val="21"/>
        </w:rPr>
        <w:t>（</w:t>
      </w:r>
      <w:r>
        <w:rPr>
          <w:rFonts w:hint="eastAsia" w:ascii="宋体" w:hAnsi="宋体"/>
          <w:color w:val="auto"/>
          <w:szCs w:val="21"/>
        </w:rPr>
        <w:t>签字或签章</w:t>
      </w:r>
      <w:r>
        <w:rPr>
          <w:rFonts w:hint="eastAsia" w:ascii="宋体" w:hAnsi="宋体"/>
          <w:b/>
          <w:bCs/>
          <w:color w:val="auto"/>
          <w:szCs w:val="21"/>
        </w:rPr>
        <w:t>）：</w:t>
      </w:r>
    </w:p>
    <w:p w14:paraId="5DE670BB">
      <w:pPr>
        <w:spacing w:line="360" w:lineRule="auto"/>
        <w:jc w:val="center"/>
        <w:rPr>
          <w:rFonts w:ascii="宋体" w:hAnsi="宋体"/>
          <w:color w:val="auto"/>
          <w:szCs w:val="21"/>
          <w:u w:val="single"/>
        </w:rPr>
      </w:pPr>
    </w:p>
    <w:p w14:paraId="60BE0912">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63DAAEAD">
      <w:pPr>
        <w:pStyle w:val="24"/>
        <w:spacing w:line="360" w:lineRule="auto"/>
        <w:rPr>
          <w:rFonts w:hAnsi="宋体"/>
          <w:color w:val="auto"/>
          <w:sz w:val="21"/>
        </w:rPr>
      </w:pPr>
    </w:p>
    <w:p w14:paraId="5C8B97AF">
      <w:pPr>
        <w:pStyle w:val="24"/>
        <w:spacing w:line="360" w:lineRule="auto"/>
        <w:jc w:val="right"/>
        <w:rPr>
          <w:rFonts w:hAnsi="宋体"/>
          <w:b/>
          <w:color w:val="auto"/>
          <w:sz w:val="30"/>
          <w:szCs w:val="30"/>
        </w:rPr>
      </w:pPr>
      <w:r>
        <w:rPr>
          <w:rFonts w:hint="eastAsia" w:hAnsi="宋体"/>
          <w:color w:val="auto"/>
          <w:sz w:val="21"/>
        </w:rPr>
        <w:t>日期：    年   月  日</w:t>
      </w:r>
    </w:p>
    <w:p w14:paraId="71C6585A">
      <w:pPr>
        <w:pStyle w:val="24"/>
        <w:spacing w:line="360" w:lineRule="auto"/>
        <w:ind w:firstLine="602" w:firstLineChars="200"/>
        <w:rPr>
          <w:rFonts w:hAnsi="宋体"/>
          <w:b/>
          <w:color w:val="auto"/>
          <w:sz w:val="30"/>
          <w:szCs w:val="30"/>
        </w:rPr>
      </w:pPr>
    </w:p>
    <w:p w14:paraId="3E232026">
      <w:pPr>
        <w:pStyle w:val="24"/>
        <w:spacing w:line="360" w:lineRule="auto"/>
        <w:ind w:firstLine="422" w:firstLineChars="200"/>
        <w:rPr>
          <w:rFonts w:hAnsi="宋体"/>
          <w:color w:val="auto"/>
          <w:sz w:val="21"/>
        </w:rPr>
      </w:pPr>
      <w:r>
        <w:rPr>
          <w:rFonts w:hint="eastAsia" w:hAnsi="宋体"/>
          <w:b/>
          <w:color w:val="auto"/>
          <w:sz w:val="21"/>
        </w:rPr>
        <w:t>注：此项材料必须</w:t>
      </w:r>
      <w:r>
        <w:rPr>
          <w:rFonts w:hint="eastAsia" w:hAnsi="宋体"/>
          <w:b/>
          <w:bCs/>
          <w:color w:val="auto"/>
          <w:sz w:val="21"/>
        </w:rPr>
        <w:t>以PDF格式上传。</w:t>
      </w:r>
    </w:p>
    <w:p w14:paraId="2A59600A">
      <w:pPr>
        <w:tabs>
          <w:tab w:val="left" w:pos="1815"/>
        </w:tabs>
        <w:snapToGrid w:val="0"/>
        <w:spacing w:before="120" w:beforeLines="50" w:after="50" w:line="360" w:lineRule="auto"/>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2.</w:t>
      </w:r>
      <w:r>
        <w:rPr>
          <w:rFonts w:hint="eastAsia" w:ascii="宋体" w:hAnsi="宋体"/>
          <w:color w:val="auto"/>
        </w:rPr>
        <w:t xml:space="preserve"> </w:t>
      </w:r>
      <w:r>
        <w:rPr>
          <w:rFonts w:hint="eastAsia" w:ascii="宋体" w:hAnsi="宋体"/>
          <w:b/>
          <w:color w:val="auto"/>
          <w:sz w:val="28"/>
          <w:szCs w:val="28"/>
        </w:rPr>
        <w:t>供应商直接控股股东信息表</w:t>
      </w:r>
    </w:p>
    <w:p w14:paraId="7E6EC870">
      <w:pPr>
        <w:snapToGrid w:val="0"/>
        <w:spacing w:before="50" w:after="120" w:afterLines="50" w:line="360" w:lineRule="auto"/>
        <w:jc w:val="center"/>
        <w:rPr>
          <w:rFonts w:ascii="宋体" w:hAnsi="宋体"/>
          <w:b/>
          <w:color w:val="auto"/>
          <w:sz w:val="28"/>
          <w:szCs w:val="28"/>
        </w:rPr>
      </w:pPr>
    </w:p>
    <w:p w14:paraId="31299C8C">
      <w:pPr>
        <w:snapToGrid w:val="0"/>
        <w:spacing w:before="50" w:after="120" w:afterLines="50" w:line="360" w:lineRule="auto"/>
        <w:jc w:val="center"/>
        <w:rPr>
          <w:rFonts w:ascii="宋体" w:hAnsi="宋体"/>
          <w:b/>
          <w:color w:val="auto"/>
          <w:sz w:val="32"/>
          <w:szCs w:val="32"/>
        </w:rPr>
      </w:pPr>
      <w:r>
        <w:rPr>
          <w:rFonts w:hint="eastAsia" w:ascii="宋体" w:hAnsi="宋体"/>
          <w:b/>
          <w:color w:val="auto"/>
          <w:sz w:val="32"/>
          <w:szCs w:val="32"/>
        </w:rPr>
        <w:t>供应商直接控股股东信息表</w:t>
      </w:r>
    </w:p>
    <w:tbl>
      <w:tblPr>
        <w:tblStyle w:val="47"/>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B6DA24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DD4FC1">
            <w:pPr>
              <w:spacing w:line="360" w:lineRule="auto"/>
              <w:jc w:val="center"/>
              <w:rPr>
                <w:rFonts w:ascii="宋体" w:hAnsi="宋体" w:cs="宋体"/>
                <w:color w:val="auto"/>
                <w:kern w:val="0"/>
                <w:szCs w:val="21"/>
              </w:rPr>
            </w:pPr>
            <w:r>
              <w:rPr>
                <w:rFonts w:hint="eastAsia" w:ascii="宋体" w:hAnsi="宋体" w:cs="宋体"/>
                <w:b/>
                <w:bCs/>
                <w:color w:val="auto"/>
                <w:kern w:val="0"/>
                <w:szCs w:val="21"/>
              </w:rPr>
              <w:t>序号</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F94900">
            <w:pPr>
              <w:spacing w:line="360" w:lineRule="auto"/>
              <w:jc w:val="center"/>
              <w:rPr>
                <w:rFonts w:ascii="宋体" w:hAnsi="宋体" w:cs="宋体"/>
                <w:color w:val="auto"/>
                <w:kern w:val="0"/>
                <w:szCs w:val="21"/>
              </w:rPr>
            </w:pPr>
            <w:r>
              <w:rPr>
                <w:rFonts w:hint="eastAsia" w:ascii="宋体" w:hAnsi="宋体" w:cs="宋体"/>
                <w:b/>
                <w:bCs/>
                <w:color w:val="auto"/>
                <w:kern w:val="0"/>
                <w:szCs w:val="21"/>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2283B3">
            <w:pPr>
              <w:spacing w:line="360" w:lineRule="auto"/>
              <w:jc w:val="center"/>
              <w:rPr>
                <w:rFonts w:ascii="宋体" w:hAnsi="宋体" w:cs="宋体"/>
                <w:color w:val="auto"/>
                <w:kern w:val="0"/>
                <w:szCs w:val="21"/>
              </w:rPr>
            </w:pPr>
            <w:r>
              <w:rPr>
                <w:rFonts w:hint="eastAsia" w:ascii="宋体" w:hAnsi="宋体" w:cs="宋体"/>
                <w:b/>
                <w:bCs/>
                <w:color w:val="auto"/>
                <w:kern w:val="0"/>
                <w:szCs w:val="21"/>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E31EFB">
            <w:pPr>
              <w:spacing w:line="360" w:lineRule="auto"/>
              <w:jc w:val="center"/>
              <w:rPr>
                <w:rFonts w:ascii="宋体" w:hAnsi="宋体" w:cs="宋体"/>
                <w:color w:val="auto"/>
                <w:kern w:val="0"/>
                <w:szCs w:val="21"/>
              </w:rPr>
            </w:pPr>
            <w:r>
              <w:rPr>
                <w:rFonts w:hint="eastAsia" w:ascii="宋体" w:hAnsi="宋体" w:cs="宋体"/>
                <w:b/>
                <w:bCs/>
                <w:color w:val="auto"/>
                <w:kern w:val="0"/>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17779">
            <w:pPr>
              <w:spacing w:line="360" w:lineRule="auto"/>
              <w:jc w:val="center"/>
              <w:rPr>
                <w:rFonts w:ascii="宋体" w:hAnsi="宋体" w:cs="宋体"/>
                <w:color w:val="auto"/>
                <w:kern w:val="0"/>
                <w:szCs w:val="21"/>
              </w:rPr>
            </w:pPr>
            <w:r>
              <w:rPr>
                <w:rFonts w:hint="eastAsia" w:ascii="宋体" w:hAnsi="宋体" w:cs="宋体"/>
                <w:b/>
                <w:bCs/>
                <w:color w:val="auto"/>
                <w:kern w:val="0"/>
                <w:szCs w:val="21"/>
              </w:rPr>
              <w:t>备注</w:t>
            </w:r>
          </w:p>
        </w:tc>
      </w:tr>
      <w:tr w14:paraId="134AE78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64138D">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1</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888846">
            <w:pPr>
              <w:spacing w:line="360" w:lineRule="auto"/>
              <w:jc w:val="center"/>
              <w:rPr>
                <w:rFonts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34C1F1">
            <w:pPr>
              <w:spacing w:line="360" w:lineRule="auto"/>
              <w:jc w:val="center"/>
              <w:rPr>
                <w:rFonts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8040EE">
            <w:pPr>
              <w:spacing w:line="360" w:lineRule="auto"/>
              <w:jc w:val="center"/>
              <w:rPr>
                <w:rFonts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C24191">
            <w:pPr>
              <w:spacing w:line="360" w:lineRule="auto"/>
              <w:jc w:val="center"/>
              <w:rPr>
                <w:rFonts w:ascii="宋体" w:hAnsi="宋体" w:cs="宋体"/>
                <w:color w:val="auto"/>
                <w:kern w:val="0"/>
                <w:szCs w:val="21"/>
              </w:rPr>
            </w:pPr>
          </w:p>
        </w:tc>
      </w:tr>
      <w:tr w14:paraId="084679C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7D2BBF">
            <w:pPr>
              <w:spacing w:line="360" w:lineRule="auto"/>
              <w:jc w:val="center"/>
              <w:rPr>
                <w:rFonts w:ascii="宋体" w:hAnsi="宋体" w:cs="宋体"/>
                <w:color w:val="auto"/>
                <w:kern w:val="0"/>
                <w:szCs w:val="21"/>
              </w:rPr>
            </w:pPr>
            <w:r>
              <w:rPr>
                <w:rFonts w:hint="eastAsia" w:ascii="宋体" w:hAnsi="宋体" w:cs="宋体"/>
                <w:color w:val="auto"/>
                <w:kern w:val="0"/>
                <w:szCs w:val="21"/>
              </w:rPr>
              <w:t>2</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B1BAD6">
            <w:pPr>
              <w:spacing w:line="360" w:lineRule="auto"/>
              <w:jc w:val="center"/>
              <w:rPr>
                <w:rFonts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4F2373">
            <w:pPr>
              <w:spacing w:line="360" w:lineRule="auto"/>
              <w:jc w:val="center"/>
              <w:rPr>
                <w:rFonts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2877FD8">
            <w:pPr>
              <w:spacing w:line="360" w:lineRule="auto"/>
              <w:jc w:val="center"/>
              <w:rPr>
                <w:rFonts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ADE5F2">
            <w:pPr>
              <w:spacing w:line="360" w:lineRule="auto"/>
              <w:jc w:val="center"/>
              <w:rPr>
                <w:rFonts w:ascii="宋体" w:hAnsi="宋体" w:cs="宋体"/>
                <w:color w:val="auto"/>
                <w:kern w:val="0"/>
                <w:szCs w:val="21"/>
              </w:rPr>
            </w:pPr>
          </w:p>
        </w:tc>
      </w:tr>
      <w:tr w14:paraId="55C1385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9B27AA">
            <w:pPr>
              <w:spacing w:line="360" w:lineRule="auto"/>
              <w:jc w:val="center"/>
              <w:rPr>
                <w:rFonts w:ascii="宋体" w:hAnsi="宋体" w:cs="宋体"/>
                <w:color w:val="auto"/>
                <w:kern w:val="0"/>
                <w:szCs w:val="21"/>
              </w:rPr>
            </w:pPr>
            <w:r>
              <w:rPr>
                <w:rFonts w:hint="eastAsia" w:ascii="宋体" w:hAnsi="宋体" w:cs="宋体"/>
                <w:color w:val="auto"/>
                <w:kern w:val="0"/>
                <w:szCs w:val="21"/>
              </w:rPr>
              <w:t>3</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E9ECA7">
            <w:pPr>
              <w:spacing w:line="360" w:lineRule="auto"/>
              <w:jc w:val="center"/>
              <w:rPr>
                <w:rFonts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AC37CC">
            <w:pPr>
              <w:spacing w:line="360" w:lineRule="auto"/>
              <w:jc w:val="center"/>
              <w:rPr>
                <w:rFonts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7C51AC">
            <w:pPr>
              <w:spacing w:line="360" w:lineRule="auto"/>
              <w:jc w:val="center"/>
              <w:rPr>
                <w:rFonts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4651F6">
            <w:pPr>
              <w:spacing w:line="360" w:lineRule="auto"/>
              <w:jc w:val="center"/>
              <w:rPr>
                <w:rFonts w:ascii="宋体" w:hAnsi="宋体" w:cs="宋体"/>
                <w:color w:val="auto"/>
                <w:kern w:val="0"/>
                <w:szCs w:val="21"/>
              </w:rPr>
            </w:pPr>
          </w:p>
        </w:tc>
      </w:tr>
      <w:tr w14:paraId="7152C69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55804D">
            <w:pPr>
              <w:spacing w:line="360" w:lineRule="auto"/>
              <w:jc w:val="center"/>
              <w:rPr>
                <w:rFonts w:ascii="宋体" w:hAnsi="宋体" w:cs="宋体"/>
                <w:color w:val="auto"/>
                <w:kern w:val="0"/>
                <w:szCs w:val="21"/>
              </w:rPr>
            </w:pPr>
            <w:r>
              <w:rPr>
                <w:rFonts w:hint="eastAsia" w:ascii="宋体" w:hAnsi="宋体" w:cs="宋体"/>
                <w:color w:val="auto"/>
                <w:kern w:val="0"/>
                <w:szCs w:val="21"/>
              </w:rPr>
              <w:t>……</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3C3F60">
            <w:pPr>
              <w:spacing w:line="360" w:lineRule="auto"/>
              <w:jc w:val="center"/>
              <w:rPr>
                <w:rFonts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9D8850">
            <w:pPr>
              <w:spacing w:line="360" w:lineRule="auto"/>
              <w:jc w:val="center"/>
              <w:rPr>
                <w:rFonts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42A6E7">
            <w:pPr>
              <w:spacing w:line="360" w:lineRule="auto"/>
              <w:jc w:val="center"/>
              <w:rPr>
                <w:rFonts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A6476D">
            <w:pPr>
              <w:spacing w:line="360" w:lineRule="auto"/>
              <w:jc w:val="center"/>
              <w:rPr>
                <w:rFonts w:ascii="宋体" w:hAnsi="宋体" w:cs="宋体"/>
                <w:color w:val="auto"/>
                <w:kern w:val="0"/>
                <w:szCs w:val="21"/>
              </w:rPr>
            </w:pPr>
          </w:p>
        </w:tc>
      </w:tr>
    </w:tbl>
    <w:p w14:paraId="226DE5CF">
      <w:pPr>
        <w:snapToGrid w:val="0"/>
        <w:spacing w:line="360" w:lineRule="auto"/>
        <w:jc w:val="left"/>
        <w:rPr>
          <w:rFonts w:ascii="宋体" w:hAnsi="宋体"/>
          <w:color w:val="auto"/>
          <w:szCs w:val="21"/>
        </w:rPr>
      </w:pPr>
      <w:r>
        <w:rPr>
          <w:rFonts w:hint="eastAsia" w:ascii="宋体" w:hAnsi="宋体"/>
          <w:color w:val="auto"/>
          <w:szCs w:val="21"/>
        </w:rPr>
        <w:t>注：</w:t>
      </w:r>
    </w:p>
    <w:p w14:paraId="21F0A129">
      <w:pPr>
        <w:snapToGrid w:val="0"/>
        <w:spacing w:line="360" w:lineRule="auto"/>
        <w:jc w:val="left"/>
        <w:rPr>
          <w:rFonts w:ascii="宋体" w:hAnsi="宋体"/>
          <w:color w:val="auto"/>
          <w:szCs w:val="21"/>
        </w:rPr>
      </w:pPr>
      <w:r>
        <w:rPr>
          <w:rFonts w:hint="eastAsia" w:ascii="宋体" w:hAnsi="宋体"/>
          <w:color w:val="auto"/>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D2EA4F9">
      <w:pPr>
        <w:snapToGrid w:val="0"/>
        <w:spacing w:line="360" w:lineRule="auto"/>
        <w:jc w:val="left"/>
        <w:rPr>
          <w:rFonts w:ascii="宋体" w:hAnsi="宋体"/>
          <w:color w:val="auto"/>
          <w:szCs w:val="21"/>
        </w:rPr>
      </w:pPr>
      <w:r>
        <w:rPr>
          <w:rFonts w:hint="eastAsia" w:ascii="宋体" w:hAnsi="宋体"/>
          <w:color w:val="auto"/>
          <w:szCs w:val="21"/>
        </w:rPr>
        <w:t>2.本表所指的控股关系仅限于直接控股关系，不包括间接的控股关系。公司实际控制人与公司之间的关系不属于本表所指的直接控股关系。</w:t>
      </w:r>
    </w:p>
    <w:p w14:paraId="534F69BE">
      <w:pPr>
        <w:snapToGrid w:val="0"/>
        <w:spacing w:line="360" w:lineRule="auto"/>
        <w:jc w:val="left"/>
        <w:rPr>
          <w:rFonts w:ascii="宋体" w:hAnsi="宋体"/>
          <w:color w:val="auto"/>
          <w:szCs w:val="21"/>
        </w:rPr>
      </w:pPr>
      <w:r>
        <w:rPr>
          <w:rFonts w:hint="eastAsia" w:ascii="宋体" w:hAnsi="宋体"/>
          <w:color w:val="auto"/>
          <w:szCs w:val="21"/>
        </w:rPr>
        <w:t>3.供应商不存在直接控股股东的，则填“无”。</w:t>
      </w:r>
    </w:p>
    <w:p w14:paraId="51A7A8DA">
      <w:pPr>
        <w:snapToGrid w:val="0"/>
        <w:spacing w:line="360" w:lineRule="auto"/>
        <w:jc w:val="left"/>
        <w:rPr>
          <w:rFonts w:ascii="宋体" w:hAnsi="宋体"/>
          <w:color w:val="auto"/>
          <w:szCs w:val="21"/>
        </w:rPr>
      </w:pPr>
    </w:p>
    <w:p w14:paraId="611654EC">
      <w:pPr>
        <w:snapToGrid w:val="0"/>
        <w:spacing w:line="360" w:lineRule="auto"/>
        <w:jc w:val="left"/>
        <w:rPr>
          <w:rFonts w:ascii="宋体" w:hAnsi="宋体"/>
          <w:color w:val="auto"/>
          <w:szCs w:val="21"/>
        </w:rPr>
      </w:pPr>
    </w:p>
    <w:p w14:paraId="197BA523">
      <w:pPr>
        <w:snapToGrid w:val="0"/>
        <w:spacing w:line="360" w:lineRule="auto"/>
        <w:jc w:val="left"/>
        <w:rPr>
          <w:rFonts w:ascii="宋体" w:hAnsi="宋体"/>
          <w:color w:val="auto"/>
          <w:szCs w:val="21"/>
        </w:rPr>
      </w:pPr>
    </w:p>
    <w:p w14:paraId="5CE4B054">
      <w:pPr>
        <w:snapToGrid w:val="0"/>
        <w:spacing w:line="360" w:lineRule="auto"/>
        <w:jc w:val="left"/>
        <w:rPr>
          <w:rFonts w:ascii="宋体" w:hAnsi="宋体"/>
          <w:color w:val="auto"/>
          <w:szCs w:val="21"/>
        </w:rPr>
      </w:pPr>
    </w:p>
    <w:p w14:paraId="50B2C1DB">
      <w:pPr>
        <w:snapToGrid w:val="0"/>
        <w:spacing w:line="360" w:lineRule="auto"/>
        <w:jc w:val="left"/>
        <w:rPr>
          <w:rFonts w:ascii="宋体" w:hAnsi="宋体"/>
          <w:color w:val="auto"/>
          <w:szCs w:val="21"/>
        </w:rPr>
      </w:pPr>
    </w:p>
    <w:p w14:paraId="56256DBD">
      <w:pPr>
        <w:spacing w:line="360" w:lineRule="auto"/>
        <w:jc w:val="center"/>
        <w:rPr>
          <w:rFonts w:ascii="宋体" w:hAnsi="宋体"/>
          <w:color w:val="auto"/>
          <w:szCs w:val="21"/>
          <w:u w:val="single"/>
        </w:rPr>
      </w:pPr>
      <w:r>
        <w:rPr>
          <w:rFonts w:hint="eastAsia" w:ascii="宋体" w:hAnsi="宋体"/>
          <w:color w:val="auto"/>
          <w:szCs w:val="21"/>
        </w:rPr>
        <w:t>法定代表人或委托代理人</w:t>
      </w:r>
      <w:r>
        <w:rPr>
          <w:rFonts w:hint="eastAsia" w:ascii="宋体" w:hAnsi="宋体"/>
          <w:b/>
          <w:bCs/>
          <w:color w:val="auto"/>
          <w:szCs w:val="21"/>
        </w:rPr>
        <w:t>（</w:t>
      </w:r>
      <w:r>
        <w:rPr>
          <w:rFonts w:hint="eastAsia" w:ascii="宋体" w:hAnsi="宋体"/>
          <w:color w:val="auto"/>
          <w:szCs w:val="21"/>
        </w:rPr>
        <w:t>签字或签章</w:t>
      </w:r>
      <w:r>
        <w:rPr>
          <w:rFonts w:hint="eastAsia" w:ascii="宋体" w:hAnsi="宋体"/>
          <w:b/>
          <w:bCs/>
          <w:color w:val="auto"/>
          <w:szCs w:val="21"/>
        </w:rPr>
        <w:t>）：</w:t>
      </w:r>
    </w:p>
    <w:p w14:paraId="33AF7D4F">
      <w:pPr>
        <w:spacing w:line="360" w:lineRule="auto"/>
        <w:jc w:val="center"/>
        <w:rPr>
          <w:rFonts w:ascii="宋体" w:hAnsi="宋体"/>
          <w:color w:val="auto"/>
          <w:szCs w:val="21"/>
          <w:u w:val="single"/>
        </w:rPr>
      </w:pPr>
    </w:p>
    <w:p w14:paraId="28340443">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66D7709E">
      <w:pPr>
        <w:pStyle w:val="24"/>
        <w:spacing w:line="360" w:lineRule="auto"/>
        <w:rPr>
          <w:rFonts w:hAnsi="宋体"/>
          <w:color w:val="auto"/>
          <w:sz w:val="21"/>
        </w:rPr>
      </w:pPr>
    </w:p>
    <w:p w14:paraId="12D8E3F0">
      <w:pPr>
        <w:pStyle w:val="24"/>
        <w:spacing w:line="360" w:lineRule="auto"/>
        <w:jc w:val="right"/>
        <w:rPr>
          <w:rFonts w:hAnsi="宋体"/>
          <w:b/>
          <w:color w:val="auto"/>
          <w:sz w:val="30"/>
          <w:szCs w:val="30"/>
        </w:rPr>
      </w:pPr>
      <w:r>
        <w:rPr>
          <w:rFonts w:hint="eastAsia" w:hAnsi="宋体"/>
          <w:color w:val="auto"/>
          <w:sz w:val="21"/>
        </w:rPr>
        <w:t>日期：    年   月  日</w:t>
      </w:r>
    </w:p>
    <w:p w14:paraId="328668B5">
      <w:pPr>
        <w:snapToGrid w:val="0"/>
        <w:spacing w:before="120" w:beforeLines="50" w:after="50" w:line="360" w:lineRule="auto"/>
        <w:ind w:right="480"/>
        <w:rPr>
          <w:rFonts w:hint="eastAsia" w:ascii="宋体" w:hAnsi="宋体"/>
          <w:b/>
          <w:color w:val="auto"/>
          <w:sz w:val="32"/>
          <w:szCs w:val="32"/>
        </w:rPr>
      </w:pPr>
      <w:r>
        <w:rPr>
          <w:rFonts w:ascii="宋体" w:hAnsi="宋体"/>
          <w:b/>
          <w:color w:val="auto"/>
          <w:sz w:val="32"/>
          <w:szCs w:val="32"/>
        </w:rPr>
        <w:br w:type="page"/>
      </w:r>
      <w:r>
        <w:rPr>
          <w:rFonts w:hint="eastAsia" w:ascii="宋体" w:hAnsi="宋体"/>
          <w:b/>
          <w:color w:val="auto"/>
          <w:sz w:val="32"/>
          <w:szCs w:val="32"/>
        </w:rPr>
        <w:t>3. 供应商直接管理关系信息表</w:t>
      </w:r>
    </w:p>
    <w:p w14:paraId="6726D163">
      <w:pPr>
        <w:snapToGrid w:val="0"/>
        <w:spacing w:line="360" w:lineRule="auto"/>
        <w:jc w:val="center"/>
        <w:rPr>
          <w:rFonts w:ascii="宋体" w:hAnsi="宋体"/>
          <w:color w:val="auto"/>
          <w:sz w:val="32"/>
          <w:szCs w:val="32"/>
        </w:rPr>
      </w:pPr>
      <w:r>
        <w:rPr>
          <w:rFonts w:hint="eastAsia" w:ascii="宋体" w:hAnsi="宋体"/>
          <w:b/>
          <w:color w:val="auto"/>
          <w:sz w:val="32"/>
          <w:szCs w:val="32"/>
        </w:rPr>
        <w:t>供应商直接管理关系信息表</w:t>
      </w:r>
    </w:p>
    <w:tbl>
      <w:tblPr>
        <w:tblStyle w:val="47"/>
        <w:tblW w:w="0" w:type="auto"/>
        <w:tblInd w:w="0" w:type="dxa"/>
        <w:tblLayout w:type="fixed"/>
        <w:tblCellMar>
          <w:top w:w="0" w:type="dxa"/>
          <w:left w:w="0" w:type="dxa"/>
          <w:bottom w:w="0" w:type="dxa"/>
          <w:right w:w="0" w:type="dxa"/>
        </w:tblCellMar>
      </w:tblPr>
      <w:tblGrid>
        <w:gridCol w:w="1005"/>
        <w:gridCol w:w="2659"/>
        <w:gridCol w:w="3924"/>
        <w:gridCol w:w="2064"/>
      </w:tblGrid>
      <w:tr w14:paraId="3659A07C">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B67181">
            <w:pPr>
              <w:spacing w:line="360" w:lineRule="auto"/>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265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AAA1AFA">
            <w:pPr>
              <w:spacing w:line="360" w:lineRule="auto"/>
              <w:jc w:val="center"/>
              <w:rPr>
                <w:rFonts w:ascii="宋体" w:hAnsi="宋体" w:cs="宋体"/>
                <w:b/>
                <w:bCs/>
                <w:color w:val="auto"/>
                <w:kern w:val="0"/>
                <w:szCs w:val="21"/>
              </w:rPr>
            </w:pPr>
            <w:r>
              <w:rPr>
                <w:rFonts w:hint="eastAsia" w:ascii="宋体" w:hAnsi="宋体" w:cs="宋体"/>
                <w:b/>
                <w:bCs/>
                <w:color w:val="auto"/>
                <w:kern w:val="0"/>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26499CC">
            <w:pPr>
              <w:spacing w:line="360" w:lineRule="auto"/>
              <w:jc w:val="center"/>
              <w:rPr>
                <w:rFonts w:ascii="宋体" w:hAnsi="宋体" w:cs="宋体"/>
                <w:b/>
                <w:bCs/>
                <w:color w:val="auto"/>
                <w:kern w:val="0"/>
                <w:szCs w:val="21"/>
              </w:rPr>
            </w:pPr>
            <w:r>
              <w:rPr>
                <w:rFonts w:hint="eastAsia" w:ascii="宋体" w:hAnsi="宋体" w:cs="宋体"/>
                <w:b/>
                <w:bCs/>
                <w:color w:val="auto"/>
                <w:kern w:val="0"/>
                <w:szCs w:val="21"/>
              </w:rPr>
              <w:t>统一社会信用代码</w:t>
            </w:r>
          </w:p>
        </w:tc>
        <w:tc>
          <w:tcPr>
            <w:tcW w:w="206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465B0A">
            <w:pPr>
              <w:spacing w:line="360" w:lineRule="auto"/>
              <w:jc w:val="center"/>
              <w:rPr>
                <w:rFonts w:ascii="宋体" w:hAnsi="宋体" w:cs="宋体"/>
                <w:b/>
                <w:bCs/>
                <w:color w:val="auto"/>
                <w:kern w:val="0"/>
                <w:szCs w:val="21"/>
              </w:rPr>
            </w:pPr>
            <w:r>
              <w:rPr>
                <w:rFonts w:hint="eastAsia" w:ascii="宋体" w:hAnsi="宋体" w:cs="宋体"/>
                <w:b/>
                <w:bCs/>
                <w:color w:val="auto"/>
                <w:kern w:val="0"/>
                <w:szCs w:val="21"/>
              </w:rPr>
              <w:t>备注</w:t>
            </w:r>
          </w:p>
        </w:tc>
      </w:tr>
      <w:tr w14:paraId="6C1480AC">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8C0B022">
            <w:pPr>
              <w:spacing w:line="360" w:lineRule="auto"/>
              <w:jc w:val="center"/>
              <w:rPr>
                <w:rFonts w:ascii="宋体" w:hAnsi="宋体" w:cs="宋体"/>
                <w:color w:val="auto"/>
                <w:kern w:val="0"/>
                <w:szCs w:val="21"/>
              </w:rPr>
            </w:pPr>
            <w:r>
              <w:rPr>
                <w:rFonts w:hint="eastAsia" w:ascii="宋体" w:hAnsi="宋体" w:cs="宋体"/>
                <w:color w:val="auto"/>
                <w:kern w:val="0"/>
                <w:szCs w:val="21"/>
              </w:rPr>
              <w:t>1</w:t>
            </w:r>
          </w:p>
        </w:tc>
        <w:tc>
          <w:tcPr>
            <w:tcW w:w="265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2C3AC7E">
            <w:pPr>
              <w:spacing w:line="360" w:lineRule="auto"/>
              <w:jc w:val="center"/>
              <w:rPr>
                <w:rFonts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482D072">
            <w:pPr>
              <w:spacing w:line="360" w:lineRule="auto"/>
              <w:jc w:val="center"/>
              <w:rPr>
                <w:rFonts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E54A754">
            <w:pPr>
              <w:spacing w:line="360" w:lineRule="auto"/>
              <w:jc w:val="center"/>
              <w:rPr>
                <w:rFonts w:ascii="宋体" w:hAnsi="宋体" w:cs="宋体"/>
                <w:color w:val="auto"/>
                <w:kern w:val="0"/>
                <w:szCs w:val="21"/>
              </w:rPr>
            </w:pPr>
          </w:p>
        </w:tc>
      </w:tr>
      <w:tr w14:paraId="62D59AF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981064">
            <w:pPr>
              <w:spacing w:line="360" w:lineRule="auto"/>
              <w:jc w:val="center"/>
              <w:rPr>
                <w:rFonts w:ascii="宋体" w:hAnsi="宋体" w:cs="宋体"/>
                <w:color w:val="auto"/>
                <w:kern w:val="0"/>
                <w:szCs w:val="21"/>
              </w:rPr>
            </w:pPr>
            <w:r>
              <w:rPr>
                <w:rFonts w:hint="eastAsia" w:ascii="宋体" w:hAnsi="宋体" w:cs="宋体"/>
                <w:color w:val="auto"/>
                <w:kern w:val="0"/>
                <w:szCs w:val="21"/>
              </w:rPr>
              <w:t>2</w:t>
            </w:r>
          </w:p>
        </w:tc>
        <w:tc>
          <w:tcPr>
            <w:tcW w:w="265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8E7CBE1">
            <w:pPr>
              <w:spacing w:line="360" w:lineRule="auto"/>
              <w:jc w:val="center"/>
              <w:rPr>
                <w:rFonts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12931F1">
            <w:pPr>
              <w:spacing w:line="360" w:lineRule="auto"/>
              <w:jc w:val="center"/>
              <w:rPr>
                <w:rFonts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C46462">
            <w:pPr>
              <w:spacing w:line="360" w:lineRule="auto"/>
              <w:jc w:val="center"/>
              <w:rPr>
                <w:rFonts w:ascii="宋体" w:hAnsi="宋体" w:cs="宋体"/>
                <w:color w:val="auto"/>
                <w:kern w:val="0"/>
                <w:szCs w:val="21"/>
              </w:rPr>
            </w:pPr>
          </w:p>
        </w:tc>
      </w:tr>
      <w:tr w14:paraId="7FAB52F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EE0A857">
            <w:pPr>
              <w:spacing w:line="360" w:lineRule="auto"/>
              <w:jc w:val="center"/>
              <w:rPr>
                <w:rFonts w:ascii="宋体" w:hAnsi="宋体" w:cs="宋体"/>
                <w:color w:val="auto"/>
                <w:kern w:val="0"/>
                <w:szCs w:val="21"/>
              </w:rPr>
            </w:pPr>
            <w:r>
              <w:rPr>
                <w:rFonts w:hint="eastAsia" w:ascii="宋体" w:hAnsi="宋体" w:cs="宋体"/>
                <w:color w:val="auto"/>
                <w:kern w:val="0"/>
                <w:szCs w:val="21"/>
              </w:rPr>
              <w:t>3</w:t>
            </w:r>
          </w:p>
        </w:tc>
        <w:tc>
          <w:tcPr>
            <w:tcW w:w="265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AD9B10F">
            <w:pPr>
              <w:spacing w:line="360" w:lineRule="auto"/>
              <w:jc w:val="center"/>
              <w:rPr>
                <w:rFonts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776A60">
            <w:pPr>
              <w:spacing w:line="360" w:lineRule="auto"/>
              <w:jc w:val="center"/>
              <w:rPr>
                <w:rFonts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6E90AB">
            <w:pPr>
              <w:spacing w:line="360" w:lineRule="auto"/>
              <w:jc w:val="center"/>
              <w:rPr>
                <w:rFonts w:ascii="宋体" w:hAnsi="宋体" w:cs="宋体"/>
                <w:color w:val="auto"/>
                <w:kern w:val="0"/>
                <w:szCs w:val="21"/>
              </w:rPr>
            </w:pPr>
          </w:p>
        </w:tc>
      </w:tr>
      <w:tr w14:paraId="50318051">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177E713">
            <w:pPr>
              <w:spacing w:line="360" w:lineRule="auto"/>
              <w:jc w:val="center"/>
              <w:rPr>
                <w:rFonts w:ascii="宋体" w:hAnsi="宋体" w:cs="宋体"/>
                <w:color w:val="auto"/>
                <w:kern w:val="0"/>
                <w:szCs w:val="21"/>
              </w:rPr>
            </w:pPr>
            <w:r>
              <w:rPr>
                <w:rFonts w:hint="eastAsia" w:ascii="宋体" w:hAnsi="宋体" w:cs="宋体"/>
                <w:color w:val="auto"/>
                <w:kern w:val="0"/>
                <w:szCs w:val="21"/>
              </w:rPr>
              <w:t>……</w:t>
            </w:r>
          </w:p>
        </w:tc>
        <w:tc>
          <w:tcPr>
            <w:tcW w:w="265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401038D">
            <w:pPr>
              <w:spacing w:line="360" w:lineRule="auto"/>
              <w:jc w:val="center"/>
              <w:rPr>
                <w:rFonts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3BC957">
            <w:pPr>
              <w:spacing w:line="360" w:lineRule="auto"/>
              <w:jc w:val="center"/>
              <w:rPr>
                <w:rFonts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F96F59">
            <w:pPr>
              <w:spacing w:line="360" w:lineRule="auto"/>
              <w:jc w:val="center"/>
              <w:rPr>
                <w:rFonts w:ascii="宋体" w:hAnsi="宋体" w:cs="宋体"/>
                <w:color w:val="auto"/>
                <w:kern w:val="0"/>
                <w:szCs w:val="21"/>
              </w:rPr>
            </w:pPr>
          </w:p>
        </w:tc>
      </w:tr>
    </w:tbl>
    <w:p w14:paraId="6E347DE4">
      <w:pPr>
        <w:snapToGrid w:val="0"/>
        <w:spacing w:line="360" w:lineRule="auto"/>
        <w:jc w:val="left"/>
        <w:rPr>
          <w:rFonts w:ascii="宋体" w:hAnsi="宋体"/>
          <w:color w:val="auto"/>
          <w:szCs w:val="21"/>
        </w:rPr>
      </w:pPr>
      <w:r>
        <w:rPr>
          <w:rFonts w:hint="eastAsia" w:ascii="宋体" w:hAnsi="宋体"/>
          <w:color w:val="auto"/>
          <w:szCs w:val="21"/>
        </w:rPr>
        <w:t>注：</w:t>
      </w:r>
    </w:p>
    <w:p w14:paraId="2F0CD863">
      <w:pPr>
        <w:snapToGrid w:val="0"/>
        <w:spacing w:line="360" w:lineRule="auto"/>
        <w:ind w:firstLine="420" w:firstLineChars="200"/>
        <w:jc w:val="left"/>
        <w:rPr>
          <w:rFonts w:ascii="宋体" w:hAnsi="宋体"/>
          <w:color w:val="auto"/>
          <w:szCs w:val="21"/>
        </w:rPr>
      </w:pPr>
      <w:r>
        <w:rPr>
          <w:rFonts w:hint="eastAsia" w:ascii="宋体" w:hAnsi="宋体"/>
          <w:color w:val="auto"/>
          <w:szCs w:val="21"/>
        </w:rPr>
        <w:t>1.管理关系：是指不具有出资持股关系的其他单位之间存在的管理与被管理关系，如一些上下级关系的事业单位和团体组织。</w:t>
      </w:r>
    </w:p>
    <w:p w14:paraId="0440FD7A">
      <w:pPr>
        <w:snapToGrid w:val="0"/>
        <w:spacing w:line="360" w:lineRule="auto"/>
        <w:ind w:firstLine="420" w:firstLineChars="200"/>
        <w:jc w:val="left"/>
        <w:rPr>
          <w:rFonts w:ascii="宋体" w:hAnsi="宋体"/>
          <w:color w:val="auto"/>
          <w:szCs w:val="21"/>
        </w:rPr>
      </w:pPr>
      <w:r>
        <w:rPr>
          <w:rFonts w:hint="eastAsia" w:ascii="宋体" w:hAnsi="宋体"/>
          <w:color w:val="auto"/>
          <w:szCs w:val="21"/>
        </w:rPr>
        <w:t>2.</w:t>
      </w:r>
      <w:r>
        <w:rPr>
          <w:rFonts w:hint="eastAsia" w:ascii="宋体" w:hAnsi="宋体"/>
          <w:color w:val="auto"/>
          <w:spacing w:val="-6"/>
          <w:szCs w:val="21"/>
        </w:rPr>
        <w:t>本表所指的管理关系仅限于直接管理关系，不包括间接的管理关系。</w:t>
      </w:r>
    </w:p>
    <w:p w14:paraId="7B71F14C">
      <w:pPr>
        <w:snapToGrid w:val="0"/>
        <w:spacing w:line="360" w:lineRule="auto"/>
        <w:ind w:firstLine="420" w:firstLineChars="200"/>
        <w:jc w:val="left"/>
        <w:rPr>
          <w:rFonts w:ascii="宋体" w:hAnsi="宋体"/>
          <w:color w:val="auto"/>
          <w:szCs w:val="21"/>
        </w:rPr>
      </w:pPr>
      <w:r>
        <w:rPr>
          <w:rFonts w:hint="eastAsia" w:ascii="宋体" w:hAnsi="宋体"/>
          <w:color w:val="auto"/>
          <w:szCs w:val="21"/>
        </w:rPr>
        <w:t>3.供应商不存在直接管理关系的，则填“无”。</w:t>
      </w:r>
    </w:p>
    <w:p w14:paraId="150901D5">
      <w:pPr>
        <w:snapToGrid w:val="0"/>
        <w:spacing w:line="360" w:lineRule="auto"/>
        <w:jc w:val="left"/>
        <w:rPr>
          <w:rFonts w:ascii="宋体" w:hAnsi="宋体"/>
          <w:color w:val="auto"/>
          <w:szCs w:val="21"/>
        </w:rPr>
      </w:pPr>
    </w:p>
    <w:p w14:paraId="1DBD9A3A">
      <w:pPr>
        <w:snapToGrid w:val="0"/>
        <w:spacing w:line="360" w:lineRule="auto"/>
        <w:jc w:val="left"/>
        <w:rPr>
          <w:rFonts w:ascii="宋体" w:hAnsi="宋体"/>
          <w:color w:val="auto"/>
          <w:szCs w:val="21"/>
        </w:rPr>
      </w:pPr>
    </w:p>
    <w:p w14:paraId="25A447C1">
      <w:pPr>
        <w:snapToGrid w:val="0"/>
        <w:spacing w:line="360" w:lineRule="auto"/>
        <w:jc w:val="left"/>
        <w:rPr>
          <w:rFonts w:ascii="宋体" w:hAnsi="宋体"/>
          <w:color w:val="auto"/>
          <w:szCs w:val="21"/>
        </w:rPr>
      </w:pPr>
    </w:p>
    <w:p w14:paraId="19EF4ABD">
      <w:pPr>
        <w:snapToGrid w:val="0"/>
        <w:spacing w:line="360" w:lineRule="auto"/>
        <w:jc w:val="left"/>
        <w:rPr>
          <w:rFonts w:ascii="宋体" w:hAnsi="宋体"/>
          <w:color w:val="auto"/>
          <w:szCs w:val="21"/>
        </w:rPr>
      </w:pPr>
    </w:p>
    <w:p w14:paraId="071CA4B1">
      <w:pPr>
        <w:snapToGrid w:val="0"/>
        <w:spacing w:line="360" w:lineRule="auto"/>
        <w:jc w:val="left"/>
        <w:rPr>
          <w:rFonts w:ascii="宋体" w:hAnsi="宋体"/>
          <w:color w:val="auto"/>
          <w:szCs w:val="21"/>
        </w:rPr>
      </w:pPr>
    </w:p>
    <w:p w14:paraId="5BACCA0B">
      <w:pPr>
        <w:snapToGrid w:val="0"/>
        <w:spacing w:line="360" w:lineRule="auto"/>
        <w:jc w:val="left"/>
        <w:rPr>
          <w:rFonts w:ascii="宋体" w:hAnsi="宋体"/>
          <w:color w:val="auto"/>
          <w:szCs w:val="21"/>
        </w:rPr>
      </w:pPr>
    </w:p>
    <w:p w14:paraId="212080E2">
      <w:pPr>
        <w:snapToGrid w:val="0"/>
        <w:spacing w:line="360" w:lineRule="auto"/>
        <w:jc w:val="left"/>
        <w:rPr>
          <w:rFonts w:ascii="宋体" w:hAnsi="宋体"/>
          <w:color w:val="auto"/>
          <w:szCs w:val="21"/>
        </w:rPr>
      </w:pPr>
    </w:p>
    <w:p w14:paraId="21E975C2">
      <w:pPr>
        <w:spacing w:line="360" w:lineRule="auto"/>
        <w:jc w:val="center"/>
        <w:rPr>
          <w:rFonts w:ascii="宋体" w:hAnsi="宋体"/>
          <w:color w:val="auto"/>
          <w:szCs w:val="21"/>
          <w:u w:val="single"/>
        </w:rPr>
      </w:pPr>
      <w:r>
        <w:rPr>
          <w:rFonts w:hint="eastAsia" w:ascii="宋体" w:hAnsi="宋体"/>
          <w:color w:val="auto"/>
          <w:szCs w:val="21"/>
        </w:rPr>
        <w:t>法定代表人或委托代理人</w:t>
      </w:r>
      <w:r>
        <w:rPr>
          <w:rFonts w:hint="eastAsia" w:ascii="宋体" w:hAnsi="宋体"/>
          <w:b/>
          <w:bCs/>
          <w:color w:val="auto"/>
          <w:szCs w:val="21"/>
        </w:rPr>
        <w:t>（</w:t>
      </w:r>
      <w:r>
        <w:rPr>
          <w:rFonts w:hint="eastAsia" w:ascii="宋体" w:hAnsi="宋体"/>
          <w:color w:val="auto"/>
          <w:szCs w:val="21"/>
        </w:rPr>
        <w:t>签字或签章</w:t>
      </w:r>
      <w:r>
        <w:rPr>
          <w:rFonts w:hint="eastAsia" w:ascii="宋体" w:hAnsi="宋体"/>
          <w:b/>
          <w:bCs/>
          <w:color w:val="auto"/>
          <w:szCs w:val="21"/>
        </w:rPr>
        <w:t>）：</w:t>
      </w:r>
    </w:p>
    <w:p w14:paraId="54312A62">
      <w:pPr>
        <w:spacing w:line="360" w:lineRule="auto"/>
        <w:jc w:val="center"/>
        <w:rPr>
          <w:rFonts w:ascii="宋体" w:hAnsi="宋体"/>
          <w:color w:val="auto"/>
          <w:szCs w:val="21"/>
          <w:u w:val="single"/>
        </w:rPr>
      </w:pPr>
    </w:p>
    <w:p w14:paraId="6115F3BB">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3FFFCE3A">
      <w:pPr>
        <w:pStyle w:val="24"/>
        <w:spacing w:line="360" w:lineRule="auto"/>
        <w:rPr>
          <w:rFonts w:hAnsi="宋体"/>
          <w:color w:val="auto"/>
          <w:sz w:val="21"/>
        </w:rPr>
      </w:pPr>
    </w:p>
    <w:p w14:paraId="2357F687">
      <w:pPr>
        <w:pStyle w:val="24"/>
        <w:spacing w:line="360" w:lineRule="auto"/>
        <w:jc w:val="right"/>
        <w:rPr>
          <w:rFonts w:hAnsi="宋体"/>
          <w:b/>
          <w:color w:val="auto"/>
          <w:sz w:val="30"/>
          <w:szCs w:val="30"/>
        </w:rPr>
      </w:pPr>
      <w:r>
        <w:rPr>
          <w:rFonts w:hint="eastAsia" w:hAnsi="宋体"/>
          <w:color w:val="auto"/>
          <w:sz w:val="21"/>
        </w:rPr>
        <w:t>日期：    年   月  日</w:t>
      </w:r>
    </w:p>
    <w:p w14:paraId="3407C9CD">
      <w:pPr>
        <w:snapToGrid w:val="0"/>
        <w:spacing w:before="50" w:after="120" w:afterLines="50" w:line="360" w:lineRule="auto"/>
        <w:jc w:val="left"/>
        <w:rPr>
          <w:rFonts w:ascii="宋体" w:hAnsi="宋体"/>
          <w:color w:val="auto"/>
          <w:szCs w:val="21"/>
        </w:rPr>
      </w:pPr>
    </w:p>
    <w:p w14:paraId="3C432A50">
      <w:pPr>
        <w:snapToGrid w:val="0"/>
        <w:spacing w:before="120" w:beforeLines="50" w:after="50" w:line="360" w:lineRule="auto"/>
        <w:jc w:val="left"/>
        <w:rPr>
          <w:rFonts w:ascii="宋体" w:hAnsi="宋体"/>
          <w:b/>
          <w:color w:val="auto"/>
          <w:sz w:val="24"/>
          <w:szCs w:val="20"/>
        </w:rPr>
      </w:pPr>
    </w:p>
    <w:p w14:paraId="5539A089">
      <w:pPr>
        <w:tabs>
          <w:tab w:val="left" w:pos="1815"/>
        </w:tabs>
        <w:snapToGrid w:val="0"/>
        <w:spacing w:before="120" w:beforeLines="50" w:after="50" w:line="360" w:lineRule="auto"/>
        <w:jc w:val="left"/>
        <w:rPr>
          <w:rFonts w:ascii="宋体" w:hAnsi="宋体"/>
          <w:b/>
          <w:color w:val="auto"/>
          <w:sz w:val="24"/>
          <w:szCs w:val="20"/>
        </w:rPr>
      </w:pPr>
      <w:r>
        <w:rPr>
          <w:rFonts w:ascii="宋体" w:hAnsi="宋体"/>
          <w:b/>
          <w:color w:val="auto"/>
          <w:sz w:val="24"/>
        </w:rPr>
        <w:br w:type="page"/>
      </w:r>
      <w:r>
        <w:rPr>
          <w:rFonts w:hint="eastAsia" w:ascii="宋体" w:hAnsi="宋体"/>
          <w:b/>
          <w:color w:val="auto"/>
          <w:sz w:val="32"/>
          <w:szCs w:val="32"/>
        </w:rPr>
        <w:t>4.投标声明格式</w:t>
      </w:r>
    </w:p>
    <w:p w14:paraId="7AEDEFD2">
      <w:pPr>
        <w:snapToGrid w:val="0"/>
        <w:spacing w:before="50" w:after="120" w:afterLines="50" w:line="360" w:lineRule="auto"/>
        <w:jc w:val="left"/>
        <w:rPr>
          <w:rFonts w:ascii="宋体" w:hAnsi="宋体"/>
          <w:color w:val="auto"/>
        </w:rPr>
      </w:pPr>
    </w:p>
    <w:p w14:paraId="2EC0C193">
      <w:pPr>
        <w:snapToGrid w:val="0"/>
        <w:spacing w:before="50" w:after="120" w:afterLines="50" w:line="360" w:lineRule="auto"/>
        <w:jc w:val="center"/>
        <w:rPr>
          <w:rFonts w:ascii="宋体" w:hAnsi="宋体" w:cs="微软雅黑"/>
          <w:bCs/>
          <w:color w:val="auto"/>
          <w:sz w:val="44"/>
          <w:szCs w:val="44"/>
        </w:rPr>
      </w:pPr>
      <w:r>
        <w:rPr>
          <w:rFonts w:hint="eastAsia" w:ascii="宋体" w:hAnsi="宋体" w:cs="微软雅黑"/>
          <w:bCs/>
          <w:color w:val="auto"/>
          <w:sz w:val="44"/>
          <w:szCs w:val="44"/>
        </w:rPr>
        <w:t>投标声明</w:t>
      </w:r>
    </w:p>
    <w:p w14:paraId="75BCDD2E">
      <w:pPr>
        <w:spacing w:line="360" w:lineRule="auto"/>
        <w:contextualSpacing/>
        <w:jc w:val="left"/>
        <w:rPr>
          <w:rFonts w:ascii="宋体" w:hAnsi="宋体"/>
          <w:color w:val="auto"/>
          <w:szCs w:val="21"/>
        </w:rPr>
      </w:pPr>
      <w:r>
        <w:rPr>
          <w:rFonts w:hint="eastAsia" w:ascii="宋体" w:hAnsi="宋体"/>
          <w:color w:val="auto"/>
          <w:szCs w:val="21"/>
          <w:u w:val="single"/>
        </w:rPr>
        <w:t xml:space="preserve">（采购人名称）     </w:t>
      </w:r>
      <w:r>
        <w:rPr>
          <w:rFonts w:hint="eastAsia" w:ascii="宋体" w:hAnsi="宋体"/>
          <w:color w:val="auto"/>
          <w:szCs w:val="21"/>
        </w:rPr>
        <w:t>：</w:t>
      </w:r>
    </w:p>
    <w:p w14:paraId="2F2DDB5D">
      <w:pPr>
        <w:spacing w:line="360" w:lineRule="auto"/>
        <w:ind w:firstLine="457" w:firstLineChars="218"/>
        <w:contextualSpacing/>
        <w:jc w:val="left"/>
        <w:rPr>
          <w:rFonts w:ascii="宋体" w:hAnsi="宋体"/>
          <w:color w:val="auto"/>
          <w:szCs w:val="21"/>
        </w:rPr>
      </w:pPr>
      <w:r>
        <w:rPr>
          <w:rFonts w:hint="eastAsia" w:ascii="宋体" w:hAnsi="宋体"/>
          <w:color w:val="auto"/>
          <w:szCs w:val="21"/>
        </w:rPr>
        <w:t>我方参加贵单位组织</w:t>
      </w:r>
      <w:r>
        <w:rPr>
          <w:rFonts w:hint="eastAsia" w:ascii="宋体" w:hAnsi="宋体"/>
          <w:color w:val="auto"/>
          <w:szCs w:val="21"/>
          <w:u w:val="single"/>
        </w:rPr>
        <w:t xml:space="preserve">                  </w:t>
      </w:r>
      <w:r>
        <w:rPr>
          <w:rFonts w:hint="eastAsia" w:ascii="宋体" w:hAnsi="宋体"/>
          <w:color w:val="auto"/>
          <w:szCs w:val="21"/>
        </w:rPr>
        <w:t>项目（项目编号：</w:t>
      </w:r>
      <w:r>
        <w:rPr>
          <w:rFonts w:hint="eastAsia" w:ascii="宋体" w:hAnsi="宋体"/>
          <w:color w:val="auto"/>
          <w:szCs w:val="21"/>
          <w:u w:val="single"/>
        </w:rPr>
        <w:t xml:space="preserve">            </w:t>
      </w:r>
      <w:r>
        <w:rPr>
          <w:rFonts w:hint="eastAsia" w:ascii="宋体" w:hAnsi="宋体"/>
          <w:color w:val="auto"/>
          <w:szCs w:val="21"/>
        </w:rPr>
        <w:t>）的政府采购活动。我方在此郑重声明：</w:t>
      </w:r>
    </w:p>
    <w:p w14:paraId="451C6555">
      <w:pPr>
        <w:spacing w:line="360" w:lineRule="auto"/>
        <w:ind w:firstLine="420" w:firstLineChars="200"/>
        <w:contextualSpacing/>
        <w:jc w:val="left"/>
        <w:rPr>
          <w:rFonts w:ascii="宋体" w:hAnsi="宋体"/>
          <w:color w:val="auto"/>
          <w:szCs w:val="21"/>
        </w:rPr>
      </w:pPr>
      <w:r>
        <w:rPr>
          <w:rFonts w:hint="eastAsia" w:ascii="宋体" w:hAnsi="宋体"/>
          <w:color w:val="auto"/>
          <w:szCs w:val="21"/>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ED22016">
      <w:pPr>
        <w:spacing w:line="360" w:lineRule="auto"/>
        <w:ind w:firstLine="420" w:firstLineChars="200"/>
        <w:contextualSpacing/>
        <w:jc w:val="left"/>
        <w:rPr>
          <w:rFonts w:ascii="宋体" w:hAnsi="宋体"/>
          <w:color w:val="auto"/>
          <w:szCs w:val="21"/>
        </w:rPr>
      </w:pPr>
      <w:r>
        <w:rPr>
          <w:rFonts w:hint="eastAsia" w:ascii="宋体" w:hAnsi="宋体"/>
          <w:color w:val="auto"/>
          <w:szCs w:val="21"/>
        </w:rPr>
        <w:t>2.我方不是为本次采购项目提供整体设计、规范编制或者项目管理、监理、检测等服务的供应商。</w:t>
      </w:r>
    </w:p>
    <w:p w14:paraId="25886B60">
      <w:pPr>
        <w:spacing w:line="360" w:lineRule="auto"/>
        <w:ind w:firstLine="420" w:firstLineChars="200"/>
        <w:contextualSpacing/>
        <w:jc w:val="left"/>
        <w:rPr>
          <w:rFonts w:ascii="宋体" w:hAnsi="宋体"/>
          <w:color w:val="auto"/>
          <w:szCs w:val="21"/>
        </w:rPr>
      </w:pPr>
      <w:r>
        <w:rPr>
          <w:rFonts w:hint="eastAsia" w:ascii="宋体" w:hAnsi="宋体"/>
          <w:color w:val="auto"/>
          <w:szCs w:val="21"/>
        </w:rPr>
        <w:t>3.以上事项如有虚假或者隐瞒，我方愿意承担一切后果，并不再寻求任何旨在减轻或者免除法律责任的辩解。</w:t>
      </w:r>
    </w:p>
    <w:p w14:paraId="32CA24C3">
      <w:pPr>
        <w:spacing w:line="360" w:lineRule="auto"/>
        <w:contextualSpacing/>
        <w:jc w:val="left"/>
        <w:rPr>
          <w:rFonts w:ascii="宋体" w:hAnsi="宋体"/>
          <w:color w:val="auto"/>
          <w:szCs w:val="21"/>
        </w:rPr>
      </w:pPr>
      <w:r>
        <w:rPr>
          <w:rFonts w:hint="eastAsia" w:ascii="宋体" w:hAnsi="宋体"/>
          <w:color w:val="auto"/>
          <w:szCs w:val="21"/>
        </w:rPr>
        <w:t xml:space="preserve">    特此承诺。</w:t>
      </w:r>
    </w:p>
    <w:p w14:paraId="15053C31">
      <w:pPr>
        <w:spacing w:line="360" w:lineRule="auto"/>
        <w:contextualSpacing/>
        <w:jc w:val="left"/>
        <w:rPr>
          <w:rFonts w:hint="eastAsia" w:ascii="宋体" w:hAnsi="宋体"/>
          <w:color w:val="auto"/>
          <w:szCs w:val="21"/>
        </w:rPr>
      </w:pPr>
    </w:p>
    <w:p w14:paraId="73161FEC">
      <w:pPr>
        <w:spacing w:line="360" w:lineRule="auto"/>
        <w:jc w:val="center"/>
        <w:rPr>
          <w:rFonts w:hint="eastAsia" w:ascii="宋体" w:hAnsi="宋体"/>
          <w:color w:val="auto"/>
          <w:szCs w:val="21"/>
        </w:rPr>
      </w:pPr>
    </w:p>
    <w:p w14:paraId="6F4DC260">
      <w:pPr>
        <w:spacing w:line="360" w:lineRule="auto"/>
        <w:jc w:val="center"/>
        <w:rPr>
          <w:rFonts w:ascii="宋体" w:hAnsi="宋体"/>
          <w:color w:val="auto"/>
          <w:szCs w:val="21"/>
          <w:u w:val="single"/>
        </w:rPr>
      </w:pPr>
      <w:r>
        <w:rPr>
          <w:rFonts w:hint="eastAsia" w:ascii="宋体" w:hAnsi="宋体"/>
          <w:color w:val="auto"/>
          <w:szCs w:val="21"/>
        </w:rPr>
        <w:t>法定代表人或委托代理人</w:t>
      </w:r>
      <w:r>
        <w:rPr>
          <w:rFonts w:hint="eastAsia" w:ascii="宋体" w:hAnsi="宋体"/>
          <w:b/>
          <w:bCs/>
          <w:color w:val="auto"/>
          <w:szCs w:val="21"/>
        </w:rPr>
        <w:t>（</w:t>
      </w:r>
      <w:r>
        <w:rPr>
          <w:rFonts w:hint="eastAsia" w:ascii="宋体" w:hAnsi="宋体"/>
          <w:color w:val="auto"/>
          <w:szCs w:val="21"/>
        </w:rPr>
        <w:t>签字或签章</w:t>
      </w:r>
      <w:r>
        <w:rPr>
          <w:rFonts w:hint="eastAsia" w:ascii="宋体" w:hAnsi="宋体"/>
          <w:b/>
          <w:bCs/>
          <w:color w:val="auto"/>
          <w:szCs w:val="21"/>
        </w:rPr>
        <w:t>）：</w:t>
      </w:r>
    </w:p>
    <w:p w14:paraId="0E44B954">
      <w:pPr>
        <w:spacing w:line="360" w:lineRule="auto"/>
        <w:jc w:val="center"/>
        <w:rPr>
          <w:rFonts w:ascii="宋体" w:hAnsi="宋体"/>
          <w:color w:val="auto"/>
          <w:szCs w:val="21"/>
          <w:u w:val="single"/>
        </w:rPr>
      </w:pPr>
    </w:p>
    <w:p w14:paraId="6A859DD7">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3A764106">
      <w:pPr>
        <w:pStyle w:val="24"/>
        <w:spacing w:line="360" w:lineRule="auto"/>
        <w:rPr>
          <w:rFonts w:hAnsi="宋体"/>
          <w:color w:val="auto"/>
          <w:sz w:val="21"/>
        </w:rPr>
      </w:pPr>
    </w:p>
    <w:p w14:paraId="14AE3B2B">
      <w:pPr>
        <w:pStyle w:val="24"/>
        <w:spacing w:line="360" w:lineRule="auto"/>
        <w:jc w:val="right"/>
        <w:rPr>
          <w:rFonts w:hAnsi="宋体"/>
          <w:b/>
          <w:color w:val="auto"/>
          <w:sz w:val="30"/>
          <w:szCs w:val="30"/>
        </w:rPr>
      </w:pPr>
      <w:r>
        <w:rPr>
          <w:rFonts w:hint="eastAsia" w:hAnsi="宋体"/>
          <w:color w:val="auto"/>
          <w:sz w:val="21"/>
        </w:rPr>
        <w:t>日期：    年   月  日</w:t>
      </w:r>
    </w:p>
    <w:p w14:paraId="15FCFA72">
      <w:pPr>
        <w:spacing w:line="360" w:lineRule="auto"/>
        <w:rPr>
          <w:rFonts w:ascii="宋体" w:hAnsi="宋体"/>
          <w:b/>
          <w:color w:val="auto"/>
          <w:sz w:val="28"/>
          <w:szCs w:val="28"/>
        </w:rPr>
      </w:pPr>
      <w:r>
        <w:rPr>
          <w:rFonts w:ascii="宋体" w:hAnsi="宋体"/>
          <w:color w:val="auto"/>
        </w:rPr>
        <w:br w:type="page"/>
      </w:r>
      <w:r>
        <w:rPr>
          <w:rFonts w:hint="eastAsia" w:ascii="宋体" w:hAnsi="宋体"/>
          <w:b/>
          <w:color w:val="auto"/>
          <w:sz w:val="28"/>
          <w:szCs w:val="28"/>
        </w:rPr>
        <w:t>一、报价文件格式</w:t>
      </w:r>
    </w:p>
    <w:p w14:paraId="2C88DBBC">
      <w:pPr>
        <w:snapToGrid w:val="0"/>
        <w:spacing w:before="120" w:beforeLines="50" w:after="50" w:line="360" w:lineRule="auto"/>
        <w:ind w:left="142"/>
        <w:jc w:val="left"/>
        <w:rPr>
          <w:rFonts w:ascii="宋体" w:hAnsi="宋体"/>
          <w:color w:val="auto"/>
          <w:sz w:val="24"/>
          <w:szCs w:val="20"/>
        </w:rPr>
      </w:pPr>
      <w:r>
        <w:rPr>
          <w:rFonts w:hint="eastAsia" w:ascii="宋体" w:hAnsi="宋体"/>
          <w:b/>
          <w:color w:val="auto"/>
          <w:sz w:val="24"/>
        </w:rPr>
        <w:t xml:space="preserve">1. 报价文件封面格式： </w:t>
      </w:r>
    </w:p>
    <w:p w14:paraId="3C585726">
      <w:pPr>
        <w:snapToGrid w:val="0"/>
        <w:spacing w:before="120" w:beforeLines="50" w:after="50" w:line="360" w:lineRule="auto"/>
        <w:rPr>
          <w:rFonts w:ascii="宋体" w:hAnsi="宋体"/>
          <w:bCs/>
          <w:color w:val="auto"/>
          <w:sz w:val="32"/>
          <w:szCs w:val="20"/>
        </w:rPr>
      </w:pPr>
    </w:p>
    <w:p w14:paraId="487C3375">
      <w:pPr>
        <w:snapToGrid w:val="0"/>
        <w:spacing w:before="120" w:beforeLines="50" w:after="50" w:line="360" w:lineRule="auto"/>
        <w:jc w:val="center"/>
        <w:rPr>
          <w:rFonts w:ascii="宋体" w:hAnsi="宋体"/>
          <w:bCs/>
          <w:color w:val="auto"/>
          <w:sz w:val="24"/>
          <w:szCs w:val="20"/>
        </w:rPr>
      </w:pPr>
    </w:p>
    <w:p w14:paraId="78AF70E4">
      <w:pPr>
        <w:snapToGrid w:val="0"/>
        <w:spacing w:before="120" w:beforeLines="50" w:after="50" w:line="360" w:lineRule="auto"/>
        <w:jc w:val="center"/>
        <w:rPr>
          <w:rFonts w:ascii="宋体" w:hAnsi="宋体" w:cs="微软雅黑"/>
          <w:color w:val="auto"/>
          <w:sz w:val="84"/>
          <w:szCs w:val="84"/>
        </w:rPr>
      </w:pPr>
      <w:r>
        <w:rPr>
          <w:rFonts w:hint="eastAsia" w:ascii="宋体" w:hAnsi="宋体" w:cs="微软雅黑"/>
          <w:color w:val="auto"/>
          <w:sz w:val="84"/>
          <w:szCs w:val="84"/>
        </w:rPr>
        <w:t>投  标  文  件</w:t>
      </w:r>
    </w:p>
    <w:p w14:paraId="7E14FF2F">
      <w:pPr>
        <w:snapToGrid w:val="0"/>
        <w:spacing w:before="120" w:beforeLines="50" w:after="50" w:line="360" w:lineRule="auto"/>
        <w:jc w:val="center"/>
        <w:rPr>
          <w:rFonts w:ascii="宋体" w:hAnsi="宋体"/>
          <w:bCs/>
          <w:color w:val="auto"/>
          <w:sz w:val="32"/>
          <w:szCs w:val="32"/>
        </w:rPr>
      </w:pPr>
    </w:p>
    <w:p w14:paraId="0B110F99">
      <w:pPr>
        <w:snapToGrid w:val="0"/>
        <w:spacing w:before="120" w:beforeLines="50" w:after="50" w:line="360" w:lineRule="auto"/>
        <w:jc w:val="center"/>
        <w:rPr>
          <w:rFonts w:ascii="宋体" w:hAnsi="宋体" w:cs="微软雅黑"/>
          <w:color w:val="auto"/>
          <w:sz w:val="32"/>
          <w:szCs w:val="32"/>
        </w:rPr>
      </w:pPr>
      <w:r>
        <w:rPr>
          <w:rFonts w:hint="eastAsia" w:ascii="宋体" w:hAnsi="宋体" w:cs="微软雅黑"/>
          <w:color w:val="auto"/>
          <w:sz w:val="32"/>
          <w:szCs w:val="32"/>
        </w:rPr>
        <w:t>报  价  文  件</w:t>
      </w:r>
    </w:p>
    <w:p w14:paraId="1CAE16EB">
      <w:pPr>
        <w:snapToGrid w:val="0"/>
        <w:spacing w:before="120" w:beforeLines="50" w:after="50" w:line="360" w:lineRule="auto"/>
        <w:rPr>
          <w:rFonts w:ascii="宋体" w:hAnsi="宋体"/>
          <w:bCs/>
          <w:color w:val="auto"/>
          <w:sz w:val="24"/>
          <w:szCs w:val="20"/>
        </w:rPr>
      </w:pPr>
    </w:p>
    <w:p w14:paraId="13B20544">
      <w:pPr>
        <w:snapToGrid w:val="0"/>
        <w:spacing w:before="120" w:beforeLines="50" w:after="50" w:line="360" w:lineRule="auto"/>
        <w:rPr>
          <w:rFonts w:ascii="宋体" w:hAnsi="宋体"/>
          <w:bCs/>
          <w:color w:val="auto"/>
          <w:sz w:val="24"/>
          <w:szCs w:val="20"/>
        </w:rPr>
      </w:pPr>
    </w:p>
    <w:p w14:paraId="02AE58DC">
      <w:pPr>
        <w:snapToGrid w:val="0"/>
        <w:spacing w:before="120" w:beforeLines="50" w:after="50" w:line="360" w:lineRule="auto"/>
        <w:rPr>
          <w:rFonts w:ascii="宋体" w:hAnsi="宋体"/>
          <w:bCs/>
          <w:color w:val="auto"/>
          <w:sz w:val="24"/>
          <w:szCs w:val="20"/>
        </w:rPr>
      </w:pPr>
    </w:p>
    <w:p w14:paraId="0F22F3DC">
      <w:pPr>
        <w:snapToGrid w:val="0"/>
        <w:spacing w:before="120" w:beforeLines="50" w:after="50" w:line="360" w:lineRule="auto"/>
        <w:rPr>
          <w:rFonts w:ascii="宋体" w:hAnsi="宋体"/>
          <w:bCs/>
          <w:color w:val="auto"/>
          <w:sz w:val="24"/>
          <w:szCs w:val="20"/>
        </w:rPr>
      </w:pPr>
    </w:p>
    <w:p w14:paraId="0218507E">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 xml:space="preserve">项目名称： </w:t>
      </w:r>
    </w:p>
    <w:p w14:paraId="539AF78A">
      <w:pPr>
        <w:snapToGrid w:val="0"/>
        <w:spacing w:before="120" w:beforeLines="50" w:after="50" w:line="360" w:lineRule="auto"/>
        <w:ind w:firstLine="360" w:firstLineChars="150"/>
        <w:rPr>
          <w:rFonts w:ascii="宋体" w:hAnsi="宋体"/>
          <w:bCs/>
          <w:color w:val="auto"/>
          <w:sz w:val="24"/>
        </w:rPr>
      </w:pPr>
    </w:p>
    <w:p w14:paraId="5DA90643">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 xml:space="preserve">项目编号： </w:t>
      </w:r>
    </w:p>
    <w:p w14:paraId="55EE8A3B">
      <w:pPr>
        <w:snapToGrid w:val="0"/>
        <w:spacing w:before="120" w:beforeLines="50" w:after="50" w:line="360" w:lineRule="auto"/>
        <w:rPr>
          <w:rFonts w:ascii="宋体" w:hAnsi="宋体"/>
          <w:bCs/>
          <w:color w:val="auto"/>
          <w:sz w:val="24"/>
        </w:rPr>
      </w:pPr>
    </w:p>
    <w:p w14:paraId="3ED91077">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供应商名称：</w:t>
      </w:r>
    </w:p>
    <w:p w14:paraId="4203E598">
      <w:pPr>
        <w:snapToGrid w:val="0"/>
        <w:spacing w:before="120" w:beforeLines="50" w:after="50" w:line="360" w:lineRule="auto"/>
        <w:ind w:firstLine="360" w:firstLineChars="150"/>
        <w:rPr>
          <w:rFonts w:ascii="宋体" w:hAnsi="宋体"/>
          <w:bCs/>
          <w:color w:val="auto"/>
          <w:sz w:val="24"/>
        </w:rPr>
      </w:pPr>
    </w:p>
    <w:p w14:paraId="1B1BC8AB">
      <w:pPr>
        <w:snapToGrid w:val="0"/>
        <w:spacing w:before="120" w:beforeLines="50" w:after="50" w:line="360" w:lineRule="auto"/>
        <w:ind w:firstLine="360" w:firstLineChars="150"/>
        <w:rPr>
          <w:rFonts w:ascii="宋体" w:hAnsi="宋体"/>
          <w:bCs/>
          <w:color w:val="auto"/>
          <w:sz w:val="24"/>
        </w:rPr>
      </w:pPr>
      <w:r>
        <w:rPr>
          <w:rFonts w:hint="eastAsia" w:ascii="宋体" w:hAnsi="宋体"/>
          <w:bCs/>
          <w:color w:val="auto"/>
          <w:sz w:val="24"/>
        </w:rPr>
        <w:t>供应商地址：</w:t>
      </w:r>
    </w:p>
    <w:p w14:paraId="1F9C3AB4">
      <w:pPr>
        <w:pStyle w:val="7"/>
        <w:snapToGrid w:val="0"/>
        <w:spacing w:before="50" w:after="50" w:line="360" w:lineRule="auto"/>
        <w:ind w:firstLine="960" w:firstLineChars="400"/>
        <w:rPr>
          <w:rFonts w:ascii="宋体" w:hAnsi="宋体"/>
          <w:bCs/>
          <w:color w:val="auto"/>
          <w:sz w:val="24"/>
          <w:szCs w:val="24"/>
        </w:rPr>
      </w:pPr>
    </w:p>
    <w:p w14:paraId="2DF9EE10">
      <w:pPr>
        <w:snapToGrid w:val="0"/>
        <w:spacing w:before="120" w:beforeLines="50" w:after="50" w:line="360" w:lineRule="auto"/>
        <w:rPr>
          <w:rFonts w:ascii="宋体" w:hAnsi="宋体"/>
          <w:color w:val="auto"/>
          <w:sz w:val="30"/>
          <w:szCs w:val="20"/>
        </w:rPr>
      </w:pPr>
      <w:r>
        <w:rPr>
          <w:rFonts w:hint="eastAsia" w:ascii="宋体" w:hAnsi="宋体"/>
          <w:color w:val="auto"/>
          <w:sz w:val="24"/>
        </w:rPr>
        <w:t xml:space="preserve">                                   年  月  日</w:t>
      </w:r>
    </w:p>
    <w:p w14:paraId="37B96263">
      <w:pPr>
        <w:snapToGrid w:val="0"/>
        <w:spacing w:before="120" w:beforeLines="50" w:after="50" w:line="360" w:lineRule="auto"/>
        <w:jc w:val="left"/>
        <w:rPr>
          <w:rFonts w:ascii="宋体" w:hAnsi="宋体"/>
          <w:color w:val="auto"/>
          <w:sz w:val="24"/>
          <w:szCs w:val="20"/>
        </w:rPr>
      </w:pPr>
      <w:r>
        <w:rPr>
          <w:rFonts w:ascii="宋体" w:hAnsi="宋体"/>
          <w:b/>
          <w:color w:val="auto"/>
          <w:sz w:val="24"/>
        </w:rPr>
        <w:br w:type="page"/>
      </w:r>
      <w:r>
        <w:rPr>
          <w:rFonts w:hint="eastAsia" w:ascii="宋体" w:hAnsi="宋体"/>
          <w:b/>
          <w:color w:val="auto"/>
          <w:sz w:val="24"/>
        </w:rPr>
        <w:t>2.</w:t>
      </w:r>
      <w:r>
        <w:rPr>
          <w:rFonts w:hint="eastAsia" w:ascii="宋体" w:hAnsi="宋体"/>
          <w:b/>
          <w:bCs/>
          <w:color w:val="auto"/>
          <w:sz w:val="24"/>
        </w:rPr>
        <w:t>报价文件目录</w:t>
      </w:r>
    </w:p>
    <w:p w14:paraId="48F9ABFB">
      <w:pPr>
        <w:snapToGrid w:val="0"/>
        <w:spacing w:before="50" w:after="120" w:afterLines="50" w:line="360" w:lineRule="auto"/>
        <w:jc w:val="left"/>
        <w:rPr>
          <w:rFonts w:ascii="宋体" w:hAnsi="宋体"/>
          <w:b/>
          <w:color w:val="auto"/>
          <w:sz w:val="24"/>
        </w:rPr>
      </w:pPr>
      <w:r>
        <w:rPr>
          <w:rFonts w:hint="eastAsia" w:ascii="宋体" w:hAnsi="宋体"/>
          <w:color w:val="auto"/>
          <w:szCs w:val="21"/>
        </w:rPr>
        <w:t>根据招标文件规定及供应商提供的材料自行编写目录。</w:t>
      </w:r>
    </w:p>
    <w:p w14:paraId="71010740">
      <w:pPr>
        <w:snapToGrid w:val="0"/>
        <w:spacing w:before="120" w:beforeLines="50" w:after="50" w:line="360" w:lineRule="auto"/>
        <w:rPr>
          <w:rFonts w:ascii="宋体" w:hAnsi="宋体"/>
          <w:b/>
          <w:color w:val="auto"/>
          <w:sz w:val="24"/>
        </w:rPr>
      </w:pPr>
    </w:p>
    <w:p w14:paraId="2115C74E">
      <w:pPr>
        <w:snapToGrid w:val="0"/>
        <w:spacing w:before="120" w:beforeLines="50" w:after="50" w:line="360" w:lineRule="auto"/>
        <w:rPr>
          <w:rFonts w:ascii="宋体" w:hAnsi="宋体"/>
          <w:b/>
          <w:color w:val="auto"/>
          <w:sz w:val="24"/>
        </w:rPr>
      </w:pPr>
    </w:p>
    <w:p w14:paraId="221284C1">
      <w:pPr>
        <w:snapToGrid w:val="0"/>
        <w:spacing w:before="120" w:beforeLines="50" w:after="50" w:line="360" w:lineRule="auto"/>
        <w:rPr>
          <w:rFonts w:ascii="宋体" w:hAnsi="宋体"/>
          <w:b/>
          <w:color w:val="auto"/>
          <w:sz w:val="24"/>
        </w:rPr>
      </w:pPr>
    </w:p>
    <w:p w14:paraId="24C3FBB6">
      <w:pPr>
        <w:snapToGrid w:val="0"/>
        <w:spacing w:before="120" w:beforeLines="50" w:after="50" w:line="360" w:lineRule="auto"/>
        <w:ind w:left="142"/>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3. 投标函格式：</w:t>
      </w:r>
    </w:p>
    <w:p w14:paraId="6E02FB44">
      <w:pPr>
        <w:snapToGrid w:val="0"/>
        <w:spacing w:before="120" w:beforeLines="50" w:after="50"/>
        <w:jc w:val="center"/>
        <w:rPr>
          <w:rFonts w:ascii="宋体" w:hAnsi="宋体" w:cs="微软雅黑"/>
          <w:bCs/>
          <w:color w:val="auto"/>
          <w:sz w:val="40"/>
          <w:szCs w:val="40"/>
        </w:rPr>
      </w:pPr>
      <w:r>
        <w:rPr>
          <w:rFonts w:hint="eastAsia" w:ascii="宋体" w:hAnsi="宋体" w:cs="微软雅黑"/>
          <w:bCs/>
          <w:color w:val="auto"/>
          <w:sz w:val="40"/>
          <w:szCs w:val="40"/>
        </w:rPr>
        <w:t>投 标 函</w:t>
      </w:r>
    </w:p>
    <w:p w14:paraId="777B6863">
      <w:pPr>
        <w:spacing w:line="360" w:lineRule="auto"/>
        <w:contextualSpacing/>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采购人名称</w:t>
      </w:r>
    </w:p>
    <w:p w14:paraId="5B626542">
      <w:pPr>
        <w:spacing w:line="360" w:lineRule="auto"/>
        <w:ind w:firstLine="480"/>
        <w:contextualSpacing/>
        <w:rPr>
          <w:rFonts w:ascii="宋体" w:hAnsi="宋体"/>
          <w:color w:val="auto"/>
          <w:szCs w:val="21"/>
        </w:rPr>
      </w:pPr>
      <w:r>
        <w:rPr>
          <w:rFonts w:hint="eastAsia" w:ascii="宋体" w:hAnsi="宋体"/>
          <w:color w:val="auto"/>
          <w:szCs w:val="21"/>
        </w:rPr>
        <w:t>根据贵方</w:t>
      </w:r>
      <w:r>
        <w:rPr>
          <w:rFonts w:hint="eastAsia" w:ascii="宋体" w:hAnsi="宋体"/>
          <w:color w:val="auto"/>
          <w:szCs w:val="21"/>
          <w:u w:val="single"/>
        </w:rPr>
        <w:t xml:space="preserve">  （项目名称）       </w:t>
      </w:r>
      <w:r>
        <w:rPr>
          <w:rFonts w:hint="eastAsia" w:ascii="宋体" w:hAnsi="宋体"/>
          <w:color w:val="auto"/>
          <w:szCs w:val="21"/>
        </w:rPr>
        <w:t>（项目编号：</w:t>
      </w:r>
      <w:r>
        <w:rPr>
          <w:rFonts w:hint="eastAsia" w:ascii="宋体" w:hAnsi="宋体"/>
          <w:color w:val="auto"/>
          <w:szCs w:val="21"/>
          <w:u w:val="single"/>
        </w:rPr>
        <w:t xml:space="preserve">             </w:t>
      </w:r>
      <w:r>
        <w:rPr>
          <w:rFonts w:hint="eastAsia" w:ascii="宋体" w:hAnsi="宋体"/>
          <w:color w:val="auto"/>
          <w:szCs w:val="21"/>
        </w:rPr>
        <w:t>）的招标公告，签字代表</w:t>
      </w:r>
      <w:r>
        <w:rPr>
          <w:rFonts w:hint="eastAsia" w:ascii="宋体" w:hAnsi="宋体"/>
          <w:color w:val="auto"/>
          <w:szCs w:val="21"/>
          <w:u w:val="single"/>
        </w:rPr>
        <w:t xml:space="preserve">     </w:t>
      </w:r>
      <w:r>
        <w:rPr>
          <w:rFonts w:hint="eastAsia" w:ascii="宋体" w:hAnsi="宋体"/>
          <w:color w:val="auto"/>
          <w:szCs w:val="21"/>
        </w:rPr>
        <w:t>（姓名）经正式授权并代表供应商</w:t>
      </w:r>
      <w:r>
        <w:rPr>
          <w:rFonts w:hint="eastAsia" w:ascii="宋体" w:hAnsi="宋体"/>
          <w:color w:val="auto"/>
          <w:szCs w:val="21"/>
          <w:u w:val="single"/>
        </w:rPr>
        <w:t xml:space="preserve">（供应商名称）          </w:t>
      </w:r>
      <w:r>
        <w:rPr>
          <w:rFonts w:hint="eastAsia" w:ascii="宋体" w:hAnsi="宋体"/>
          <w:color w:val="auto"/>
          <w:szCs w:val="21"/>
        </w:rPr>
        <w:t>提交投标文件。</w:t>
      </w:r>
    </w:p>
    <w:p w14:paraId="25BFDF71">
      <w:pPr>
        <w:spacing w:line="360" w:lineRule="auto"/>
        <w:ind w:firstLine="420" w:firstLineChars="200"/>
        <w:contextualSpacing/>
        <w:rPr>
          <w:rFonts w:ascii="宋体" w:hAnsi="宋体"/>
          <w:color w:val="auto"/>
          <w:szCs w:val="21"/>
        </w:rPr>
      </w:pPr>
      <w:r>
        <w:rPr>
          <w:rFonts w:hint="eastAsia" w:ascii="宋体" w:hAnsi="宋体"/>
          <w:color w:val="auto"/>
          <w:szCs w:val="21"/>
        </w:rPr>
        <w:t>据此函，我方宣布同意如下：</w:t>
      </w:r>
    </w:p>
    <w:p w14:paraId="79B604C8">
      <w:pPr>
        <w:spacing w:line="360" w:lineRule="auto"/>
        <w:ind w:firstLine="420" w:firstLineChars="200"/>
        <w:contextualSpacing/>
        <w:rPr>
          <w:rFonts w:ascii="宋体" w:hAnsi="宋体"/>
          <w:color w:val="auto"/>
          <w:szCs w:val="21"/>
        </w:rPr>
      </w:pPr>
      <w:r>
        <w:rPr>
          <w:rFonts w:hint="eastAsia" w:ascii="宋体" w:hAnsi="宋体"/>
          <w:color w:val="auto"/>
          <w:szCs w:val="21"/>
        </w:rPr>
        <w:t>1.我方已详细审查全部“招标文件”，包括修改文件（如有的话）以及全部参考资料和有关附件，已经了解我方对于招标文件、采购过程、采购结果有依法进行询问、质疑、投诉的权利及相关渠道和要求。</w:t>
      </w:r>
    </w:p>
    <w:p w14:paraId="6FC7D9EF">
      <w:pPr>
        <w:spacing w:line="360" w:lineRule="auto"/>
        <w:ind w:firstLine="420" w:firstLineChars="200"/>
        <w:contextualSpacing/>
        <w:rPr>
          <w:rFonts w:ascii="宋体" w:hAnsi="宋体"/>
          <w:color w:val="auto"/>
          <w:szCs w:val="21"/>
        </w:rPr>
      </w:pPr>
      <w:r>
        <w:rPr>
          <w:rFonts w:hint="eastAsia" w:ascii="宋体" w:hAnsi="宋体"/>
          <w:color w:val="auto"/>
          <w:szCs w:val="21"/>
        </w:rPr>
        <w:t>2.我方在投标之前已经完全理解并接受招标文件的各项规定和要求，对招标文件的合理性、合法性不再有异议。</w:t>
      </w:r>
    </w:p>
    <w:p w14:paraId="70DC44E0">
      <w:pPr>
        <w:spacing w:line="360" w:lineRule="auto"/>
        <w:ind w:firstLine="420" w:firstLineChars="200"/>
        <w:contextualSpacing/>
        <w:rPr>
          <w:rFonts w:ascii="宋体" w:hAnsi="宋体"/>
          <w:color w:val="auto"/>
          <w:szCs w:val="21"/>
        </w:rPr>
      </w:pPr>
      <w:r>
        <w:rPr>
          <w:rFonts w:hint="eastAsia" w:ascii="宋体" w:hAnsi="宋体"/>
          <w:color w:val="auto"/>
          <w:szCs w:val="21"/>
        </w:rPr>
        <w:t>3.本投标有效期自投标截止之日起</w:t>
      </w:r>
      <w:r>
        <w:rPr>
          <w:rFonts w:hint="eastAsia" w:ascii="宋体" w:hAnsi="宋体"/>
          <w:color w:val="auto"/>
          <w:szCs w:val="21"/>
          <w:u w:val="single"/>
          <w:lang w:val="en-US" w:eastAsia="zh-CN"/>
        </w:rPr>
        <w:t>9</w:t>
      </w:r>
      <w:r>
        <w:rPr>
          <w:rFonts w:hint="eastAsia" w:ascii="宋体" w:hAnsi="宋体"/>
          <w:color w:val="auto"/>
          <w:szCs w:val="21"/>
          <w:u w:val="single"/>
        </w:rPr>
        <w:t>0</w:t>
      </w:r>
      <w:r>
        <w:rPr>
          <w:rFonts w:hint="eastAsia" w:ascii="宋体" w:hAnsi="宋体"/>
          <w:color w:val="auto"/>
          <w:szCs w:val="21"/>
        </w:rPr>
        <w:t>日。</w:t>
      </w:r>
    </w:p>
    <w:p w14:paraId="6BBB4555">
      <w:pPr>
        <w:spacing w:line="360" w:lineRule="auto"/>
        <w:ind w:firstLine="420" w:firstLineChars="200"/>
        <w:contextualSpacing/>
        <w:rPr>
          <w:rFonts w:ascii="宋体" w:hAnsi="宋体"/>
          <w:color w:val="auto"/>
          <w:szCs w:val="21"/>
        </w:rPr>
      </w:pPr>
      <w:r>
        <w:rPr>
          <w:rFonts w:hint="eastAsia" w:ascii="宋体" w:hAnsi="宋体"/>
          <w:color w:val="auto"/>
          <w:szCs w:val="21"/>
        </w:rPr>
        <w:t>4.如中标，本投标文件至本项目合同履行完毕止均保持有效，我方将按“招标文件”及政府采购法律、法规的规定履行合同责任和义务。</w:t>
      </w:r>
    </w:p>
    <w:p w14:paraId="75C67E6A">
      <w:pPr>
        <w:spacing w:line="360" w:lineRule="auto"/>
        <w:ind w:firstLine="420" w:firstLineChars="200"/>
        <w:contextualSpacing/>
        <w:rPr>
          <w:rFonts w:ascii="宋体" w:hAnsi="宋体"/>
          <w:color w:val="auto"/>
          <w:szCs w:val="21"/>
        </w:rPr>
      </w:pPr>
      <w:r>
        <w:rPr>
          <w:rFonts w:hint="eastAsia" w:ascii="宋体" w:hAnsi="宋体"/>
          <w:color w:val="auto"/>
          <w:szCs w:val="21"/>
        </w:rPr>
        <w:t>5.我方同意按照贵方要求提供与投标有关的一切数据或者资料。</w:t>
      </w:r>
    </w:p>
    <w:p w14:paraId="786EBF56">
      <w:pPr>
        <w:spacing w:line="360" w:lineRule="auto"/>
        <w:ind w:firstLine="420" w:firstLineChars="200"/>
        <w:contextualSpacing/>
        <w:rPr>
          <w:rFonts w:ascii="宋体" w:hAnsi="宋体"/>
          <w:color w:val="auto"/>
          <w:szCs w:val="21"/>
        </w:rPr>
      </w:pPr>
      <w:r>
        <w:rPr>
          <w:rFonts w:hint="eastAsia" w:ascii="宋体" w:hAnsi="宋体"/>
          <w:color w:val="auto"/>
          <w:szCs w:val="21"/>
        </w:rPr>
        <w:t>6.我方向贵方提交的所有投标文件、资料都是准确的和真实的。</w:t>
      </w:r>
    </w:p>
    <w:p w14:paraId="72667355">
      <w:pPr>
        <w:spacing w:line="360" w:lineRule="auto"/>
        <w:ind w:firstLine="420" w:firstLineChars="200"/>
        <w:contextualSpacing/>
        <w:rPr>
          <w:rFonts w:ascii="宋体" w:hAnsi="宋体"/>
          <w:color w:val="auto"/>
          <w:szCs w:val="21"/>
        </w:rPr>
      </w:pPr>
      <w:r>
        <w:rPr>
          <w:rFonts w:hint="eastAsia" w:ascii="宋体" w:hAnsi="宋体"/>
          <w:color w:val="auto"/>
          <w:szCs w:val="21"/>
        </w:rPr>
        <w:t>7.以上事项如有虚假或者隐瞒，我方愿意承担一切后果，并不再寻求任何旨在减轻或者免除法律责任的辩解。</w:t>
      </w:r>
    </w:p>
    <w:p w14:paraId="5FE020CA">
      <w:pPr>
        <w:spacing w:line="360" w:lineRule="auto"/>
        <w:ind w:firstLine="420" w:firstLineChars="200"/>
        <w:contextualSpacing/>
        <w:rPr>
          <w:rFonts w:ascii="宋体" w:hAnsi="宋体"/>
          <w:color w:val="auto"/>
          <w:szCs w:val="21"/>
        </w:rPr>
      </w:pPr>
      <w:r>
        <w:rPr>
          <w:rFonts w:hint="eastAsia" w:ascii="宋体" w:hAnsi="宋体"/>
          <w:color w:val="auto"/>
          <w:szCs w:val="21"/>
        </w:rPr>
        <w:t>8.根据</w:t>
      </w:r>
      <w:r>
        <w:rPr>
          <w:rFonts w:ascii="宋体" w:hAnsi="宋体"/>
          <w:color w:val="auto"/>
          <w:szCs w:val="21"/>
        </w:rPr>
        <w:t>《中华人民共和国政府采购法实施条例》第五十条要求对政府采购合同进行公告</w:t>
      </w:r>
      <w:r>
        <w:rPr>
          <w:rFonts w:hint="eastAsia" w:ascii="宋体" w:hAnsi="宋体"/>
          <w:color w:val="auto"/>
          <w:szCs w:val="21"/>
        </w:rPr>
        <w:t>，</w:t>
      </w:r>
      <w:r>
        <w:rPr>
          <w:rFonts w:ascii="宋体" w:hAnsi="宋体"/>
          <w:color w:val="auto"/>
          <w:szCs w:val="21"/>
        </w:rPr>
        <w:t>但政府采购合同中涉及国家秘密、商业秘密的内容除外。</w:t>
      </w:r>
      <w:r>
        <w:rPr>
          <w:rFonts w:hint="eastAsia" w:ascii="宋体" w:hAnsi="宋体"/>
          <w:color w:val="auto"/>
          <w:szCs w:val="21"/>
        </w:rPr>
        <w:t>我方就对本次投标文件进行注明如下：（两项内容中必须选择一项）</w:t>
      </w:r>
    </w:p>
    <w:p w14:paraId="19267A31">
      <w:pPr>
        <w:spacing w:line="360" w:lineRule="auto"/>
        <w:ind w:firstLine="420" w:firstLineChars="200"/>
        <w:contextualSpacing/>
        <w:rPr>
          <w:rFonts w:ascii="宋体" w:hAnsi="宋体"/>
          <w:color w:val="auto"/>
          <w:szCs w:val="21"/>
        </w:rPr>
      </w:pPr>
      <w:r>
        <w:rPr>
          <w:rFonts w:hint="eastAsia" w:ascii="宋体" w:hAnsi="宋体"/>
          <w:color w:val="auto"/>
          <w:szCs w:val="21"/>
        </w:rPr>
        <w:t>□我方本次投标文件</w:t>
      </w:r>
      <w:r>
        <w:rPr>
          <w:rFonts w:ascii="宋体" w:hAnsi="宋体" w:cs="宋体"/>
          <w:color w:val="auto"/>
          <w:kern w:val="0"/>
          <w:szCs w:val="21"/>
        </w:rPr>
        <w:t>内容中</w:t>
      </w:r>
      <w:r>
        <w:rPr>
          <w:rFonts w:hint="eastAsia" w:ascii="宋体" w:hAnsi="宋体"/>
          <w:color w:val="auto"/>
          <w:szCs w:val="21"/>
        </w:rPr>
        <w:t>未</w:t>
      </w:r>
      <w:r>
        <w:rPr>
          <w:rFonts w:ascii="宋体" w:hAnsi="宋体" w:cs="宋体"/>
          <w:color w:val="auto"/>
          <w:kern w:val="0"/>
          <w:szCs w:val="21"/>
        </w:rPr>
        <w:t>涉及商业秘密</w:t>
      </w:r>
      <w:r>
        <w:rPr>
          <w:rFonts w:hint="eastAsia" w:ascii="宋体" w:hAnsi="宋体" w:cs="宋体"/>
          <w:color w:val="auto"/>
          <w:kern w:val="0"/>
          <w:szCs w:val="21"/>
        </w:rPr>
        <w:t>；</w:t>
      </w:r>
    </w:p>
    <w:p w14:paraId="6A2350D4">
      <w:pPr>
        <w:spacing w:line="360" w:lineRule="auto"/>
        <w:ind w:firstLine="420" w:firstLineChars="200"/>
        <w:contextualSpacing/>
        <w:rPr>
          <w:rFonts w:ascii="宋体" w:hAnsi="宋体"/>
          <w:color w:val="auto"/>
          <w:szCs w:val="21"/>
        </w:rPr>
      </w:pPr>
      <w:r>
        <w:rPr>
          <w:rFonts w:hint="eastAsia" w:ascii="宋体" w:hAnsi="宋体"/>
          <w:color w:val="auto"/>
          <w:szCs w:val="21"/>
        </w:rPr>
        <w:t>□我方本次投标文件</w:t>
      </w:r>
      <w:r>
        <w:rPr>
          <w:rFonts w:ascii="宋体" w:hAnsi="宋体" w:cs="宋体"/>
          <w:color w:val="auto"/>
          <w:kern w:val="0"/>
          <w:szCs w:val="21"/>
        </w:rPr>
        <w:t>涉及商业秘密</w:t>
      </w:r>
      <w:r>
        <w:rPr>
          <w:rFonts w:hint="eastAsia" w:ascii="宋体" w:hAnsi="宋体" w:cs="宋体"/>
          <w:color w:val="auto"/>
          <w:kern w:val="0"/>
          <w:szCs w:val="21"/>
        </w:rPr>
        <w:t>的</w:t>
      </w:r>
      <w:r>
        <w:rPr>
          <w:rFonts w:ascii="宋体" w:hAnsi="宋体" w:cs="宋体"/>
          <w:color w:val="auto"/>
          <w:kern w:val="0"/>
          <w:szCs w:val="21"/>
        </w:rPr>
        <w:t>内容</w:t>
      </w:r>
      <w:r>
        <w:rPr>
          <w:rFonts w:hint="eastAsia" w:ascii="宋体" w:hAnsi="宋体" w:cs="宋体"/>
          <w:color w:val="auto"/>
          <w:kern w:val="0"/>
          <w:szCs w:val="21"/>
        </w:rPr>
        <w:t>有：</w:t>
      </w:r>
      <w:r>
        <w:rPr>
          <w:rFonts w:hint="eastAsia" w:ascii="宋体" w:hAnsi="宋体"/>
          <w:color w:val="auto"/>
          <w:szCs w:val="21"/>
          <w:u w:val="single"/>
        </w:rPr>
        <w:t xml:space="preserve">            </w:t>
      </w:r>
      <w:r>
        <w:rPr>
          <w:rFonts w:hint="eastAsia" w:ascii="宋体" w:hAnsi="宋体" w:cs="宋体"/>
          <w:color w:val="auto"/>
          <w:kern w:val="0"/>
          <w:szCs w:val="21"/>
        </w:rPr>
        <w:t>；</w:t>
      </w:r>
    </w:p>
    <w:p w14:paraId="477715B5">
      <w:pPr>
        <w:spacing w:line="360" w:lineRule="auto"/>
        <w:ind w:firstLine="420" w:firstLineChars="200"/>
        <w:contextualSpacing/>
        <w:rPr>
          <w:rFonts w:ascii="宋体" w:hAnsi="宋体"/>
          <w:color w:val="auto"/>
          <w:szCs w:val="21"/>
        </w:rPr>
      </w:pPr>
      <w:r>
        <w:rPr>
          <w:rFonts w:hint="eastAsia" w:ascii="宋体" w:hAnsi="宋体"/>
          <w:color w:val="auto"/>
          <w:szCs w:val="21"/>
        </w:rPr>
        <w:t>9.与本投标有关的一切正式往来信函请寄：</w:t>
      </w:r>
    </w:p>
    <w:p w14:paraId="72FB2EFF">
      <w:pPr>
        <w:spacing w:line="360" w:lineRule="auto"/>
        <w:ind w:firstLine="420" w:firstLineChars="200"/>
        <w:contextualSpacing/>
        <w:rPr>
          <w:rFonts w:ascii="宋体" w:hAnsi="宋体"/>
          <w:color w:val="auto"/>
          <w:szCs w:val="21"/>
          <w:u w:val="single"/>
        </w:rPr>
      </w:pPr>
      <w:r>
        <w:rPr>
          <w:rFonts w:hint="eastAsia" w:ascii="宋体" w:hAnsi="宋体"/>
          <w:color w:val="auto"/>
          <w:szCs w:val="21"/>
        </w:rPr>
        <w:t>地址：</w:t>
      </w:r>
      <w:r>
        <w:rPr>
          <w:rFonts w:hint="eastAsia" w:ascii="宋体" w:hAnsi="宋体"/>
          <w:color w:val="auto"/>
          <w:szCs w:val="21"/>
          <w:u w:val="single"/>
        </w:rPr>
        <w:t xml:space="preserve">              </w:t>
      </w:r>
      <w:r>
        <w:rPr>
          <w:rFonts w:hint="eastAsia" w:ascii="宋体" w:hAnsi="宋体"/>
          <w:color w:val="auto"/>
          <w:szCs w:val="21"/>
        </w:rPr>
        <w:t>邮编：</w:t>
      </w:r>
      <w:r>
        <w:rPr>
          <w:rFonts w:hint="eastAsia" w:ascii="宋体" w:hAnsi="宋体"/>
          <w:color w:val="auto"/>
          <w:szCs w:val="21"/>
          <w:u w:val="single"/>
        </w:rPr>
        <w:t xml:space="preserve">            </w:t>
      </w:r>
    </w:p>
    <w:p w14:paraId="0C820F45">
      <w:pPr>
        <w:spacing w:line="360" w:lineRule="auto"/>
        <w:ind w:firstLine="420" w:firstLineChars="200"/>
        <w:contextualSpacing/>
        <w:rPr>
          <w:rFonts w:ascii="宋体" w:hAnsi="宋体"/>
          <w:color w:val="auto"/>
          <w:szCs w:val="21"/>
          <w:u w:val="single"/>
        </w:rPr>
      </w:pPr>
      <w:r>
        <w:rPr>
          <w:rFonts w:hint="eastAsia" w:ascii="宋体" w:hAnsi="宋体"/>
          <w:color w:val="auto"/>
          <w:szCs w:val="21"/>
        </w:rPr>
        <w:t>电话：</w:t>
      </w:r>
      <w:r>
        <w:rPr>
          <w:rFonts w:hint="eastAsia" w:ascii="宋体" w:hAnsi="宋体"/>
          <w:color w:val="auto"/>
          <w:szCs w:val="21"/>
          <w:u w:val="single"/>
        </w:rPr>
        <w:t xml:space="preserve">           </w:t>
      </w:r>
      <w:r>
        <w:rPr>
          <w:rFonts w:hint="eastAsia" w:ascii="宋体" w:hAnsi="宋体"/>
          <w:color w:val="auto"/>
          <w:szCs w:val="21"/>
        </w:rPr>
        <w:t>传真：</w:t>
      </w:r>
      <w:r>
        <w:rPr>
          <w:rFonts w:hint="eastAsia" w:ascii="宋体" w:hAnsi="宋体"/>
          <w:color w:val="auto"/>
          <w:szCs w:val="21"/>
          <w:u w:val="single"/>
        </w:rPr>
        <w:t xml:space="preserve">           </w:t>
      </w:r>
    </w:p>
    <w:p w14:paraId="33F000E9">
      <w:pPr>
        <w:spacing w:line="360" w:lineRule="auto"/>
        <w:ind w:firstLine="420" w:firstLineChars="200"/>
        <w:contextualSpacing/>
        <w:rPr>
          <w:rFonts w:ascii="宋体" w:hAnsi="宋体"/>
          <w:color w:val="auto"/>
          <w:szCs w:val="21"/>
          <w:u w:val="single"/>
        </w:rPr>
      </w:pPr>
      <w:r>
        <w:rPr>
          <w:rFonts w:hint="eastAsia" w:ascii="宋体" w:hAnsi="宋体"/>
          <w:color w:val="auto"/>
          <w:szCs w:val="21"/>
        </w:rPr>
        <w:t>供应商名称：</w:t>
      </w:r>
      <w:r>
        <w:rPr>
          <w:rFonts w:hint="eastAsia" w:ascii="宋体" w:hAnsi="宋体"/>
          <w:color w:val="auto"/>
          <w:szCs w:val="21"/>
          <w:u w:val="single"/>
        </w:rPr>
        <w:t xml:space="preserve">            </w:t>
      </w:r>
    </w:p>
    <w:p w14:paraId="7D22D57C">
      <w:pPr>
        <w:spacing w:line="360" w:lineRule="auto"/>
        <w:ind w:firstLine="420" w:firstLineChars="200"/>
        <w:contextualSpacing/>
        <w:jc w:val="left"/>
        <w:rPr>
          <w:rFonts w:hint="eastAsia" w:ascii="宋体" w:hAnsi="宋体"/>
          <w:color w:val="auto"/>
          <w:szCs w:val="21"/>
          <w:u w:val="single"/>
        </w:rPr>
      </w:pPr>
      <w:r>
        <w:rPr>
          <w:rFonts w:hint="eastAsia" w:ascii="宋体" w:hAnsi="宋体"/>
          <w:color w:val="auto"/>
          <w:szCs w:val="21"/>
        </w:rPr>
        <w:t>开户银行：</w:t>
      </w:r>
      <w:r>
        <w:rPr>
          <w:rFonts w:hint="eastAsia" w:ascii="宋体" w:hAnsi="宋体"/>
          <w:color w:val="auto"/>
          <w:szCs w:val="21"/>
          <w:u w:val="single"/>
        </w:rPr>
        <w:t xml:space="preserve">             </w:t>
      </w:r>
    </w:p>
    <w:p w14:paraId="13B46A1A">
      <w:pPr>
        <w:spacing w:line="360" w:lineRule="auto"/>
        <w:ind w:firstLine="420" w:firstLineChars="200"/>
        <w:contextualSpacing/>
        <w:jc w:val="left"/>
        <w:rPr>
          <w:rFonts w:ascii="宋体" w:hAnsi="宋体"/>
          <w:color w:val="auto"/>
          <w:szCs w:val="21"/>
          <w:u w:val="single"/>
        </w:rPr>
      </w:pPr>
      <w:r>
        <w:rPr>
          <w:rFonts w:hint="eastAsia" w:ascii="宋体" w:hAnsi="宋体"/>
          <w:color w:val="auto"/>
          <w:szCs w:val="21"/>
        </w:rPr>
        <w:t>银行账号：</w:t>
      </w:r>
      <w:r>
        <w:rPr>
          <w:rFonts w:hint="eastAsia" w:ascii="宋体" w:hAnsi="宋体"/>
          <w:color w:val="auto"/>
          <w:szCs w:val="21"/>
          <w:u w:val="single"/>
        </w:rPr>
        <w:t xml:space="preserve">              </w:t>
      </w:r>
    </w:p>
    <w:p w14:paraId="2E9E96F7">
      <w:pPr>
        <w:spacing w:line="360" w:lineRule="auto"/>
        <w:ind w:firstLine="420" w:firstLineChars="200"/>
        <w:contextualSpacing/>
        <w:jc w:val="left"/>
        <w:rPr>
          <w:rFonts w:ascii="宋体" w:hAnsi="宋体"/>
          <w:color w:val="auto"/>
          <w:szCs w:val="21"/>
        </w:rPr>
      </w:pPr>
      <w:r>
        <w:rPr>
          <w:rFonts w:hint="eastAsia" w:ascii="宋体" w:hAnsi="宋体"/>
          <w:color w:val="auto"/>
          <w:szCs w:val="21"/>
        </w:rPr>
        <w:t>法定代表人或者委托代理人签字（或签章）：</w:t>
      </w:r>
      <w:r>
        <w:rPr>
          <w:rFonts w:hint="eastAsia" w:ascii="宋体" w:hAnsi="宋体"/>
          <w:color w:val="auto"/>
          <w:szCs w:val="21"/>
          <w:u w:val="single"/>
        </w:rPr>
        <w:t xml:space="preserve">                         </w:t>
      </w:r>
    </w:p>
    <w:p w14:paraId="2C7EC836">
      <w:pPr>
        <w:pStyle w:val="24"/>
        <w:spacing w:line="360" w:lineRule="auto"/>
        <w:contextualSpacing/>
        <w:jc w:val="center"/>
        <w:rPr>
          <w:rFonts w:hint="eastAsia" w:hAnsi="宋体"/>
          <w:color w:val="auto"/>
          <w:sz w:val="21"/>
        </w:rPr>
      </w:pPr>
    </w:p>
    <w:p w14:paraId="71690B3F">
      <w:pPr>
        <w:spacing w:line="360" w:lineRule="auto"/>
        <w:jc w:val="center"/>
        <w:rPr>
          <w:rFonts w:ascii="宋体" w:hAnsi="宋体"/>
          <w:color w:val="auto"/>
          <w:szCs w:val="21"/>
          <w:u w:val="single"/>
        </w:rPr>
      </w:pPr>
      <w:r>
        <w:rPr>
          <w:rFonts w:hint="eastAsia" w:ascii="宋体" w:hAnsi="宋体"/>
          <w:color w:val="auto"/>
          <w:szCs w:val="21"/>
        </w:rPr>
        <w:t>法定代表人或委托代理人</w:t>
      </w:r>
      <w:r>
        <w:rPr>
          <w:rFonts w:hint="eastAsia" w:ascii="宋体" w:hAnsi="宋体"/>
          <w:b/>
          <w:bCs/>
          <w:color w:val="auto"/>
          <w:szCs w:val="21"/>
        </w:rPr>
        <w:t>（</w:t>
      </w:r>
      <w:r>
        <w:rPr>
          <w:rFonts w:hint="eastAsia" w:ascii="宋体" w:hAnsi="宋体"/>
          <w:color w:val="auto"/>
          <w:szCs w:val="21"/>
        </w:rPr>
        <w:t>签字或签章</w:t>
      </w:r>
      <w:r>
        <w:rPr>
          <w:rFonts w:hint="eastAsia" w:ascii="宋体" w:hAnsi="宋体"/>
          <w:b/>
          <w:bCs/>
          <w:color w:val="auto"/>
          <w:szCs w:val="21"/>
        </w:rPr>
        <w:t>）：</w:t>
      </w:r>
    </w:p>
    <w:p w14:paraId="200965DB">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593E57C3">
      <w:pPr>
        <w:pStyle w:val="24"/>
        <w:spacing w:line="360" w:lineRule="auto"/>
        <w:jc w:val="right"/>
        <w:rPr>
          <w:rFonts w:hAnsi="宋体"/>
          <w:b/>
          <w:color w:val="auto"/>
          <w:sz w:val="30"/>
          <w:szCs w:val="30"/>
        </w:rPr>
      </w:pPr>
      <w:r>
        <w:rPr>
          <w:rFonts w:hint="eastAsia" w:hAnsi="宋体"/>
          <w:color w:val="auto"/>
          <w:sz w:val="21"/>
        </w:rPr>
        <w:t>日期：    年   月  日</w:t>
      </w:r>
    </w:p>
    <w:p w14:paraId="5AC42FF6">
      <w:pPr>
        <w:pStyle w:val="24"/>
        <w:spacing w:line="360" w:lineRule="auto"/>
        <w:contextualSpacing/>
        <w:rPr>
          <w:rFonts w:hAnsi="宋体"/>
          <w:b/>
          <w:color w:val="auto"/>
          <w:sz w:val="24"/>
          <w:szCs w:val="20"/>
        </w:rPr>
      </w:pPr>
      <w:r>
        <w:rPr>
          <w:rFonts w:hint="eastAsia" w:hAnsi="宋体"/>
          <w:b/>
          <w:color w:val="auto"/>
          <w:sz w:val="28"/>
          <w:szCs w:val="22"/>
        </w:rPr>
        <w:t>4. 开标一览表</w:t>
      </w:r>
    </w:p>
    <w:p w14:paraId="3F609556">
      <w:pPr>
        <w:snapToGrid w:val="0"/>
        <w:spacing w:before="50" w:after="50" w:line="360" w:lineRule="auto"/>
        <w:jc w:val="center"/>
        <w:rPr>
          <w:rFonts w:ascii="宋体" w:hAnsi="宋体"/>
          <w:b/>
          <w:color w:val="auto"/>
          <w:sz w:val="30"/>
        </w:rPr>
      </w:pPr>
      <w:r>
        <w:rPr>
          <w:rFonts w:hint="eastAsia" w:ascii="宋体" w:hAnsi="宋体"/>
          <w:bCs/>
          <w:color w:val="auto"/>
          <w:sz w:val="36"/>
          <w:szCs w:val="32"/>
        </w:rPr>
        <w:t>开标一览表</w:t>
      </w:r>
    </w:p>
    <w:p w14:paraId="0FC41016">
      <w:pPr>
        <w:snapToGrid w:val="0"/>
        <w:spacing w:before="50" w:after="50" w:line="360" w:lineRule="auto"/>
        <w:rPr>
          <w:rFonts w:hint="eastAsia" w:ascii="宋体" w:hAnsi="宋体"/>
          <w:color w:val="auto"/>
          <w:szCs w:val="21"/>
        </w:rPr>
      </w:pPr>
      <w:r>
        <w:rPr>
          <w:rFonts w:hint="eastAsia" w:ascii="宋体" w:hAnsi="宋体"/>
          <w:color w:val="auto"/>
          <w:szCs w:val="21"/>
        </w:rPr>
        <w:t xml:space="preserve">项目名称：            </w:t>
      </w:r>
    </w:p>
    <w:p w14:paraId="2C7B7801">
      <w:pPr>
        <w:snapToGrid w:val="0"/>
        <w:spacing w:before="50" w:after="50" w:line="360" w:lineRule="auto"/>
        <w:rPr>
          <w:rFonts w:ascii="宋体" w:hAnsi="宋体"/>
          <w:color w:val="auto"/>
          <w:szCs w:val="21"/>
          <w:u w:val="single"/>
        </w:rPr>
      </w:pPr>
      <w:r>
        <w:rPr>
          <w:rFonts w:hint="eastAsia" w:ascii="宋体" w:hAnsi="宋体"/>
          <w:color w:val="auto"/>
          <w:szCs w:val="21"/>
        </w:rPr>
        <w:t>项目编号：</w:t>
      </w:r>
    </w:p>
    <w:tbl>
      <w:tblPr>
        <w:tblStyle w:val="47"/>
        <w:tblW w:w="104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7"/>
        <w:gridCol w:w="1171"/>
        <w:gridCol w:w="1417"/>
        <w:gridCol w:w="850"/>
        <w:gridCol w:w="1215"/>
        <w:gridCol w:w="1140"/>
        <w:gridCol w:w="1320"/>
        <w:gridCol w:w="975"/>
        <w:gridCol w:w="1721"/>
      </w:tblGrid>
      <w:tr w14:paraId="03BCC0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57" w:type="dxa"/>
            <w:tcBorders>
              <w:top w:val="single" w:color="auto" w:sz="4" w:space="0"/>
              <w:left w:val="single" w:color="auto" w:sz="4" w:space="0"/>
              <w:bottom w:val="single" w:color="auto" w:sz="4" w:space="0"/>
              <w:right w:val="single" w:color="auto" w:sz="4" w:space="0"/>
            </w:tcBorders>
            <w:noWrap/>
            <w:vAlign w:val="center"/>
          </w:tcPr>
          <w:p w14:paraId="53113F3F">
            <w:pPr>
              <w:snapToGrid w:val="0"/>
              <w:spacing w:before="50" w:after="50" w:line="360" w:lineRule="auto"/>
              <w:rPr>
                <w:rFonts w:ascii="宋体" w:hAnsi="宋体"/>
                <w:color w:val="auto"/>
                <w:szCs w:val="21"/>
              </w:rPr>
            </w:pPr>
            <w:bookmarkStart w:id="147" w:name="_Hlk50566116"/>
            <w:r>
              <w:rPr>
                <w:rFonts w:hint="eastAsia" w:ascii="宋体" w:hAnsi="宋体"/>
                <w:color w:val="auto"/>
                <w:szCs w:val="21"/>
              </w:rPr>
              <w:t>序号</w:t>
            </w:r>
          </w:p>
        </w:tc>
        <w:tc>
          <w:tcPr>
            <w:tcW w:w="1171" w:type="dxa"/>
            <w:tcBorders>
              <w:top w:val="single" w:color="auto" w:sz="4" w:space="0"/>
              <w:left w:val="single" w:color="auto" w:sz="4" w:space="0"/>
              <w:bottom w:val="single" w:color="auto" w:sz="4" w:space="0"/>
              <w:right w:val="single" w:color="auto" w:sz="4" w:space="0"/>
            </w:tcBorders>
            <w:noWrap/>
            <w:vAlign w:val="center"/>
          </w:tcPr>
          <w:p w14:paraId="5DAA664D">
            <w:pPr>
              <w:snapToGrid w:val="0"/>
              <w:spacing w:before="50" w:after="50" w:line="360" w:lineRule="auto"/>
              <w:jc w:val="center"/>
              <w:rPr>
                <w:rFonts w:ascii="宋体" w:hAnsi="宋体"/>
                <w:color w:val="auto"/>
                <w:szCs w:val="21"/>
              </w:rPr>
            </w:pPr>
            <w:r>
              <w:rPr>
                <w:rFonts w:hint="eastAsia" w:ascii="宋体" w:hAnsi="宋体"/>
                <w:color w:val="auto"/>
                <w:szCs w:val="21"/>
              </w:rPr>
              <w:t>标的名称</w:t>
            </w:r>
          </w:p>
        </w:tc>
        <w:tc>
          <w:tcPr>
            <w:tcW w:w="1417" w:type="dxa"/>
            <w:tcBorders>
              <w:top w:val="single" w:color="auto" w:sz="4" w:space="0"/>
              <w:left w:val="single" w:color="auto" w:sz="4" w:space="0"/>
              <w:bottom w:val="single" w:color="auto" w:sz="4" w:space="0"/>
              <w:right w:val="single" w:color="auto" w:sz="4" w:space="0"/>
            </w:tcBorders>
            <w:noWrap/>
            <w:vAlign w:val="center"/>
          </w:tcPr>
          <w:p w14:paraId="5F1CF158">
            <w:pPr>
              <w:snapToGrid w:val="0"/>
              <w:spacing w:before="50" w:after="50" w:line="360" w:lineRule="auto"/>
              <w:jc w:val="center"/>
              <w:rPr>
                <w:rFonts w:ascii="宋体" w:hAnsi="宋体"/>
                <w:color w:val="auto"/>
                <w:szCs w:val="21"/>
              </w:rPr>
            </w:pPr>
            <w:r>
              <w:rPr>
                <w:rFonts w:hint="eastAsia" w:ascii="宋体" w:hAnsi="宋体"/>
                <w:color w:val="auto"/>
                <w:szCs w:val="21"/>
              </w:rPr>
              <w:t>医疗器械备案证/注册证产品名称</w:t>
            </w:r>
          </w:p>
        </w:tc>
        <w:tc>
          <w:tcPr>
            <w:tcW w:w="850" w:type="dxa"/>
            <w:tcBorders>
              <w:top w:val="single" w:color="auto" w:sz="4" w:space="0"/>
              <w:left w:val="single" w:color="auto" w:sz="4" w:space="0"/>
              <w:bottom w:val="single" w:color="auto" w:sz="4" w:space="0"/>
              <w:right w:val="single" w:color="auto" w:sz="4" w:space="0"/>
            </w:tcBorders>
            <w:noWrap/>
            <w:vAlign w:val="center"/>
          </w:tcPr>
          <w:p w14:paraId="1362666D">
            <w:pPr>
              <w:snapToGrid w:val="0"/>
              <w:spacing w:before="50" w:after="50" w:line="360" w:lineRule="auto"/>
              <w:jc w:val="center"/>
              <w:rPr>
                <w:rFonts w:hint="eastAsia" w:ascii="宋体" w:hAnsi="宋体"/>
                <w:color w:val="auto"/>
                <w:szCs w:val="21"/>
              </w:rPr>
            </w:pPr>
            <w:r>
              <w:rPr>
                <w:rFonts w:hint="eastAsia" w:ascii="宋体" w:hAnsi="宋体"/>
                <w:color w:val="auto"/>
                <w:szCs w:val="21"/>
              </w:rPr>
              <w:t>品牌</w:t>
            </w:r>
          </w:p>
        </w:tc>
        <w:tc>
          <w:tcPr>
            <w:tcW w:w="1215" w:type="dxa"/>
            <w:tcBorders>
              <w:top w:val="single" w:color="auto" w:sz="4" w:space="0"/>
              <w:left w:val="single" w:color="auto" w:sz="4" w:space="0"/>
              <w:bottom w:val="single" w:color="auto" w:sz="4" w:space="0"/>
              <w:right w:val="single" w:color="auto" w:sz="4" w:space="0"/>
            </w:tcBorders>
            <w:noWrap/>
            <w:vAlign w:val="center"/>
          </w:tcPr>
          <w:p w14:paraId="283A6DD6">
            <w:pPr>
              <w:snapToGrid w:val="0"/>
              <w:spacing w:before="50" w:after="50" w:line="360" w:lineRule="auto"/>
              <w:jc w:val="center"/>
              <w:rPr>
                <w:rFonts w:ascii="宋体" w:hAnsi="宋体"/>
                <w:color w:val="auto"/>
                <w:szCs w:val="21"/>
              </w:rPr>
            </w:pPr>
            <w:r>
              <w:rPr>
                <w:rFonts w:hint="eastAsia" w:ascii="宋体" w:hAnsi="宋体"/>
                <w:color w:val="auto"/>
                <w:szCs w:val="21"/>
              </w:rPr>
              <w:t>生产厂家</w:t>
            </w:r>
          </w:p>
        </w:tc>
        <w:tc>
          <w:tcPr>
            <w:tcW w:w="1140" w:type="dxa"/>
            <w:tcBorders>
              <w:top w:val="single" w:color="auto" w:sz="4" w:space="0"/>
              <w:left w:val="single" w:color="auto" w:sz="4" w:space="0"/>
              <w:bottom w:val="single" w:color="auto" w:sz="4" w:space="0"/>
              <w:right w:val="single" w:color="auto" w:sz="4" w:space="0"/>
            </w:tcBorders>
            <w:noWrap/>
            <w:vAlign w:val="center"/>
          </w:tcPr>
          <w:p w14:paraId="1AC6DBF7">
            <w:pPr>
              <w:snapToGrid w:val="0"/>
              <w:spacing w:before="50" w:after="50" w:line="360" w:lineRule="auto"/>
              <w:jc w:val="center"/>
              <w:rPr>
                <w:rFonts w:ascii="宋体" w:hAnsi="宋体"/>
                <w:color w:val="auto"/>
                <w:szCs w:val="21"/>
              </w:rPr>
            </w:pPr>
            <w:r>
              <w:rPr>
                <w:rFonts w:hint="eastAsia" w:ascii="宋体" w:hAnsi="宋体"/>
                <w:color w:val="auto"/>
                <w:szCs w:val="21"/>
              </w:rPr>
              <w:t>规格型号</w:t>
            </w:r>
          </w:p>
        </w:tc>
        <w:tc>
          <w:tcPr>
            <w:tcW w:w="1320" w:type="dxa"/>
            <w:tcBorders>
              <w:top w:val="single" w:color="auto" w:sz="4" w:space="0"/>
              <w:left w:val="single" w:color="auto" w:sz="4" w:space="0"/>
              <w:bottom w:val="single" w:color="auto" w:sz="4" w:space="0"/>
              <w:right w:val="single" w:color="auto" w:sz="4" w:space="0"/>
            </w:tcBorders>
            <w:noWrap/>
            <w:vAlign w:val="center"/>
          </w:tcPr>
          <w:p w14:paraId="07626B0D">
            <w:pPr>
              <w:snapToGrid w:val="0"/>
              <w:spacing w:before="50" w:after="50" w:line="360" w:lineRule="auto"/>
              <w:jc w:val="center"/>
              <w:rPr>
                <w:rFonts w:hint="eastAsia" w:ascii="宋体" w:hAnsi="宋体"/>
                <w:color w:val="auto"/>
                <w:szCs w:val="21"/>
              </w:rPr>
            </w:pPr>
            <w:r>
              <w:rPr>
                <w:rFonts w:hint="eastAsia" w:ascii="宋体" w:hAnsi="宋体"/>
                <w:color w:val="auto"/>
                <w:szCs w:val="21"/>
              </w:rPr>
              <w:t>数量及单位</w:t>
            </w:r>
          </w:p>
          <w:p w14:paraId="3DD30A1B">
            <w:pPr>
              <w:pStyle w:val="46"/>
              <w:ind w:left="0" w:leftChars="0" w:firstLine="0" w:firstLineChars="0"/>
              <w:jc w:val="center"/>
              <w:rPr>
                <w:rFonts w:hint="eastAsia"/>
                <w:color w:val="auto"/>
              </w:rPr>
            </w:pPr>
            <w:r>
              <w:rPr>
                <w:rFonts w:ascii="Calibri" w:hAnsi="Calibri" w:cs="Calibri"/>
                <w:color w:val="auto"/>
              </w:rPr>
              <w:t>①</w:t>
            </w:r>
          </w:p>
        </w:tc>
        <w:tc>
          <w:tcPr>
            <w:tcW w:w="975" w:type="dxa"/>
            <w:tcBorders>
              <w:top w:val="single" w:color="auto" w:sz="4" w:space="0"/>
              <w:left w:val="single" w:color="auto" w:sz="4" w:space="0"/>
              <w:bottom w:val="single" w:color="auto" w:sz="4" w:space="0"/>
              <w:right w:val="single" w:color="auto" w:sz="4" w:space="0"/>
            </w:tcBorders>
            <w:noWrap/>
            <w:vAlign w:val="center"/>
          </w:tcPr>
          <w:p w14:paraId="0D2638F5">
            <w:pPr>
              <w:snapToGrid w:val="0"/>
              <w:spacing w:before="50" w:after="50" w:line="360" w:lineRule="auto"/>
              <w:jc w:val="center"/>
              <w:rPr>
                <w:rFonts w:hint="eastAsia" w:ascii="宋体" w:hAnsi="宋体"/>
                <w:color w:val="auto"/>
                <w:szCs w:val="21"/>
              </w:rPr>
            </w:pPr>
            <w:r>
              <w:rPr>
                <w:rFonts w:hint="eastAsia" w:ascii="宋体" w:hAnsi="宋体"/>
                <w:color w:val="auto"/>
                <w:szCs w:val="21"/>
              </w:rPr>
              <w:t>单价</w:t>
            </w:r>
          </w:p>
          <w:p w14:paraId="1476EA8D">
            <w:pPr>
              <w:snapToGrid w:val="0"/>
              <w:spacing w:before="50" w:after="50" w:line="360" w:lineRule="auto"/>
              <w:jc w:val="center"/>
              <w:rPr>
                <w:rFonts w:ascii="宋体" w:hAnsi="宋体"/>
                <w:color w:val="auto"/>
                <w:szCs w:val="21"/>
              </w:rPr>
            </w:pPr>
            <w:r>
              <w:rPr>
                <w:rFonts w:ascii="Calibri" w:hAnsi="Calibri" w:cs="Calibri"/>
                <w:color w:val="auto"/>
                <w:szCs w:val="21"/>
              </w:rPr>
              <w:t>②</w:t>
            </w:r>
          </w:p>
        </w:tc>
        <w:tc>
          <w:tcPr>
            <w:tcW w:w="1721" w:type="dxa"/>
            <w:tcBorders>
              <w:top w:val="single" w:color="auto" w:sz="4" w:space="0"/>
              <w:left w:val="single" w:color="auto" w:sz="4" w:space="0"/>
              <w:bottom w:val="single" w:color="auto" w:sz="4" w:space="0"/>
              <w:right w:val="single" w:color="auto" w:sz="4" w:space="0"/>
            </w:tcBorders>
            <w:noWrap/>
            <w:vAlign w:val="center"/>
          </w:tcPr>
          <w:p w14:paraId="3C132318">
            <w:pPr>
              <w:snapToGrid w:val="0"/>
              <w:spacing w:before="50" w:after="50" w:line="360" w:lineRule="auto"/>
              <w:jc w:val="center"/>
              <w:rPr>
                <w:rFonts w:hint="eastAsia" w:ascii="宋体" w:hAnsi="宋体"/>
                <w:color w:val="auto"/>
                <w:szCs w:val="21"/>
              </w:rPr>
            </w:pPr>
            <w:r>
              <w:rPr>
                <w:rFonts w:hint="eastAsia" w:ascii="宋体" w:hAnsi="宋体"/>
                <w:color w:val="auto"/>
                <w:szCs w:val="21"/>
              </w:rPr>
              <w:t>总价</w:t>
            </w:r>
          </w:p>
          <w:p w14:paraId="3EA19C64">
            <w:pPr>
              <w:snapToGrid w:val="0"/>
              <w:spacing w:before="50" w:after="50" w:line="360" w:lineRule="auto"/>
              <w:jc w:val="center"/>
              <w:rPr>
                <w:rFonts w:ascii="宋体" w:hAnsi="宋体"/>
                <w:color w:val="auto"/>
                <w:szCs w:val="21"/>
              </w:rPr>
            </w:pPr>
            <w:r>
              <w:rPr>
                <w:rFonts w:ascii="Calibri" w:hAnsi="Calibri" w:cs="Calibri"/>
                <w:color w:val="auto"/>
                <w:szCs w:val="21"/>
              </w:rPr>
              <w:t>③</w:t>
            </w:r>
            <w:r>
              <w:rPr>
                <w:rFonts w:hint="eastAsia" w:ascii="宋体" w:hAnsi="宋体"/>
                <w:color w:val="auto"/>
                <w:szCs w:val="21"/>
              </w:rPr>
              <w:t>=</w:t>
            </w:r>
            <w:r>
              <w:rPr>
                <w:rFonts w:ascii="Calibri" w:hAnsi="Calibri" w:cs="Calibri"/>
                <w:color w:val="auto"/>
              </w:rPr>
              <w:t>①</w:t>
            </w:r>
            <w:r>
              <w:rPr>
                <w:rFonts w:ascii="Arial" w:hAnsi="Arial" w:cs="Arial"/>
                <w:color w:val="auto"/>
              </w:rPr>
              <w:t>×</w:t>
            </w:r>
            <w:r>
              <w:rPr>
                <w:rFonts w:ascii="Calibri" w:hAnsi="Calibri" w:cs="Calibri"/>
                <w:color w:val="auto"/>
                <w:szCs w:val="21"/>
              </w:rPr>
              <w:t>②</w:t>
            </w:r>
          </w:p>
        </w:tc>
      </w:tr>
      <w:tr w14:paraId="23623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657" w:type="dxa"/>
            <w:tcBorders>
              <w:top w:val="single" w:color="auto" w:sz="4" w:space="0"/>
              <w:left w:val="single" w:color="auto" w:sz="4" w:space="0"/>
              <w:bottom w:val="single" w:color="auto" w:sz="4" w:space="0"/>
              <w:right w:val="single" w:color="auto" w:sz="4" w:space="0"/>
            </w:tcBorders>
            <w:noWrap/>
            <w:vAlign w:val="center"/>
          </w:tcPr>
          <w:p w14:paraId="23DEA1BF">
            <w:pPr>
              <w:snapToGrid w:val="0"/>
              <w:spacing w:before="50" w:after="50" w:line="360" w:lineRule="auto"/>
              <w:jc w:val="center"/>
              <w:rPr>
                <w:rFonts w:ascii="宋体" w:hAnsi="宋体"/>
                <w:color w:val="auto"/>
                <w:szCs w:val="21"/>
              </w:rPr>
            </w:pPr>
            <w:r>
              <w:rPr>
                <w:rFonts w:hint="eastAsia" w:ascii="宋体" w:hAnsi="宋体"/>
                <w:color w:val="auto"/>
                <w:szCs w:val="21"/>
              </w:rPr>
              <w:t>1</w:t>
            </w:r>
          </w:p>
        </w:tc>
        <w:tc>
          <w:tcPr>
            <w:tcW w:w="1171" w:type="dxa"/>
            <w:tcBorders>
              <w:top w:val="single" w:color="auto" w:sz="4" w:space="0"/>
              <w:left w:val="single" w:color="auto" w:sz="4" w:space="0"/>
              <w:bottom w:val="single" w:color="auto" w:sz="4" w:space="0"/>
              <w:right w:val="single" w:color="auto" w:sz="4" w:space="0"/>
            </w:tcBorders>
            <w:noWrap/>
            <w:vAlign w:val="center"/>
          </w:tcPr>
          <w:p w14:paraId="0CF4B55C">
            <w:pPr>
              <w:snapToGrid w:val="0"/>
              <w:spacing w:before="50" w:after="50" w:line="360" w:lineRule="auto"/>
              <w:jc w:val="left"/>
              <w:rPr>
                <w:rFonts w:ascii="宋体" w:hAnsi="宋体"/>
                <w:bCs/>
                <w:color w:val="auto"/>
                <w:szCs w:val="21"/>
              </w:rPr>
            </w:pPr>
          </w:p>
        </w:tc>
        <w:tc>
          <w:tcPr>
            <w:tcW w:w="1417" w:type="dxa"/>
            <w:tcBorders>
              <w:top w:val="single" w:color="auto" w:sz="4" w:space="0"/>
              <w:left w:val="single" w:color="auto" w:sz="4" w:space="0"/>
              <w:bottom w:val="single" w:color="auto" w:sz="4" w:space="0"/>
              <w:right w:val="single" w:color="auto" w:sz="4" w:space="0"/>
            </w:tcBorders>
            <w:noWrap/>
            <w:vAlign w:val="center"/>
          </w:tcPr>
          <w:p w14:paraId="2E783BEA">
            <w:pPr>
              <w:snapToGrid w:val="0"/>
              <w:spacing w:before="50" w:after="50" w:line="360" w:lineRule="auto"/>
              <w:jc w:val="left"/>
              <w:rPr>
                <w:rFonts w:ascii="宋体" w:hAnsi="宋体"/>
                <w:bCs/>
                <w:color w:val="auto"/>
                <w:szCs w:val="21"/>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69048DDA">
            <w:pPr>
              <w:snapToGrid w:val="0"/>
              <w:spacing w:before="50" w:after="50" w:line="360" w:lineRule="auto"/>
              <w:jc w:val="center"/>
              <w:rPr>
                <w:rFonts w:ascii="宋体" w:hAnsi="宋体"/>
                <w:color w:val="auto"/>
                <w:szCs w:val="21"/>
              </w:rPr>
            </w:pPr>
          </w:p>
        </w:tc>
        <w:tc>
          <w:tcPr>
            <w:tcW w:w="1215" w:type="dxa"/>
            <w:tcBorders>
              <w:top w:val="single" w:color="auto" w:sz="4" w:space="0"/>
              <w:left w:val="single" w:color="auto" w:sz="4" w:space="0"/>
              <w:bottom w:val="single" w:color="auto" w:sz="4" w:space="0"/>
              <w:right w:val="single" w:color="auto" w:sz="4" w:space="0"/>
            </w:tcBorders>
            <w:noWrap/>
            <w:vAlign w:val="center"/>
          </w:tcPr>
          <w:p w14:paraId="72FBF6C6">
            <w:pPr>
              <w:snapToGrid w:val="0"/>
              <w:spacing w:before="50" w:after="50" w:line="360" w:lineRule="auto"/>
              <w:jc w:val="center"/>
              <w:rPr>
                <w:rFonts w:ascii="宋体" w:hAnsi="宋体"/>
                <w:color w:val="auto"/>
                <w:szCs w:val="21"/>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44262CD">
            <w:pPr>
              <w:snapToGrid w:val="0"/>
              <w:spacing w:before="50" w:after="50" w:line="360" w:lineRule="auto"/>
              <w:rPr>
                <w:rFonts w:ascii="宋体" w:hAnsi="宋体"/>
                <w:color w:val="auto"/>
                <w:szCs w:val="21"/>
              </w:rPr>
            </w:pPr>
          </w:p>
        </w:tc>
        <w:tc>
          <w:tcPr>
            <w:tcW w:w="1320" w:type="dxa"/>
            <w:tcBorders>
              <w:top w:val="single" w:color="auto" w:sz="4" w:space="0"/>
              <w:left w:val="single" w:color="auto" w:sz="4" w:space="0"/>
              <w:bottom w:val="single" w:color="auto" w:sz="4" w:space="0"/>
              <w:right w:val="single" w:color="auto" w:sz="4" w:space="0"/>
            </w:tcBorders>
            <w:noWrap/>
            <w:vAlign w:val="center"/>
          </w:tcPr>
          <w:p w14:paraId="4F0413F4">
            <w:pPr>
              <w:snapToGrid w:val="0"/>
              <w:spacing w:before="50" w:after="50" w:line="360" w:lineRule="auto"/>
              <w:rPr>
                <w:rFonts w:ascii="宋体" w:hAnsi="宋体"/>
                <w:color w:val="auto"/>
                <w:szCs w:val="21"/>
              </w:rPr>
            </w:pPr>
          </w:p>
        </w:tc>
        <w:tc>
          <w:tcPr>
            <w:tcW w:w="975" w:type="dxa"/>
            <w:tcBorders>
              <w:top w:val="single" w:color="auto" w:sz="4" w:space="0"/>
              <w:left w:val="single" w:color="auto" w:sz="4" w:space="0"/>
              <w:bottom w:val="single" w:color="auto" w:sz="4" w:space="0"/>
              <w:right w:val="single" w:color="auto" w:sz="4" w:space="0"/>
            </w:tcBorders>
            <w:noWrap/>
            <w:vAlign w:val="center"/>
          </w:tcPr>
          <w:p w14:paraId="7543A239">
            <w:pPr>
              <w:snapToGrid w:val="0"/>
              <w:spacing w:before="50" w:after="50" w:line="360" w:lineRule="auto"/>
              <w:rPr>
                <w:rFonts w:ascii="宋体" w:hAnsi="宋体"/>
                <w:color w:val="auto"/>
                <w:szCs w:val="21"/>
              </w:rPr>
            </w:pPr>
          </w:p>
        </w:tc>
        <w:tc>
          <w:tcPr>
            <w:tcW w:w="1721" w:type="dxa"/>
            <w:tcBorders>
              <w:top w:val="single" w:color="auto" w:sz="4" w:space="0"/>
              <w:left w:val="single" w:color="auto" w:sz="4" w:space="0"/>
              <w:bottom w:val="single" w:color="auto" w:sz="4" w:space="0"/>
              <w:right w:val="single" w:color="auto" w:sz="4" w:space="0"/>
            </w:tcBorders>
            <w:noWrap/>
            <w:vAlign w:val="center"/>
          </w:tcPr>
          <w:p w14:paraId="1CBAED37">
            <w:pPr>
              <w:snapToGrid w:val="0"/>
              <w:spacing w:before="50" w:after="50" w:line="360" w:lineRule="auto"/>
              <w:rPr>
                <w:rFonts w:ascii="宋体" w:hAnsi="宋体"/>
                <w:color w:val="auto"/>
                <w:szCs w:val="21"/>
              </w:rPr>
            </w:pPr>
          </w:p>
        </w:tc>
      </w:tr>
      <w:tr w14:paraId="439EF1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657" w:type="dxa"/>
            <w:tcBorders>
              <w:top w:val="single" w:color="auto" w:sz="4" w:space="0"/>
              <w:left w:val="single" w:color="auto" w:sz="4" w:space="0"/>
              <w:bottom w:val="single" w:color="auto" w:sz="4" w:space="0"/>
              <w:right w:val="single" w:color="auto" w:sz="4" w:space="0"/>
            </w:tcBorders>
            <w:noWrap/>
            <w:vAlign w:val="center"/>
          </w:tcPr>
          <w:p w14:paraId="21A9A8AD">
            <w:pPr>
              <w:snapToGrid w:val="0"/>
              <w:spacing w:before="50" w:after="50" w:line="360" w:lineRule="auto"/>
              <w:jc w:val="center"/>
              <w:rPr>
                <w:rFonts w:ascii="宋体" w:hAnsi="宋体"/>
                <w:color w:val="auto"/>
                <w:szCs w:val="21"/>
              </w:rPr>
            </w:pPr>
            <w:r>
              <w:rPr>
                <w:rFonts w:ascii="宋体" w:hAnsi="宋体"/>
                <w:color w:val="auto"/>
                <w:szCs w:val="21"/>
              </w:rPr>
              <w:t>……</w:t>
            </w:r>
          </w:p>
        </w:tc>
        <w:tc>
          <w:tcPr>
            <w:tcW w:w="1171" w:type="dxa"/>
            <w:tcBorders>
              <w:top w:val="single" w:color="auto" w:sz="4" w:space="0"/>
              <w:left w:val="single" w:color="auto" w:sz="4" w:space="0"/>
              <w:bottom w:val="single" w:color="auto" w:sz="4" w:space="0"/>
              <w:right w:val="single" w:color="auto" w:sz="4" w:space="0"/>
            </w:tcBorders>
            <w:noWrap/>
            <w:vAlign w:val="center"/>
          </w:tcPr>
          <w:p w14:paraId="74ED3B85">
            <w:pPr>
              <w:snapToGrid w:val="0"/>
              <w:spacing w:before="50" w:after="50" w:line="360" w:lineRule="auto"/>
              <w:jc w:val="center"/>
              <w:rPr>
                <w:rFonts w:ascii="宋体" w:hAnsi="宋体"/>
                <w:bCs/>
                <w:color w:val="auto"/>
                <w:szCs w:val="21"/>
              </w:rPr>
            </w:pPr>
          </w:p>
        </w:tc>
        <w:tc>
          <w:tcPr>
            <w:tcW w:w="1417" w:type="dxa"/>
            <w:tcBorders>
              <w:top w:val="single" w:color="auto" w:sz="4" w:space="0"/>
              <w:left w:val="single" w:color="auto" w:sz="4" w:space="0"/>
              <w:bottom w:val="single" w:color="auto" w:sz="4" w:space="0"/>
              <w:right w:val="single" w:color="auto" w:sz="4" w:space="0"/>
            </w:tcBorders>
            <w:noWrap/>
            <w:vAlign w:val="center"/>
          </w:tcPr>
          <w:p w14:paraId="623743B9">
            <w:pPr>
              <w:snapToGrid w:val="0"/>
              <w:spacing w:before="50" w:after="50" w:line="360" w:lineRule="auto"/>
              <w:jc w:val="center"/>
              <w:rPr>
                <w:rFonts w:ascii="宋体" w:hAnsi="宋体"/>
                <w:bCs/>
                <w:color w:val="auto"/>
                <w:szCs w:val="21"/>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2A7EEC71">
            <w:pPr>
              <w:snapToGrid w:val="0"/>
              <w:spacing w:before="50" w:after="50" w:line="360" w:lineRule="auto"/>
              <w:jc w:val="center"/>
              <w:rPr>
                <w:rFonts w:ascii="宋体" w:hAnsi="宋体"/>
                <w:color w:val="auto"/>
                <w:szCs w:val="21"/>
              </w:rPr>
            </w:pPr>
          </w:p>
        </w:tc>
        <w:tc>
          <w:tcPr>
            <w:tcW w:w="1215" w:type="dxa"/>
            <w:tcBorders>
              <w:top w:val="single" w:color="auto" w:sz="4" w:space="0"/>
              <w:left w:val="single" w:color="auto" w:sz="4" w:space="0"/>
              <w:bottom w:val="single" w:color="auto" w:sz="4" w:space="0"/>
              <w:right w:val="single" w:color="auto" w:sz="4" w:space="0"/>
            </w:tcBorders>
            <w:noWrap/>
            <w:vAlign w:val="center"/>
          </w:tcPr>
          <w:p w14:paraId="7A37A06F">
            <w:pPr>
              <w:snapToGrid w:val="0"/>
              <w:spacing w:before="50" w:after="50" w:line="360" w:lineRule="auto"/>
              <w:jc w:val="center"/>
              <w:rPr>
                <w:rFonts w:ascii="宋体" w:hAnsi="宋体"/>
                <w:color w:val="auto"/>
                <w:szCs w:val="21"/>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38F49544">
            <w:pPr>
              <w:snapToGrid w:val="0"/>
              <w:spacing w:before="50" w:after="50" w:line="360" w:lineRule="auto"/>
              <w:rPr>
                <w:rFonts w:ascii="宋体" w:hAnsi="宋体"/>
                <w:color w:val="auto"/>
                <w:szCs w:val="21"/>
              </w:rPr>
            </w:pPr>
          </w:p>
        </w:tc>
        <w:tc>
          <w:tcPr>
            <w:tcW w:w="1320" w:type="dxa"/>
            <w:tcBorders>
              <w:top w:val="single" w:color="auto" w:sz="4" w:space="0"/>
              <w:left w:val="single" w:color="auto" w:sz="4" w:space="0"/>
              <w:bottom w:val="single" w:color="auto" w:sz="4" w:space="0"/>
              <w:right w:val="single" w:color="auto" w:sz="4" w:space="0"/>
            </w:tcBorders>
            <w:noWrap/>
            <w:vAlign w:val="center"/>
          </w:tcPr>
          <w:p w14:paraId="1555D8E5">
            <w:pPr>
              <w:snapToGrid w:val="0"/>
              <w:spacing w:before="50" w:after="50" w:line="360" w:lineRule="auto"/>
              <w:rPr>
                <w:rFonts w:ascii="宋体" w:hAnsi="宋体"/>
                <w:color w:val="auto"/>
                <w:szCs w:val="21"/>
              </w:rPr>
            </w:pPr>
          </w:p>
        </w:tc>
        <w:tc>
          <w:tcPr>
            <w:tcW w:w="975" w:type="dxa"/>
            <w:tcBorders>
              <w:top w:val="single" w:color="auto" w:sz="4" w:space="0"/>
              <w:left w:val="single" w:color="auto" w:sz="4" w:space="0"/>
              <w:bottom w:val="single" w:color="auto" w:sz="4" w:space="0"/>
              <w:right w:val="single" w:color="auto" w:sz="4" w:space="0"/>
            </w:tcBorders>
            <w:noWrap/>
            <w:vAlign w:val="center"/>
          </w:tcPr>
          <w:p w14:paraId="7C0DB27C">
            <w:pPr>
              <w:snapToGrid w:val="0"/>
              <w:spacing w:before="50" w:after="50" w:line="360" w:lineRule="auto"/>
              <w:rPr>
                <w:rFonts w:ascii="宋体" w:hAnsi="宋体"/>
                <w:color w:val="auto"/>
                <w:szCs w:val="21"/>
              </w:rPr>
            </w:pPr>
          </w:p>
        </w:tc>
        <w:tc>
          <w:tcPr>
            <w:tcW w:w="1721" w:type="dxa"/>
            <w:tcBorders>
              <w:top w:val="single" w:color="auto" w:sz="4" w:space="0"/>
              <w:left w:val="single" w:color="auto" w:sz="4" w:space="0"/>
              <w:bottom w:val="single" w:color="auto" w:sz="4" w:space="0"/>
              <w:right w:val="single" w:color="auto" w:sz="4" w:space="0"/>
            </w:tcBorders>
            <w:noWrap/>
            <w:vAlign w:val="center"/>
          </w:tcPr>
          <w:p w14:paraId="6DA4E030">
            <w:pPr>
              <w:snapToGrid w:val="0"/>
              <w:spacing w:before="50" w:after="50" w:line="360" w:lineRule="auto"/>
              <w:rPr>
                <w:rFonts w:ascii="宋体" w:hAnsi="宋体"/>
                <w:color w:val="auto"/>
                <w:szCs w:val="21"/>
              </w:rPr>
            </w:pPr>
          </w:p>
        </w:tc>
      </w:tr>
      <w:tr w14:paraId="163303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10466" w:type="dxa"/>
            <w:gridSpan w:val="9"/>
            <w:tcBorders>
              <w:top w:val="single" w:color="auto" w:sz="4" w:space="0"/>
              <w:left w:val="single" w:color="auto" w:sz="4" w:space="0"/>
              <w:bottom w:val="single" w:color="auto" w:sz="4" w:space="0"/>
              <w:right w:val="single" w:color="auto" w:sz="4" w:space="0"/>
            </w:tcBorders>
            <w:noWrap/>
            <w:vAlign w:val="center"/>
          </w:tcPr>
          <w:p w14:paraId="01ABD9D5">
            <w:pPr>
              <w:snapToGrid w:val="0"/>
              <w:spacing w:before="50" w:after="50" w:line="360" w:lineRule="auto"/>
              <w:rPr>
                <w:rFonts w:hint="eastAsia" w:ascii="宋体" w:hAnsi="宋体"/>
                <w:color w:val="auto"/>
                <w:szCs w:val="21"/>
              </w:rPr>
            </w:pPr>
            <w:r>
              <w:rPr>
                <w:rFonts w:hint="eastAsia" w:ascii="宋体" w:hAnsi="宋体"/>
                <w:color w:val="auto"/>
                <w:szCs w:val="21"/>
              </w:rPr>
              <w:t>本项目合计金额（大写）：人民币</w:t>
            </w:r>
            <w:r>
              <w:rPr>
                <w:rFonts w:hint="eastAsia" w:ascii="宋体" w:hAnsi="宋体"/>
                <w:color w:val="auto"/>
                <w:szCs w:val="21"/>
                <w:u w:val="single"/>
              </w:rPr>
              <w:t xml:space="preserve">               </w:t>
            </w:r>
            <w:r>
              <w:rPr>
                <w:rFonts w:hint="eastAsia" w:ascii="宋体" w:hAnsi="宋体"/>
                <w:color w:val="auto"/>
                <w:szCs w:val="21"/>
              </w:rPr>
              <w:t xml:space="preserve">元 （¥ </w:t>
            </w:r>
            <w:r>
              <w:rPr>
                <w:rFonts w:hint="eastAsia" w:ascii="宋体" w:hAnsi="宋体"/>
                <w:color w:val="auto"/>
                <w:szCs w:val="21"/>
                <w:u w:val="single"/>
              </w:rPr>
              <w:t xml:space="preserve">               </w:t>
            </w:r>
            <w:r>
              <w:rPr>
                <w:rFonts w:hint="eastAsia" w:ascii="宋体" w:hAnsi="宋体"/>
                <w:color w:val="auto"/>
                <w:szCs w:val="21"/>
              </w:rPr>
              <w:t>）</w:t>
            </w:r>
          </w:p>
        </w:tc>
      </w:tr>
      <w:bookmarkEnd w:id="147"/>
    </w:tbl>
    <w:p w14:paraId="232C1CCC">
      <w:pPr>
        <w:snapToGrid w:val="0"/>
        <w:spacing w:before="50" w:after="50" w:line="360" w:lineRule="auto"/>
        <w:rPr>
          <w:rFonts w:hint="eastAsia" w:ascii="宋体" w:hAnsi="宋体"/>
          <w:color w:val="auto"/>
          <w:szCs w:val="21"/>
        </w:rPr>
      </w:pPr>
      <w:r>
        <w:rPr>
          <w:rFonts w:hint="eastAsia" w:ascii="宋体" w:hAnsi="宋体"/>
          <w:color w:val="auto"/>
          <w:szCs w:val="21"/>
        </w:rPr>
        <w:t xml:space="preserve">                                                                        </w:t>
      </w:r>
    </w:p>
    <w:p w14:paraId="33FDB8D4">
      <w:pPr>
        <w:snapToGrid w:val="0"/>
        <w:spacing w:before="50" w:after="50" w:line="360" w:lineRule="auto"/>
        <w:jc w:val="left"/>
        <w:rPr>
          <w:rFonts w:ascii="宋体" w:hAnsi="宋体"/>
          <w:color w:val="auto"/>
          <w:szCs w:val="21"/>
        </w:rPr>
      </w:pPr>
      <w:r>
        <w:rPr>
          <w:rFonts w:hint="eastAsia" w:ascii="宋体" w:hAnsi="宋体"/>
          <w:color w:val="auto"/>
          <w:szCs w:val="21"/>
        </w:rPr>
        <w:t xml:space="preserve">注： </w:t>
      </w:r>
    </w:p>
    <w:p w14:paraId="2C1FB274">
      <w:pPr>
        <w:snapToGrid w:val="0"/>
        <w:spacing w:before="50" w:after="50" w:line="360" w:lineRule="auto"/>
        <w:ind w:firstLine="420" w:firstLineChars="200"/>
        <w:jc w:val="left"/>
        <w:rPr>
          <w:rFonts w:ascii="宋体" w:hAnsi="宋体"/>
          <w:color w:val="auto"/>
          <w:szCs w:val="21"/>
        </w:rPr>
      </w:pPr>
      <w:r>
        <w:rPr>
          <w:rFonts w:hint="eastAsia" w:ascii="宋体" w:hAnsi="宋体"/>
          <w:color w:val="auto"/>
          <w:szCs w:val="21"/>
        </w:rPr>
        <w:t>1.供应商的开标一览表必须加盖供应商公章并由</w:t>
      </w:r>
      <w:r>
        <w:rPr>
          <w:rFonts w:ascii="宋体" w:hAnsi="宋体"/>
          <w:color w:val="auto"/>
          <w:szCs w:val="21"/>
        </w:rPr>
        <w:t>法定代表人或者委托代理人</w:t>
      </w:r>
      <w:r>
        <w:rPr>
          <w:rFonts w:hint="eastAsia" w:ascii="宋体" w:hAnsi="宋体"/>
          <w:color w:val="auto"/>
          <w:szCs w:val="21"/>
        </w:rPr>
        <w:t>签字或签章，</w:t>
      </w:r>
      <w:r>
        <w:rPr>
          <w:rFonts w:hint="eastAsia" w:ascii="宋体" w:hAnsi="宋体"/>
          <w:b/>
          <w:color w:val="auto"/>
          <w:szCs w:val="21"/>
        </w:rPr>
        <w:t>否则其投标作无效标处理</w:t>
      </w:r>
      <w:r>
        <w:rPr>
          <w:rFonts w:hint="eastAsia" w:ascii="宋体" w:hAnsi="宋体"/>
          <w:color w:val="auto"/>
          <w:szCs w:val="21"/>
        </w:rPr>
        <w:t>。</w:t>
      </w:r>
    </w:p>
    <w:p w14:paraId="1423A239">
      <w:pPr>
        <w:snapToGrid w:val="0"/>
        <w:spacing w:before="50" w:after="50" w:line="360" w:lineRule="auto"/>
        <w:ind w:firstLine="420" w:firstLineChars="200"/>
        <w:jc w:val="left"/>
        <w:rPr>
          <w:rFonts w:hint="eastAsia" w:ascii="宋体" w:hAnsi="宋体"/>
          <w:b/>
          <w:color w:val="auto"/>
          <w:szCs w:val="21"/>
        </w:rPr>
      </w:pPr>
      <w:r>
        <w:rPr>
          <w:rFonts w:hint="eastAsia" w:ascii="宋体" w:hAnsi="宋体"/>
          <w:bCs/>
          <w:color w:val="auto"/>
          <w:szCs w:val="21"/>
        </w:rPr>
        <w:t>2.</w:t>
      </w:r>
      <w:r>
        <w:rPr>
          <w:rFonts w:hint="eastAsia" w:ascii="宋体" w:hAnsi="宋体"/>
          <w:color w:val="auto"/>
          <w:szCs w:val="21"/>
        </w:rPr>
        <w:t>报价一经涂改，应在涂改处加盖供应商公章或者由法定代表人或者委托代理人签字或者盖章</w:t>
      </w:r>
      <w:r>
        <w:rPr>
          <w:rFonts w:hint="eastAsia" w:ascii="宋体" w:hAnsi="宋体"/>
          <w:b/>
          <w:color w:val="auto"/>
          <w:szCs w:val="21"/>
        </w:rPr>
        <w:t>，否则其投标作无效标处理。</w:t>
      </w:r>
    </w:p>
    <w:p w14:paraId="6847B296">
      <w:pPr>
        <w:spacing w:line="360" w:lineRule="auto"/>
        <w:ind w:firstLine="420" w:firstLineChars="200"/>
        <w:rPr>
          <w:rFonts w:hint="eastAsia"/>
          <w:color w:val="auto"/>
          <w:szCs w:val="21"/>
        </w:rPr>
      </w:pPr>
      <w:r>
        <w:rPr>
          <w:rFonts w:hint="eastAsia" w:ascii="宋体" w:hAnsi="宋体"/>
          <w:color w:val="auto"/>
          <w:szCs w:val="21"/>
        </w:rPr>
        <w:t>3.以上报价合计应与广西政府采购云平台中“开标一览表”所填写的报价一致。</w:t>
      </w:r>
    </w:p>
    <w:p w14:paraId="1666C568">
      <w:pPr>
        <w:spacing w:line="360" w:lineRule="auto"/>
        <w:ind w:firstLine="420" w:firstLineChars="200"/>
        <w:rPr>
          <w:rFonts w:hint="eastAsia" w:ascii="宋体" w:hAnsi="宋体"/>
          <w:color w:val="auto"/>
          <w:szCs w:val="21"/>
        </w:rPr>
      </w:pPr>
    </w:p>
    <w:p w14:paraId="1FACAD7C">
      <w:pPr>
        <w:snapToGrid w:val="0"/>
        <w:spacing w:before="50" w:after="50" w:line="360" w:lineRule="auto"/>
        <w:ind w:left="-2" w:leftChars="-1" w:right="-817" w:rightChars="-389"/>
        <w:rPr>
          <w:rFonts w:hint="eastAsia" w:ascii="宋体" w:hAnsi="宋体"/>
          <w:color w:val="auto"/>
          <w:szCs w:val="21"/>
        </w:rPr>
      </w:pPr>
    </w:p>
    <w:p w14:paraId="404E5008">
      <w:pPr>
        <w:snapToGrid w:val="0"/>
        <w:spacing w:before="50" w:after="50" w:line="360" w:lineRule="auto"/>
        <w:ind w:left="-2" w:leftChars="-1" w:right="-817" w:rightChars="-389"/>
        <w:rPr>
          <w:rFonts w:hint="eastAsia" w:ascii="宋体" w:hAnsi="宋体"/>
          <w:color w:val="auto"/>
          <w:szCs w:val="21"/>
        </w:rPr>
      </w:pPr>
    </w:p>
    <w:p w14:paraId="6E6576C9">
      <w:pPr>
        <w:spacing w:line="360" w:lineRule="auto"/>
        <w:jc w:val="center"/>
        <w:rPr>
          <w:rFonts w:ascii="宋体" w:hAnsi="宋体"/>
          <w:color w:val="auto"/>
          <w:szCs w:val="21"/>
          <w:u w:val="single"/>
        </w:rPr>
      </w:pPr>
      <w:r>
        <w:rPr>
          <w:rFonts w:hint="eastAsia" w:ascii="宋体" w:hAnsi="宋体"/>
          <w:color w:val="auto"/>
          <w:szCs w:val="21"/>
        </w:rPr>
        <w:t xml:space="preserve"> 法定代表人或委托代理人</w:t>
      </w:r>
      <w:r>
        <w:rPr>
          <w:rFonts w:hint="eastAsia" w:ascii="宋体" w:hAnsi="宋体"/>
          <w:b/>
          <w:bCs/>
          <w:color w:val="auto"/>
          <w:szCs w:val="21"/>
        </w:rPr>
        <w:t>（</w:t>
      </w:r>
      <w:r>
        <w:rPr>
          <w:rFonts w:hint="eastAsia" w:ascii="宋体" w:hAnsi="宋体"/>
          <w:color w:val="auto"/>
          <w:szCs w:val="21"/>
        </w:rPr>
        <w:t>签字或签章</w:t>
      </w:r>
      <w:r>
        <w:rPr>
          <w:rFonts w:hint="eastAsia" w:ascii="宋体" w:hAnsi="宋体"/>
          <w:b/>
          <w:bCs/>
          <w:color w:val="auto"/>
          <w:szCs w:val="21"/>
        </w:rPr>
        <w:t>）：</w:t>
      </w:r>
    </w:p>
    <w:p w14:paraId="64D162EC">
      <w:pPr>
        <w:spacing w:line="360" w:lineRule="auto"/>
        <w:jc w:val="center"/>
        <w:rPr>
          <w:rFonts w:ascii="宋体" w:hAnsi="宋体"/>
          <w:color w:val="auto"/>
          <w:szCs w:val="21"/>
          <w:u w:val="single"/>
        </w:rPr>
      </w:pPr>
    </w:p>
    <w:p w14:paraId="5D4EA77E">
      <w:pPr>
        <w:pStyle w:val="24"/>
        <w:spacing w:line="360" w:lineRule="auto"/>
        <w:ind w:firstLine="3360" w:firstLineChars="16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36282A20">
      <w:pPr>
        <w:pStyle w:val="24"/>
        <w:spacing w:line="360" w:lineRule="auto"/>
        <w:rPr>
          <w:rFonts w:hAnsi="宋体"/>
          <w:color w:val="auto"/>
          <w:sz w:val="21"/>
        </w:rPr>
      </w:pPr>
    </w:p>
    <w:p w14:paraId="65C20FCE">
      <w:pPr>
        <w:pStyle w:val="24"/>
        <w:spacing w:line="360" w:lineRule="auto"/>
        <w:jc w:val="right"/>
        <w:rPr>
          <w:rFonts w:hAnsi="宋体"/>
          <w:b/>
          <w:color w:val="auto"/>
          <w:sz w:val="30"/>
          <w:szCs w:val="30"/>
        </w:rPr>
      </w:pPr>
      <w:r>
        <w:rPr>
          <w:rFonts w:hint="eastAsia" w:hAnsi="宋体"/>
          <w:color w:val="auto"/>
          <w:sz w:val="21"/>
        </w:rPr>
        <w:t>日期：    年   月  日</w:t>
      </w:r>
    </w:p>
    <w:p w14:paraId="7B3DCB12">
      <w:pPr>
        <w:pStyle w:val="24"/>
        <w:spacing w:line="360" w:lineRule="auto"/>
        <w:contextualSpacing/>
        <w:rPr>
          <w:rFonts w:hint="eastAsia" w:hAnsi="宋体"/>
          <w:color w:val="auto"/>
        </w:rPr>
      </w:pPr>
      <w:r>
        <w:rPr>
          <w:rFonts w:hAnsi="宋体"/>
          <w:color w:val="auto"/>
        </w:rPr>
        <w:br w:type="page"/>
      </w:r>
      <w:r>
        <w:rPr>
          <w:rFonts w:hint="eastAsia" w:hAnsi="宋体"/>
          <w:b/>
          <w:color w:val="auto"/>
          <w:sz w:val="28"/>
          <w:szCs w:val="22"/>
        </w:rPr>
        <w:t xml:space="preserve">5. </w:t>
      </w:r>
      <w:bookmarkStart w:id="148" w:name="_Toc19686838"/>
      <w:r>
        <w:rPr>
          <w:rFonts w:hint="eastAsia" w:hAnsi="宋体"/>
          <w:b/>
          <w:color w:val="auto"/>
          <w:sz w:val="28"/>
          <w:szCs w:val="22"/>
        </w:rPr>
        <w:t>供应商针对报价需要说明的其他文件和说明（格式自拟）；</w:t>
      </w:r>
    </w:p>
    <w:p w14:paraId="7CC62133">
      <w:pPr>
        <w:snapToGrid w:val="0"/>
        <w:spacing w:before="120" w:beforeLines="50" w:after="50" w:line="360" w:lineRule="auto"/>
        <w:jc w:val="left"/>
        <w:rPr>
          <w:rFonts w:hint="eastAsia" w:ascii="宋体" w:hAnsi="宋体"/>
          <w:color w:val="auto"/>
        </w:rPr>
      </w:pPr>
      <w:r>
        <w:rPr>
          <w:rFonts w:hint="eastAsia" w:ascii="宋体" w:hAnsi="宋体"/>
          <w:b/>
          <w:color w:val="auto"/>
          <w:sz w:val="24"/>
        </w:rPr>
        <w:br w:type="page"/>
      </w:r>
      <w:r>
        <w:rPr>
          <w:rFonts w:hint="eastAsia" w:ascii="宋体" w:hAnsi="宋体"/>
          <w:b/>
          <w:color w:val="auto"/>
          <w:sz w:val="24"/>
        </w:rPr>
        <w:t>（1）中小企业声明函格式（如有）</w:t>
      </w:r>
    </w:p>
    <w:p w14:paraId="59B99EAB">
      <w:pPr>
        <w:spacing w:line="360" w:lineRule="auto"/>
        <w:rPr>
          <w:rFonts w:ascii="宋体" w:hAnsi="宋体"/>
          <w:color w:val="auto"/>
        </w:rPr>
      </w:pPr>
    </w:p>
    <w:p w14:paraId="3FA62725">
      <w:pPr>
        <w:spacing w:line="360" w:lineRule="auto"/>
        <w:jc w:val="center"/>
        <w:rPr>
          <w:rFonts w:hint="eastAsia" w:ascii="宋体" w:hAnsi="宋体" w:cs="微软雅黑"/>
          <w:color w:val="auto"/>
          <w:sz w:val="44"/>
          <w:szCs w:val="44"/>
        </w:rPr>
      </w:pPr>
      <w:r>
        <w:rPr>
          <w:rFonts w:hint="eastAsia" w:ascii="宋体" w:hAnsi="宋体" w:cs="微软雅黑"/>
          <w:color w:val="auto"/>
          <w:sz w:val="44"/>
          <w:szCs w:val="44"/>
        </w:rPr>
        <w:t>中小企业声明函（货物）</w:t>
      </w:r>
    </w:p>
    <w:p w14:paraId="651C45BC">
      <w:pPr>
        <w:spacing w:before="2" w:line="360" w:lineRule="auto"/>
        <w:rPr>
          <w:rFonts w:ascii="宋体" w:hAnsi="宋体" w:cs="宋体"/>
          <w:b/>
          <w:bCs/>
          <w:color w:val="auto"/>
          <w:sz w:val="27"/>
          <w:szCs w:val="27"/>
        </w:rPr>
      </w:pPr>
    </w:p>
    <w:p w14:paraId="2A4DEBE6">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本公司（联合体）郑重声明，根据《政府采购促进中小企业发展管理办法》（财库﹝2020﹞46号）的规定，本公司（联合体）参加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Cs w:val="21"/>
        </w:rPr>
        <w:t>的</w:t>
      </w:r>
      <w:r>
        <w:rPr>
          <w:rFonts w:hint="eastAsia" w:ascii="宋体" w:hAnsi="宋体" w:cs="宋体"/>
          <w:color w:val="auto"/>
          <w:kern w:val="0"/>
          <w:szCs w:val="21"/>
          <w:u w:val="single"/>
        </w:rPr>
        <w:t>（项目名称）</w:t>
      </w:r>
      <w:r>
        <w:rPr>
          <w:rFonts w:hint="eastAsia" w:ascii="宋体" w:hAnsi="宋体" w:cs="宋体"/>
          <w:color w:val="auto"/>
          <w:kern w:val="0"/>
          <w:szCs w:val="21"/>
        </w:rPr>
        <w:t>采购活动，提供的货物全部由符合政策要求的中小企业制造。相关企业（含联合体中的中小企业、签订分包意向协议的中小企业）的具体情况如下：</w:t>
      </w:r>
    </w:p>
    <w:p w14:paraId="59A4DA3B">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w:t>
      </w:r>
      <w:r>
        <w:rPr>
          <w:rFonts w:hint="eastAsia" w:ascii="宋体" w:hAnsi="宋体" w:cs="宋体"/>
          <w:color w:val="auto"/>
          <w:kern w:val="0"/>
          <w:szCs w:val="21"/>
          <w:u w:val="single"/>
        </w:rPr>
        <w:t>（标的名称）</w:t>
      </w:r>
      <w:r>
        <w:rPr>
          <w:rFonts w:hint="eastAsia" w:ascii="宋体" w:hAnsi="宋体" w:cs="宋体"/>
          <w:color w:val="auto"/>
          <w:kern w:val="0"/>
          <w:szCs w:val="21"/>
        </w:rPr>
        <w:t>，属于</w:t>
      </w:r>
      <w:r>
        <w:rPr>
          <w:rFonts w:hint="eastAsia" w:ascii="宋体" w:hAnsi="宋体" w:cs="宋体"/>
          <w:color w:val="auto"/>
          <w:kern w:val="0"/>
          <w:szCs w:val="21"/>
          <w:u w:val="single"/>
        </w:rPr>
        <w:t xml:space="preserve">  工业  </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w:t>
      </w:r>
      <w:r>
        <w:rPr>
          <w:rFonts w:hint="eastAsia" w:ascii="宋体" w:hAnsi="宋体" w:cs="宋体"/>
          <w:color w:val="auto"/>
          <w:kern w:val="0"/>
          <w:szCs w:val="21"/>
          <w:u w:val="single"/>
        </w:rPr>
        <w:t xml:space="preserve">      </w:t>
      </w:r>
      <w:r>
        <w:rPr>
          <w:rFonts w:hint="eastAsia" w:ascii="宋体" w:hAnsi="宋体" w:cs="宋体"/>
          <w:color w:val="auto"/>
          <w:kern w:val="0"/>
          <w:szCs w:val="21"/>
        </w:rPr>
        <w:t>人，营业收入为</w:t>
      </w:r>
      <w:r>
        <w:rPr>
          <w:rFonts w:hint="eastAsia" w:ascii="宋体" w:hAnsi="宋体" w:cs="宋体"/>
          <w:color w:val="auto"/>
          <w:kern w:val="0"/>
          <w:szCs w:val="21"/>
          <w:u w:val="single"/>
        </w:rPr>
        <w:t xml:space="preserve">      </w:t>
      </w:r>
      <w:r>
        <w:rPr>
          <w:rFonts w:hint="eastAsia" w:ascii="宋体" w:hAnsi="宋体" w:cs="宋体"/>
          <w:color w:val="auto"/>
          <w:kern w:val="0"/>
          <w:szCs w:val="21"/>
        </w:rPr>
        <w:t>万元，资产总额为</w:t>
      </w:r>
      <w:r>
        <w:rPr>
          <w:rFonts w:hint="eastAsia" w:ascii="宋体" w:hAnsi="宋体" w:cs="宋体"/>
          <w:color w:val="auto"/>
          <w:kern w:val="0"/>
          <w:szCs w:val="21"/>
          <w:u w:val="single"/>
        </w:rPr>
        <w:t xml:space="preserve">      </w:t>
      </w:r>
      <w:r>
        <w:rPr>
          <w:rFonts w:hint="eastAsia" w:ascii="宋体" w:hAnsi="宋体" w:cs="宋体"/>
          <w:color w:val="auto"/>
          <w:kern w:val="0"/>
          <w:szCs w:val="21"/>
        </w:rPr>
        <w:t>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w:t>
      </w:r>
    </w:p>
    <w:p w14:paraId="63EFEDDF">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2.</w:t>
      </w:r>
      <w:r>
        <w:rPr>
          <w:rFonts w:hint="eastAsia" w:ascii="宋体" w:hAnsi="宋体" w:cs="宋体"/>
          <w:color w:val="auto"/>
          <w:kern w:val="0"/>
          <w:szCs w:val="21"/>
          <w:u w:val="single"/>
        </w:rPr>
        <w:t>（标的名称）</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w:t>
      </w:r>
      <w:r>
        <w:rPr>
          <w:rFonts w:hint="eastAsia" w:ascii="宋体" w:hAnsi="宋体" w:cs="宋体"/>
          <w:color w:val="auto"/>
          <w:kern w:val="0"/>
          <w:szCs w:val="21"/>
          <w:u w:val="single"/>
        </w:rPr>
        <w:t xml:space="preserve">      </w:t>
      </w:r>
      <w:r>
        <w:rPr>
          <w:rFonts w:hint="eastAsia" w:ascii="宋体" w:hAnsi="宋体" w:cs="宋体"/>
          <w:color w:val="auto"/>
          <w:kern w:val="0"/>
          <w:szCs w:val="21"/>
        </w:rPr>
        <w:t>人，营业收入为</w:t>
      </w:r>
      <w:r>
        <w:rPr>
          <w:rFonts w:hint="eastAsia" w:ascii="宋体" w:hAnsi="宋体" w:cs="宋体"/>
          <w:color w:val="auto"/>
          <w:kern w:val="0"/>
          <w:szCs w:val="21"/>
          <w:u w:val="single"/>
        </w:rPr>
        <w:t xml:space="preserve">      </w:t>
      </w:r>
      <w:r>
        <w:rPr>
          <w:rFonts w:hint="eastAsia" w:ascii="宋体" w:hAnsi="宋体" w:cs="宋体"/>
          <w:color w:val="auto"/>
          <w:kern w:val="0"/>
          <w:szCs w:val="21"/>
        </w:rPr>
        <w:t>万元，资产总额为</w:t>
      </w:r>
      <w:r>
        <w:rPr>
          <w:rFonts w:hint="eastAsia" w:ascii="宋体" w:hAnsi="宋体" w:cs="宋体"/>
          <w:color w:val="auto"/>
          <w:kern w:val="0"/>
          <w:szCs w:val="21"/>
          <w:u w:val="single"/>
        </w:rPr>
        <w:t xml:space="preserve">      </w:t>
      </w:r>
      <w:r>
        <w:rPr>
          <w:rFonts w:hint="eastAsia" w:ascii="宋体" w:hAnsi="宋体" w:cs="宋体"/>
          <w:color w:val="auto"/>
          <w:kern w:val="0"/>
          <w:szCs w:val="21"/>
        </w:rPr>
        <w:t>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w:t>
      </w:r>
    </w:p>
    <w:p w14:paraId="0F2B4CF8">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 xml:space="preserve">…… </w:t>
      </w:r>
    </w:p>
    <w:p w14:paraId="16C5E7F3">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以上企业，不属于大企业的分支机构，不存在控股股东为大企业的情形，也不存在与大企业的负责人为同一人的情形。</w:t>
      </w:r>
    </w:p>
    <w:p w14:paraId="1393D5B7">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本企业对上述声明内容的真实性负责。如有虚假，将依法承担相应责任。</w:t>
      </w:r>
    </w:p>
    <w:p w14:paraId="52CCE0A2">
      <w:pPr>
        <w:pStyle w:val="18"/>
        <w:spacing w:line="360" w:lineRule="auto"/>
        <w:ind w:left="3960" w:right="1808"/>
        <w:contextualSpacing/>
        <w:rPr>
          <w:rFonts w:hint="eastAsia" w:ascii="宋体" w:hAnsi="宋体"/>
          <w:color w:val="auto"/>
          <w:kern w:val="24"/>
          <w:sz w:val="21"/>
          <w:szCs w:val="21"/>
        </w:rPr>
      </w:pPr>
    </w:p>
    <w:p w14:paraId="3FCF891E">
      <w:pPr>
        <w:pStyle w:val="18"/>
        <w:spacing w:line="360" w:lineRule="auto"/>
        <w:ind w:left="3960" w:right="1808"/>
        <w:contextualSpacing/>
        <w:rPr>
          <w:rFonts w:ascii="宋体" w:hAnsi="宋体"/>
          <w:color w:val="auto"/>
          <w:kern w:val="24"/>
          <w:sz w:val="21"/>
          <w:szCs w:val="21"/>
        </w:rPr>
      </w:pPr>
      <w:r>
        <w:rPr>
          <w:rFonts w:ascii="宋体" w:hAnsi="宋体"/>
          <w:color w:val="auto"/>
          <w:kern w:val="24"/>
          <w:sz w:val="21"/>
          <w:szCs w:val="21"/>
        </w:rPr>
        <w:t xml:space="preserve">企业名称（章）： </w:t>
      </w:r>
    </w:p>
    <w:p w14:paraId="193D12CA">
      <w:pPr>
        <w:pStyle w:val="18"/>
        <w:spacing w:line="360" w:lineRule="auto"/>
        <w:ind w:left="3960" w:right="1808"/>
        <w:contextualSpacing/>
        <w:rPr>
          <w:rFonts w:ascii="宋体" w:hAnsi="宋体"/>
          <w:color w:val="auto"/>
          <w:kern w:val="24"/>
          <w:sz w:val="21"/>
          <w:szCs w:val="21"/>
        </w:rPr>
      </w:pPr>
      <w:r>
        <w:rPr>
          <w:rFonts w:ascii="宋体" w:hAnsi="宋体"/>
          <w:color w:val="auto"/>
          <w:kern w:val="24"/>
          <w:sz w:val="21"/>
          <w:szCs w:val="21"/>
        </w:rPr>
        <w:t>日</w:t>
      </w:r>
      <w:r>
        <w:rPr>
          <w:rFonts w:hint="eastAsia" w:ascii="宋体" w:hAnsi="宋体"/>
          <w:color w:val="auto"/>
          <w:kern w:val="24"/>
          <w:sz w:val="21"/>
          <w:szCs w:val="21"/>
        </w:rPr>
        <w:t xml:space="preserve"> </w:t>
      </w:r>
      <w:r>
        <w:rPr>
          <w:rFonts w:ascii="宋体" w:hAnsi="宋体"/>
          <w:color w:val="auto"/>
          <w:kern w:val="24"/>
          <w:sz w:val="21"/>
          <w:szCs w:val="21"/>
        </w:rPr>
        <w:t>期：</w:t>
      </w:r>
    </w:p>
    <w:p w14:paraId="431C8799">
      <w:pPr>
        <w:pStyle w:val="18"/>
        <w:spacing w:line="360" w:lineRule="auto"/>
        <w:ind w:left="3960" w:right="1808"/>
        <w:contextualSpacing/>
        <w:rPr>
          <w:rFonts w:ascii="宋体" w:hAnsi="宋体"/>
          <w:color w:val="auto"/>
          <w:kern w:val="24"/>
          <w:sz w:val="21"/>
          <w:szCs w:val="21"/>
        </w:rPr>
      </w:pPr>
    </w:p>
    <w:p w14:paraId="23BBD097">
      <w:pPr>
        <w:pStyle w:val="18"/>
        <w:spacing w:line="360" w:lineRule="auto"/>
        <w:ind w:left="3960" w:right="1808"/>
        <w:contextualSpacing/>
        <w:rPr>
          <w:rFonts w:ascii="宋体" w:hAnsi="宋体"/>
          <w:color w:val="auto"/>
          <w:kern w:val="24"/>
          <w:sz w:val="21"/>
          <w:szCs w:val="21"/>
        </w:rPr>
      </w:pPr>
    </w:p>
    <w:p w14:paraId="4DC0D697">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注：1、本采购项目所属行业为：工业。</w:t>
      </w:r>
    </w:p>
    <w:p w14:paraId="79ECE56A">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2、享受《政府采购促进中小企业发展管理办法》（财库〔2020〕46号）规定的中小企业扶持政策的，采购人、采购代理机构应当随中标结果公开中标人的《中小企业声明函》。从业人员、营业收入、资产总额填报上一年度数据，无上一年度数据的新成立企业可不填报。</w:t>
      </w:r>
    </w:p>
    <w:p w14:paraId="4C556554">
      <w:pPr>
        <w:snapToGrid w:val="0"/>
        <w:spacing w:before="120" w:beforeLines="50" w:after="50" w:line="360" w:lineRule="auto"/>
        <w:ind w:left="142"/>
        <w:jc w:val="left"/>
        <w:rPr>
          <w:rFonts w:ascii="宋体" w:hAnsi="宋体"/>
          <w:b/>
          <w:color w:val="auto"/>
          <w:sz w:val="24"/>
        </w:rPr>
      </w:pPr>
    </w:p>
    <w:p w14:paraId="68413977">
      <w:pPr>
        <w:pStyle w:val="24"/>
        <w:spacing w:line="360" w:lineRule="auto"/>
        <w:jc w:val="left"/>
        <w:rPr>
          <w:rFonts w:hAnsi="宋体" w:cs="Arial Unicode MS"/>
          <w:color w:val="auto"/>
          <w:sz w:val="32"/>
          <w:szCs w:val="32"/>
        </w:rPr>
      </w:pPr>
      <w:r>
        <w:rPr>
          <w:rFonts w:hAnsi="宋体" w:cs="Arial Unicode MS"/>
          <w:color w:val="auto"/>
          <w:sz w:val="32"/>
          <w:szCs w:val="32"/>
        </w:rPr>
        <w:br w:type="page"/>
      </w:r>
      <w:r>
        <w:rPr>
          <w:rFonts w:hint="eastAsia" w:hAnsi="宋体" w:cs="Arial Unicode MS"/>
          <w:color w:val="auto"/>
          <w:sz w:val="32"/>
          <w:szCs w:val="32"/>
        </w:rPr>
        <w:t>附：</w:t>
      </w:r>
    </w:p>
    <w:p w14:paraId="30F9DB5A">
      <w:pPr>
        <w:spacing w:line="360" w:lineRule="auto"/>
        <w:jc w:val="center"/>
        <w:rPr>
          <w:rFonts w:hAnsi="宋体" w:cs="Arial Unicode MS"/>
          <w:b/>
          <w:bCs/>
          <w:color w:val="auto"/>
          <w:sz w:val="28"/>
          <w:szCs w:val="28"/>
        </w:rPr>
      </w:pPr>
      <w:r>
        <w:rPr>
          <w:rFonts w:hint="eastAsia" w:hAnsi="宋体" w:cs="Arial Unicode MS"/>
          <w:b/>
          <w:bCs/>
          <w:color w:val="auto"/>
          <w:sz w:val="28"/>
          <w:szCs w:val="28"/>
        </w:rPr>
        <w:t>中小微企业划型标准</w:t>
      </w:r>
    </w:p>
    <w:tbl>
      <w:tblPr>
        <w:tblStyle w:val="47"/>
        <w:tblW w:w="8888" w:type="dxa"/>
        <w:tblInd w:w="250" w:type="dxa"/>
        <w:tblLayout w:type="fixed"/>
        <w:tblCellMar>
          <w:top w:w="0" w:type="dxa"/>
          <w:left w:w="108" w:type="dxa"/>
          <w:bottom w:w="0" w:type="dxa"/>
          <w:right w:w="108" w:type="dxa"/>
        </w:tblCellMar>
      </w:tblPr>
      <w:tblGrid>
        <w:gridCol w:w="1704"/>
        <w:gridCol w:w="1538"/>
        <w:gridCol w:w="981"/>
        <w:gridCol w:w="1740"/>
        <w:gridCol w:w="1725"/>
        <w:gridCol w:w="1200"/>
      </w:tblGrid>
      <w:tr w14:paraId="496277FF">
        <w:tblPrEx>
          <w:tblCellMar>
            <w:top w:w="0" w:type="dxa"/>
            <w:left w:w="108" w:type="dxa"/>
            <w:bottom w:w="0" w:type="dxa"/>
            <w:right w:w="108" w:type="dxa"/>
          </w:tblCellMar>
        </w:tblPrEx>
        <w:trPr>
          <w:trHeight w:val="90"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14:paraId="38C7DE06">
            <w:pPr>
              <w:widowControl/>
              <w:spacing w:line="360" w:lineRule="auto"/>
              <w:jc w:val="center"/>
              <w:rPr>
                <w:rFonts w:hint="eastAsia" w:hAnsi="宋体" w:cs="宋体"/>
                <w:b/>
                <w:color w:val="auto"/>
                <w:sz w:val="18"/>
                <w:szCs w:val="18"/>
              </w:rPr>
            </w:pPr>
            <w:r>
              <w:rPr>
                <w:rFonts w:hint="eastAsia" w:hAnsi="宋体" w:cs="宋体"/>
                <w:b/>
                <w:color w:val="auto"/>
                <w:sz w:val="18"/>
                <w:szCs w:val="18"/>
              </w:rPr>
              <w:t>行业名称</w:t>
            </w:r>
          </w:p>
        </w:tc>
        <w:tc>
          <w:tcPr>
            <w:tcW w:w="1538" w:type="dxa"/>
            <w:tcBorders>
              <w:top w:val="single" w:color="auto" w:sz="4" w:space="0"/>
              <w:left w:val="nil"/>
              <w:bottom w:val="single" w:color="auto" w:sz="4" w:space="0"/>
              <w:right w:val="single" w:color="auto" w:sz="4" w:space="0"/>
            </w:tcBorders>
            <w:noWrap w:val="0"/>
            <w:vAlign w:val="center"/>
          </w:tcPr>
          <w:p w14:paraId="70EF4566">
            <w:pPr>
              <w:widowControl/>
              <w:spacing w:line="360" w:lineRule="auto"/>
              <w:jc w:val="center"/>
              <w:rPr>
                <w:rFonts w:hint="eastAsia" w:hAnsi="宋体" w:cs="宋体"/>
                <w:b/>
                <w:color w:val="auto"/>
                <w:sz w:val="18"/>
                <w:szCs w:val="18"/>
              </w:rPr>
            </w:pPr>
            <w:r>
              <w:rPr>
                <w:rFonts w:hint="eastAsia" w:hAnsi="宋体" w:cs="宋体"/>
                <w:b/>
                <w:color w:val="auto"/>
                <w:sz w:val="18"/>
                <w:szCs w:val="18"/>
              </w:rPr>
              <w:t>指标名称</w:t>
            </w:r>
          </w:p>
        </w:tc>
        <w:tc>
          <w:tcPr>
            <w:tcW w:w="981" w:type="dxa"/>
            <w:tcBorders>
              <w:top w:val="single" w:color="auto" w:sz="4" w:space="0"/>
              <w:left w:val="nil"/>
              <w:bottom w:val="single" w:color="auto" w:sz="4" w:space="0"/>
              <w:right w:val="single" w:color="auto" w:sz="4" w:space="0"/>
            </w:tcBorders>
            <w:noWrap w:val="0"/>
            <w:vAlign w:val="center"/>
          </w:tcPr>
          <w:p w14:paraId="40A594D8">
            <w:pPr>
              <w:widowControl/>
              <w:spacing w:line="360" w:lineRule="auto"/>
              <w:jc w:val="center"/>
              <w:rPr>
                <w:rFonts w:hint="eastAsia" w:hAnsi="宋体" w:cs="宋体"/>
                <w:b/>
                <w:color w:val="auto"/>
                <w:sz w:val="18"/>
                <w:szCs w:val="18"/>
              </w:rPr>
            </w:pPr>
            <w:r>
              <w:rPr>
                <w:rFonts w:hint="eastAsia" w:hAnsi="宋体" w:cs="宋体"/>
                <w:b/>
                <w:color w:val="auto"/>
                <w:sz w:val="18"/>
                <w:szCs w:val="18"/>
              </w:rPr>
              <w:t>计量单位</w:t>
            </w:r>
          </w:p>
        </w:tc>
        <w:tc>
          <w:tcPr>
            <w:tcW w:w="1740" w:type="dxa"/>
            <w:tcBorders>
              <w:top w:val="single" w:color="auto" w:sz="4" w:space="0"/>
              <w:left w:val="nil"/>
              <w:bottom w:val="single" w:color="auto" w:sz="4" w:space="0"/>
              <w:right w:val="single" w:color="auto" w:sz="4" w:space="0"/>
            </w:tcBorders>
            <w:noWrap w:val="0"/>
            <w:vAlign w:val="center"/>
          </w:tcPr>
          <w:p w14:paraId="0A8963CB">
            <w:pPr>
              <w:widowControl/>
              <w:spacing w:line="360" w:lineRule="auto"/>
              <w:jc w:val="center"/>
              <w:rPr>
                <w:rFonts w:hint="eastAsia" w:hAnsi="宋体" w:cs="宋体"/>
                <w:b/>
                <w:color w:val="auto"/>
                <w:sz w:val="18"/>
                <w:szCs w:val="18"/>
              </w:rPr>
            </w:pPr>
            <w:r>
              <w:rPr>
                <w:rFonts w:hint="eastAsia" w:hAnsi="宋体" w:cs="宋体"/>
                <w:b/>
                <w:color w:val="auto"/>
                <w:sz w:val="18"/>
                <w:szCs w:val="18"/>
              </w:rPr>
              <w:t>中型</w:t>
            </w:r>
          </w:p>
        </w:tc>
        <w:tc>
          <w:tcPr>
            <w:tcW w:w="1725" w:type="dxa"/>
            <w:tcBorders>
              <w:top w:val="single" w:color="auto" w:sz="4" w:space="0"/>
              <w:left w:val="nil"/>
              <w:bottom w:val="single" w:color="auto" w:sz="4" w:space="0"/>
              <w:right w:val="single" w:color="auto" w:sz="4" w:space="0"/>
            </w:tcBorders>
            <w:noWrap w:val="0"/>
            <w:vAlign w:val="center"/>
          </w:tcPr>
          <w:p w14:paraId="2E0A6E18">
            <w:pPr>
              <w:widowControl/>
              <w:spacing w:line="360" w:lineRule="auto"/>
              <w:jc w:val="center"/>
              <w:rPr>
                <w:rFonts w:hint="eastAsia" w:hAnsi="宋体" w:cs="宋体"/>
                <w:b/>
                <w:color w:val="auto"/>
                <w:sz w:val="18"/>
                <w:szCs w:val="18"/>
              </w:rPr>
            </w:pPr>
            <w:r>
              <w:rPr>
                <w:rFonts w:hint="eastAsia" w:hAnsi="宋体" w:cs="宋体"/>
                <w:b/>
                <w:color w:val="auto"/>
                <w:sz w:val="18"/>
                <w:szCs w:val="18"/>
              </w:rPr>
              <w:t>小型</w:t>
            </w:r>
          </w:p>
        </w:tc>
        <w:tc>
          <w:tcPr>
            <w:tcW w:w="1200" w:type="dxa"/>
            <w:tcBorders>
              <w:top w:val="single" w:color="auto" w:sz="4" w:space="0"/>
              <w:left w:val="nil"/>
              <w:bottom w:val="single" w:color="auto" w:sz="4" w:space="0"/>
              <w:right w:val="single" w:color="auto" w:sz="4" w:space="0"/>
            </w:tcBorders>
            <w:noWrap w:val="0"/>
            <w:vAlign w:val="center"/>
          </w:tcPr>
          <w:p w14:paraId="02236A08">
            <w:pPr>
              <w:widowControl/>
              <w:spacing w:line="360" w:lineRule="auto"/>
              <w:jc w:val="center"/>
              <w:rPr>
                <w:rFonts w:hint="eastAsia" w:hAnsi="宋体" w:cs="宋体"/>
                <w:b/>
                <w:color w:val="auto"/>
                <w:sz w:val="18"/>
                <w:szCs w:val="18"/>
              </w:rPr>
            </w:pPr>
            <w:r>
              <w:rPr>
                <w:rFonts w:hint="eastAsia" w:hAnsi="宋体" w:cs="宋体"/>
                <w:b/>
                <w:color w:val="auto"/>
                <w:sz w:val="18"/>
                <w:szCs w:val="18"/>
              </w:rPr>
              <w:t>微型</w:t>
            </w:r>
          </w:p>
        </w:tc>
      </w:tr>
      <w:tr w14:paraId="15EAC446">
        <w:tblPrEx>
          <w:tblCellMar>
            <w:top w:w="0" w:type="dxa"/>
            <w:left w:w="108" w:type="dxa"/>
            <w:bottom w:w="0" w:type="dxa"/>
            <w:right w:w="108" w:type="dxa"/>
          </w:tblCellMar>
        </w:tblPrEx>
        <w:trPr>
          <w:trHeight w:val="90" w:hRule="atLeast"/>
        </w:trPr>
        <w:tc>
          <w:tcPr>
            <w:tcW w:w="1704" w:type="dxa"/>
            <w:tcBorders>
              <w:top w:val="nil"/>
              <w:left w:val="single" w:color="auto" w:sz="4" w:space="0"/>
              <w:bottom w:val="single" w:color="auto" w:sz="4" w:space="0"/>
              <w:right w:val="single" w:color="auto" w:sz="4" w:space="0"/>
            </w:tcBorders>
            <w:noWrap w:val="0"/>
            <w:vAlign w:val="center"/>
          </w:tcPr>
          <w:p w14:paraId="233C81D8">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农、林、牧、渔</w:t>
            </w:r>
          </w:p>
        </w:tc>
        <w:tc>
          <w:tcPr>
            <w:tcW w:w="1538" w:type="dxa"/>
            <w:tcBorders>
              <w:top w:val="nil"/>
              <w:left w:val="nil"/>
              <w:bottom w:val="single" w:color="auto" w:sz="4" w:space="0"/>
              <w:right w:val="single" w:color="auto" w:sz="4" w:space="0"/>
            </w:tcBorders>
            <w:noWrap w:val="0"/>
            <w:vAlign w:val="center"/>
          </w:tcPr>
          <w:p w14:paraId="6078F078">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15443993">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15304746">
            <w:pPr>
              <w:pStyle w:val="24"/>
              <w:spacing w:line="360" w:lineRule="auto"/>
              <w:jc w:val="center"/>
              <w:rPr>
                <w:rFonts w:hint="eastAsia" w:hAnsi="宋体" w:cs="宋体"/>
                <w:color w:val="auto"/>
                <w:sz w:val="18"/>
                <w:szCs w:val="18"/>
              </w:rPr>
            </w:pPr>
            <w:r>
              <w:rPr>
                <w:rFonts w:hint="eastAsia" w:hAnsi="宋体" w:cs="宋体"/>
                <w:color w:val="auto"/>
                <w:sz w:val="18"/>
                <w:szCs w:val="18"/>
              </w:rPr>
              <w:t>500≤Y＜20000</w:t>
            </w:r>
          </w:p>
        </w:tc>
        <w:tc>
          <w:tcPr>
            <w:tcW w:w="1725" w:type="dxa"/>
            <w:tcBorders>
              <w:top w:val="nil"/>
              <w:left w:val="nil"/>
              <w:bottom w:val="single" w:color="auto" w:sz="4" w:space="0"/>
              <w:right w:val="single" w:color="auto" w:sz="4" w:space="0"/>
            </w:tcBorders>
            <w:noWrap w:val="0"/>
            <w:vAlign w:val="center"/>
          </w:tcPr>
          <w:p w14:paraId="7AFD5F84">
            <w:pPr>
              <w:pStyle w:val="24"/>
              <w:spacing w:line="360" w:lineRule="auto"/>
              <w:jc w:val="center"/>
              <w:rPr>
                <w:rFonts w:hint="eastAsia" w:hAnsi="宋体" w:cs="宋体"/>
                <w:color w:val="auto"/>
                <w:sz w:val="18"/>
                <w:szCs w:val="18"/>
              </w:rPr>
            </w:pPr>
            <w:r>
              <w:rPr>
                <w:rFonts w:hint="eastAsia" w:hAnsi="宋体" w:cs="宋体"/>
                <w:color w:val="auto"/>
                <w:sz w:val="18"/>
                <w:szCs w:val="18"/>
              </w:rPr>
              <w:t>50≤Y＜500</w:t>
            </w:r>
          </w:p>
        </w:tc>
        <w:tc>
          <w:tcPr>
            <w:tcW w:w="1200" w:type="dxa"/>
            <w:tcBorders>
              <w:top w:val="nil"/>
              <w:left w:val="nil"/>
              <w:bottom w:val="single" w:color="auto" w:sz="4" w:space="0"/>
              <w:right w:val="single" w:color="auto" w:sz="4" w:space="0"/>
            </w:tcBorders>
            <w:noWrap w:val="0"/>
            <w:vAlign w:val="center"/>
          </w:tcPr>
          <w:p w14:paraId="17564822">
            <w:pPr>
              <w:pStyle w:val="24"/>
              <w:spacing w:line="360" w:lineRule="auto"/>
              <w:jc w:val="center"/>
              <w:rPr>
                <w:rFonts w:hint="eastAsia" w:hAnsi="宋体" w:cs="宋体"/>
                <w:color w:val="auto"/>
                <w:sz w:val="18"/>
                <w:szCs w:val="18"/>
              </w:rPr>
            </w:pPr>
            <w:r>
              <w:rPr>
                <w:rFonts w:hint="eastAsia" w:hAnsi="宋体" w:cs="宋体"/>
                <w:color w:val="auto"/>
                <w:sz w:val="18"/>
                <w:szCs w:val="18"/>
              </w:rPr>
              <w:t>Y＜50</w:t>
            </w:r>
          </w:p>
        </w:tc>
      </w:tr>
      <w:tr w14:paraId="40EF18A1">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779E9D00">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工业</w:t>
            </w:r>
          </w:p>
        </w:tc>
        <w:tc>
          <w:tcPr>
            <w:tcW w:w="1538" w:type="dxa"/>
            <w:tcBorders>
              <w:top w:val="nil"/>
              <w:left w:val="nil"/>
              <w:bottom w:val="single" w:color="auto" w:sz="4" w:space="0"/>
              <w:right w:val="single" w:color="auto" w:sz="4" w:space="0"/>
            </w:tcBorders>
            <w:noWrap w:val="0"/>
            <w:vAlign w:val="center"/>
          </w:tcPr>
          <w:p w14:paraId="6B4025D0">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704949C2">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089726DE">
            <w:pPr>
              <w:pStyle w:val="24"/>
              <w:spacing w:line="360" w:lineRule="auto"/>
              <w:jc w:val="center"/>
              <w:rPr>
                <w:rFonts w:hint="eastAsia" w:hAnsi="宋体" w:cs="宋体"/>
                <w:color w:val="auto"/>
                <w:sz w:val="18"/>
                <w:szCs w:val="18"/>
              </w:rPr>
            </w:pPr>
            <w:r>
              <w:rPr>
                <w:rFonts w:hint="eastAsia" w:hAnsi="宋体" w:cs="宋体"/>
                <w:color w:val="auto"/>
                <w:sz w:val="18"/>
                <w:szCs w:val="18"/>
              </w:rPr>
              <w:t>300≤X＜1000</w:t>
            </w:r>
          </w:p>
        </w:tc>
        <w:tc>
          <w:tcPr>
            <w:tcW w:w="1725" w:type="dxa"/>
            <w:tcBorders>
              <w:top w:val="nil"/>
              <w:left w:val="nil"/>
              <w:bottom w:val="single" w:color="auto" w:sz="4" w:space="0"/>
              <w:right w:val="single" w:color="auto" w:sz="4" w:space="0"/>
            </w:tcBorders>
            <w:noWrap w:val="0"/>
            <w:vAlign w:val="center"/>
          </w:tcPr>
          <w:p w14:paraId="38EB0E01">
            <w:pPr>
              <w:pStyle w:val="24"/>
              <w:spacing w:line="360" w:lineRule="auto"/>
              <w:jc w:val="center"/>
              <w:rPr>
                <w:rFonts w:hint="eastAsia" w:hAnsi="宋体" w:cs="宋体"/>
                <w:color w:val="auto"/>
                <w:sz w:val="18"/>
                <w:szCs w:val="18"/>
              </w:rPr>
            </w:pPr>
            <w:r>
              <w:rPr>
                <w:rFonts w:hint="eastAsia" w:hAnsi="宋体" w:cs="宋体"/>
                <w:color w:val="auto"/>
                <w:sz w:val="18"/>
                <w:szCs w:val="18"/>
              </w:rPr>
              <w:t>20≤X＜300</w:t>
            </w:r>
          </w:p>
        </w:tc>
        <w:tc>
          <w:tcPr>
            <w:tcW w:w="1200" w:type="dxa"/>
            <w:tcBorders>
              <w:top w:val="nil"/>
              <w:left w:val="nil"/>
              <w:bottom w:val="single" w:color="auto" w:sz="4" w:space="0"/>
              <w:right w:val="single" w:color="auto" w:sz="4" w:space="0"/>
            </w:tcBorders>
            <w:noWrap w:val="0"/>
            <w:vAlign w:val="center"/>
          </w:tcPr>
          <w:p w14:paraId="43D649A0">
            <w:pPr>
              <w:pStyle w:val="24"/>
              <w:spacing w:line="360" w:lineRule="auto"/>
              <w:jc w:val="center"/>
              <w:rPr>
                <w:rFonts w:hint="eastAsia" w:hAnsi="宋体" w:cs="宋体"/>
                <w:color w:val="auto"/>
                <w:sz w:val="18"/>
                <w:szCs w:val="18"/>
              </w:rPr>
            </w:pPr>
            <w:r>
              <w:rPr>
                <w:rFonts w:hint="eastAsia" w:hAnsi="宋体" w:cs="宋体"/>
                <w:color w:val="auto"/>
                <w:sz w:val="18"/>
                <w:szCs w:val="18"/>
              </w:rPr>
              <w:t>X＜20</w:t>
            </w:r>
          </w:p>
        </w:tc>
      </w:tr>
      <w:tr w14:paraId="2465CB3E">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1E1686C3">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53B85559">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683A4654">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5171117E">
            <w:pPr>
              <w:pStyle w:val="24"/>
              <w:spacing w:line="360" w:lineRule="auto"/>
              <w:jc w:val="center"/>
              <w:rPr>
                <w:rFonts w:hint="eastAsia" w:hAnsi="宋体" w:cs="宋体"/>
                <w:color w:val="auto"/>
                <w:sz w:val="18"/>
                <w:szCs w:val="18"/>
              </w:rPr>
            </w:pPr>
            <w:r>
              <w:rPr>
                <w:rFonts w:hint="eastAsia" w:hAnsi="宋体" w:cs="宋体"/>
                <w:color w:val="auto"/>
                <w:sz w:val="18"/>
                <w:szCs w:val="18"/>
              </w:rPr>
              <w:t>2000≤Y＜40000</w:t>
            </w:r>
          </w:p>
        </w:tc>
        <w:tc>
          <w:tcPr>
            <w:tcW w:w="1725" w:type="dxa"/>
            <w:tcBorders>
              <w:top w:val="nil"/>
              <w:left w:val="nil"/>
              <w:bottom w:val="single" w:color="auto" w:sz="4" w:space="0"/>
              <w:right w:val="single" w:color="auto" w:sz="4" w:space="0"/>
            </w:tcBorders>
            <w:noWrap w:val="0"/>
            <w:vAlign w:val="center"/>
          </w:tcPr>
          <w:p w14:paraId="6FA37BD7">
            <w:pPr>
              <w:pStyle w:val="24"/>
              <w:spacing w:line="360" w:lineRule="auto"/>
              <w:jc w:val="center"/>
              <w:rPr>
                <w:rFonts w:hint="eastAsia" w:hAnsi="宋体" w:cs="宋体"/>
                <w:color w:val="auto"/>
                <w:sz w:val="18"/>
                <w:szCs w:val="18"/>
              </w:rPr>
            </w:pPr>
            <w:r>
              <w:rPr>
                <w:rFonts w:hint="eastAsia" w:hAnsi="宋体" w:cs="宋体"/>
                <w:color w:val="auto"/>
                <w:sz w:val="18"/>
                <w:szCs w:val="18"/>
              </w:rPr>
              <w:t>300≤Y＜2000</w:t>
            </w:r>
          </w:p>
        </w:tc>
        <w:tc>
          <w:tcPr>
            <w:tcW w:w="1200" w:type="dxa"/>
            <w:tcBorders>
              <w:top w:val="nil"/>
              <w:left w:val="nil"/>
              <w:bottom w:val="single" w:color="auto" w:sz="4" w:space="0"/>
              <w:right w:val="single" w:color="auto" w:sz="4" w:space="0"/>
            </w:tcBorders>
            <w:noWrap w:val="0"/>
            <w:vAlign w:val="center"/>
          </w:tcPr>
          <w:p w14:paraId="42B27159">
            <w:pPr>
              <w:pStyle w:val="24"/>
              <w:spacing w:line="360" w:lineRule="auto"/>
              <w:jc w:val="center"/>
              <w:rPr>
                <w:rFonts w:hint="eastAsia" w:hAnsi="宋体" w:cs="宋体"/>
                <w:color w:val="auto"/>
                <w:sz w:val="18"/>
                <w:szCs w:val="18"/>
              </w:rPr>
            </w:pPr>
            <w:r>
              <w:rPr>
                <w:rFonts w:hint="eastAsia" w:hAnsi="宋体" w:cs="宋体"/>
                <w:color w:val="auto"/>
                <w:sz w:val="18"/>
                <w:szCs w:val="18"/>
              </w:rPr>
              <w:t>Y＜300</w:t>
            </w:r>
          </w:p>
        </w:tc>
      </w:tr>
      <w:tr w14:paraId="7EBC9CA4">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5C699B94">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建筑业</w:t>
            </w:r>
          </w:p>
        </w:tc>
        <w:tc>
          <w:tcPr>
            <w:tcW w:w="1538" w:type="dxa"/>
            <w:tcBorders>
              <w:top w:val="nil"/>
              <w:left w:val="nil"/>
              <w:bottom w:val="single" w:color="auto" w:sz="4" w:space="0"/>
              <w:right w:val="single" w:color="auto" w:sz="4" w:space="0"/>
            </w:tcBorders>
            <w:noWrap w:val="0"/>
            <w:vAlign w:val="center"/>
          </w:tcPr>
          <w:p w14:paraId="3538FFB5">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79CD769A">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14E67D57">
            <w:pPr>
              <w:pStyle w:val="24"/>
              <w:spacing w:line="360" w:lineRule="auto"/>
              <w:jc w:val="center"/>
              <w:rPr>
                <w:rFonts w:hint="eastAsia" w:hAnsi="宋体" w:cs="宋体"/>
                <w:color w:val="auto"/>
                <w:sz w:val="18"/>
                <w:szCs w:val="18"/>
              </w:rPr>
            </w:pPr>
            <w:r>
              <w:rPr>
                <w:rFonts w:hint="eastAsia" w:hAnsi="宋体" w:cs="宋体"/>
                <w:color w:val="auto"/>
                <w:sz w:val="18"/>
                <w:szCs w:val="18"/>
              </w:rPr>
              <w:t>6000≤Y＜80000</w:t>
            </w:r>
          </w:p>
        </w:tc>
        <w:tc>
          <w:tcPr>
            <w:tcW w:w="1725" w:type="dxa"/>
            <w:tcBorders>
              <w:top w:val="nil"/>
              <w:left w:val="nil"/>
              <w:bottom w:val="single" w:color="auto" w:sz="4" w:space="0"/>
              <w:right w:val="single" w:color="auto" w:sz="4" w:space="0"/>
            </w:tcBorders>
            <w:noWrap w:val="0"/>
            <w:vAlign w:val="center"/>
          </w:tcPr>
          <w:p w14:paraId="342F6DBE">
            <w:pPr>
              <w:pStyle w:val="24"/>
              <w:spacing w:line="360" w:lineRule="auto"/>
              <w:jc w:val="center"/>
              <w:rPr>
                <w:rFonts w:hint="eastAsia" w:hAnsi="宋体" w:cs="宋体"/>
                <w:color w:val="auto"/>
                <w:sz w:val="18"/>
                <w:szCs w:val="18"/>
              </w:rPr>
            </w:pPr>
            <w:r>
              <w:rPr>
                <w:rFonts w:hint="eastAsia" w:hAnsi="宋体" w:cs="宋体"/>
                <w:color w:val="auto"/>
                <w:sz w:val="18"/>
                <w:szCs w:val="18"/>
              </w:rPr>
              <w:t>300≤Y＜6000</w:t>
            </w:r>
          </w:p>
        </w:tc>
        <w:tc>
          <w:tcPr>
            <w:tcW w:w="1200" w:type="dxa"/>
            <w:tcBorders>
              <w:top w:val="nil"/>
              <w:left w:val="nil"/>
              <w:bottom w:val="single" w:color="auto" w:sz="4" w:space="0"/>
              <w:right w:val="single" w:color="auto" w:sz="4" w:space="0"/>
            </w:tcBorders>
            <w:noWrap w:val="0"/>
            <w:vAlign w:val="center"/>
          </w:tcPr>
          <w:p w14:paraId="61498D83">
            <w:pPr>
              <w:pStyle w:val="24"/>
              <w:spacing w:line="360" w:lineRule="auto"/>
              <w:jc w:val="center"/>
              <w:rPr>
                <w:rFonts w:hint="eastAsia" w:hAnsi="宋体" w:cs="宋体"/>
                <w:color w:val="auto"/>
                <w:sz w:val="18"/>
                <w:szCs w:val="18"/>
              </w:rPr>
            </w:pPr>
            <w:r>
              <w:rPr>
                <w:rFonts w:hint="eastAsia" w:hAnsi="宋体" w:cs="宋体"/>
                <w:color w:val="auto"/>
                <w:sz w:val="18"/>
                <w:szCs w:val="18"/>
              </w:rPr>
              <w:t>Y＜300</w:t>
            </w:r>
          </w:p>
        </w:tc>
      </w:tr>
      <w:tr w14:paraId="1B3E03E7">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4AFBD5F1">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08A6A26E">
            <w:pPr>
              <w:pStyle w:val="24"/>
              <w:spacing w:line="360" w:lineRule="auto"/>
              <w:jc w:val="center"/>
              <w:rPr>
                <w:rFonts w:hint="eastAsia" w:hAnsi="宋体" w:cs="宋体"/>
                <w:color w:val="auto"/>
                <w:sz w:val="18"/>
                <w:szCs w:val="18"/>
              </w:rPr>
            </w:pPr>
            <w:r>
              <w:rPr>
                <w:rFonts w:hint="eastAsia" w:hAnsi="宋体" w:cs="宋体"/>
                <w:color w:val="auto"/>
                <w:sz w:val="18"/>
                <w:szCs w:val="18"/>
              </w:rPr>
              <w:t>资产总额（Z）</w:t>
            </w:r>
          </w:p>
        </w:tc>
        <w:tc>
          <w:tcPr>
            <w:tcW w:w="981" w:type="dxa"/>
            <w:tcBorders>
              <w:top w:val="nil"/>
              <w:left w:val="nil"/>
              <w:bottom w:val="single" w:color="auto" w:sz="4" w:space="0"/>
              <w:right w:val="single" w:color="auto" w:sz="4" w:space="0"/>
            </w:tcBorders>
            <w:noWrap w:val="0"/>
            <w:vAlign w:val="center"/>
          </w:tcPr>
          <w:p w14:paraId="79BDCC82">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441340DC">
            <w:pPr>
              <w:pStyle w:val="24"/>
              <w:spacing w:line="360" w:lineRule="auto"/>
              <w:jc w:val="center"/>
              <w:rPr>
                <w:rFonts w:hint="eastAsia" w:hAnsi="宋体" w:cs="宋体"/>
                <w:color w:val="auto"/>
                <w:sz w:val="18"/>
                <w:szCs w:val="18"/>
              </w:rPr>
            </w:pPr>
            <w:r>
              <w:rPr>
                <w:rFonts w:hint="eastAsia" w:hAnsi="宋体" w:cs="宋体"/>
                <w:color w:val="auto"/>
                <w:sz w:val="18"/>
                <w:szCs w:val="18"/>
              </w:rPr>
              <w:t>5000≤Z＜80000</w:t>
            </w:r>
          </w:p>
        </w:tc>
        <w:tc>
          <w:tcPr>
            <w:tcW w:w="1725" w:type="dxa"/>
            <w:tcBorders>
              <w:top w:val="nil"/>
              <w:left w:val="nil"/>
              <w:bottom w:val="single" w:color="auto" w:sz="4" w:space="0"/>
              <w:right w:val="single" w:color="auto" w:sz="4" w:space="0"/>
            </w:tcBorders>
            <w:noWrap w:val="0"/>
            <w:vAlign w:val="center"/>
          </w:tcPr>
          <w:p w14:paraId="003B05B9">
            <w:pPr>
              <w:pStyle w:val="24"/>
              <w:spacing w:line="360" w:lineRule="auto"/>
              <w:jc w:val="center"/>
              <w:rPr>
                <w:rFonts w:hint="eastAsia" w:hAnsi="宋体" w:cs="宋体"/>
                <w:color w:val="auto"/>
                <w:sz w:val="18"/>
                <w:szCs w:val="18"/>
              </w:rPr>
            </w:pPr>
            <w:r>
              <w:rPr>
                <w:rFonts w:hint="eastAsia" w:hAnsi="宋体" w:cs="宋体"/>
                <w:color w:val="auto"/>
                <w:sz w:val="18"/>
                <w:szCs w:val="18"/>
              </w:rPr>
              <w:t>300≤Z＜5000</w:t>
            </w:r>
          </w:p>
        </w:tc>
        <w:tc>
          <w:tcPr>
            <w:tcW w:w="1200" w:type="dxa"/>
            <w:tcBorders>
              <w:top w:val="nil"/>
              <w:left w:val="nil"/>
              <w:bottom w:val="single" w:color="auto" w:sz="4" w:space="0"/>
              <w:right w:val="single" w:color="auto" w:sz="4" w:space="0"/>
            </w:tcBorders>
            <w:noWrap w:val="0"/>
            <w:vAlign w:val="center"/>
          </w:tcPr>
          <w:p w14:paraId="392A885B">
            <w:pPr>
              <w:pStyle w:val="24"/>
              <w:spacing w:line="360" w:lineRule="auto"/>
              <w:jc w:val="center"/>
              <w:rPr>
                <w:rFonts w:hint="eastAsia" w:hAnsi="宋体" w:cs="宋体"/>
                <w:color w:val="auto"/>
                <w:sz w:val="18"/>
                <w:szCs w:val="18"/>
              </w:rPr>
            </w:pPr>
            <w:r>
              <w:rPr>
                <w:rFonts w:hint="eastAsia" w:hAnsi="宋体" w:cs="宋体"/>
                <w:color w:val="auto"/>
                <w:sz w:val="18"/>
                <w:szCs w:val="18"/>
              </w:rPr>
              <w:t>Z＜300</w:t>
            </w:r>
          </w:p>
        </w:tc>
      </w:tr>
      <w:tr w14:paraId="3CD2E89B">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71B7CAC7">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批发业</w:t>
            </w:r>
          </w:p>
        </w:tc>
        <w:tc>
          <w:tcPr>
            <w:tcW w:w="1538" w:type="dxa"/>
            <w:tcBorders>
              <w:top w:val="nil"/>
              <w:left w:val="nil"/>
              <w:bottom w:val="single" w:color="auto" w:sz="4" w:space="0"/>
              <w:right w:val="single" w:color="auto" w:sz="4" w:space="0"/>
            </w:tcBorders>
            <w:noWrap w:val="0"/>
            <w:vAlign w:val="center"/>
          </w:tcPr>
          <w:p w14:paraId="4B999DB5">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2859E3D9">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301D1C00">
            <w:pPr>
              <w:pStyle w:val="24"/>
              <w:spacing w:line="360" w:lineRule="auto"/>
              <w:jc w:val="center"/>
              <w:rPr>
                <w:rFonts w:hint="eastAsia" w:hAnsi="宋体" w:cs="宋体"/>
                <w:color w:val="auto"/>
                <w:sz w:val="18"/>
                <w:szCs w:val="18"/>
              </w:rPr>
            </w:pPr>
            <w:r>
              <w:rPr>
                <w:rFonts w:hint="eastAsia" w:hAnsi="宋体" w:cs="宋体"/>
                <w:color w:val="auto"/>
                <w:sz w:val="18"/>
                <w:szCs w:val="18"/>
              </w:rPr>
              <w:t>20≤X＜200</w:t>
            </w:r>
          </w:p>
        </w:tc>
        <w:tc>
          <w:tcPr>
            <w:tcW w:w="1725" w:type="dxa"/>
            <w:tcBorders>
              <w:top w:val="nil"/>
              <w:left w:val="nil"/>
              <w:bottom w:val="single" w:color="auto" w:sz="4" w:space="0"/>
              <w:right w:val="single" w:color="auto" w:sz="4" w:space="0"/>
            </w:tcBorders>
            <w:noWrap w:val="0"/>
            <w:vAlign w:val="center"/>
          </w:tcPr>
          <w:p w14:paraId="3AEF80DB">
            <w:pPr>
              <w:pStyle w:val="24"/>
              <w:spacing w:line="360" w:lineRule="auto"/>
              <w:jc w:val="center"/>
              <w:rPr>
                <w:rFonts w:hint="eastAsia" w:hAnsi="宋体" w:cs="宋体"/>
                <w:color w:val="auto"/>
                <w:sz w:val="18"/>
                <w:szCs w:val="18"/>
              </w:rPr>
            </w:pPr>
            <w:r>
              <w:rPr>
                <w:rFonts w:hint="eastAsia" w:hAnsi="宋体" w:cs="宋体"/>
                <w:color w:val="auto"/>
                <w:sz w:val="18"/>
                <w:szCs w:val="18"/>
              </w:rPr>
              <w:t>5≤X＜20</w:t>
            </w:r>
          </w:p>
        </w:tc>
        <w:tc>
          <w:tcPr>
            <w:tcW w:w="1200" w:type="dxa"/>
            <w:tcBorders>
              <w:top w:val="nil"/>
              <w:left w:val="nil"/>
              <w:bottom w:val="single" w:color="auto" w:sz="4" w:space="0"/>
              <w:right w:val="single" w:color="auto" w:sz="4" w:space="0"/>
            </w:tcBorders>
            <w:noWrap w:val="0"/>
            <w:vAlign w:val="center"/>
          </w:tcPr>
          <w:p w14:paraId="31B11014">
            <w:pPr>
              <w:pStyle w:val="24"/>
              <w:spacing w:line="360" w:lineRule="auto"/>
              <w:jc w:val="center"/>
              <w:rPr>
                <w:rFonts w:hint="eastAsia" w:hAnsi="宋体" w:cs="宋体"/>
                <w:color w:val="auto"/>
                <w:sz w:val="18"/>
                <w:szCs w:val="18"/>
              </w:rPr>
            </w:pPr>
            <w:r>
              <w:rPr>
                <w:rFonts w:hint="eastAsia" w:hAnsi="宋体" w:cs="宋体"/>
                <w:color w:val="auto"/>
                <w:sz w:val="18"/>
                <w:szCs w:val="18"/>
              </w:rPr>
              <w:t>X＜5</w:t>
            </w:r>
          </w:p>
        </w:tc>
      </w:tr>
      <w:tr w14:paraId="79755137">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77848810">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26D91225">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2DD34741">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112332BC">
            <w:pPr>
              <w:pStyle w:val="24"/>
              <w:spacing w:line="360" w:lineRule="auto"/>
              <w:jc w:val="center"/>
              <w:rPr>
                <w:rFonts w:hint="eastAsia" w:hAnsi="宋体" w:cs="宋体"/>
                <w:color w:val="auto"/>
                <w:sz w:val="18"/>
                <w:szCs w:val="18"/>
              </w:rPr>
            </w:pPr>
            <w:r>
              <w:rPr>
                <w:rFonts w:hint="eastAsia" w:hAnsi="宋体" w:cs="宋体"/>
                <w:color w:val="auto"/>
                <w:sz w:val="18"/>
                <w:szCs w:val="18"/>
              </w:rPr>
              <w:t>5000≤Y＜40000</w:t>
            </w:r>
          </w:p>
        </w:tc>
        <w:tc>
          <w:tcPr>
            <w:tcW w:w="1725" w:type="dxa"/>
            <w:tcBorders>
              <w:top w:val="nil"/>
              <w:left w:val="nil"/>
              <w:bottom w:val="single" w:color="auto" w:sz="4" w:space="0"/>
              <w:right w:val="single" w:color="auto" w:sz="4" w:space="0"/>
            </w:tcBorders>
            <w:noWrap w:val="0"/>
            <w:vAlign w:val="center"/>
          </w:tcPr>
          <w:p w14:paraId="020B800A">
            <w:pPr>
              <w:pStyle w:val="24"/>
              <w:spacing w:line="360" w:lineRule="auto"/>
              <w:jc w:val="center"/>
              <w:rPr>
                <w:rFonts w:hint="eastAsia" w:hAnsi="宋体" w:cs="宋体"/>
                <w:color w:val="auto"/>
                <w:sz w:val="18"/>
                <w:szCs w:val="18"/>
              </w:rPr>
            </w:pPr>
            <w:r>
              <w:rPr>
                <w:rFonts w:hint="eastAsia" w:hAnsi="宋体" w:cs="宋体"/>
                <w:color w:val="auto"/>
                <w:sz w:val="18"/>
                <w:szCs w:val="18"/>
              </w:rPr>
              <w:t>1000≤Y＜5000</w:t>
            </w:r>
          </w:p>
        </w:tc>
        <w:tc>
          <w:tcPr>
            <w:tcW w:w="1200" w:type="dxa"/>
            <w:tcBorders>
              <w:top w:val="nil"/>
              <w:left w:val="nil"/>
              <w:bottom w:val="single" w:color="auto" w:sz="4" w:space="0"/>
              <w:right w:val="single" w:color="auto" w:sz="4" w:space="0"/>
            </w:tcBorders>
            <w:noWrap w:val="0"/>
            <w:vAlign w:val="center"/>
          </w:tcPr>
          <w:p w14:paraId="54DC5E30">
            <w:pPr>
              <w:pStyle w:val="24"/>
              <w:spacing w:line="360" w:lineRule="auto"/>
              <w:jc w:val="center"/>
              <w:rPr>
                <w:rFonts w:hint="eastAsia" w:hAnsi="宋体" w:cs="宋体"/>
                <w:color w:val="auto"/>
                <w:sz w:val="18"/>
                <w:szCs w:val="18"/>
              </w:rPr>
            </w:pPr>
            <w:r>
              <w:rPr>
                <w:rFonts w:hint="eastAsia" w:hAnsi="宋体" w:cs="宋体"/>
                <w:color w:val="auto"/>
                <w:sz w:val="18"/>
                <w:szCs w:val="18"/>
              </w:rPr>
              <w:t>Y＜1000</w:t>
            </w:r>
          </w:p>
        </w:tc>
      </w:tr>
      <w:tr w14:paraId="6C3ED6FC">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0CA04A47">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零售业</w:t>
            </w:r>
          </w:p>
        </w:tc>
        <w:tc>
          <w:tcPr>
            <w:tcW w:w="1538" w:type="dxa"/>
            <w:tcBorders>
              <w:top w:val="nil"/>
              <w:left w:val="nil"/>
              <w:bottom w:val="single" w:color="auto" w:sz="4" w:space="0"/>
              <w:right w:val="single" w:color="auto" w:sz="4" w:space="0"/>
            </w:tcBorders>
            <w:noWrap w:val="0"/>
            <w:vAlign w:val="center"/>
          </w:tcPr>
          <w:p w14:paraId="5F6B1434">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03309E28">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0F7FA47F">
            <w:pPr>
              <w:pStyle w:val="24"/>
              <w:spacing w:line="360" w:lineRule="auto"/>
              <w:jc w:val="center"/>
              <w:rPr>
                <w:rFonts w:hint="eastAsia" w:hAnsi="宋体" w:cs="宋体"/>
                <w:color w:val="auto"/>
                <w:sz w:val="18"/>
                <w:szCs w:val="18"/>
              </w:rPr>
            </w:pPr>
            <w:r>
              <w:rPr>
                <w:rFonts w:hint="eastAsia" w:hAnsi="宋体" w:cs="宋体"/>
                <w:color w:val="auto"/>
                <w:sz w:val="18"/>
                <w:szCs w:val="18"/>
              </w:rPr>
              <w:t>50≤X＜300</w:t>
            </w:r>
          </w:p>
        </w:tc>
        <w:tc>
          <w:tcPr>
            <w:tcW w:w="1725" w:type="dxa"/>
            <w:tcBorders>
              <w:top w:val="nil"/>
              <w:left w:val="nil"/>
              <w:bottom w:val="single" w:color="auto" w:sz="4" w:space="0"/>
              <w:right w:val="single" w:color="auto" w:sz="4" w:space="0"/>
            </w:tcBorders>
            <w:noWrap w:val="0"/>
            <w:vAlign w:val="center"/>
          </w:tcPr>
          <w:p w14:paraId="060DD54E">
            <w:pPr>
              <w:pStyle w:val="24"/>
              <w:spacing w:line="360" w:lineRule="auto"/>
              <w:jc w:val="center"/>
              <w:rPr>
                <w:rFonts w:hint="eastAsia" w:hAnsi="宋体" w:cs="宋体"/>
                <w:color w:val="auto"/>
                <w:sz w:val="18"/>
                <w:szCs w:val="18"/>
              </w:rPr>
            </w:pPr>
            <w:r>
              <w:rPr>
                <w:rFonts w:hint="eastAsia" w:hAnsi="宋体" w:cs="宋体"/>
                <w:color w:val="auto"/>
                <w:sz w:val="18"/>
                <w:szCs w:val="18"/>
              </w:rPr>
              <w:t>10≤X＜50</w:t>
            </w:r>
          </w:p>
        </w:tc>
        <w:tc>
          <w:tcPr>
            <w:tcW w:w="1200" w:type="dxa"/>
            <w:tcBorders>
              <w:top w:val="nil"/>
              <w:left w:val="nil"/>
              <w:bottom w:val="single" w:color="auto" w:sz="4" w:space="0"/>
              <w:right w:val="single" w:color="auto" w:sz="4" w:space="0"/>
            </w:tcBorders>
            <w:noWrap w:val="0"/>
            <w:vAlign w:val="center"/>
          </w:tcPr>
          <w:p w14:paraId="4603A05B">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r w14:paraId="66F89CC8">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15AC644C">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396AA47F">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70B36F02">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5EB79C58">
            <w:pPr>
              <w:pStyle w:val="24"/>
              <w:spacing w:line="360" w:lineRule="auto"/>
              <w:jc w:val="center"/>
              <w:rPr>
                <w:rFonts w:hint="eastAsia" w:hAnsi="宋体" w:cs="宋体"/>
                <w:color w:val="auto"/>
                <w:sz w:val="18"/>
                <w:szCs w:val="18"/>
              </w:rPr>
            </w:pPr>
            <w:r>
              <w:rPr>
                <w:rFonts w:hint="eastAsia" w:hAnsi="宋体" w:cs="宋体"/>
                <w:color w:val="auto"/>
                <w:sz w:val="18"/>
                <w:szCs w:val="18"/>
              </w:rPr>
              <w:t>500≤Y＜20000</w:t>
            </w:r>
          </w:p>
        </w:tc>
        <w:tc>
          <w:tcPr>
            <w:tcW w:w="1725" w:type="dxa"/>
            <w:tcBorders>
              <w:top w:val="nil"/>
              <w:left w:val="nil"/>
              <w:bottom w:val="single" w:color="auto" w:sz="4" w:space="0"/>
              <w:right w:val="single" w:color="auto" w:sz="4" w:space="0"/>
            </w:tcBorders>
            <w:noWrap w:val="0"/>
            <w:vAlign w:val="center"/>
          </w:tcPr>
          <w:p w14:paraId="2AC3DC43">
            <w:pPr>
              <w:pStyle w:val="24"/>
              <w:spacing w:line="360" w:lineRule="auto"/>
              <w:jc w:val="center"/>
              <w:rPr>
                <w:rFonts w:hint="eastAsia" w:hAnsi="宋体" w:cs="宋体"/>
                <w:color w:val="auto"/>
                <w:sz w:val="18"/>
                <w:szCs w:val="18"/>
              </w:rPr>
            </w:pPr>
            <w:r>
              <w:rPr>
                <w:rFonts w:hint="eastAsia" w:hAnsi="宋体" w:cs="宋体"/>
                <w:color w:val="auto"/>
                <w:sz w:val="18"/>
                <w:szCs w:val="18"/>
              </w:rPr>
              <w:t>100≤Y＜500</w:t>
            </w:r>
          </w:p>
        </w:tc>
        <w:tc>
          <w:tcPr>
            <w:tcW w:w="1200" w:type="dxa"/>
            <w:tcBorders>
              <w:top w:val="nil"/>
              <w:left w:val="nil"/>
              <w:bottom w:val="single" w:color="auto" w:sz="4" w:space="0"/>
              <w:right w:val="single" w:color="auto" w:sz="4" w:space="0"/>
            </w:tcBorders>
            <w:noWrap w:val="0"/>
            <w:vAlign w:val="center"/>
          </w:tcPr>
          <w:p w14:paraId="6DBD9F6C">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3619ECAE">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450CAD73">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交通运输业</w:t>
            </w:r>
          </w:p>
        </w:tc>
        <w:tc>
          <w:tcPr>
            <w:tcW w:w="1538" w:type="dxa"/>
            <w:tcBorders>
              <w:top w:val="nil"/>
              <w:left w:val="nil"/>
              <w:bottom w:val="single" w:color="auto" w:sz="4" w:space="0"/>
              <w:right w:val="single" w:color="auto" w:sz="4" w:space="0"/>
            </w:tcBorders>
            <w:noWrap w:val="0"/>
            <w:vAlign w:val="center"/>
          </w:tcPr>
          <w:p w14:paraId="4117482E">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489C2F10">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7041D788">
            <w:pPr>
              <w:pStyle w:val="24"/>
              <w:spacing w:line="360" w:lineRule="auto"/>
              <w:jc w:val="center"/>
              <w:rPr>
                <w:rFonts w:hint="eastAsia" w:hAnsi="宋体" w:cs="宋体"/>
                <w:color w:val="auto"/>
                <w:sz w:val="18"/>
                <w:szCs w:val="18"/>
              </w:rPr>
            </w:pPr>
            <w:r>
              <w:rPr>
                <w:rFonts w:hint="eastAsia" w:hAnsi="宋体" w:cs="宋体"/>
                <w:color w:val="auto"/>
                <w:sz w:val="18"/>
                <w:szCs w:val="18"/>
              </w:rPr>
              <w:t>300≤X＜1000</w:t>
            </w:r>
          </w:p>
        </w:tc>
        <w:tc>
          <w:tcPr>
            <w:tcW w:w="1725" w:type="dxa"/>
            <w:tcBorders>
              <w:top w:val="nil"/>
              <w:left w:val="nil"/>
              <w:bottom w:val="single" w:color="auto" w:sz="4" w:space="0"/>
              <w:right w:val="single" w:color="auto" w:sz="4" w:space="0"/>
            </w:tcBorders>
            <w:noWrap w:val="0"/>
            <w:vAlign w:val="center"/>
          </w:tcPr>
          <w:p w14:paraId="3415A434">
            <w:pPr>
              <w:pStyle w:val="24"/>
              <w:spacing w:line="360" w:lineRule="auto"/>
              <w:jc w:val="center"/>
              <w:rPr>
                <w:rFonts w:hint="eastAsia" w:hAnsi="宋体" w:cs="宋体"/>
                <w:color w:val="auto"/>
                <w:sz w:val="18"/>
                <w:szCs w:val="18"/>
              </w:rPr>
            </w:pPr>
            <w:r>
              <w:rPr>
                <w:rFonts w:hint="eastAsia" w:hAnsi="宋体" w:cs="宋体"/>
                <w:color w:val="auto"/>
                <w:sz w:val="18"/>
                <w:szCs w:val="18"/>
              </w:rPr>
              <w:t>20≤X＜300</w:t>
            </w:r>
          </w:p>
        </w:tc>
        <w:tc>
          <w:tcPr>
            <w:tcW w:w="1200" w:type="dxa"/>
            <w:tcBorders>
              <w:top w:val="nil"/>
              <w:left w:val="nil"/>
              <w:bottom w:val="single" w:color="auto" w:sz="4" w:space="0"/>
              <w:right w:val="single" w:color="auto" w:sz="4" w:space="0"/>
            </w:tcBorders>
            <w:noWrap w:val="0"/>
            <w:vAlign w:val="center"/>
          </w:tcPr>
          <w:p w14:paraId="5A813D37">
            <w:pPr>
              <w:pStyle w:val="24"/>
              <w:spacing w:line="360" w:lineRule="auto"/>
              <w:jc w:val="center"/>
              <w:rPr>
                <w:rFonts w:hint="eastAsia" w:hAnsi="宋体" w:cs="宋体"/>
                <w:color w:val="auto"/>
                <w:sz w:val="18"/>
                <w:szCs w:val="18"/>
              </w:rPr>
            </w:pPr>
            <w:r>
              <w:rPr>
                <w:rFonts w:hint="eastAsia" w:hAnsi="宋体" w:cs="宋体"/>
                <w:color w:val="auto"/>
                <w:sz w:val="18"/>
                <w:szCs w:val="18"/>
              </w:rPr>
              <w:t>X＜20</w:t>
            </w:r>
          </w:p>
        </w:tc>
      </w:tr>
      <w:tr w14:paraId="7D1CC808">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6F24A335">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06BDEC04">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30EC5BED">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6B80C0E9">
            <w:pPr>
              <w:pStyle w:val="24"/>
              <w:spacing w:line="360" w:lineRule="auto"/>
              <w:jc w:val="center"/>
              <w:rPr>
                <w:rFonts w:hint="eastAsia" w:hAnsi="宋体" w:cs="宋体"/>
                <w:color w:val="auto"/>
                <w:sz w:val="18"/>
                <w:szCs w:val="18"/>
              </w:rPr>
            </w:pPr>
            <w:r>
              <w:rPr>
                <w:rFonts w:hint="eastAsia" w:hAnsi="宋体" w:cs="宋体"/>
                <w:color w:val="auto"/>
                <w:sz w:val="18"/>
                <w:szCs w:val="18"/>
              </w:rPr>
              <w:t>3000≤Y＜30000</w:t>
            </w:r>
          </w:p>
        </w:tc>
        <w:tc>
          <w:tcPr>
            <w:tcW w:w="1725" w:type="dxa"/>
            <w:tcBorders>
              <w:top w:val="nil"/>
              <w:left w:val="nil"/>
              <w:bottom w:val="single" w:color="auto" w:sz="4" w:space="0"/>
              <w:right w:val="single" w:color="auto" w:sz="4" w:space="0"/>
            </w:tcBorders>
            <w:noWrap w:val="0"/>
            <w:vAlign w:val="center"/>
          </w:tcPr>
          <w:p w14:paraId="225CC211">
            <w:pPr>
              <w:pStyle w:val="24"/>
              <w:spacing w:line="360" w:lineRule="auto"/>
              <w:jc w:val="center"/>
              <w:rPr>
                <w:rFonts w:hint="eastAsia" w:hAnsi="宋体" w:cs="宋体"/>
                <w:color w:val="auto"/>
                <w:sz w:val="18"/>
                <w:szCs w:val="18"/>
              </w:rPr>
            </w:pPr>
            <w:r>
              <w:rPr>
                <w:rFonts w:hint="eastAsia" w:hAnsi="宋体" w:cs="宋体"/>
                <w:color w:val="auto"/>
                <w:sz w:val="18"/>
                <w:szCs w:val="18"/>
              </w:rPr>
              <w:t>200≤Y＜3000</w:t>
            </w:r>
          </w:p>
        </w:tc>
        <w:tc>
          <w:tcPr>
            <w:tcW w:w="1200" w:type="dxa"/>
            <w:tcBorders>
              <w:top w:val="nil"/>
              <w:left w:val="nil"/>
              <w:bottom w:val="single" w:color="auto" w:sz="4" w:space="0"/>
              <w:right w:val="single" w:color="auto" w:sz="4" w:space="0"/>
            </w:tcBorders>
            <w:noWrap w:val="0"/>
            <w:vAlign w:val="center"/>
          </w:tcPr>
          <w:p w14:paraId="12390103">
            <w:pPr>
              <w:pStyle w:val="24"/>
              <w:spacing w:line="360" w:lineRule="auto"/>
              <w:jc w:val="center"/>
              <w:rPr>
                <w:rFonts w:hint="eastAsia" w:hAnsi="宋体" w:cs="宋体"/>
                <w:color w:val="auto"/>
                <w:sz w:val="18"/>
                <w:szCs w:val="18"/>
              </w:rPr>
            </w:pPr>
            <w:r>
              <w:rPr>
                <w:rFonts w:hint="eastAsia" w:hAnsi="宋体" w:cs="宋体"/>
                <w:color w:val="auto"/>
                <w:sz w:val="18"/>
                <w:szCs w:val="18"/>
              </w:rPr>
              <w:t>Y＜200</w:t>
            </w:r>
          </w:p>
        </w:tc>
      </w:tr>
      <w:tr w14:paraId="284FFA51">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48CC6882">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仓储业</w:t>
            </w:r>
          </w:p>
        </w:tc>
        <w:tc>
          <w:tcPr>
            <w:tcW w:w="1538" w:type="dxa"/>
            <w:tcBorders>
              <w:top w:val="nil"/>
              <w:left w:val="nil"/>
              <w:bottom w:val="single" w:color="auto" w:sz="4" w:space="0"/>
              <w:right w:val="single" w:color="auto" w:sz="4" w:space="0"/>
            </w:tcBorders>
            <w:noWrap w:val="0"/>
            <w:vAlign w:val="center"/>
          </w:tcPr>
          <w:p w14:paraId="0B332A9A">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750C4206">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6BA6C10D">
            <w:pPr>
              <w:pStyle w:val="24"/>
              <w:spacing w:line="360" w:lineRule="auto"/>
              <w:jc w:val="center"/>
              <w:rPr>
                <w:rFonts w:hint="eastAsia" w:hAnsi="宋体" w:cs="宋体"/>
                <w:color w:val="auto"/>
                <w:sz w:val="18"/>
                <w:szCs w:val="18"/>
              </w:rPr>
            </w:pPr>
            <w:r>
              <w:rPr>
                <w:rFonts w:hint="eastAsia" w:hAnsi="宋体" w:cs="宋体"/>
                <w:color w:val="auto"/>
                <w:sz w:val="18"/>
                <w:szCs w:val="18"/>
              </w:rPr>
              <w:t>100≤X＜200</w:t>
            </w:r>
          </w:p>
        </w:tc>
        <w:tc>
          <w:tcPr>
            <w:tcW w:w="1725" w:type="dxa"/>
            <w:tcBorders>
              <w:top w:val="nil"/>
              <w:left w:val="nil"/>
              <w:bottom w:val="single" w:color="auto" w:sz="4" w:space="0"/>
              <w:right w:val="single" w:color="auto" w:sz="4" w:space="0"/>
            </w:tcBorders>
            <w:noWrap w:val="0"/>
            <w:vAlign w:val="center"/>
          </w:tcPr>
          <w:p w14:paraId="544CB911">
            <w:pPr>
              <w:pStyle w:val="24"/>
              <w:spacing w:line="360" w:lineRule="auto"/>
              <w:jc w:val="center"/>
              <w:rPr>
                <w:rFonts w:hint="eastAsia" w:hAnsi="宋体" w:cs="宋体"/>
                <w:color w:val="auto"/>
                <w:sz w:val="18"/>
                <w:szCs w:val="18"/>
              </w:rPr>
            </w:pPr>
            <w:r>
              <w:rPr>
                <w:rFonts w:hint="eastAsia" w:hAnsi="宋体" w:cs="宋体"/>
                <w:color w:val="auto"/>
                <w:sz w:val="18"/>
                <w:szCs w:val="18"/>
              </w:rPr>
              <w:t>20≤X＜100</w:t>
            </w:r>
          </w:p>
        </w:tc>
        <w:tc>
          <w:tcPr>
            <w:tcW w:w="1200" w:type="dxa"/>
            <w:tcBorders>
              <w:top w:val="nil"/>
              <w:left w:val="nil"/>
              <w:bottom w:val="single" w:color="auto" w:sz="4" w:space="0"/>
              <w:right w:val="single" w:color="auto" w:sz="4" w:space="0"/>
            </w:tcBorders>
            <w:noWrap w:val="0"/>
            <w:vAlign w:val="center"/>
          </w:tcPr>
          <w:p w14:paraId="0D93E236">
            <w:pPr>
              <w:pStyle w:val="24"/>
              <w:spacing w:line="360" w:lineRule="auto"/>
              <w:jc w:val="center"/>
              <w:rPr>
                <w:rFonts w:hint="eastAsia" w:hAnsi="宋体" w:cs="宋体"/>
                <w:color w:val="auto"/>
                <w:sz w:val="18"/>
                <w:szCs w:val="18"/>
              </w:rPr>
            </w:pPr>
            <w:r>
              <w:rPr>
                <w:rFonts w:hint="eastAsia" w:hAnsi="宋体" w:cs="宋体"/>
                <w:color w:val="auto"/>
                <w:sz w:val="18"/>
                <w:szCs w:val="18"/>
              </w:rPr>
              <w:t>X＜20</w:t>
            </w:r>
          </w:p>
        </w:tc>
      </w:tr>
      <w:tr w14:paraId="677E91E5">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4A872EDD">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47A50E77">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3F8B8B94">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466872B1">
            <w:pPr>
              <w:pStyle w:val="24"/>
              <w:spacing w:line="360" w:lineRule="auto"/>
              <w:jc w:val="center"/>
              <w:rPr>
                <w:rFonts w:hint="eastAsia" w:hAnsi="宋体" w:cs="宋体"/>
                <w:color w:val="auto"/>
                <w:sz w:val="18"/>
                <w:szCs w:val="18"/>
              </w:rPr>
            </w:pPr>
            <w:r>
              <w:rPr>
                <w:rFonts w:hint="eastAsia" w:hAnsi="宋体" w:cs="宋体"/>
                <w:color w:val="auto"/>
                <w:sz w:val="18"/>
                <w:szCs w:val="18"/>
              </w:rPr>
              <w:t>1000≤Y＜30000</w:t>
            </w:r>
          </w:p>
        </w:tc>
        <w:tc>
          <w:tcPr>
            <w:tcW w:w="1725" w:type="dxa"/>
            <w:tcBorders>
              <w:top w:val="nil"/>
              <w:left w:val="nil"/>
              <w:bottom w:val="single" w:color="auto" w:sz="4" w:space="0"/>
              <w:right w:val="single" w:color="auto" w:sz="4" w:space="0"/>
            </w:tcBorders>
            <w:noWrap w:val="0"/>
            <w:vAlign w:val="center"/>
          </w:tcPr>
          <w:p w14:paraId="7303B907">
            <w:pPr>
              <w:pStyle w:val="24"/>
              <w:spacing w:line="360" w:lineRule="auto"/>
              <w:jc w:val="center"/>
              <w:rPr>
                <w:rFonts w:hint="eastAsia" w:hAnsi="宋体" w:cs="宋体"/>
                <w:color w:val="auto"/>
                <w:sz w:val="18"/>
                <w:szCs w:val="18"/>
              </w:rPr>
            </w:pPr>
            <w:r>
              <w:rPr>
                <w:rFonts w:hint="eastAsia" w:hAnsi="宋体" w:cs="宋体"/>
                <w:color w:val="auto"/>
                <w:sz w:val="18"/>
                <w:szCs w:val="18"/>
              </w:rPr>
              <w:t>100≤Y＜1000</w:t>
            </w:r>
          </w:p>
        </w:tc>
        <w:tc>
          <w:tcPr>
            <w:tcW w:w="1200" w:type="dxa"/>
            <w:tcBorders>
              <w:top w:val="nil"/>
              <w:left w:val="nil"/>
              <w:bottom w:val="single" w:color="auto" w:sz="4" w:space="0"/>
              <w:right w:val="single" w:color="auto" w:sz="4" w:space="0"/>
            </w:tcBorders>
            <w:noWrap w:val="0"/>
            <w:vAlign w:val="center"/>
          </w:tcPr>
          <w:p w14:paraId="72571D8D">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127345E2">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6ECD648B">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邮政业</w:t>
            </w:r>
          </w:p>
        </w:tc>
        <w:tc>
          <w:tcPr>
            <w:tcW w:w="1538" w:type="dxa"/>
            <w:tcBorders>
              <w:top w:val="nil"/>
              <w:left w:val="nil"/>
              <w:bottom w:val="single" w:color="auto" w:sz="4" w:space="0"/>
              <w:right w:val="single" w:color="auto" w:sz="4" w:space="0"/>
            </w:tcBorders>
            <w:noWrap w:val="0"/>
            <w:vAlign w:val="center"/>
          </w:tcPr>
          <w:p w14:paraId="52473455">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3AEF2D0E">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46565348">
            <w:pPr>
              <w:pStyle w:val="24"/>
              <w:spacing w:line="360" w:lineRule="auto"/>
              <w:jc w:val="center"/>
              <w:rPr>
                <w:rFonts w:hint="eastAsia" w:hAnsi="宋体" w:cs="宋体"/>
                <w:color w:val="auto"/>
                <w:sz w:val="18"/>
                <w:szCs w:val="18"/>
              </w:rPr>
            </w:pPr>
            <w:r>
              <w:rPr>
                <w:rFonts w:hint="eastAsia" w:hAnsi="宋体" w:cs="宋体"/>
                <w:color w:val="auto"/>
                <w:sz w:val="18"/>
                <w:szCs w:val="18"/>
              </w:rPr>
              <w:t>300≤X＜1000</w:t>
            </w:r>
          </w:p>
        </w:tc>
        <w:tc>
          <w:tcPr>
            <w:tcW w:w="1725" w:type="dxa"/>
            <w:tcBorders>
              <w:top w:val="nil"/>
              <w:left w:val="nil"/>
              <w:bottom w:val="single" w:color="auto" w:sz="4" w:space="0"/>
              <w:right w:val="single" w:color="auto" w:sz="4" w:space="0"/>
            </w:tcBorders>
            <w:noWrap w:val="0"/>
            <w:vAlign w:val="center"/>
          </w:tcPr>
          <w:p w14:paraId="77EE4C08">
            <w:pPr>
              <w:pStyle w:val="24"/>
              <w:spacing w:line="360" w:lineRule="auto"/>
              <w:jc w:val="center"/>
              <w:rPr>
                <w:rFonts w:hint="eastAsia" w:hAnsi="宋体" w:cs="宋体"/>
                <w:color w:val="auto"/>
                <w:sz w:val="18"/>
                <w:szCs w:val="18"/>
              </w:rPr>
            </w:pPr>
            <w:r>
              <w:rPr>
                <w:rFonts w:hint="eastAsia" w:hAnsi="宋体" w:cs="宋体"/>
                <w:color w:val="auto"/>
                <w:sz w:val="18"/>
                <w:szCs w:val="18"/>
              </w:rPr>
              <w:t>20≤X＜300</w:t>
            </w:r>
          </w:p>
        </w:tc>
        <w:tc>
          <w:tcPr>
            <w:tcW w:w="1200" w:type="dxa"/>
            <w:tcBorders>
              <w:top w:val="nil"/>
              <w:left w:val="nil"/>
              <w:bottom w:val="single" w:color="auto" w:sz="4" w:space="0"/>
              <w:right w:val="single" w:color="auto" w:sz="4" w:space="0"/>
            </w:tcBorders>
            <w:noWrap w:val="0"/>
            <w:vAlign w:val="center"/>
          </w:tcPr>
          <w:p w14:paraId="1572B4C9">
            <w:pPr>
              <w:pStyle w:val="24"/>
              <w:spacing w:line="360" w:lineRule="auto"/>
              <w:jc w:val="center"/>
              <w:rPr>
                <w:rFonts w:hint="eastAsia" w:hAnsi="宋体" w:cs="宋体"/>
                <w:color w:val="auto"/>
                <w:sz w:val="18"/>
                <w:szCs w:val="18"/>
              </w:rPr>
            </w:pPr>
            <w:r>
              <w:rPr>
                <w:rFonts w:hint="eastAsia" w:hAnsi="宋体" w:cs="宋体"/>
                <w:color w:val="auto"/>
                <w:sz w:val="18"/>
                <w:szCs w:val="18"/>
              </w:rPr>
              <w:t>X＜20</w:t>
            </w:r>
          </w:p>
        </w:tc>
      </w:tr>
      <w:tr w14:paraId="7B8D16C2">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4ACD0F10">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6998DEEA">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7ABEDF5A">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3C8F00B9">
            <w:pPr>
              <w:pStyle w:val="24"/>
              <w:spacing w:line="360" w:lineRule="auto"/>
              <w:jc w:val="center"/>
              <w:rPr>
                <w:rFonts w:hint="eastAsia" w:hAnsi="宋体" w:cs="宋体"/>
                <w:color w:val="auto"/>
                <w:sz w:val="18"/>
                <w:szCs w:val="18"/>
              </w:rPr>
            </w:pPr>
            <w:r>
              <w:rPr>
                <w:rFonts w:hint="eastAsia" w:hAnsi="宋体" w:cs="宋体"/>
                <w:color w:val="auto"/>
                <w:sz w:val="18"/>
                <w:szCs w:val="18"/>
              </w:rPr>
              <w:t>2000≤Y＜30000</w:t>
            </w:r>
          </w:p>
        </w:tc>
        <w:tc>
          <w:tcPr>
            <w:tcW w:w="1725" w:type="dxa"/>
            <w:tcBorders>
              <w:top w:val="nil"/>
              <w:left w:val="nil"/>
              <w:bottom w:val="single" w:color="auto" w:sz="4" w:space="0"/>
              <w:right w:val="single" w:color="auto" w:sz="4" w:space="0"/>
            </w:tcBorders>
            <w:noWrap w:val="0"/>
            <w:vAlign w:val="center"/>
          </w:tcPr>
          <w:p w14:paraId="46A80390">
            <w:pPr>
              <w:pStyle w:val="24"/>
              <w:spacing w:line="360" w:lineRule="auto"/>
              <w:jc w:val="center"/>
              <w:rPr>
                <w:rFonts w:hint="eastAsia" w:hAnsi="宋体" w:cs="宋体"/>
                <w:color w:val="auto"/>
                <w:sz w:val="18"/>
                <w:szCs w:val="18"/>
              </w:rPr>
            </w:pPr>
            <w:r>
              <w:rPr>
                <w:rFonts w:hint="eastAsia" w:hAnsi="宋体" w:cs="宋体"/>
                <w:color w:val="auto"/>
                <w:sz w:val="18"/>
                <w:szCs w:val="18"/>
              </w:rPr>
              <w:t>100≤Y＜2000</w:t>
            </w:r>
          </w:p>
        </w:tc>
        <w:tc>
          <w:tcPr>
            <w:tcW w:w="1200" w:type="dxa"/>
            <w:tcBorders>
              <w:top w:val="nil"/>
              <w:left w:val="nil"/>
              <w:bottom w:val="single" w:color="auto" w:sz="4" w:space="0"/>
              <w:right w:val="single" w:color="auto" w:sz="4" w:space="0"/>
            </w:tcBorders>
            <w:noWrap w:val="0"/>
            <w:vAlign w:val="center"/>
          </w:tcPr>
          <w:p w14:paraId="4EF94D3C">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40607D8B">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2EC68574">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住宿业</w:t>
            </w:r>
          </w:p>
        </w:tc>
        <w:tc>
          <w:tcPr>
            <w:tcW w:w="1538" w:type="dxa"/>
            <w:tcBorders>
              <w:top w:val="nil"/>
              <w:left w:val="nil"/>
              <w:bottom w:val="single" w:color="auto" w:sz="4" w:space="0"/>
              <w:right w:val="single" w:color="auto" w:sz="4" w:space="0"/>
            </w:tcBorders>
            <w:noWrap w:val="0"/>
            <w:vAlign w:val="center"/>
          </w:tcPr>
          <w:p w14:paraId="0A012AB9">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34C28FD0">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3B3BC42F">
            <w:pPr>
              <w:pStyle w:val="24"/>
              <w:spacing w:line="360" w:lineRule="auto"/>
              <w:jc w:val="center"/>
              <w:rPr>
                <w:rFonts w:hint="eastAsia" w:hAnsi="宋体" w:cs="宋体"/>
                <w:color w:val="auto"/>
                <w:sz w:val="18"/>
                <w:szCs w:val="18"/>
              </w:rPr>
            </w:pPr>
            <w:r>
              <w:rPr>
                <w:rFonts w:hint="eastAsia" w:hAnsi="宋体" w:cs="宋体"/>
                <w:color w:val="auto"/>
                <w:sz w:val="18"/>
                <w:szCs w:val="18"/>
              </w:rPr>
              <w:t>100≤X＜300</w:t>
            </w:r>
          </w:p>
        </w:tc>
        <w:tc>
          <w:tcPr>
            <w:tcW w:w="1725" w:type="dxa"/>
            <w:tcBorders>
              <w:top w:val="nil"/>
              <w:left w:val="nil"/>
              <w:bottom w:val="single" w:color="auto" w:sz="4" w:space="0"/>
              <w:right w:val="single" w:color="auto" w:sz="4" w:space="0"/>
            </w:tcBorders>
            <w:noWrap w:val="0"/>
            <w:vAlign w:val="center"/>
          </w:tcPr>
          <w:p w14:paraId="7C5B0928">
            <w:pPr>
              <w:pStyle w:val="24"/>
              <w:spacing w:line="360" w:lineRule="auto"/>
              <w:jc w:val="center"/>
              <w:rPr>
                <w:rFonts w:hint="eastAsia" w:hAnsi="宋体" w:cs="宋体"/>
                <w:color w:val="auto"/>
                <w:sz w:val="18"/>
                <w:szCs w:val="18"/>
              </w:rPr>
            </w:pPr>
            <w:r>
              <w:rPr>
                <w:rFonts w:hint="eastAsia" w:hAnsi="宋体" w:cs="宋体"/>
                <w:color w:val="auto"/>
                <w:sz w:val="18"/>
                <w:szCs w:val="18"/>
              </w:rPr>
              <w:t>10≤X＜100</w:t>
            </w:r>
          </w:p>
        </w:tc>
        <w:tc>
          <w:tcPr>
            <w:tcW w:w="1200" w:type="dxa"/>
            <w:tcBorders>
              <w:top w:val="nil"/>
              <w:left w:val="nil"/>
              <w:bottom w:val="single" w:color="auto" w:sz="4" w:space="0"/>
              <w:right w:val="single" w:color="auto" w:sz="4" w:space="0"/>
            </w:tcBorders>
            <w:noWrap w:val="0"/>
            <w:vAlign w:val="center"/>
          </w:tcPr>
          <w:p w14:paraId="617265A6">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r w14:paraId="11F2DBE4">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7A4D6C66">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76D2D0B5">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591A6822">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31E7CF02">
            <w:pPr>
              <w:pStyle w:val="24"/>
              <w:spacing w:line="360" w:lineRule="auto"/>
              <w:jc w:val="center"/>
              <w:rPr>
                <w:rFonts w:hint="eastAsia" w:hAnsi="宋体" w:cs="宋体"/>
                <w:color w:val="auto"/>
                <w:sz w:val="18"/>
                <w:szCs w:val="18"/>
              </w:rPr>
            </w:pPr>
            <w:r>
              <w:rPr>
                <w:rFonts w:hint="eastAsia" w:hAnsi="宋体" w:cs="宋体"/>
                <w:color w:val="auto"/>
                <w:sz w:val="18"/>
                <w:szCs w:val="18"/>
              </w:rPr>
              <w:t>2000≤Y＜10000</w:t>
            </w:r>
          </w:p>
        </w:tc>
        <w:tc>
          <w:tcPr>
            <w:tcW w:w="1725" w:type="dxa"/>
            <w:tcBorders>
              <w:top w:val="nil"/>
              <w:left w:val="nil"/>
              <w:bottom w:val="single" w:color="auto" w:sz="4" w:space="0"/>
              <w:right w:val="single" w:color="auto" w:sz="4" w:space="0"/>
            </w:tcBorders>
            <w:noWrap w:val="0"/>
            <w:vAlign w:val="center"/>
          </w:tcPr>
          <w:p w14:paraId="38C73FF8">
            <w:pPr>
              <w:pStyle w:val="24"/>
              <w:spacing w:line="360" w:lineRule="auto"/>
              <w:jc w:val="center"/>
              <w:rPr>
                <w:rFonts w:hint="eastAsia" w:hAnsi="宋体" w:cs="宋体"/>
                <w:color w:val="auto"/>
                <w:sz w:val="18"/>
                <w:szCs w:val="18"/>
              </w:rPr>
            </w:pPr>
            <w:r>
              <w:rPr>
                <w:rFonts w:hint="eastAsia" w:hAnsi="宋体" w:cs="宋体"/>
                <w:color w:val="auto"/>
                <w:sz w:val="18"/>
                <w:szCs w:val="18"/>
              </w:rPr>
              <w:t>100≤Y＜2000</w:t>
            </w:r>
          </w:p>
        </w:tc>
        <w:tc>
          <w:tcPr>
            <w:tcW w:w="1200" w:type="dxa"/>
            <w:tcBorders>
              <w:top w:val="nil"/>
              <w:left w:val="nil"/>
              <w:bottom w:val="single" w:color="auto" w:sz="4" w:space="0"/>
              <w:right w:val="single" w:color="auto" w:sz="4" w:space="0"/>
            </w:tcBorders>
            <w:noWrap w:val="0"/>
            <w:vAlign w:val="center"/>
          </w:tcPr>
          <w:p w14:paraId="1158F2D6">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5B6BC069">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690B19C6">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餐饮业</w:t>
            </w:r>
          </w:p>
        </w:tc>
        <w:tc>
          <w:tcPr>
            <w:tcW w:w="1538" w:type="dxa"/>
            <w:tcBorders>
              <w:top w:val="nil"/>
              <w:left w:val="nil"/>
              <w:bottom w:val="single" w:color="auto" w:sz="4" w:space="0"/>
              <w:right w:val="single" w:color="auto" w:sz="4" w:space="0"/>
            </w:tcBorders>
            <w:noWrap w:val="0"/>
            <w:vAlign w:val="center"/>
          </w:tcPr>
          <w:p w14:paraId="605E21DB">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4C3FD2B9">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19CA3BBC">
            <w:pPr>
              <w:pStyle w:val="24"/>
              <w:spacing w:line="360" w:lineRule="auto"/>
              <w:jc w:val="center"/>
              <w:rPr>
                <w:rFonts w:hint="eastAsia" w:hAnsi="宋体" w:cs="宋体"/>
                <w:color w:val="auto"/>
                <w:sz w:val="18"/>
                <w:szCs w:val="18"/>
              </w:rPr>
            </w:pPr>
            <w:r>
              <w:rPr>
                <w:rFonts w:hint="eastAsia" w:hAnsi="宋体" w:cs="宋体"/>
                <w:color w:val="auto"/>
                <w:sz w:val="18"/>
                <w:szCs w:val="18"/>
              </w:rPr>
              <w:t>100≤X＜300</w:t>
            </w:r>
          </w:p>
        </w:tc>
        <w:tc>
          <w:tcPr>
            <w:tcW w:w="1725" w:type="dxa"/>
            <w:tcBorders>
              <w:top w:val="nil"/>
              <w:left w:val="nil"/>
              <w:bottom w:val="single" w:color="auto" w:sz="4" w:space="0"/>
              <w:right w:val="single" w:color="auto" w:sz="4" w:space="0"/>
            </w:tcBorders>
            <w:noWrap w:val="0"/>
            <w:vAlign w:val="center"/>
          </w:tcPr>
          <w:p w14:paraId="5B6F85DC">
            <w:pPr>
              <w:pStyle w:val="24"/>
              <w:spacing w:line="360" w:lineRule="auto"/>
              <w:jc w:val="center"/>
              <w:rPr>
                <w:rFonts w:hint="eastAsia" w:hAnsi="宋体" w:cs="宋体"/>
                <w:color w:val="auto"/>
                <w:sz w:val="18"/>
                <w:szCs w:val="18"/>
              </w:rPr>
            </w:pPr>
            <w:r>
              <w:rPr>
                <w:rFonts w:hint="eastAsia" w:hAnsi="宋体" w:cs="宋体"/>
                <w:color w:val="auto"/>
                <w:sz w:val="18"/>
                <w:szCs w:val="18"/>
              </w:rPr>
              <w:t>10≤X＜100</w:t>
            </w:r>
          </w:p>
        </w:tc>
        <w:tc>
          <w:tcPr>
            <w:tcW w:w="1200" w:type="dxa"/>
            <w:tcBorders>
              <w:top w:val="nil"/>
              <w:left w:val="nil"/>
              <w:bottom w:val="single" w:color="auto" w:sz="4" w:space="0"/>
              <w:right w:val="single" w:color="auto" w:sz="4" w:space="0"/>
            </w:tcBorders>
            <w:noWrap w:val="0"/>
            <w:vAlign w:val="center"/>
          </w:tcPr>
          <w:p w14:paraId="78D96A15">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r w14:paraId="09B1DD0D">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7C17586D">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5936398A">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4F163DB6">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23D959D3">
            <w:pPr>
              <w:pStyle w:val="24"/>
              <w:spacing w:line="360" w:lineRule="auto"/>
              <w:jc w:val="center"/>
              <w:rPr>
                <w:rFonts w:hint="eastAsia" w:hAnsi="宋体" w:cs="宋体"/>
                <w:color w:val="auto"/>
                <w:sz w:val="18"/>
                <w:szCs w:val="18"/>
              </w:rPr>
            </w:pPr>
            <w:r>
              <w:rPr>
                <w:rFonts w:hint="eastAsia" w:hAnsi="宋体" w:cs="宋体"/>
                <w:color w:val="auto"/>
                <w:sz w:val="18"/>
                <w:szCs w:val="18"/>
              </w:rPr>
              <w:t>2000≤Y＜10000</w:t>
            </w:r>
          </w:p>
        </w:tc>
        <w:tc>
          <w:tcPr>
            <w:tcW w:w="1725" w:type="dxa"/>
            <w:tcBorders>
              <w:top w:val="nil"/>
              <w:left w:val="nil"/>
              <w:bottom w:val="single" w:color="auto" w:sz="4" w:space="0"/>
              <w:right w:val="single" w:color="auto" w:sz="4" w:space="0"/>
            </w:tcBorders>
            <w:noWrap w:val="0"/>
            <w:vAlign w:val="center"/>
          </w:tcPr>
          <w:p w14:paraId="702E4395">
            <w:pPr>
              <w:pStyle w:val="24"/>
              <w:spacing w:line="360" w:lineRule="auto"/>
              <w:jc w:val="center"/>
              <w:rPr>
                <w:rFonts w:hint="eastAsia" w:hAnsi="宋体" w:cs="宋体"/>
                <w:color w:val="auto"/>
                <w:sz w:val="18"/>
                <w:szCs w:val="18"/>
              </w:rPr>
            </w:pPr>
            <w:r>
              <w:rPr>
                <w:rFonts w:hint="eastAsia" w:hAnsi="宋体" w:cs="宋体"/>
                <w:color w:val="auto"/>
                <w:sz w:val="18"/>
                <w:szCs w:val="18"/>
              </w:rPr>
              <w:t>100≤Y＜2000</w:t>
            </w:r>
          </w:p>
        </w:tc>
        <w:tc>
          <w:tcPr>
            <w:tcW w:w="1200" w:type="dxa"/>
            <w:tcBorders>
              <w:top w:val="nil"/>
              <w:left w:val="nil"/>
              <w:bottom w:val="single" w:color="auto" w:sz="4" w:space="0"/>
              <w:right w:val="single" w:color="auto" w:sz="4" w:space="0"/>
            </w:tcBorders>
            <w:noWrap w:val="0"/>
            <w:vAlign w:val="center"/>
          </w:tcPr>
          <w:p w14:paraId="74C54389">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1A6719D7">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6BC27CA3">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信息传输业</w:t>
            </w:r>
          </w:p>
        </w:tc>
        <w:tc>
          <w:tcPr>
            <w:tcW w:w="1538" w:type="dxa"/>
            <w:tcBorders>
              <w:top w:val="nil"/>
              <w:left w:val="nil"/>
              <w:bottom w:val="single" w:color="auto" w:sz="4" w:space="0"/>
              <w:right w:val="single" w:color="auto" w:sz="4" w:space="0"/>
            </w:tcBorders>
            <w:noWrap w:val="0"/>
            <w:vAlign w:val="center"/>
          </w:tcPr>
          <w:p w14:paraId="2380ABDC">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14A0A11C">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25D2101F">
            <w:pPr>
              <w:pStyle w:val="24"/>
              <w:spacing w:line="360" w:lineRule="auto"/>
              <w:jc w:val="center"/>
              <w:rPr>
                <w:rFonts w:hint="eastAsia" w:hAnsi="宋体" w:cs="宋体"/>
                <w:color w:val="auto"/>
                <w:sz w:val="18"/>
                <w:szCs w:val="18"/>
              </w:rPr>
            </w:pPr>
            <w:r>
              <w:rPr>
                <w:rFonts w:hint="eastAsia" w:hAnsi="宋体" w:cs="宋体"/>
                <w:color w:val="auto"/>
                <w:sz w:val="18"/>
                <w:szCs w:val="18"/>
              </w:rPr>
              <w:t>100≤X＜2000</w:t>
            </w:r>
          </w:p>
        </w:tc>
        <w:tc>
          <w:tcPr>
            <w:tcW w:w="1725" w:type="dxa"/>
            <w:tcBorders>
              <w:top w:val="nil"/>
              <w:left w:val="nil"/>
              <w:bottom w:val="single" w:color="auto" w:sz="4" w:space="0"/>
              <w:right w:val="single" w:color="auto" w:sz="4" w:space="0"/>
            </w:tcBorders>
            <w:noWrap w:val="0"/>
            <w:vAlign w:val="center"/>
          </w:tcPr>
          <w:p w14:paraId="50369162">
            <w:pPr>
              <w:pStyle w:val="24"/>
              <w:spacing w:line="360" w:lineRule="auto"/>
              <w:jc w:val="center"/>
              <w:rPr>
                <w:rFonts w:hint="eastAsia" w:hAnsi="宋体" w:cs="宋体"/>
                <w:color w:val="auto"/>
                <w:sz w:val="18"/>
                <w:szCs w:val="18"/>
              </w:rPr>
            </w:pPr>
            <w:r>
              <w:rPr>
                <w:rFonts w:hint="eastAsia" w:hAnsi="宋体" w:cs="宋体"/>
                <w:color w:val="auto"/>
                <w:sz w:val="18"/>
                <w:szCs w:val="18"/>
              </w:rPr>
              <w:t>10≤X＜100</w:t>
            </w:r>
          </w:p>
        </w:tc>
        <w:tc>
          <w:tcPr>
            <w:tcW w:w="1200" w:type="dxa"/>
            <w:tcBorders>
              <w:top w:val="nil"/>
              <w:left w:val="nil"/>
              <w:bottom w:val="single" w:color="auto" w:sz="4" w:space="0"/>
              <w:right w:val="single" w:color="auto" w:sz="4" w:space="0"/>
            </w:tcBorders>
            <w:noWrap w:val="0"/>
            <w:vAlign w:val="center"/>
          </w:tcPr>
          <w:p w14:paraId="5779DA9E">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r w14:paraId="1DCC109F">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1E6BE6F1">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6C788D01">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696BEBA5">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6A9F5E77">
            <w:pPr>
              <w:pStyle w:val="24"/>
              <w:spacing w:line="360" w:lineRule="auto"/>
              <w:jc w:val="center"/>
              <w:rPr>
                <w:rFonts w:hint="eastAsia" w:hAnsi="宋体" w:cs="宋体"/>
                <w:color w:val="auto"/>
                <w:sz w:val="18"/>
                <w:szCs w:val="18"/>
              </w:rPr>
            </w:pPr>
            <w:r>
              <w:rPr>
                <w:rFonts w:hint="eastAsia" w:hAnsi="宋体" w:cs="宋体"/>
                <w:color w:val="auto"/>
                <w:sz w:val="18"/>
                <w:szCs w:val="18"/>
              </w:rPr>
              <w:t>1000≤Y＜100000</w:t>
            </w:r>
          </w:p>
        </w:tc>
        <w:tc>
          <w:tcPr>
            <w:tcW w:w="1725" w:type="dxa"/>
            <w:tcBorders>
              <w:top w:val="nil"/>
              <w:left w:val="nil"/>
              <w:bottom w:val="single" w:color="auto" w:sz="4" w:space="0"/>
              <w:right w:val="single" w:color="auto" w:sz="4" w:space="0"/>
            </w:tcBorders>
            <w:noWrap w:val="0"/>
            <w:vAlign w:val="center"/>
          </w:tcPr>
          <w:p w14:paraId="58CA85C9">
            <w:pPr>
              <w:pStyle w:val="24"/>
              <w:spacing w:line="360" w:lineRule="auto"/>
              <w:jc w:val="center"/>
              <w:rPr>
                <w:rFonts w:hint="eastAsia" w:hAnsi="宋体" w:cs="宋体"/>
                <w:color w:val="auto"/>
                <w:sz w:val="18"/>
                <w:szCs w:val="18"/>
              </w:rPr>
            </w:pPr>
            <w:r>
              <w:rPr>
                <w:rFonts w:hint="eastAsia" w:hAnsi="宋体" w:cs="宋体"/>
                <w:color w:val="auto"/>
                <w:sz w:val="18"/>
                <w:szCs w:val="18"/>
              </w:rPr>
              <w:t>100≤Y＜1000</w:t>
            </w:r>
          </w:p>
        </w:tc>
        <w:tc>
          <w:tcPr>
            <w:tcW w:w="1200" w:type="dxa"/>
            <w:tcBorders>
              <w:top w:val="nil"/>
              <w:left w:val="nil"/>
              <w:bottom w:val="single" w:color="auto" w:sz="4" w:space="0"/>
              <w:right w:val="single" w:color="auto" w:sz="4" w:space="0"/>
            </w:tcBorders>
            <w:noWrap w:val="0"/>
            <w:vAlign w:val="center"/>
          </w:tcPr>
          <w:p w14:paraId="40728DB7">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4B4941F3">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216255C0">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软件和信息技术服务业</w:t>
            </w:r>
          </w:p>
        </w:tc>
        <w:tc>
          <w:tcPr>
            <w:tcW w:w="1538" w:type="dxa"/>
            <w:tcBorders>
              <w:top w:val="nil"/>
              <w:left w:val="nil"/>
              <w:bottom w:val="single" w:color="auto" w:sz="4" w:space="0"/>
              <w:right w:val="single" w:color="auto" w:sz="4" w:space="0"/>
            </w:tcBorders>
            <w:noWrap w:val="0"/>
            <w:vAlign w:val="center"/>
          </w:tcPr>
          <w:p w14:paraId="62F8B4A9">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1E67A213">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057B212F">
            <w:pPr>
              <w:pStyle w:val="24"/>
              <w:spacing w:line="360" w:lineRule="auto"/>
              <w:jc w:val="center"/>
              <w:rPr>
                <w:rFonts w:hint="eastAsia" w:hAnsi="宋体" w:cs="宋体"/>
                <w:color w:val="auto"/>
                <w:sz w:val="18"/>
                <w:szCs w:val="18"/>
              </w:rPr>
            </w:pPr>
            <w:r>
              <w:rPr>
                <w:rFonts w:hint="eastAsia" w:hAnsi="宋体" w:cs="宋体"/>
                <w:color w:val="auto"/>
                <w:sz w:val="18"/>
                <w:szCs w:val="18"/>
              </w:rPr>
              <w:t>100≤X＜300</w:t>
            </w:r>
          </w:p>
        </w:tc>
        <w:tc>
          <w:tcPr>
            <w:tcW w:w="1725" w:type="dxa"/>
            <w:tcBorders>
              <w:top w:val="nil"/>
              <w:left w:val="nil"/>
              <w:bottom w:val="single" w:color="auto" w:sz="4" w:space="0"/>
              <w:right w:val="single" w:color="auto" w:sz="4" w:space="0"/>
            </w:tcBorders>
            <w:noWrap w:val="0"/>
            <w:vAlign w:val="center"/>
          </w:tcPr>
          <w:p w14:paraId="70ED2138">
            <w:pPr>
              <w:pStyle w:val="24"/>
              <w:spacing w:line="360" w:lineRule="auto"/>
              <w:jc w:val="center"/>
              <w:rPr>
                <w:rFonts w:hint="eastAsia" w:hAnsi="宋体" w:cs="宋体"/>
                <w:color w:val="auto"/>
                <w:sz w:val="18"/>
                <w:szCs w:val="18"/>
              </w:rPr>
            </w:pPr>
            <w:r>
              <w:rPr>
                <w:rFonts w:hint="eastAsia" w:hAnsi="宋体" w:cs="宋体"/>
                <w:color w:val="auto"/>
                <w:sz w:val="18"/>
                <w:szCs w:val="18"/>
              </w:rPr>
              <w:t>10≤X＜100</w:t>
            </w:r>
          </w:p>
        </w:tc>
        <w:tc>
          <w:tcPr>
            <w:tcW w:w="1200" w:type="dxa"/>
            <w:tcBorders>
              <w:top w:val="nil"/>
              <w:left w:val="nil"/>
              <w:bottom w:val="single" w:color="auto" w:sz="4" w:space="0"/>
              <w:right w:val="single" w:color="auto" w:sz="4" w:space="0"/>
            </w:tcBorders>
            <w:noWrap w:val="0"/>
            <w:vAlign w:val="center"/>
          </w:tcPr>
          <w:p w14:paraId="1701D74E">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r w14:paraId="02120CD5">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2A8CB05E">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5692D81E">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40284766">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685F8BC6">
            <w:pPr>
              <w:pStyle w:val="24"/>
              <w:spacing w:line="360" w:lineRule="auto"/>
              <w:jc w:val="center"/>
              <w:rPr>
                <w:rFonts w:hint="eastAsia" w:hAnsi="宋体" w:cs="宋体"/>
                <w:color w:val="auto"/>
                <w:sz w:val="18"/>
                <w:szCs w:val="18"/>
              </w:rPr>
            </w:pPr>
            <w:r>
              <w:rPr>
                <w:rFonts w:hint="eastAsia" w:hAnsi="宋体" w:cs="宋体"/>
                <w:color w:val="auto"/>
                <w:sz w:val="18"/>
                <w:szCs w:val="18"/>
              </w:rPr>
              <w:t>1000≤Y＜10000</w:t>
            </w:r>
          </w:p>
        </w:tc>
        <w:tc>
          <w:tcPr>
            <w:tcW w:w="1725" w:type="dxa"/>
            <w:tcBorders>
              <w:top w:val="nil"/>
              <w:left w:val="nil"/>
              <w:bottom w:val="single" w:color="auto" w:sz="4" w:space="0"/>
              <w:right w:val="single" w:color="auto" w:sz="4" w:space="0"/>
            </w:tcBorders>
            <w:noWrap w:val="0"/>
            <w:vAlign w:val="center"/>
          </w:tcPr>
          <w:p w14:paraId="298CEEA8">
            <w:pPr>
              <w:pStyle w:val="24"/>
              <w:spacing w:line="360" w:lineRule="auto"/>
              <w:jc w:val="center"/>
              <w:rPr>
                <w:rFonts w:hint="eastAsia" w:hAnsi="宋体" w:cs="宋体"/>
                <w:color w:val="auto"/>
                <w:sz w:val="18"/>
                <w:szCs w:val="18"/>
              </w:rPr>
            </w:pPr>
            <w:r>
              <w:rPr>
                <w:rFonts w:hint="eastAsia" w:hAnsi="宋体" w:cs="宋体"/>
                <w:color w:val="auto"/>
                <w:sz w:val="18"/>
                <w:szCs w:val="18"/>
              </w:rPr>
              <w:t>50≤Y＜1000</w:t>
            </w:r>
          </w:p>
        </w:tc>
        <w:tc>
          <w:tcPr>
            <w:tcW w:w="1200" w:type="dxa"/>
            <w:tcBorders>
              <w:top w:val="nil"/>
              <w:left w:val="nil"/>
              <w:bottom w:val="single" w:color="auto" w:sz="4" w:space="0"/>
              <w:right w:val="single" w:color="auto" w:sz="4" w:space="0"/>
            </w:tcBorders>
            <w:noWrap w:val="0"/>
            <w:vAlign w:val="center"/>
          </w:tcPr>
          <w:p w14:paraId="0579877F">
            <w:pPr>
              <w:pStyle w:val="24"/>
              <w:spacing w:line="360" w:lineRule="auto"/>
              <w:jc w:val="center"/>
              <w:rPr>
                <w:rFonts w:hint="eastAsia" w:hAnsi="宋体" w:cs="宋体"/>
                <w:color w:val="auto"/>
                <w:sz w:val="18"/>
                <w:szCs w:val="18"/>
              </w:rPr>
            </w:pPr>
            <w:r>
              <w:rPr>
                <w:rFonts w:hint="eastAsia" w:hAnsi="宋体" w:cs="宋体"/>
                <w:color w:val="auto"/>
                <w:sz w:val="18"/>
                <w:szCs w:val="18"/>
              </w:rPr>
              <w:t>Y＜50</w:t>
            </w:r>
          </w:p>
        </w:tc>
      </w:tr>
      <w:tr w14:paraId="59CDE2B7">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20B42C96">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房地产开发经营</w:t>
            </w:r>
          </w:p>
        </w:tc>
        <w:tc>
          <w:tcPr>
            <w:tcW w:w="1538" w:type="dxa"/>
            <w:tcBorders>
              <w:top w:val="nil"/>
              <w:left w:val="nil"/>
              <w:bottom w:val="single" w:color="auto" w:sz="4" w:space="0"/>
              <w:right w:val="single" w:color="auto" w:sz="4" w:space="0"/>
            </w:tcBorders>
            <w:noWrap w:val="0"/>
            <w:vAlign w:val="center"/>
          </w:tcPr>
          <w:p w14:paraId="5AAA5235">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3ACA334B">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7271FB5B">
            <w:pPr>
              <w:pStyle w:val="24"/>
              <w:spacing w:line="360" w:lineRule="auto"/>
              <w:jc w:val="center"/>
              <w:rPr>
                <w:rFonts w:hint="eastAsia" w:hAnsi="宋体" w:cs="宋体"/>
                <w:color w:val="auto"/>
                <w:sz w:val="18"/>
                <w:szCs w:val="18"/>
              </w:rPr>
            </w:pPr>
            <w:r>
              <w:rPr>
                <w:rFonts w:hint="eastAsia" w:hAnsi="宋体" w:cs="宋体"/>
                <w:color w:val="auto"/>
                <w:sz w:val="18"/>
                <w:szCs w:val="18"/>
              </w:rPr>
              <w:t>1000≤Y＜200000</w:t>
            </w:r>
          </w:p>
        </w:tc>
        <w:tc>
          <w:tcPr>
            <w:tcW w:w="1725" w:type="dxa"/>
            <w:tcBorders>
              <w:top w:val="nil"/>
              <w:left w:val="nil"/>
              <w:bottom w:val="single" w:color="auto" w:sz="4" w:space="0"/>
              <w:right w:val="single" w:color="auto" w:sz="4" w:space="0"/>
            </w:tcBorders>
            <w:noWrap w:val="0"/>
            <w:vAlign w:val="center"/>
          </w:tcPr>
          <w:p w14:paraId="5BE39EEA">
            <w:pPr>
              <w:pStyle w:val="24"/>
              <w:spacing w:line="360" w:lineRule="auto"/>
              <w:jc w:val="center"/>
              <w:rPr>
                <w:rFonts w:hint="eastAsia" w:hAnsi="宋体" w:cs="宋体"/>
                <w:color w:val="auto"/>
                <w:sz w:val="18"/>
                <w:szCs w:val="18"/>
              </w:rPr>
            </w:pPr>
            <w:r>
              <w:rPr>
                <w:rFonts w:hint="eastAsia" w:hAnsi="宋体" w:cs="宋体"/>
                <w:color w:val="auto"/>
                <w:sz w:val="18"/>
                <w:szCs w:val="18"/>
              </w:rPr>
              <w:t>100≤X＜1000</w:t>
            </w:r>
          </w:p>
        </w:tc>
        <w:tc>
          <w:tcPr>
            <w:tcW w:w="1200" w:type="dxa"/>
            <w:tcBorders>
              <w:top w:val="nil"/>
              <w:left w:val="nil"/>
              <w:bottom w:val="single" w:color="auto" w:sz="4" w:space="0"/>
              <w:right w:val="single" w:color="auto" w:sz="4" w:space="0"/>
            </w:tcBorders>
            <w:noWrap w:val="0"/>
            <w:vAlign w:val="center"/>
          </w:tcPr>
          <w:p w14:paraId="21D0405D">
            <w:pPr>
              <w:pStyle w:val="24"/>
              <w:spacing w:line="360" w:lineRule="auto"/>
              <w:jc w:val="center"/>
              <w:rPr>
                <w:rFonts w:hint="eastAsia" w:hAnsi="宋体" w:cs="宋体"/>
                <w:color w:val="auto"/>
                <w:sz w:val="18"/>
                <w:szCs w:val="18"/>
              </w:rPr>
            </w:pPr>
            <w:r>
              <w:rPr>
                <w:rFonts w:hint="eastAsia" w:hAnsi="宋体" w:cs="宋体"/>
                <w:color w:val="auto"/>
                <w:sz w:val="18"/>
                <w:szCs w:val="18"/>
              </w:rPr>
              <w:t>X＜100</w:t>
            </w:r>
          </w:p>
        </w:tc>
      </w:tr>
      <w:tr w14:paraId="093BF7C5">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5220EAAB">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3CBCEFA6">
            <w:pPr>
              <w:pStyle w:val="24"/>
              <w:spacing w:line="360" w:lineRule="auto"/>
              <w:jc w:val="center"/>
              <w:rPr>
                <w:rFonts w:hint="eastAsia" w:hAnsi="宋体" w:cs="宋体"/>
                <w:color w:val="auto"/>
                <w:sz w:val="18"/>
                <w:szCs w:val="18"/>
              </w:rPr>
            </w:pPr>
            <w:r>
              <w:rPr>
                <w:rFonts w:hint="eastAsia" w:hAnsi="宋体" w:cs="宋体"/>
                <w:color w:val="auto"/>
                <w:sz w:val="18"/>
                <w:szCs w:val="18"/>
              </w:rPr>
              <w:t>资产总额（Z）</w:t>
            </w:r>
          </w:p>
        </w:tc>
        <w:tc>
          <w:tcPr>
            <w:tcW w:w="981" w:type="dxa"/>
            <w:tcBorders>
              <w:top w:val="nil"/>
              <w:left w:val="nil"/>
              <w:bottom w:val="single" w:color="auto" w:sz="4" w:space="0"/>
              <w:right w:val="single" w:color="auto" w:sz="4" w:space="0"/>
            </w:tcBorders>
            <w:noWrap w:val="0"/>
            <w:vAlign w:val="center"/>
          </w:tcPr>
          <w:p w14:paraId="166920C4">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370DFBF1">
            <w:pPr>
              <w:pStyle w:val="24"/>
              <w:spacing w:line="360" w:lineRule="auto"/>
              <w:jc w:val="center"/>
              <w:rPr>
                <w:rFonts w:hint="eastAsia" w:hAnsi="宋体" w:cs="宋体"/>
                <w:color w:val="auto"/>
                <w:sz w:val="18"/>
                <w:szCs w:val="18"/>
              </w:rPr>
            </w:pPr>
            <w:r>
              <w:rPr>
                <w:rFonts w:hint="eastAsia" w:hAnsi="宋体" w:cs="宋体"/>
                <w:color w:val="auto"/>
                <w:sz w:val="18"/>
                <w:szCs w:val="18"/>
              </w:rPr>
              <w:t>5000≤Z＜10000</w:t>
            </w:r>
          </w:p>
        </w:tc>
        <w:tc>
          <w:tcPr>
            <w:tcW w:w="1725" w:type="dxa"/>
            <w:tcBorders>
              <w:top w:val="nil"/>
              <w:left w:val="nil"/>
              <w:bottom w:val="single" w:color="auto" w:sz="4" w:space="0"/>
              <w:right w:val="single" w:color="auto" w:sz="4" w:space="0"/>
            </w:tcBorders>
            <w:noWrap w:val="0"/>
            <w:vAlign w:val="center"/>
          </w:tcPr>
          <w:p w14:paraId="54229F04">
            <w:pPr>
              <w:pStyle w:val="24"/>
              <w:spacing w:line="360" w:lineRule="auto"/>
              <w:jc w:val="center"/>
              <w:rPr>
                <w:rFonts w:hint="eastAsia" w:hAnsi="宋体" w:cs="宋体"/>
                <w:color w:val="auto"/>
                <w:sz w:val="18"/>
                <w:szCs w:val="18"/>
              </w:rPr>
            </w:pPr>
            <w:r>
              <w:rPr>
                <w:rFonts w:hint="eastAsia" w:hAnsi="宋体" w:cs="宋体"/>
                <w:color w:val="auto"/>
                <w:sz w:val="18"/>
                <w:szCs w:val="18"/>
              </w:rPr>
              <w:t>2000≤Y＜5000</w:t>
            </w:r>
          </w:p>
        </w:tc>
        <w:tc>
          <w:tcPr>
            <w:tcW w:w="1200" w:type="dxa"/>
            <w:tcBorders>
              <w:top w:val="nil"/>
              <w:left w:val="nil"/>
              <w:bottom w:val="single" w:color="auto" w:sz="4" w:space="0"/>
              <w:right w:val="single" w:color="auto" w:sz="4" w:space="0"/>
            </w:tcBorders>
            <w:noWrap w:val="0"/>
            <w:vAlign w:val="center"/>
          </w:tcPr>
          <w:p w14:paraId="03ABD40E">
            <w:pPr>
              <w:pStyle w:val="24"/>
              <w:spacing w:line="360" w:lineRule="auto"/>
              <w:jc w:val="center"/>
              <w:rPr>
                <w:rFonts w:hint="eastAsia" w:hAnsi="宋体" w:cs="宋体"/>
                <w:color w:val="auto"/>
                <w:sz w:val="18"/>
                <w:szCs w:val="18"/>
              </w:rPr>
            </w:pPr>
            <w:r>
              <w:rPr>
                <w:rFonts w:hint="eastAsia" w:hAnsi="宋体" w:cs="宋体"/>
                <w:color w:val="auto"/>
                <w:sz w:val="18"/>
                <w:szCs w:val="18"/>
              </w:rPr>
              <w:t>Y＜2000</w:t>
            </w:r>
          </w:p>
        </w:tc>
      </w:tr>
      <w:tr w14:paraId="3556D519">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3FE72FE8">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物业管理</w:t>
            </w:r>
          </w:p>
        </w:tc>
        <w:tc>
          <w:tcPr>
            <w:tcW w:w="1538" w:type="dxa"/>
            <w:tcBorders>
              <w:top w:val="nil"/>
              <w:left w:val="nil"/>
              <w:bottom w:val="single" w:color="auto" w:sz="4" w:space="0"/>
              <w:right w:val="single" w:color="auto" w:sz="4" w:space="0"/>
            </w:tcBorders>
            <w:noWrap w:val="0"/>
            <w:vAlign w:val="center"/>
          </w:tcPr>
          <w:p w14:paraId="052DD744">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4988E1F5">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39DCBC11">
            <w:pPr>
              <w:pStyle w:val="24"/>
              <w:spacing w:line="360" w:lineRule="auto"/>
              <w:jc w:val="center"/>
              <w:rPr>
                <w:rFonts w:hint="eastAsia" w:hAnsi="宋体" w:cs="宋体"/>
                <w:color w:val="auto"/>
                <w:sz w:val="18"/>
                <w:szCs w:val="18"/>
              </w:rPr>
            </w:pPr>
            <w:r>
              <w:rPr>
                <w:rFonts w:hint="eastAsia" w:hAnsi="宋体" w:cs="宋体"/>
                <w:color w:val="auto"/>
                <w:sz w:val="18"/>
                <w:szCs w:val="18"/>
              </w:rPr>
              <w:t>300≤X＜1000</w:t>
            </w:r>
          </w:p>
        </w:tc>
        <w:tc>
          <w:tcPr>
            <w:tcW w:w="1725" w:type="dxa"/>
            <w:tcBorders>
              <w:top w:val="nil"/>
              <w:left w:val="nil"/>
              <w:bottom w:val="single" w:color="auto" w:sz="4" w:space="0"/>
              <w:right w:val="single" w:color="auto" w:sz="4" w:space="0"/>
            </w:tcBorders>
            <w:noWrap w:val="0"/>
            <w:vAlign w:val="center"/>
          </w:tcPr>
          <w:p w14:paraId="0315E9A1">
            <w:pPr>
              <w:pStyle w:val="24"/>
              <w:spacing w:line="360" w:lineRule="auto"/>
              <w:jc w:val="center"/>
              <w:rPr>
                <w:rFonts w:hint="eastAsia" w:hAnsi="宋体" w:cs="宋体"/>
                <w:color w:val="auto"/>
                <w:sz w:val="18"/>
                <w:szCs w:val="18"/>
              </w:rPr>
            </w:pPr>
            <w:r>
              <w:rPr>
                <w:rFonts w:hint="eastAsia" w:hAnsi="宋体" w:cs="宋体"/>
                <w:color w:val="auto"/>
                <w:sz w:val="18"/>
                <w:szCs w:val="18"/>
              </w:rPr>
              <w:t>100≤X＜300</w:t>
            </w:r>
          </w:p>
        </w:tc>
        <w:tc>
          <w:tcPr>
            <w:tcW w:w="1200" w:type="dxa"/>
            <w:tcBorders>
              <w:top w:val="nil"/>
              <w:left w:val="nil"/>
              <w:bottom w:val="single" w:color="auto" w:sz="4" w:space="0"/>
              <w:right w:val="single" w:color="auto" w:sz="4" w:space="0"/>
            </w:tcBorders>
            <w:noWrap w:val="0"/>
            <w:vAlign w:val="center"/>
          </w:tcPr>
          <w:p w14:paraId="7D16677E">
            <w:pPr>
              <w:pStyle w:val="24"/>
              <w:spacing w:line="360" w:lineRule="auto"/>
              <w:jc w:val="center"/>
              <w:rPr>
                <w:rFonts w:hint="eastAsia" w:hAnsi="宋体" w:cs="宋体"/>
                <w:color w:val="auto"/>
                <w:sz w:val="18"/>
                <w:szCs w:val="18"/>
              </w:rPr>
            </w:pPr>
            <w:r>
              <w:rPr>
                <w:rFonts w:hint="eastAsia" w:hAnsi="宋体" w:cs="宋体"/>
                <w:color w:val="auto"/>
                <w:sz w:val="18"/>
                <w:szCs w:val="18"/>
              </w:rPr>
              <w:t>X＜100</w:t>
            </w:r>
          </w:p>
        </w:tc>
      </w:tr>
      <w:tr w14:paraId="540949DA">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0761722C">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2ECE1CCA">
            <w:pPr>
              <w:pStyle w:val="24"/>
              <w:spacing w:line="360" w:lineRule="auto"/>
              <w:jc w:val="center"/>
              <w:rPr>
                <w:rFonts w:hint="eastAsia" w:hAnsi="宋体" w:cs="宋体"/>
                <w:color w:val="auto"/>
                <w:sz w:val="18"/>
                <w:szCs w:val="18"/>
              </w:rPr>
            </w:pPr>
            <w:r>
              <w:rPr>
                <w:rFonts w:hint="eastAsia" w:hAnsi="宋体" w:cs="宋体"/>
                <w:color w:val="auto"/>
                <w:sz w:val="18"/>
                <w:szCs w:val="18"/>
              </w:rPr>
              <w:t>营业收入（Y）</w:t>
            </w:r>
          </w:p>
        </w:tc>
        <w:tc>
          <w:tcPr>
            <w:tcW w:w="981" w:type="dxa"/>
            <w:tcBorders>
              <w:top w:val="nil"/>
              <w:left w:val="nil"/>
              <w:bottom w:val="single" w:color="auto" w:sz="4" w:space="0"/>
              <w:right w:val="single" w:color="auto" w:sz="4" w:space="0"/>
            </w:tcBorders>
            <w:noWrap w:val="0"/>
            <w:vAlign w:val="center"/>
          </w:tcPr>
          <w:p w14:paraId="3C06F8A9">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1FBB5B43">
            <w:pPr>
              <w:pStyle w:val="24"/>
              <w:spacing w:line="360" w:lineRule="auto"/>
              <w:jc w:val="center"/>
              <w:rPr>
                <w:rFonts w:hint="eastAsia" w:hAnsi="宋体" w:cs="宋体"/>
                <w:color w:val="auto"/>
                <w:sz w:val="18"/>
                <w:szCs w:val="18"/>
              </w:rPr>
            </w:pPr>
            <w:r>
              <w:rPr>
                <w:rFonts w:hint="eastAsia" w:hAnsi="宋体" w:cs="宋体"/>
                <w:color w:val="auto"/>
                <w:sz w:val="18"/>
                <w:szCs w:val="18"/>
              </w:rPr>
              <w:t>1000≤Y＜5000</w:t>
            </w:r>
          </w:p>
        </w:tc>
        <w:tc>
          <w:tcPr>
            <w:tcW w:w="1725" w:type="dxa"/>
            <w:tcBorders>
              <w:top w:val="nil"/>
              <w:left w:val="nil"/>
              <w:bottom w:val="single" w:color="auto" w:sz="4" w:space="0"/>
              <w:right w:val="single" w:color="auto" w:sz="4" w:space="0"/>
            </w:tcBorders>
            <w:noWrap w:val="0"/>
            <w:vAlign w:val="center"/>
          </w:tcPr>
          <w:p w14:paraId="292BE33F">
            <w:pPr>
              <w:pStyle w:val="24"/>
              <w:spacing w:line="360" w:lineRule="auto"/>
              <w:jc w:val="center"/>
              <w:rPr>
                <w:rFonts w:hint="eastAsia" w:hAnsi="宋体" w:cs="宋体"/>
                <w:color w:val="auto"/>
                <w:sz w:val="18"/>
                <w:szCs w:val="18"/>
              </w:rPr>
            </w:pPr>
            <w:r>
              <w:rPr>
                <w:rFonts w:hint="eastAsia" w:hAnsi="宋体" w:cs="宋体"/>
                <w:color w:val="auto"/>
                <w:sz w:val="18"/>
                <w:szCs w:val="18"/>
              </w:rPr>
              <w:t>500≤Y＜1000</w:t>
            </w:r>
          </w:p>
        </w:tc>
        <w:tc>
          <w:tcPr>
            <w:tcW w:w="1200" w:type="dxa"/>
            <w:tcBorders>
              <w:top w:val="nil"/>
              <w:left w:val="nil"/>
              <w:bottom w:val="single" w:color="auto" w:sz="4" w:space="0"/>
              <w:right w:val="single" w:color="auto" w:sz="4" w:space="0"/>
            </w:tcBorders>
            <w:noWrap w:val="0"/>
            <w:vAlign w:val="center"/>
          </w:tcPr>
          <w:p w14:paraId="55531E8E">
            <w:pPr>
              <w:pStyle w:val="24"/>
              <w:spacing w:line="360" w:lineRule="auto"/>
              <w:jc w:val="center"/>
              <w:rPr>
                <w:rFonts w:hint="eastAsia" w:hAnsi="宋体" w:cs="宋体"/>
                <w:color w:val="auto"/>
                <w:sz w:val="18"/>
                <w:szCs w:val="18"/>
              </w:rPr>
            </w:pPr>
            <w:r>
              <w:rPr>
                <w:rFonts w:hint="eastAsia" w:hAnsi="宋体" w:cs="宋体"/>
                <w:color w:val="auto"/>
                <w:sz w:val="18"/>
                <w:szCs w:val="18"/>
              </w:rPr>
              <w:t>Y＜500</w:t>
            </w:r>
          </w:p>
        </w:tc>
      </w:tr>
      <w:tr w14:paraId="381020B0">
        <w:tblPrEx>
          <w:tblCellMar>
            <w:top w:w="0" w:type="dxa"/>
            <w:left w:w="108" w:type="dxa"/>
            <w:bottom w:w="0" w:type="dxa"/>
            <w:right w:w="108" w:type="dxa"/>
          </w:tblCellMar>
        </w:tblPrEx>
        <w:trPr>
          <w:trHeight w:val="90"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5A045E4D">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租赁和商务服务业</w:t>
            </w:r>
          </w:p>
        </w:tc>
        <w:tc>
          <w:tcPr>
            <w:tcW w:w="1538" w:type="dxa"/>
            <w:tcBorders>
              <w:top w:val="nil"/>
              <w:left w:val="nil"/>
              <w:bottom w:val="single" w:color="auto" w:sz="4" w:space="0"/>
              <w:right w:val="single" w:color="auto" w:sz="4" w:space="0"/>
            </w:tcBorders>
            <w:noWrap w:val="0"/>
            <w:vAlign w:val="center"/>
          </w:tcPr>
          <w:p w14:paraId="25B397C1">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29BC0DD7">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3EFA29B7">
            <w:pPr>
              <w:pStyle w:val="24"/>
              <w:spacing w:line="360" w:lineRule="auto"/>
              <w:jc w:val="center"/>
              <w:rPr>
                <w:rFonts w:hint="eastAsia" w:hAnsi="宋体" w:cs="宋体"/>
                <w:color w:val="auto"/>
                <w:sz w:val="18"/>
                <w:szCs w:val="18"/>
              </w:rPr>
            </w:pPr>
            <w:r>
              <w:rPr>
                <w:rFonts w:hint="eastAsia" w:hAnsi="宋体" w:cs="宋体"/>
                <w:color w:val="auto"/>
                <w:sz w:val="18"/>
                <w:szCs w:val="18"/>
              </w:rPr>
              <w:t>100≤X＜300</w:t>
            </w:r>
          </w:p>
        </w:tc>
        <w:tc>
          <w:tcPr>
            <w:tcW w:w="1725" w:type="dxa"/>
            <w:tcBorders>
              <w:top w:val="nil"/>
              <w:left w:val="nil"/>
              <w:bottom w:val="single" w:color="auto" w:sz="4" w:space="0"/>
              <w:right w:val="single" w:color="auto" w:sz="4" w:space="0"/>
            </w:tcBorders>
            <w:noWrap w:val="0"/>
            <w:vAlign w:val="center"/>
          </w:tcPr>
          <w:p w14:paraId="4DC514B0">
            <w:pPr>
              <w:pStyle w:val="24"/>
              <w:spacing w:line="360" w:lineRule="auto"/>
              <w:jc w:val="center"/>
              <w:rPr>
                <w:rFonts w:hint="eastAsia" w:hAnsi="宋体" w:cs="宋体"/>
                <w:color w:val="auto"/>
                <w:sz w:val="18"/>
                <w:szCs w:val="18"/>
              </w:rPr>
            </w:pPr>
            <w:r>
              <w:rPr>
                <w:rFonts w:hint="eastAsia" w:hAnsi="宋体" w:cs="宋体"/>
                <w:color w:val="auto"/>
                <w:sz w:val="18"/>
                <w:szCs w:val="18"/>
              </w:rPr>
              <w:t>10≤X＜100</w:t>
            </w:r>
          </w:p>
        </w:tc>
        <w:tc>
          <w:tcPr>
            <w:tcW w:w="1200" w:type="dxa"/>
            <w:tcBorders>
              <w:top w:val="nil"/>
              <w:left w:val="nil"/>
              <w:bottom w:val="single" w:color="auto" w:sz="4" w:space="0"/>
              <w:right w:val="single" w:color="auto" w:sz="4" w:space="0"/>
            </w:tcBorders>
            <w:noWrap w:val="0"/>
            <w:vAlign w:val="center"/>
          </w:tcPr>
          <w:p w14:paraId="45711FFF">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r w14:paraId="37C7C53B">
        <w:tblPrEx>
          <w:tblCellMar>
            <w:top w:w="0" w:type="dxa"/>
            <w:left w:w="108" w:type="dxa"/>
            <w:bottom w:w="0" w:type="dxa"/>
            <w:right w:w="108" w:type="dxa"/>
          </w:tblCellMar>
        </w:tblPrEx>
        <w:trPr>
          <w:trHeight w:val="90"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7013D949">
            <w:pPr>
              <w:pStyle w:val="24"/>
              <w:spacing w:line="360" w:lineRule="auto"/>
              <w:jc w:val="center"/>
              <w:rPr>
                <w:rFonts w:hint="eastAsia" w:hAnsi="宋体" w:cs="宋体"/>
                <w:b/>
                <w:bCs/>
                <w:color w:val="auto"/>
                <w:sz w:val="18"/>
                <w:szCs w:val="18"/>
              </w:rPr>
            </w:pPr>
          </w:p>
        </w:tc>
        <w:tc>
          <w:tcPr>
            <w:tcW w:w="1538" w:type="dxa"/>
            <w:tcBorders>
              <w:top w:val="nil"/>
              <w:left w:val="nil"/>
              <w:bottom w:val="single" w:color="auto" w:sz="4" w:space="0"/>
              <w:right w:val="single" w:color="auto" w:sz="4" w:space="0"/>
            </w:tcBorders>
            <w:noWrap w:val="0"/>
            <w:vAlign w:val="center"/>
          </w:tcPr>
          <w:p w14:paraId="1EB84E64">
            <w:pPr>
              <w:pStyle w:val="24"/>
              <w:spacing w:line="360" w:lineRule="auto"/>
              <w:jc w:val="center"/>
              <w:rPr>
                <w:rFonts w:hint="eastAsia" w:hAnsi="宋体" w:cs="宋体"/>
                <w:color w:val="auto"/>
                <w:sz w:val="18"/>
                <w:szCs w:val="18"/>
              </w:rPr>
            </w:pPr>
            <w:r>
              <w:rPr>
                <w:rFonts w:hint="eastAsia" w:hAnsi="宋体" w:cs="宋体"/>
                <w:color w:val="auto"/>
                <w:sz w:val="18"/>
                <w:szCs w:val="18"/>
              </w:rPr>
              <w:t>资产总额（Z）</w:t>
            </w:r>
          </w:p>
        </w:tc>
        <w:tc>
          <w:tcPr>
            <w:tcW w:w="981" w:type="dxa"/>
            <w:tcBorders>
              <w:top w:val="nil"/>
              <w:left w:val="nil"/>
              <w:bottom w:val="single" w:color="auto" w:sz="4" w:space="0"/>
              <w:right w:val="single" w:color="auto" w:sz="4" w:space="0"/>
            </w:tcBorders>
            <w:noWrap w:val="0"/>
            <w:vAlign w:val="center"/>
          </w:tcPr>
          <w:p w14:paraId="4CB30082">
            <w:pPr>
              <w:pStyle w:val="24"/>
              <w:spacing w:line="360" w:lineRule="auto"/>
              <w:jc w:val="center"/>
              <w:rPr>
                <w:rFonts w:hint="eastAsia" w:hAnsi="宋体" w:cs="宋体"/>
                <w:color w:val="auto"/>
                <w:sz w:val="18"/>
                <w:szCs w:val="18"/>
              </w:rPr>
            </w:pPr>
            <w:r>
              <w:rPr>
                <w:rFonts w:hint="eastAsia" w:hAnsi="宋体" w:cs="宋体"/>
                <w:color w:val="auto"/>
                <w:sz w:val="18"/>
                <w:szCs w:val="18"/>
              </w:rPr>
              <w:t>万元</w:t>
            </w:r>
          </w:p>
        </w:tc>
        <w:tc>
          <w:tcPr>
            <w:tcW w:w="1740" w:type="dxa"/>
            <w:tcBorders>
              <w:top w:val="nil"/>
              <w:left w:val="nil"/>
              <w:bottom w:val="single" w:color="auto" w:sz="4" w:space="0"/>
              <w:right w:val="single" w:color="auto" w:sz="4" w:space="0"/>
            </w:tcBorders>
            <w:noWrap w:val="0"/>
            <w:vAlign w:val="center"/>
          </w:tcPr>
          <w:p w14:paraId="7172A76B">
            <w:pPr>
              <w:pStyle w:val="24"/>
              <w:spacing w:line="360" w:lineRule="auto"/>
              <w:jc w:val="center"/>
              <w:rPr>
                <w:rFonts w:hint="eastAsia" w:hAnsi="宋体" w:cs="宋体"/>
                <w:color w:val="auto"/>
                <w:sz w:val="18"/>
                <w:szCs w:val="18"/>
              </w:rPr>
            </w:pPr>
            <w:r>
              <w:rPr>
                <w:rFonts w:hint="eastAsia" w:hAnsi="宋体" w:cs="宋体"/>
                <w:color w:val="auto"/>
                <w:sz w:val="18"/>
                <w:szCs w:val="18"/>
              </w:rPr>
              <w:t>8000≤Z＜120000</w:t>
            </w:r>
          </w:p>
        </w:tc>
        <w:tc>
          <w:tcPr>
            <w:tcW w:w="1725" w:type="dxa"/>
            <w:tcBorders>
              <w:top w:val="nil"/>
              <w:left w:val="nil"/>
              <w:bottom w:val="single" w:color="auto" w:sz="4" w:space="0"/>
              <w:right w:val="single" w:color="auto" w:sz="4" w:space="0"/>
            </w:tcBorders>
            <w:noWrap w:val="0"/>
            <w:vAlign w:val="center"/>
          </w:tcPr>
          <w:p w14:paraId="32F2C63B">
            <w:pPr>
              <w:pStyle w:val="24"/>
              <w:spacing w:line="360" w:lineRule="auto"/>
              <w:jc w:val="center"/>
              <w:rPr>
                <w:rFonts w:hint="eastAsia" w:hAnsi="宋体" w:cs="宋体"/>
                <w:color w:val="auto"/>
                <w:sz w:val="18"/>
                <w:szCs w:val="18"/>
              </w:rPr>
            </w:pPr>
            <w:r>
              <w:rPr>
                <w:rFonts w:hint="eastAsia" w:hAnsi="宋体" w:cs="宋体"/>
                <w:color w:val="auto"/>
                <w:sz w:val="18"/>
                <w:szCs w:val="18"/>
              </w:rPr>
              <w:t>100≤Z＜8000</w:t>
            </w:r>
          </w:p>
        </w:tc>
        <w:tc>
          <w:tcPr>
            <w:tcW w:w="1200" w:type="dxa"/>
            <w:tcBorders>
              <w:top w:val="nil"/>
              <w:left w:val="nil"/>
              <w:bottom w:val="single" w:color="auto" w:sz="4" w:space="0"/>
              <w:right w:val="single" w:color="auto" w:sz="4" w:space="0"/>
            </w:tcBorders>
            <w:noWrap w:val="0"/>
            <w:vAlign w:val="center"/>
          </w:tcPr>
          <w:p w14:paraId="0F4D4CB7">
            <w:pPr>
              <w:pStyle w:val="24"/>
              <w:spacing w:line="360" w:lineRule="auto"/>
              <w:jc w:val="center"/>
              <w:rPr>
                <w:rFonts w:hint="eastAsia" w:hAnsi="宋体" w:cs="宋体"/>
                <w:color w:val="auto"/>
                <w:sz w:val="18"/>
                <w:szCs w:val="18"/>
              </w:rPr>
            </w:pPr>
            <w:r>
              <w:rPr>
                <w:rFonts w:hint="eastAsia" w:hAnsi="宋体" w:cs="宋体"/>
                <w:color w:val="auto"/>
                <w:sz w:val="18"/>
                <w:szCs w:val="18"/>
              </w:rPr>
              <w:t>Y＜100</w:t>
            </w:r>
          </w:p>
        </w:tc>
      </w:tr>
      <w:tr w14:paraId="23F3661D">
        <w:tblPrEx>
          <w:tblCellMar>
            <w:top w:w="0" w:type="dxa"/>
            <w:left w:w="108" w:type="dxa"/>
            <w:bottom w:w="0" w:type="dxa"/>
            <w:right w:w="108" w:type="dxa"/>
          </w:tblCellMar>
        </w:tblPrEx>
        <w:trPr>
          <w:trHeight w:val="90" w:hRule="atLeast"/>
        </w:trPr>
        <w:tc>
          <w:tcPr>
            <w:tcW w:w="1704" w:type="dxa"/>
            <w:tcBorders>
              <w:top w:val="nil"/>
              <w:left w:val="single" w:color="auto" w:sz="4" w:space="0"/>
              <w:bottom w:val="single" w:color="auto" w:sz="4" w:space="0"/>
              <w:right w:val="single" w:color="auto" w:sz="4" w:space="0"/>
            </w:tcBorders>
            <w:noWrap w:val="0"/>
            <w:vAlign w:val="center"/>
          </w:tcPr>
          <w:p w14:paraId="01F32C06">
            <w:pPr>
              <w:pStyle w:val="24"/>
              <w:spacing w:line="360" w:lineRule="auto"/>
              <w:jc w:val="center"/>
              <w:rPr>
                <w:rFonts w:hint="eastAsia" w:hAnsi="宋体" w:cs="宋体"/>
                <w:b/>
                <w:bCs/>
                <w:color w:val="auto"/>
                <w:sz w:val="18"/>
                <w:szCs w:val="18"/>
              </w:rPr>
            </w:pPr>
            <w:r>
              <w:rPr>
                <w:rFonts w:hint="eastAsia" w:hAnsi="宋体" w:cs="宋体"/>
                <w:b/>
                <w:bCs/>
                <w:color w:val="auto"/>
                <w:sz w:val="18"/>
                <w:szCs w:val="18"/>
              </w:rPr>
              <w:t>其他未列明行业</w:t>
            </w:r>
          </w:p>
        </w:tc>
        <w:tc>
          <w:tcPr>
            <w:tcW w:w="1538" w:type="dxa"/>
            <w:tcBorders>
              <w:top w:val="nil"/>
              <w:left w:val="nil"/>
              <w:bottom w:val="single" w:color="auto" w:sz="4" w:space="0"/>
              <w:right w:val="single" w:color="auto" w:sz="4" w:space="0"/>
            </w:tcBorders>
            <w:noWrap w:val="0"/>
            <w:vAlign w:val="center"/>
          </w:tcPr>
          <w:p w14:paraId="6DD36ECC">
            <w:pPr>
              <w:pStyle w:val="24"/>
              <w:spacing w:line="360" w:lineRule="auto"/>
              <w:jc w:val="center"/>
              <w:rPr>
                <w:rFonts w:hint="eastAsia" w:hAnsi="宋体" w:cs="宋体"/>
                <w:color w:val="auto"/>
                <w:sz w:val="18"/>
                <w:szCs w:val="18"/>
              </w:rPr>
            </w:pPr>
            <w:r>
              <w:rPr>
                <w:rFonts w:hint="eastAsia" w:hAnsi="宋体" w:cs="宋体"/>
                <w:color w:val="auto"/>
                <w:sz w:val="18"/>
                <w:szCs w:val="18"/>
              </w:rPr>
              <w:t>从业人员（X）</w:t>
            </w:r>
          </w:p>
        </w:tc>
        <w:tc>
          <w:tcPr>
            <w:tcW w:w="981" w:type="dxa"/>
            <w:tcBorders>
              <w:top w:val="nil"/>
              <w:left w:val="nil"/>
              <w:bottom w:val="single" w:color="auto" w:sz="4" w:space="0"/>
              <w:right w:val="single" w:color="auto" w:sz="4" w:space="0"/>
            </w:tcBorders>
            <w:noWrap w:val="0"/>
            <w:vAlign w:val="center"/>
          </w:tcPr>
          <w:p w14:paraId="2BB809FD">
            <w:pPr>
              <w:pStyle w:val="24"/>
              <w:spacing w:line="360" w:lineRule="auto"/>
              <w:jc w:val="center"/>
              <w:rPr>
                <w:rFonts w:hint="eastAsia" w:hAnsi="宋体" w:cs="宋体"/>
                <w:color w:val="auto"/>
                <w:sz w:val="18"/>
                <w:szCs w:val="18"/>
              </w:rPr>
            </w:pPr>
            <w:r>
              <w:rPr>
                <w:rFonts w:hint="eastAsia" w:hAnsi="宋体" w:cs="宋体"/>
                <w:color w:val="auto"/>
                <w:sz w:val="18"/>
                <w:szCs w:val="18"/>
              </w:rPr>
              <w:t>人</w:t>
            </w:r>
          </w:p>
        </w:tc>
        <w:tc>
          <w:tcPr>
            <w:tcW w:w="1740" w:type="dxa"/>
            <w:tcBorders>
              <w:top w:val="nil"/>
              <w:left w:val="nil"/>
              <w:bottom w:val="single" w:color="auto" w:sz="4" w:space="0"/>
              <w:right w:val="single" w:color="auto" w:sz="4" w:space="0"/>
            </w:tcBorders>
            <w:noWrap w:val="0"/>
            <w:vAlign w:val="center"/>
          </w:tcPr>
          <w:p w14:paraId="5A90E50F">
            <w:pPr>
              <w:pStyle w:val="24"/>
              <w:spacing w:line="360" w:lineRule="auto"/>
              <w:jc w:val="center"/>
              <w:rPr>
                <w:rFonts w:hint="eastAsia" w:hAnsi="宋体" w:cs="宋体"/>
                <w:color w:val="auto"/>
                <w:sz w:val="18"/>
                <w:szCs w:val="18"/>
              </w:rPr>
            </w:pPr>
            <w:r>
              <w:rPr>
                <w:rFonts w:hint="eastAsia" w:hAnsi="宋体" w:cs="宋体"/>
                <w:color w:val="auto"/>
                <w:sz w:val="18"/>
                <w:szCs w:val="18"/>
              </w:rPr>
              <w:t>100≤X＜300</w:t>
            </w:r>
          </w:p>
        </w:tc>
        <w:tc>
          <w:tcPr>
            <w:tcW w:w="1725" w:type="dxa"/>
            <w:tcBorders>
              <w:top w:val="nil"/>
              <w:left w:val="nil"/>
              <w:bottom w:val="single" w:color="auto" w:sz="4" w:space="0"/>
              <w:right w:val="single" w:color="auto" w:sz="4" w:space="0"/>
            </w:tcBorders>
            <w:noWrap w:val="0"/>
            <w:vAlign w:val="center"/>
          </w:tcPr>
          <w:p w14:paraId="78C95877">
            <w:pPr>
              <w:pStyle w:val="24"/>
              <w:spacing w:line="360" w:lineRule="auto"/>
              <w:jc w:val="center"/>
              <w:rPr>
                <w:rFonts w:hint="eastAsia" w:hAnsi="宋体" w:cs="宋体"/>
                <w:color w:val="auto"/>
                <w:sz w:val="18"/>
                <w:szCs w:val="18"/>
              </w:rPr>
            </w:pPr>
            <w:r>
              <w:rPr>
                <w:rFonts w:hint="eastAsia" w:hAnsi="宋体" w:cs="宋体"/>
                <w:color w:val="auto"/>
                <w:sz w:val="18"/>
                <w:szCs w:val="18"/>
              </w:rPr>
              <w:t>10≤X＜100</w:t>
            </w:r>
          </w:p>
        </w:tc>
        <w:tc>
          <w:tcPr>
            <w:tcW w:w="1200" w:type="dxa"/>
            <w:tcBorders>
              <w:top w:val="nil"/>
              <w:left w:val="nil"/>
              <w:bottom w:val="single" w:color="auto" w:sz="4" w:space="0"/>
              <w:right w:val="single" w:color="auto" w:sz="4" w:space="0"/>
            </w:tcBorders>
            <w:noWrap w:val="0"/>
            <w:vAlign w:val="center"/>
          </w:tcPr>
          <w:p w14:paraId="1D904DA8">
            <w:pPr>
              <w:pStyle w:val="24"/>
              <w:spacing w:line="360" w:lineRule="auto"/>
              <w:jc w:val="center"/>
              <w:rPr>
                <w:rFonts w:hint="eastAsia" w:hAnsi="宋体" w:cs="宋体"/>
                <w:color w:val="auto"/>
                <w:sz w:val="18"/>
                <w:szCs w:val="18"/>
              </w:rPr>
            </w:pPr>
            <w:r>
              <w:rPr>
                <w:rFonts w:hint="eastAsia" w:hAnsi="宋体" w:cs="宋体"/>
                <w:color w:val="auto"/>
                <w:sz w:val="18"/>
                <w:szCs w:val="18"/>
              </w:rPr>
              <w:t>X＜10</w:t>
            </w:r>
          </w:p>
        </w:tc>
      </w:tr>
    </w:tbl>
    <w:p w14:paraId="3C4F2E02">
      <w:pPr>
        <w:pStyle w:val="24"/>
        <w:spacing w:line="360" w:lineRule="auto"/>
        <w:jc w:val="left"/>
        <w:rPr>
          <w:rFonts w:hAnsi="宋体"/>
          <w:b/>
          <w:color w:val="auto"/>
          <w:sz w:val="24"/>
        </w:rPr>
      </w:pPr>
      <w:r>
        <w:rPr>
          <w:rFonts w:hint="eastAsia" w:hAnsi="宋体"/>
          <w:color w:val="auto"/>
        </w:rPr>
        <w:t>说明：上述标准参照《关于印发中小企业划型标准规定的通知》（工信部联企业[2011]300号），大型、中型和小型企业须同时满足所列指标的下限，否则下划一档；微型企业只须满足所列指标中的一项即可。</w:t>
      </w:r>
    </w:p>
    <w:p w14:paraId="428E6A4C">
      <w:pPr>
        <w:snapToGrid w:val="0"/>
        <w:spacing w:before="120" w:beforeLines="50" w:after="50" w:line="360" w:lineRule="auto"/>
        <w:jc w:val="left"/>
        <w:rPr>
          <w:rFonts w:hAnsi="宋体"/>
          <w:b/>
          <w:color w:val="auto"/>
          <w:sz w:val="24"/>
        </w:rPr>
      </w:pPr>
      <w:r>
        <w:rPr>
          <w:rFonts w:hint="eastAsia" w:hAnsi="宋体"/>
          <w:b/>
          <w:color w:val="auto"/>
          <w:sz w:val="24"/>
        </w:rPr>
        <w:br w:type="page"/>
      </w:r>
      <w:r>
        <w:rPr>
          <w:rFonts w:hint="eastAsia" w:hAnsi="宋体"/>
          <w:b/>
          <w:color w:val="auto"/>
          <w:sz w:val="24"/>
        </w:rPr>
        <w:t>（2）残疾人福利性单位声明函格式</w:t>
      </w:r>
    </w:p>
    <w:p w14:paraId="078C05E2">
      <w:pPr>
        <w:spacing w:line="360" w:lineRule="auto"/>
        <w:jc w:val="center"/>
        <w:rPr>
          <w:rFonts w:ascii="宋体" w:hAnsi="宋体"/>
          <w:b/>
          <w:color w:val="auto"/>
          <w:spacing w:val="6"/>
          <w:sz w:val="32"/>
          <w:szCs w:val="32"/>
        </w:rPr>
      </w:pPr>
    </w:p>
    <w:p w14:paraId="25169DA8">
      <w:pPr>
        <w:spacing w:line="360" w:lineRule="auto"/>
        <w:jc w:val="center"/>
        <w:rPr>
          <w:rFonts w:ascii="宋体" w:hAnsi="宋体" w:cs="微软雅黑"/>
          <w:bCs/>
          <w:color w:val="auto"/>
          <w:spacing w:val="6"/>
          <w:sz w:val="44"/>
          <w:szCs w:val="44"/>
        </w:rPr>
      </w:pPr>
      <w:r>
        <w:rPr>
          <w:rFonts w:hint="eastAsia" w:ascii="宋体" w:hAnsi="宋体" w:cs="微软雅黑"/>
          <w:bCs/>
          <w:color w:val="auto"/>
          <w:spacing w:val="6"/>
          <w:sz w:val="44"/>
          <w:szCs w:val="44"/>
        </w:rPr>
        <w:t>残疾人福利性单位声明函</w:t>
      </w:r>
    </w:p>
    <w:p w14:paraId="7F72B73A">
      <w:pPr>
        <w:spacing w:line="360" w:lineRule="auto"/>
        <w:contextualSpacing/>
        <w:rPr>
          <w:rFonts w:ascii="宋体" w:hAnsi="宋体"/>
          <w:bCs/>
          <w:color w:val="auto"/>
          <w:spacing w:val="6"/>
          <w:sz w:val="30"/>
          <w:szCs w:val="30"/>
        </w:rPr>
      </w:pPr>
    </w:p>
    <w:p w14:paraId="4582CFDE">
      <w:pPr>
        <w:spacing w:line="360" w:lineRule="auto"/>
        <w:ind w:firstLine="444" w:firstLineChars="200"/>
        <w:contextualSpacing/>
        <w:rPr>
          <w:rFonts w:ascii="宋体" w:hAnsi="宋体"/>
          <w:color w:val="auto"/>
          <w:spacing w:val="6"/>
          <w:szCs w:val="21"/>
        </w:rPr>
      </w:pPr>
      <w:r>
        <w:rPr>
          <w:rFonts w:hint="eastAsia" w:ascii="宋体" w:hAnsi="宋体"/>
          <w:color w:val="auto"/>
          <w:spacing w:val="6"/>
          <w:szCs w:val="21"/>
        </w:rPr>
        <w:t>本单位郑重声明，根据《财政部 民政部 中国残疾人联合会关于促进残疾人就业政府采购政策的通知》（财库</w:t>
      </w:r>
      <w:r>
        <w:rPr>
          <w:rFonts w:hint="eastAsia" w:ascii="宋体" w:hAnsi="宋体"/>
          <w:color w:val="auto"/>
          <w:szCs w:val="21"/>
        </w:rPr>
        <w:t>〔2017〕 141</w:t>
      </w:r>
      <w:r>
        <w:rPr>
          <w:rFonts w:hint="eastAsia" w:ascii="宋体" w:hAnsi="宋体"/>
          <w:color w:val="auto"/>
          <w:spacing w:val="6"/>
          <w:szCs w:val="21"/>
        </w:rPr>
        <w:t>号）的规定，本单位为符合条件的残疾人福利性单位，且本单位参加</w:t>
      </w:r>
      <w:r>
        <w:rPr>
          <w:rFonts w:hint="eastAsia" w:ascii="宋体" w:hAnsi="宋体"/>
          <w:color w:val="auto"/>
          <w:spacing w:val="6"/>
          <w:szCs w:val="21"/>
          <w:u w:val="single"/>
        </w:rPr>
        <w:t xml:space="preserve">       </w:t>
      </w:r>
      <w:r>
        <w:rPr>
          <w:rFonts w:hint="eastAsia" w:ascii="宋体" w:hAnsi="宋体"/>
          <w:color w:val="auto"/>
          <w:spacing w:val="6"/>
          <w:szCs w:val="21"/>
        </w:rPr>
        <w:t>单位的</w:t>
      </w:r>
      <w:r>
        <w:rPr>
          <w:rFonts w:hint="eastAsia" w:ascii="宋体" w:hAnsi="宋体"/>
          <w:color w:val="auto"/>
          <w:spacing w:val="6"/>
          <w:szCs w:val="21"/>
          <w:u w:val="single"/>
        </w:rPr>
        <w:t xml:space="preserve">        </w:t>
      </w:r>
      <w:r>
        <w:rPr>
          <w:rFonts w:hint="eastAsia" w:ascii="宋体" w:hAnsi="宋体"/>
          <w:color w:val="auto"/>
          <w:spacing w:val="6"/>
          <w:szCs w:val="21"/>
        </w:rPr>
        <w:t>项目采购活动提供本单位制造的货物（由本单位承担工程/提供服务），或者提供其他残</w:t>
      </w:r>
      <w:r>
        <w:rPr>
          <w:rFonts w:hint="eastAsia" w:ascii="宋体" w:hAnsi="宋体"/>
          <w:color w:val="auto"/>
          <w:spacing w:val="-6"/>
          <w:szCs w:val="21"/>
        </w:rPr>
        <w:t>疾人福利性单位制造的货物（不包括使用非残疾人福利性单位注册商标的货物）。</w:t>
      </w:r>
    </w:p>
    <w:p w14:paraId="3EEEA611">
      <w:pPr>
        <w:spacing w:line="360" w:lineRule="auto"/>
        <w:ind w:firstLine="444" w:firstLineChars="200"/>
        <w:contextualSpacing/>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14:paraId="453294F0">
      <w:pPr>
        <w:spacing w:line="360" w:lineRule="auto"/>
        <w:ind w:firstLine="444" w:firstLineChars="200"/>
        <w:contextualSpacing/>
        <w:rPr>
          <w:rFonts w:ascii="宋体" w:hAnsi="宋体"/>
          <w:color w:val="auto"/>
          <w:spacing w:val="6"/>
          <w:szCs w:val="21"/>
        </w:rPr>
      </w:pPr>
    </w:p>
    <w:p w14:paraId="0D7505CA">
      <w:pPr>
        <w:spacing w:line="360" w:lineRule="auto"/>
        <w:ind w:firstLine="444" w:firstLineChars="200"/>
        <w:contextualSpacing/>
        <w:rPr>
          <w:rFonts w:ascii="宋体" w:hAnsi="宋体"/>
          <w:color w:val="auto"/>
          <w:spacing w:val="6"/>
          <w:szCs w:val="21"/>
        </w:rPr>
      </w:pPr>
    </w:p>
    <w:p w14:paraId="5A62EE05">
      <w:pPr>
        <w:tabs>
          <w:tab w:val="left" w:pos="4860"/>
        </w:tabs>
        <w:spacing w:line="360" w:lineRule="auto"/>
        <w:ind w:right="1560" w:firstLine="444" w:firstLineChars="200"/>
        <w:contextualSpacing/>
        <w:jc w:val="center"/>
        <w:rPr>
          <w:rFonts w:ascii="宋体" w:hAnsi="宋体"/>
          <w:color w:val="auto"/>
          <w:spacing w:val="6"/>
          <w:szCs w:val="21"/>
        </w:rPr>
      </w:pPr>
      <w:r>
        <w:rPr>
          <w:rFonts w:hint="eastAsia" w:ascii="宋体" w:hAnsi="宋体"/>
          <w:color w:val="auto"/>
          <w:spacing w:val="6"/>
          <w:szCs w:val="21"/>
        </w:rPr>
        <w:t>单位名称（盖公章）：</w:t>
      </w:r>
    </w:p>
    <w:p w14:paraId="2296D6B1">
      <w:pPr>
        <w:tabs>
          <w:tab w:val="left" w:pos="4860"/>
        </w:tabs>
        <w:spacing w:line="360" w:lineRule="auto"/>
        <w:ind w:right="1560" w:firstLine="444" w:firstLineChars="200"/>
        <w:contextualSpacing/>
        <w:jc w:val="center"/>
        <w:rPr>
          <w:rFonts w:ascii="宋体" w:hAnsi="宋体"/>
          <w:color w:val="auto"/>
          <w:spacing w:val="6"/>
          <w:szCs w:val="21"/>
        </w:rPr>
      </w:pPr>
      <w:r>
        <w:rPr>
          <w:rFonts w:hint="eastAsia" w:ascii="宋体" w:hAnsi="宋体"/>
          <w:color w:val="auto"/>
          <w:spacing w:val="6"/>
          <w:szCs w:val="21"/>
        </w:rPr>
        <w:t>日  期：</w:t>
      </w:r>
    </w:p>
    <w:p w14:paraId="6C1BE05A">
      <w:pPr>
        <w:spacing w:line="360" w:lineRule="auto"/>
        <w:contextualSpacing/>
        <w:rPr>
          <w:rFonts w:ascii="宋体" w:hAnsi="宋体"/>
          <w:color w:val="auto"/>
          <w:szCs w:val="21"/>
        </w:rPr>
      </w:pPr>
    </w:p>
    <w:p w14:paraId="24E37507">
      <w:pPr>
        <w:spacing w:line="360" w:lineRule="auto"/>
        <w:contextualSpacing/>
        <w:rPr>
          <w:rFonts w:ascii="宋体" w:hAnsi="宋体"/>
          <w:color w:val="auto"/>
          <w:szCs w:val="21"/>
        </w:rPr>
      </w:pPr>
    </w:p>
    <w:p w14:paraId="690FD2AC">
      <w:pPr>
        <w:spacing w:line="360" w:lineRule="auto"/>
        <w:contextualSpacing/>
        <w:rPr>
          <w:rFonts w:ascii="宋体" w:hAnsi="宋体"/>
          <w:color w:val="auto"/>
          <w:szCs w:val="21"/>
        </w:rPr>
      </w:pPr>
    </w:p>
    <w:p w14:paraId="7B96EE88">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注：请根据自己的真实情况出具《残疾人福利性单位声明函》。依法享受中小企业优惠政策的，采购人或者采购代理机构在公告中标结果时，同时公告其《残疾人福利性单位声明函》，接受社会监督。</w:t>
      </w:r>
    </w:p>
    <w:p w14:paraId="5CB47AC2">
      <w:pPr>
        <w:spacing w:line="360" w:lineRule="auto"/>
        <w:rPr>
          <w:rFonts w:hAnsi="宋体" w:cs="Arial Unicode MS"/>
          <w:color w:val="auto"/>
          <w:sz w:val="32"/>
          <w:szCs w:val="32"/>
        </w:rPr>
      </w:pPr>
    </w:p>
    <w:p w14:paraId="7C681571">
      <w:pPr>
        <w:spacing w:line="360" w:lineRule="auto"/>
        <w:rPr>
          <w:rFonts w:hAnsi="宋体" w:cs="Arial Unicode MS"/>
          <w:color w:val="auto"/>
          <w:sz w:val="32"/>
          <w:szCs w:val="32"/>
        </w:rPr>
      </w:pPr>
    </w:p>
    <w:p w14:paraId="23972CC0">
      <w:pPr>
        <w:spacing w:line="360" w:lineRule="auto"/>
        <w:rPr>
          <w:rFonts w:hint="eastAsia" w:ascii="宋体" w:hAnsi="宋体"/>
          <w:b/>
          <w:color w:val="auto"/>
          <w:sz w:val="28"/>
          <w:szCs w:val="28"/>
        </w:rPr>
      </w:pPr>
    </w:p>
    <w:p w14:paraId="594676C4">
      <w:pPr>
        <w:spacing w:line="360" w:lineRule="auto"/>
        <w:rPr>
          <w:rFonts w:hint="eastAsia" w:ascii="宋体" w:hAnsi="宋体"/>
          <w:b/>
          <w:color w:val="auto"/>
          <w:sz w:val="28"/>
          <w:szCs w:val="28"/>
        </w:rPr>
      </w:pPr>
    </w:p>
    <w:p w14:paraId="29FE4B26">
      <w:pPr>
        <w:spacing w:line="360" w:lineRule="auto"/>
        <w:rPr>
          <w:rFonts w:hint="eastAsia" w:ascii="宋体" w:hAnsi="宋体"/>
          <w:b/>
          <w:color w:val="auto"/>
          <w:sz w:val="28"/>
          <w:szCs w:val="28"/>
        </w:rPr>
      </w:pPr>
    </w:p>
    <w:p w14:paraId="3B587535">
      <w:pPr>
        <w:spacing w:line="360" w:lineRule="auto"/>
        <w:rPr>
          <w:rFonts w:hint="eastAsia" w:ascii="宋体" w:hAnsi="宋体"/>
          <w:b/>
          <w:color w:val="auto"/>
          <w:sz w:val="28"/>
          <w:szCs w:val="28"/>
        </w:rPr>
      </w:pPr>
    </w:p>
    <w:p w14:paraId="3A2214B2">
      <w:pPr>
        <w:spacing w:line="360" w:lineRule="auto"/>
        <w:rPr>
          <w:rFonts w:hint="eastAsia" w:ascii="宋体" w:hAnsi="宋体"/>
          <w:b/>
          <w:color w:val="auto"/>
          <w:sz w:val="28"/>
          <w:szCs w:val="28"/>
        </w:rPr>
      </w:pPr>
    </w:p>
    <w:p w14:paraId="794574E0">
      <w:pPr>
        <w:spacing w:line="360" w:lineRule="auto"/>
        <w:rPr>
          <w:rFonts w:hint="eastAsia" w:ascii="宋体" w:hAnsi="宋体"/>
          <w:b/>
          <w:color w:val="auto"/>
          <w:sz w:val="28"/>
          <w:szCs w:val="28"/>
        </w:rPr>
      </w:pPr>
    </w:p>
    <w:p w14:paraId="180EB4DB">
      <w:pPr>
        <w:spacing w:line="360" w:lineRule="auto"/>
        <w:rPr>
          <w:rFonts w:hint="eastAsia" w:ascii="宋体" w:hAnsi="宋体"/>
          <w:b/>
          <w:color w:val="auto"/>
          <w:sz w:val="28"/>
          <w:szCs w:val="28"/>
        </w:rPr>
      </w:pPr>
    </w:p>
    <w:p w14:paraId="4156CC1D">
      <w:pPr>
        <w:spacing w:line="360" w:lineRule="auto"/>
        <w:rPr>
          <w:rFonts w:hint="eastAsia" w:ascii="宋体" w:hAnsi="宋体"/>
          <w:b/>
          <w:color w:val="auto"/>
          <w:sz w:val="28"/>
          <w:szCs w:val="28"/>
        </w:rPr>
      </w:pPr>
    </w:p>
    <w:p w14:paraId="685D95C1">
      <w:pPr>
        <w:pStyle w:val="41"/>
        <w:spacing w:line="525" w:lineRule="atLeast"/>
        <w:jc w:val="both"/>
        <w:rPr>
          <w:rFonts w:ascii="方正小标宋简体" w:hAnsi="方正小标宋简体" w:eastAsia="方正小标宋简体" w:cs="方正小标宋简体"/>
          <w:color w:val="auto"/>
          <w:sz w:val="21"/>
          <w:szCs w:val="21"/>
        </w:rPr>
      </w:pPr>
      <w:r>
        <w:rPr>
          <w:rFonts w:hint="eastAsia"/>
          <w:b/>
          <w:color w:val="auto"/>
        </w:rPr>
        <w:t>（3）符合本国产品标准的声明函格式</w:t>
      </w:r>
    </w:p>
    <w:p w14:paraId="04FE6D97">
      <w:pPr>
        <w:pStyle w:val="41"/>
        <w:spacing w:line="525" w:lineRule="atLeast"/>
        <w:jc w:val="center"/>
        <w:rPr>
          <w:rFonts w:ascii="Calibri" w:hAnsi="Calibri" w:cs="Calibri"/>
          <w:b/>
          <w:bCs/>
          <w:color w:val="auto"/>
          <w:sz w:val="21"/>
          <w:szCs w:val="21"/>
        </w:rPr>
      </w:pPr>
      <w:r>
        <w:rPr>
          <w:rFonts w:hint="eastAsia" w:cs="宋体"/>
          <w:b/>
          <w:bCs/>
          <w:color w:val="auto"/>
          <w:sz w:val="44"/>
          <w:szCs w:val="44"/>
        </w:rPr>
        <w:t>关于符合本国产品标准的声明函</w:t>
      </w:r>
    </w:p>
    <w:p w14:paraId="2B55947D">
      <w:pPr>
        <w:pStyle w:val="41"/>
        <w:spacing w:line="440" w:lineRule="exact"/>
        <w:ind w:firstLine="556"/>
        <w:rPr>
          <w:rFonts w:hint="eastAsia" w:cs="宋体"/>
          <w:color w:val="auto"/>
          <w:sz w:val="21"/>
          <w:szCs w:val="21"/>
        </w:rPr>
      </w:pPr>
      <w:r>
        <w:rPr>
          <w:rFonts w:hint="eastAsia" w:cs="宋体"/>
          <w:color w:val="auto"/>
          <w:sz w:val="21"/>
          <w:szCs w:val="21"/>
        </w:rPr>
        <w:t>本公司（单位）郑重声明，根据《国务院办公厅关于在政府采购中实施本国产品标准及相关政策的通知》（国办发〔2025〕34号）的规定，本公司（单位）提供的以下产品属于本国产品。具体情况如下：</w:t>
      </w:r>
    </w:p>
    <w:p w14:paraId="6F9F002A">
      <w:pPr>
        <w:pStyle w:val="41"/>
        <w:spacing w:line="440" w:lineRule="exact"/>
        <w:ind w:firstLine="556"/>
        <w:rPr>
          <w:rFonts w:hint="eastAsia" w:cs="宋体"/>
          <w:color w:val="auto"/>
          <w:sz w:val="21"/>
          <w:szCs w:val="21"/>
        </w:rPr>
      </w:pPr>
      <w:r>
        <w:rPr>
          <w:rFonts w:hint="eastAsia" w:cs="宋体"/>
          <w:color w:val="auto"/>
          <w:sz w:val="21"/>
          <w:szCs w:val="21"/>
        </w:rPr>
        <w:t>1.</w:t>
      </w:r>
      <w:r>
        <w:rPr>
          <w:rFonts w:hint="eastAsia" w:cs="宋体"/>
          <w:color w:val="auto"/>
          <w:sz w:val="21"/>
          <w:szCs w:val="21"/>
          <w:u w:val="single"/>
        </w:rPr>
        <w:t>（产品名称1）</w:t>
      </w:r>
      <w:r>
        <w:rPr>
          <w:rFonts w:hint="eastAsia" w:cs="宋体"/>
          <w:color w:val="auto"/>
          <w:sz w:val="21"/>
          <w:szCs w:val="21"/>
        </w:rPr>
        <w:t>，生产厂为</w:t>
      </w:r>
      <w:r>
        <w:rPr>
          <w:rFonts w:hint="eastAsia" w:cs="宋体"/>
          <w:color w:val="auto"/>
          <w:sz w:val="21"/>
          <w:szCs w:val="21"/>
          <w:u w:val="single"/>
        </w:rPr>
        <w:t>（厂名）</w:t>
      </w:r>
      <w:r>
        <w:rPr>
          <w:rFonts w:hint="eastAsia" w:cs="宋体"/>
          <w:color w:val="auto"/>
          <w:sz w:val="21"/>
          <w:szCs w:val="21"/>
        </w:rPr>
        <w:t>，厂址为</w:t>
      </w:r>
      <w:r>
        <w:rPr>
          <w:rFonts w:hint="eastAsia" w:cs="宋体"/>
          <w:color w:val="auto"/>
          <w:sz w:val="21"/>
          <w:szCs w:val="21"/>
          <w:u w:val="single"/>
        </w:rPr>
        <w:t>（生产厂址）</w:t>
      </w:r>
      <w:r>
        <w:rPr>
          <w:rFonts w:hint="eastAsia" w:cs="宋体"/>
          <w:color w:val="auto"/>
          <w:sz w:val="21"/>
          <w:szCs w:val="21"/>
        </w:rPr>
        <w:t>。</w:t>
      </w:r>
      <w:r>
        <w:rPr>
          <w:rFonts w:hint="eastAsia" w:cs="宋体"/>
          <w:color w:val="auto"/>
          <w:sz w:val="21"/>
          <w:szCs w:val="21"/>
          <w:u w:val="single"/>
        </w:rPr>
        <w:t>（产品名称1）</w:t>
      </w:r>
      <w:r>
        <w:rPr>
          <w:rFonts w:hint="eastAsia" w:cs="宋体"/>
          <w:color w:val="auto"/>
          <w:sz w:val="21"/>
          <w:szCs w:val="21"/>
        </w:rPr>
        <w:t>的中国境内生产的组件成本占比≥</w:t>
      </w:r>
      <w:r>
        <w:rPr>
          <w:rFonts w:hint="eastAsia" w:cs="宋体"/>
          <w:color w:val="auto"/>
          <w:sz w:val="21"/>
          <w:szCs w:val="21"/>
          <w:u w:val="single"/>
        </w:rPr>
        <w:t>（规定比例）</w:t>
      </w:r>
      <w:r>
        <w:rPr>
          <w:rFonts w:hint="eastAsia" w:cs="宋体"/>
          <w:color w:val="auto"/>
          <w:sz w:val="21"/>
          <w:szCs w:val="21"/>
        </w:rPr>
        <w:t>。</w:t>
      </w:r>
      <w:r>
        <w:rPr>
          <w:rFonts w:hint="eastAsia" w:cs="宋体"/>
          <w:color w:val="auto"/>
          <w:sz w:val="21"/>
          <w:szCs w:val="21"/>
          <w:u w:val="single"/>
        </w:rPr>
        <w:t>（产品名称1）</w:t>
      </w:r>
      <w:r>
        <w:rPr>
          <w:rFonts w:hint="eastAsia" w:cs="宋体"/>
          <w:color w:val="auto"/>
          <w:sz w:val="21"/>
          <w:szCs w:val="21"/>
        </w:rPr>
        <w:t>的</w:t>
      </w:r>
      <w:r>
        <w:rPr>
          <w:rFonts w:hint="eastAsia" w:cs="宋体"/>
          <w:color w:val="auto"/>
          <w:sz w:val="21"/>
          <w:szCs w:val="21"/>
          <w:u w:val="single"/>
        </w:rPr>
        <w:t>（关键组件）</w:t>
      </w:r>
      <w:r>
        <w:rPr>
          <w:rFonts w:hint="eastAsia" w:cs="宋体"/>
          <w:color w:val="auto"/>
          <w:sz w:val="21"/>
          <w:szCs w:val="21"/>
        </w:rPr>
        <w:t>在中国境内生产。</w:t>
      </w:r>
      <w:r>
        <w:rPr>
          <w:rFonts w:hint="eastAsia" w:cs="宋体"/>
          <w:color w:val="auto"/>
          <w:sz w:val="21"/>
          <w:szCs w:val="21"/>
          <w:u w:val="single"/>
        </w:rPr>
        <w:t>（产品名称1）</w:t>
      </w:r>
      <w:r>
        <w:rPr>
          <w:rFonts w:hint="eastAsia" w:cs="宋体"/>
          <w:color w:val="auto"/>
          <w:sz w:val="21"/>
          <w:szCs w:val="21"/>
        </w:rPr>
        <w:t>的</w:t>
      </w:r>
      <w:r>
        <w:rPr>
          <w:rFonts w:hint="eastAsia" w:cs="宋体"/>
          <w:color w:val="auto"/>
          <w:sz w:val="21"/>
          <w:szCs w:val="21"/>
          <w:u w:val="single"/>
        </w:rPr>
        <w:t>（关键工序）</w:t>
      </w:r>
      <w:r>
        <w:rPr>
          <w:rFonts w:hint="eastAsia" w:cs="宋体"/>
          <w:color w:val="auto"/>
          <w:sz w:val="21"/>
          <w:szCs w:val="21"/>
        </w:rPr>
        <w:t>在中国境内完成。</w:t>
      </w:r>
    </w:p>
    <w:p w14:paraId="7668A1FF">
      <w:pPr>
        <w:pStyle w:val="41"/>
        <w:spacing w:line="440" w:lineRule="exact"/>
        <w:ind w:firstLine="556"/>
        <w:rPr>
          <w:rFonts w:hint="eastAsia" w:cs="宋体"/>
          <w:color w:val="auto"/>
          <w:sz w:val="21"/>
          <w:szCs w:val="21"/>
        </w:rPr>
      </w:pPr>
      <w:r>
        <w:rPr>
          <w:rFonts w:hint="eastAsia" w:cs="宋体"/>
          <w:color w:val="auto"/>
          <w:sz w:val="21"/>
          <w:szCs w:val="21"/>
        </w:rPr>
        <w:t>2.</w:t>
      </w:r>
      <w:r>
        <w:rPr>
          <w:rFonts w:hint="eastAsia" w:cs="宋体"/>
          <w:color w:val="auto"/>
          <w:sz w:val="21"/>
          <w:szCs w:val="21"/>
          <w:u w:val="single"/>
        </w:rPr>
        <w:t>（产品名称2）</w:t>
      </w:r>
      <w:r>
        <w:rPr>
          <w:rFonts w:hint="eastAsia" w:cs="宋体"/>
          <w:color w:val="auto"/>
          <w:sz w:val="21"/>
          <w:szCs w:val="21"/>
        </w:rPr>
        <w:t>，生产厂为</w:t>
      </w:r>
      <w:r>
        <w:rPr>
          <w:rFonts w:hint="eastAsia" w:cs="宋体"/>
          <w:color w:val="auto"/>
          <w:sz w:val="21"/>
          <w:szCs w:val="21"/>
          <w:u w:val="single"/>
        </w:rPr>
        <w:t>（厂名）</w:t>
      </w:r>
      <w:r>
        <w:rPr>
          <w:rFonts w:hint="eastAsia" w:cs="宋体"/>
          <w:color w:val="auto"/>
          <w:sz w:val="21"/>
          <w:szCs w:val="21"/>
        </w:rPr>
        <w:t>，厂址为</w:t>
      </w:r>
      <w:r>
        <w:rPr>
          <w:rFonts w:hint="eastAsia" w:cs="宋体"/>
          <w:color w:val="auto"/>
          <w:sz w:val="21"/>
          <w:szCs w:val="21"/>
          <w:u w:val="single"/>
        </w:rPr>
        <w:t>（生产厂址）</w:t>
      </w:r>
      <w:r>
        <w:rPr>
          <w:rFonts w:hint="eastAsia" w:cs="宋体"/>
          <w:color w:val="auto"/>
          <w:sz w:val="21"/>
          <w:szCs w:val="21"/>
        </w:rPr>
        <w:t>。</w:t>
      </w:r>
      <w:r>
        <w:rPr>
          <w:rFonts w:hint="eastAsia" w:cs="宋体"/>
          <w:color w:val="auto"/>
          <w:sz w:val="21"/>
          <w:szCs w:val="21"/>
          <w:u w:val="single"/>
        </w:rPr>
        <w:t>（产品名称2）</w:t>
      </w:r>
      <w:r>
        <w:rPr>
          <w:rFonts w:hint="eastAsia" w:cs="宋体"/>
          <w:color w:val="auto"/>
          <w:sz w:val="21"/>
          <w:szCs w:val="21"/>
        </w:rPr>
        <w:t>的中国境内生产的组件成本占比≥</w:t>
      </w:r>
      <w:r>
        <w:rPr>
          <w:rFonts w:hint="eastAsia" w:cs="宋体"/>
          <w:color w:val="auto"/>
          <w:sz w:val="21"/>
          <w:szCs w:val="21"/>
          <w:u w:val="single"/>
        </w:rPr>
        <w:t>（规定比例）</w:t>
      </w:r>
      <w:r>
        <w:rPr>
          <w:rFonts w:hint="eastAsia" w:cs="宋体"/>
          <w:color w:val="auto"/>
          <w:sz w:val="21"/>
          <w:szCs w:val="21"/>
        </w:rPr>
        <w:t>。</w:t>
      </w:r>
      <w:r>
        <w:rPr>
          <w:rFonts w:hint="eastAsia" w:cs="宋体"/>
          <w:color w:val="auto"/>
          <w:sz w:val="21"/>
          <w:szCs w:val="21"/>
          <w:u w:val="single"/>
        </w:rPr>
        <w:t>（产品名称2）</w:t>
      </w:r>
      <w:r>
        <w:rPr>
          <w:rFonts w:hint="eastAsia" w:cs="宋体"/>
          <w:color w:val="auto"/>
          <w:sz w:val="21"/>
          <w:szCs w:val="21"/>
        </w:rPr>
        <w:t>的</w:t>
      </w:r>
      <w:r>
        <w:rPr>
          <w:rFonts w:hint="eastAsia" w:cs="宋体"/>
          <w:color w:val="auto"/>
          <w:sz w:val="21"/>
          <w:szCs w:val="21"/>
          <w:u w:val="single"/>
        </w:rPr>
        <w:t>（关键组件）</w:t>
      </w:r>
      <w:r>
        <w:rPr>
          <w:rFonts w:hint="eastAsia" w:cs="宋体"/>
          <w:color w:val="auto"/>
          <w:sz w:val="21"/>
          <w:szCs w:val="21"/>
        </w:rPr>
        <w:t>在中国境内生产。</w:t>
      </w:r>
      <w:r>
        <w:rPr>
          <w:rFonts w:hint="eastAsia" w:cs="宋体"/>
          <w:color w:val="auto"/>
          <w:sz w:val="21"/>
          <w:szCs w:val="21"/>
          <w:u w:val="single"/>
        </w:rPr>
        <w:t>（产品名称2）</w:t>
      </w:r>
      <w:r>
        <w:rPr>
          <w:rFonts w:hint="eastAsia" w:cs="宋体"/>
          <w:color w:val="auto"/>
          <w:sz w:val="21"/>
          <w:szCs w:val="21"/>
        </w:rPr>
        <w:t>的</w:t>
      </w:r>
      <w:r>
        <w:rPr>
          <w:rFonts w:hint="eastAsia" w:cs="宋体"/>
          <w:color w:val="auto"/>
          <w:sz w:val="21"/>
          <w:szCs w:val="21"/>
          <w:u w:val="single"/>
        </w:rPr>
        <w:t>（关键工序）</w:t>
      </w:r>
      <w:r>
        <w:rPr>
          <w:rFonts w:hint="eastAsia" w:cs="宋体"/>
          <w:color w:val="auto"/>
          <w:sz w:val="21"/>
          <w:szCs w:val="21"/>
        </w:rPr>
        <w:t>在中国境内完成。</w:t>
      </w:r>
    </w:p>
    <w:p w14:paraId="389B6418">
      <w:pPr>
        <w:pStyle w:val="41"/>
        <w:spacing w:line="440" w:lineRule="exact"/>
        <w:ind w:firstLine="556"/>
        <w:rPr>
          <w:rFonts w:hint="eastAsia" w:cs="宋体"/>
          <w:color w:val="auto"/>
          <w:sz w:val="21"/>
          <w:szCs w:val="21"/>
        </w:rPr>
      </w:pPr>
      <w:r>
        <w:rPr>
          <w:rFonts w:hint="eastAsia" w:cs="宋体"/>
          <w:color w:val="auto"/>
          <w:sz w:val="21"/>
          <w:szCs w:val="21"/>
        </w:rPr>
        <w:t>本公司（单位）对上述声明内容的真实性负责。如有虚假，愿承担相应法律责任。</w:t>
      </w:r>
    </w:p>
    <w:p w14:paraId="5B8380E1">
      <w:pPr>
        <w:pStyle w:val="41"/>
        <w:spacing w:line="525" w:lineRule="atLeast"/>
        <w:ind w:firstLine="555"/>
        <w:rPr>
          <w:rFonts w:hint="eastAsia" w:cs="宋体"/>
          <w:color w:val="auto"/>
          <w:sz w:val="21"/>
          <w:szCs w:val="21"/>
        </w:rPr>
      </w:pPr>
      <w:r>
        <w:rPr>
          <w:rFonts w:hint="eastAsia" w:cs="宋体"/>
          <w:color w:val="auto"/>
          <w:sz w:val="21"/>
          <w:szCs w:val="21"/>
        </w:rPr>
        <w:t> </w:t>
      </w:r>
    </w:p>
    <w:p w14:paraId="3F6F9CDE">
      <w:pPr>
        <w:pStyle w:val="41"/>
        <w:spacing w:line="525" w:lineRule="atLeast"/>
        <w:ind w:firstLine="555"/>
        <w:rPr>
          <w:rFonts w:hint="eastAsia" w:cs="宋体"/>
          <w:color w:val="auto"/>
          <w:sz w:val="21"/>
          <w:szCs w:val="21"/>
        </w:rPr>
      </w:pPr>
      <w:r>
        <w:rPr>
          <w:rFonts w:hint="eastAsia" w:cs="宋体"/>
          <w:color w:val="auto"/>
          <w:sz w:val="21"/>
          <w:szCs w:val="21"/>
        </w:rPr>
        <w:t> </w:t>
      </w:r>
    </w:p>
    <w:p w14:paraId="4BE0F049">
      <w:pPr>
        <w:pStyle w:val="41"/>
        <w:spacing w:line="525" w:lineRule="atLeast"/>
        <w:ind w:firstLine="555"/>
        <w:rPr>
          <w:rFonts w:hint="eastAsia" w:cs="宋体"/>
          <w:color w:val="auto"/>
          <w:sz w:val="21"/>
          <w:szCs w:val="21"/>
        </w:rPr>
      </w:pPr>
      <w:r>
        <w:rPr>
          <w:rFonts w:hint="eastAsia" w:cs="宋体"/>
          <w:color w:val="auto"/>
          <w:sz w:val="21"/>
          <w:szCs w:val="21"/>
        </w:rPr>
        <w:t> </w:t>
      </w:r>
    </w:p>
    <w:p w14:paraId="1B1FF797">
      <w:pPr>
        <w:pStyle w:val="41"/>
        <w:spacing w:line="525" w:lineRule="atLeast"/>
        <w:ind w:firstLine="555"/>
        <w:jc w:val="right"/>
        <w:rPr>
          <w:rFonts w:hint="eastAsia" w:cs="宋体"/>
          <w:color w:val="auto"/>
          <w:sz w:val="21"/>
          <w:szCs w:val="21"/>
        </w:rPr>
      </w:pPr>
      <w:r>
        <w:rPr>
          <w:rFonts w:hint="eastAsia" w:cs="宋体"/>
          <w:color w:val="auto"/>
          <w:sz w:val="21"/>
          <w:szCs w:val="21"/>
        </w:rPr>
        <w:t>公司（单位）名称（盖章）：    </w:t>
      </w:r>
    </w:p>
    <w:p w14:paraId="670DE3BB">
      <w:pPr>
        <w:spacing w:line="360" w:lineRule="auto"/>
        <w:ind w:firstLine="5880" w:firstLineChars="2800"/>
        <w:rPr>
          <w:rFonts w:hint="eastAsia" w:ascii="宋体" w:hAnsi="宋体" w:cs="宋体"/>
          <w:color w:val="auto"/>
          <w:szCs w:val="21"/>
        </w:rPr>
      </w:pPr>
      <w:r>
        <w:rPr>
          <w:rFonts w:hint="eastAsia" w:ascii="宋体" w:hAnsi="宋体" w:cs="宋体"/>
          <w:color w:val="auto"/>
          <w:szCs w:val="21"/>
        </w:rPr>
        <w:t>日期：  年   月   日</w:t>
      </w:r>
    </w:p>
    <w:p w14:paraId="44D5886C">
      <w:pPr>
        <w:spacing w:line="360" w:lineRule="auto"/>
        <w:rPr>
          <w:rFonts w:hint="eastAsia" w:ascii="宋体" w:hAnsi="宋体" w:cs="宋体"/>
          <w:color w:val="auto"/>
          <w:sz w:val="18"/>
          <w:szCs w:val="18"/>
        </w:rPr>
      </w:pPr>
      <w:r>
        <w:rPr>
          <w:rFonts w:hint="eastAsia" w:ascii="宋体" w:hAnsi="宋体" w:cs="宋体"/>
          <w:color w:val="auto"/>
          <w:sz w:val="18"/>
          <w:szCs w:val="18"/>
        </w:rPr>
        <w:t>注： </w:t>
      </w:r>
    </w:p>
    <w:p w14:paraId="15962527">
      <w:pPr>
        <w:spacing w:line="360" w:lineRule="auto"/>
        <w:rPr>
          <w:rFonts w:hint="eastAsia" w:ascii="宋体" w:hAnsi="宋体" w:cs="宋体"/>
          <w:color w:val="auto"/>
          <w:sz w:val="18"/>
          <w:szCs w:val="18"/>
        </w:rPr>
      </w:pPr>
      <w:r>
        <w:rPr>
          <w:rFonts w:hint="eastAsia" w:ascii="宋体" w:hAnsi="宋体" w:cs="宋体"/>
          <w:color w:val="auto"/>
          <w:sz w:val="18"/>
          <w:szCs w:val="18"/>
        </w:rPr>
        <w:t>1、产品如有型号，请在“产品名称”栏一并填写。</w:t>
      </w:r>
    </w:p>
    <w:p w14:paraId="67785652">
      <w:pPr>
        <w:spacing w:line="360" w:lineRule="auto"/>
        <w:rPr>
          <w:rFonts w:hint="eastAsia" w:ascii="宋体" w:hAnsi="宋体" w:cs="宋体"/>
          <w:color w:val="auto"/>
          <w:sz w:val="18"/>
          <w:szCs w:val="18"/>
        </w:rPr>
      </w:pPr>
      <w:r>
        <w:rPr>
          <w:rFonts w:hint="eastAsia" w:ascii="宋体" w:hAnsi="宋体" w:cs="宋体"/>
          <w:color w:val="auto"/>
          <w:sz w:val="18"/>
          <w:szCs w:val="18"/>
        </w:rPr>
        <w:t>2、生产厂名与厂址应与生产厂营业执照载明的相关信息保持一致。</w:t>
      </w:r>
    </w:p>
    <w:p w14:paraId="1AB7F1F7">
      <w:pPr>
        <w:spacing w:line="360" w:lineRule="auto"/>
        <w:rPr>
          <w:rFonts w:hint="eastAsia" w:ascii="宋体" w:hAnsi="宋体" w:cs="宋体"/>
          <w:color w:val="auto"/>
          <w:sz w:val="18"/>
          <w:szCs w:val="18"/>
        </w:rPr>
      </w:pPr>
      <w:r>
        <w:rPr>
          <w:rFonts w:hint="eastAsia" w:ascii="宋体" w:hAnsi="宋体" w:cs="宋体"/>
          <w:color w:val="auto"/>
          <w:sz w:val="18"/>
          <w:szCs w:val="18"/>
        </w:rPr>
        <w:t>3、该产品的中国境内生产的组件成本占比相关要求实施前，“规定比例”栏可不填，下同。</w:t>
      </w:r>
    </w:p>
    <w:p w14:paraId="5D23C37D">
      <w:pPr>
        <w:spacing w:line="360" w:lineRule="auto"/>
        <w:rPr>
          <w:rFonts w:hint="eastAsia" w:ascii="宋体" w:hAnsi="宋体" w:cs="宋体"/>
          <w:color w:val="auto"/>
          <w:sz w:val="18"/>
          <w:szCs w:val="18"/>
        </w:rPr>
      </w:pPr>
      <w:r>
        <w:rPr>
          <w:rFonts w:hint="eastAsia" w:ascii="宋体" w:hAnsi="宋体" w:cs="宋体"/>
          <w:color w:val="auto"/>
          <w:sz w:val="18"/>
          <w:szCs w:val="18"/>
        </w:rPr>
        <w:t>4、该产品的关键组件要求实施前，“关键组件”栏可不填，下同。</w:t>
      </w:r>
    </w:p>
    <w:p w14:paraId="6F740749">
      <w:pPr>
        <w:spacing w:line="360" w:lineRule="auto"/>
        <w:rPr>
          <w:rFonts w:hint="eastAsia" w:ascii="宋体" w:hAnsi="宋体" w:cs="宋体"/>
          <w:color w:val="auto"/>
          <w:sz w:val="18"/>
          <w:szCs w:val="18"/>
        </w:rPr>
      </w:pPr>
      <w:r>
        <w:rPr>
          <w:rFonts w:hint="eastAsia" w:ascii="宋体" w:hAnsi="宋体" w:cs="宋体"/>
          <w:color w:val="auto"/>
          <w:sz w:val="18"/>
          <w:szCs w:val="18"/>
        </w:rPr>
        <w:t>5、该产品的关键工序要求实施前，“关键工序”栏可不填，下同。</w:t>
      </w:r>
    </w:p>
    <w:p w14:paraId="0544A7DC">
      <w:pPr>
        <w:spacing w:line="360" w:lineRule="auto"/>
        <w:rPr>
          <w:rFonts w:hint="eastAsia" w:ascii="宋体" w:hAnsi="宋体" w:cs="宋体"/>
          <w:color w:val="auto"/>
          <w:sz w:val="18"/>
          <w:szCs w:val="18"/>
        </w:rPr>
      </w:pPr>
      <w:r>
        <w:rPr>
          <w:rFonts w:hint="eastAsia" w:ascii="宋体" w:hAnsi="宋体" w:cs="宋体"/>
          <w:color w:val="auto"/>
          <w:sz w:val="18"/>
          <w:szCs w:val="18"/>
        </w:rPr>
        <w:t>6、采购人、采购代理机构随中标、成交结果同时公告中标、成交供应商提供的《声明函》或有关证明文件。</w:t>
      </w:r>
    </w:p>
    <w:p w14:paraId="4129C24D">
      <w:pPr>
        <w:spacing w:line="360" w:lineRule="auto"/>
        <w:rPr>
          <w:rFonts w:hint="eastAsia" w:ascii="宋体" w:hAnsi="宋体"/>
          <w:b/>
          <w:color w:val="auto"/>
          <w:sz w:val="28"/>
          <w:szCs w:val="28"/>
        </w:rPr>
      </w:pPr>
    </w:p>
    <w:p w14:paraId="047A2842">
      <w:pPr>
        <w:spacing w:line="360" w:lineRule="auto"/>
        <w:rPr>
          <w:rFonts w:hint="eastAsia" w:ascii="宋体" w:hAnsi="宋体"/>
          <w:b/>
          <w:color w:val="auto"/>
          <w:sz w:val="28"/>
          <w:szCs w:val="28"/>
        </w:rPr>
      </w:pPr>
    </w:p>
    <w:p w14:paraId="59DAE674">
      <w:pPr>
        <w:spacing w:line="360" w:lineRule="auto"/>
        <w:rPr>
          <w:rFonts w:ascii="宋体" w:hAnsi="宋体"/>
          <w:b/>
          <w:color w:val="auto"/>
          <w:sz w:val="28"/>
          <w:szCs w:val="28"/>
        </w:rPr>
      </w:pPr>
      <w:r>
        <w:rPr>
          <w:rFonts w:hint="eastAsia" w:ascii="宋体" w:hAnsi="宋体"/>
          <w:b/>
          <w:color w:val="auto"/>
          <w:sz w:val="28"/>
          <w:szCs w:val="28"/>
        </w:rPr>
        <w:t>三、商务技术文件格式</w:t>
      </w:r>
      <w:bookmarkEnd w:id="148"/>
    </w:p>
    <w:p w14:paraId="58071B0B">
      <w:pPr>
        <w:snapToGrid w:val="0"/>
        <w:spacing w:before="120" w:beforeLines="50" w:after="50" w:line="360" w:lineRule="auto"/>
        <w:jc w:val="left"/>
        <w:rPr>
          <w:rFonts w:ascii="宋体" w:hAnsi="宋体"/>
          <w:b/>
          <w:color w:val="auto"/>
          <w:sz w:val="24"/>
        </w:rPr>
      </w:pPr>
      <w:r>
        <w:rPr>
          <w:rFonts w:hint="eastAsia" w:ascii="宋体" w:hAnsi="宋体"/>
          <w:b/>
          <w:color w:val="auto"/>
          <w:sz w:val="24"/>
        </w:rPr>
        <w:t xml:space="preserve">1.商务技术文件封面格式： </w:t>
      </w:r>
    </w:p>
    <w:p w14:paraId="30F7CAC5">
      <w:pPr>
        <w:snapToGrid w:val="0"/>
        <w:spacing w:before="120" w:beforeLines="50" w:after="50" w:line="360" w:lineRule="auto"/>
        <w:rPr>
          <w:rFonts w:ascii="宋体" w:hAnsi="宋体"/>
          <w:bCs/>
          <w:color w:val="auto"/>
          <w:sz w:val="32"/>
          <w:szCs w:val="20"/>
        </w:rPr>
      </w:pPr>
    </w:p>
    <w:p w14:paraId="7FAC274A">
      <w:pPr>
        <w:snapToGrid w:val="0"/>
        <w:spacing w:before="120" w:beforeLines="50" w:after="50" w:line="360" w:lineRule="auto"/>
        <w:rPr>
          <w:rFonts w:ascii="宋体" w:hAnsi="宋体"/>
          <w:color w:val="auto"/>
          <w:sz w:val="24"/>
          <w:szCs w:val="20"/>
        </w:rPr>
      </w:pPr>
    </w:p>
    <w:p w14:paraId="551EA019">
      <w:pPr>
        <w:snapToGrid w:val="0"/>
        <w:spacing w:before="120" w:beforeLines="50" w:after="50" w:line="360" w:lineRule="auto"/>
        <w:rPr>
          <w:rFonts w:ascii="宋体" w:hAnsi="宋体"/>
          <w:color w:val="auto"/>
          <w:sz w:val="24"/>
          <w:szCs w:val="20"/>
        </w:rPr>
      </w:pPr>
    </w:p>
    <w:p w14:paraId="69BD19F0">
      <w:pPr>
        <w:snapToGrid w:val="0"/>
        <w:spacing w:before="120" w:beforeLines="50" w:after="50" w:line="360" w:lineRule="auto"/>
        <w:rPr>
          <w:rFonts w:ascii="宋体" w:hAnsi="宋体"/>
          <w:color w:val="auto"/>
          <w:sz w:val="24"/>
          <w:szCs w:val="20"/>
        </w:rPr>
      </w:pPr>
    </w:p>
    <w:p w14:paraId="4BE5BF92">
      <w:pPr>
        <w:snapToGrid w:val="0"/>
        <w:spacing w:before="120" w:beforeLines="50" w:after="50" w:line="360" w:lineRule="auto"/>
        <w:jc w:val="center"/>
        <w:rPr>
          <w:rFonts w:ascii="宋体" w:hAnsi="宋体" w:cs="微软雅黑"/>
          <w:color w:val="auto"/>
          <w:sz w:val="84"/>
          <w:szCs w:val="84"/>
        </w:rPr>
      </w:pPr>
      <w:r>
        <w:rPr>
          <w:rFonts w:hint="eastAsia" w:ascii="宋体" w:hAnsi="宋体" w:cs="微软雅黑"/>
          <w:color w:val="auto"/>
          <w:sz w:val="84"/>
          <w:szCs w:val="84"/>
        </w:rPr>
        <w:t>投  标  文  件</w:t>
      </w:r>
    </w:p>
    <w:p w14:paraId="74B4C528">
      <w:pPr>
        <w:snapToGrid w:val="0"/>
        <w:spacing w:before="120" w:beforeLines="50" w:after="50" w:line="360" w:lineRule="auto"/>
        <w:rPr>
          <w:rFonts w:ascii="宋体" w:hAnsi="宋体"/>
          <w:color w:val="auto"/>
          <w:sz w:val="24"/>
          <w:szCs w:val="20"/>
        </w:rPr>
      </w:pPr>
    </w:p>
    <w:p w14:paraId="0912C915">
      <w:pPr>
        <w:snapToGrid w:val="0"/>
        <w:spacing w:before="120" w:beforeLines="50" w:after="50" w:line="360" w:lineRule="auto"/>
        <w:rPr>
          <w:rFonts w:ascii="宋体" w:hAnsi="宋体"/>
          <w:color w:val="auto"/>
          <w:sz w:val="24"/>
          <w:szCs w:val="20"/>
        </w:rPr>
      </w:pPr>
    </w:p>
    <w:p w14:paraId="65B5EEB0">
      <w:pPr>
        <w:snapToGrid w:val="0"/>
        <w:spacing w:before="120" w:beforeLines="50" w:after="50" w:line="360" w:lineRule="auto"/>
        <w:jc w:val="center"/>
        <w:rPr>
          <w:rFonts w:ascii="宋体" w:hAnsi="宋体" w:cs="微软雅黑"/>
          <w:bCs/>
          <w:color w:val="auto"/>
          <w:sz w:val="32"/>
          <w:szCs w:val="32"/>
        </w:rPr>
      </w:pPr>
      <w:r>
        <w:rPr>
          <w:rFonts w:hint="eastAsia" w:ascii="宋体" w:hAnsi="宋体" w:cs="微软雅黑"/>
          <w:bCs/>
          <w:color w:val="auto"/>
          <w:sz w:val="32"/>
          <w:szCs w:val="32"/>
        </w:rPr>
        <w:t>商 务 技 术 文  件</w:t>
      </w:r>
    </w:p>
    <w:p w14:paraId="1BC5636F">
      <w:pPr>
        <w:snapToGrid w:val="0"/>
        <w:spacing w:before="120" w:beforeLines="50" w:after="50" w:line="360" w:lineRule="auto"/>
        <w:rPr>
          <w:rFonts w:ascii="宋体" w:hAnsi="宋体"/>
          <w:bCs/>
          <w:color w:val="auto"/>
          <w:sz w:val="24"/>
        </w:rPr>
      </w:pPr>
    </w:p>
    <w:p w14:paraId="128B8B93">
      <w:pPr>
        <w:snapToGrid w:val="0"/>
        <w:spacing w:before="120" w:beforeLines="50" w:after="50" w:line="360" w:lineRule="auto"/>
        <w:ind w:firstLine="540" w:firstLineChars="225"/>
        <w:rPr>
          <w:rFonts w:ascii="宋体" w:hAnsi="宋体"/>
          <w:bCs/>
          <w:color w:val="auto"/>
          <w:sz w:val="24"/>
        </w:rPr>
      </w:pPr>
    </w:p>
    <w:p w14:paraId="36213E49">
      <w:pPr>
        <w:snapToGrid w:val="0"/>
        <w:spacing w:before="120" w:beforeLines="50" w:after="50" w:line="360" w:lineRule="auto"/>
        <w:ind w:firstLine="540" w:firstLineChars="225"/>
        <w:rPr>
          <w:rFonts w:ascii="宋体" w:hAnsi="宋体"/>
          <w:bCs/>
          <w:color w:val="auto"/>
          <w:sz w:val="24"/>
        </w:rPr>
      </w:pPr>
      <w:r>
        <w:rPr>
          <w:rFonts w:hint="eastAsia" w:ascii="宋体" w:hAnsi="宋体"/>
          <w:bCs/>
          <w:color w:val="auto"/>
          <w:sz w:val="24"/>
        </w:rPr>
        <w:t>项目名称：</w:t>
      </w:r>
    </w:p>
    <w:p w14:paraId="1F0420C7">
      <w:pPr>
        <w:snapToGrid w:val="0"/>
        <w:spacing w:before="120" w:beforeLines="50" w:after="50" w:line="360" w:lineRule="auto"/>
        <w:ind w:firstLine="540" w:firstLineChars="225"/>
        <w:rPr>
          <w:rFonts w:ascii="宋体" w:hAnsi="宋体"/>
          <w:bCs/>
          <w:color w:val="auto"/>
          <w:sz w:val="24"/>
          <w:szCs w:val="20"/>
        </w:rPr>
      </w:pPr>
    </w:p>
    <w:p w14:paraId="79E741A7">
      <w:pPr>
        <w:snapToGrid w:val="0"/>
        <w:spacing w:before="120" w:beforeLines="50" w:after="50" w:line="360" w:lineRule="auto"/>
        <w:ind w:firstLine="540" w:firstLineChars="225"/>
        <w:rPr>
          <w:rFonts w:ascii="宋体" w:hAnsi="宋体"/>
          <w:bCs/>
          <w:color w:val="auto"/>
          <w:sz w:val="24"/>
        </w:rPr>
      </w:pPr>
      <w:r>
        <w:rPr>
          <w:rFonts w:hint="eastAsia" w:ascii="宋体" w:hAnsi="宋体"/>
          <w:bCs/>
          <w:color w:val="auto"/>
          <w:sz w:val="24"/>
        </w:rPr>
        <w:t>项目编号：</w:t>
      </w:r>
    </w:p>
    <w:p w14:paraId="7DD7DEB4">
      <w:pPr>
        <w:snapToGrid w:val="0"/>
        <w:spacing w:before="120" w:beforeLines="50" w:after="50" w:line="360" w:lineRule="auto"/>
        <w:rPr>
          <w:rFonts w:ascii="宋体" w:hAnsi="宋体"/>
          <w:bCs/>
          <w:color w:val="auto"/>
          <w:sz w:val="24"/>
          <w:szCs w:val="20"/>
        </w:rPr>
      </w:pPr>
    </w:p>
    <w:p w14:paraId="75829193">
      <w:pPr>
        <w:pStyle w:val="7"/>
        <w:snapToGrid w:val="0"/>
        <w:spacing w:before="50" w:after="50" w:line="360" w:lineRule="auto"/>
        <w:ind w:firstLine="540" w:firstLineChars="225"/>
        <w:rPr>
          <w:rFonts w:ascii="宋体" w:hAnsi="宋体"/>
          <w:bCs/>
          <w:color w:val="auto"/>
          <w:sz w:val="24"/>
          <w:szCs w:val="24"/>
        </w:rPr>
      </w:pPr>
      <w:r>
        <w:rPr>
          <w:rFonts w:hint="eastAsia" w:ascii="宋体" w:hAnsi="宋体"/>
          <w:bCs/>
          <w:color w:val="auto"/>
          <w:sz w:val="24"/>
          <w:szCs w:val="24"/>
        </w:rPr>
        <w:t>供应商名称：</w:t>
      </w:r>
    </w:p>
    <w:p w14:paraId="56BA2FBF">
      <w:pPr>
        <w:pStyle w:val="7"/>
        <w:snapToGrid w:val="0"/>
        <w:spacing w:before="50" w:after="50" w:line="360" w:lineRule="auto"/>
        <w:ind w:firstLine="540" w:firstLineChars="225"/>
        <w:rPr>
          <w:rFonts w:ascii="宋体" w:hAnsi="宋体"/>
          <w:bCs/>
          <w:color w:val="auto"/>
          <w:sz w:val="24"/>
          <w:szCs w:val="24"/>
        </w:rPr>
      </w:pPr>
    </w:p>
    <w:p w14:paraId="0A6668F0">
      <w:pPr>
        <w:pStyle w:val="7"/>
        <w:snapToGrid w:val="0"/>
        <w:spacing w:before="50" w:after="50" w:line="360" w:lineRule="auto"/>
        <w:ind w:firstLine="540" w:firstLineChars="225"/>
        <w:rPr>
          <w:rFonts w:ascii="宋体" w:hAnsi="宋体"/>
          <w:bCs/>
          <w:color w:val="auto"/>
          <w:sz w:val="24"/>
          <w:szCs w:val="24"/>
        </w:rPr>
      </w:pPr>
      <w:r>
        <w:rPr>
          <w:rFonts w:hint="eastAsia" w:ascii="宋体" w:hAnsi="宋体"/>
          <w:bCs/>
          <w:color w:val="auto"/>
          <w:sz w:val="24"/>
          <w:szCs w:val="24"/>
        </w:rPr>
        <w:t>供应商地址：</w:t>
      </w:r>
    </w:p>
    <w:p w14:paraId="655E8FD9">
      <w:pPr>
        <w:pStyle w:val="7"/>
        <w:snapToGrid w:val="0"/>
        <w:spacing w:before="50" w:after="50" w:line="360" w:lineRule="auto"/>
        <w:ind w:firstLine="960" w:firstLineChars="400"/>
        <w:rPr>
          <w:rFonts w:ascii="宋体" w:hAnsi="宋体"/>
          <w:bCs/>
          <w:color w:val="auto"/>
          <w:sz w:val="24"/>
          <w:szCs w:val="24"/>
        </w:rPr>
      </w:pPr>
    </w:p>
    <w:p w14:paraId="7007B9F9">
      <w:pPr>
        <w:snapToGrid w:val="0"/>
        <w:spacing w:before="120" w:beforeLines="50" w:after="50" w:line="360" w:lineRule="auto"/>
        <w:ind w:firstLine="645"/>
        <w:rPr>
          <w:rFonts w:ascii="宋体" w:hAnsi="宋体"/>
          <w:color w:val="auto"/>
          <w:sz w:val="24"/>
        </w:rPr>
      </w:pPr>
      <w:r>
        <w:rPr>
          <w:rFonts w:hint="eastAsia" w:ascii="宋体" w:hAnsi="宋体"/>
          <w:color w:val="auto"/>
          <w:sz w:val="24"/>
        </w:rPr>
        <w:t xml:space="preserve">                           年  月  日</w:t>
      </w:r>
    </w:p>
    <w:p w14:paraId="398FE4F3">
      <w:pPr>
        <w:snapToGrid w:val="0"/>
        <w:spacing w:line="360" w:lineRule="auto"/>
        <w:jc w:val="left"/>
        <w:rPr>
          <w:rFonts w:ascii="宋体" w:hAnsi="宋体"/>
          <w:b/>
          <w:bCs/>
          <w:color w:val="auto"/>
          <w:sz w:val="28"/>
          <w:szCs w:val="28"/>
        </w:rPr>
      </w:pPr>
      <w:r>
        <w:rPr>
          <w:rFonts w:ascii="宋体" w:hAnsi="宋体"/>
          <w:color w:val="auto"/>
          <w:sz w:val="24"/>
          <w:szCs w:val="20"/>
        </w:rPr>
        <w:br w:type="page"/>
      </w:r>
      <w:r>
        <w:rPr>
          <w:rFonts w:hint="eastAsia" w:ascii="宋体" w:hAnsi="宋体"/>
          <w:b/>
          <w:bCs/>
          <w:color w:val="auto"/>
          <w:sz w:val="24"/>
        </w:rPr>
        <w:t>2.商务技术文件目录</w:t>
      </w:r>
    </w:p>
    <w:p w14:paraId="10A11A35">
      <w:pPr>
        <w:snapToGrid w:val="0"/>
        <w:spacing w:before="50" w:after="120" w:afterLines="50" w:line="360" w:lineRule="auto"/>
        <w:ind w:firstLine="480" w:firstLineChars="200"/>
        <w:jc w:val="left"/>
        <w:rPr>
          <w:rFonts w:ascii="宋体" w:hAnsi="宋体"/>
          <w:b/>
          <w:bCs/>
          <w:color w:val="auto"/>
          <w:sz w:val="32"/>
          <w:szCs w:val="32"/>
        </w:rPr>
      </w:pPr>
      <w:r>
        <w:rPr>
          <w:rFonts w:hint="eastAsia" w:ascii="宋体" w:hAnsi="宋体"/>
          <w:color w:val="auto"/>
          <w:sz w:val="24"/>
        </w:rPr>
        <w:t>根据招标文件规定及供应商提供的材料自行编写目录。</w:t>
      </w:r>
    </w:p>
    <w:p w14:paraId="318EB3A4">
      <w:pPr>
        <w:snapToGrid w:val="0"/>
        <w:spacing w:before="50" w:after="120" w:afterLines="50" w:line="360" w:lineRule="auto"/>
        <w:jc w:val="left"/>
        <w:rPr>
          <w:rFonts w:ascii="宋体" w:hAnsi="宋体"/>
          <w:color w:val="auto"/>
        </w:rPr>
      </w:pPr>
    </w:p>
    <w:p w14:paraId="3C239DEC">
      <w:pPr>
        <w:snapToGrid w:val="0"/>
        <w:spacing w:before="120" w:beforeLines="50" w:after="50" w:line="360" w:lineRule="auto"/>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3.供应商参加本项目无围标串标行为的承诺</w:t>
      </w:r>
    </w:p>
    <w:p w14:paraId="00D6919D">
      <w:pPr>
        <w:spacing w:line="360" w:lineRule="auto"/>
        <w:ind w:left="420"/>
        <w:contextualSpacing/>
        <w:jc w:val="center"/>
        <w:rPr>
          <w:rFonts w:hint="eastAsia" w:ascii="宋体" w:hAnsi="宋体" w:cs="微软雅黑"/>
          <w:bCs/>
          <w:color w:val="auto"/>
          <w:spacing w:val="-11"/>
          <w:sz w:val="36"/>
          <w:szCs w:val="36"/>
        </w:rPr>
      </w:pPr>
    </w:p>
    <w:p w14:paraId="1C905D3D">
      <w:pPr>
        <w:spacing w:line="360" w:lineRule="auto"/>
        <w:ind w:left="420"/>
        <w:contextualSpacing/>
        <w:jc w:val="center"/>
        <w:rPr>
          <w:rFonts w:ascii="宋体" w:hAnsi="宋体"/>
          <w:b/>
          <w:color w:val="auto"/>
          <w:sz w:val="36"/>
          <w:szCs w:val="36"/>
        </w:rPr>
      </w:pPr>
      <w:r>
        <w:rPr>
          <w:rFonts w:hint="eastAsia" w:ascii="宋体" w:hAnsi="宋体" w:cs="微软雅黑"/>
          <w:bCs/>
          <w:color w:val="auto"/>
          <w:spacing w:val="-11"/>
          <w:sz w:val="36"/>
          <w:szCs w:val="36"/>
        </w:rPr>
        <w:t>供应商参加本项目无围标串标行为的承诺函</w:t>
      </w:r>
    </w:p>
    <w:p w14:paraId="72E38324">
      <w:pPr>
        <w:spacing w:line="360" w:lineRule="auto"/>
        <w:contextualSpacing/>
        <w:jc w:val="left"/>
        <w:rPr>
          <w:rFonts w:hint="eastAsia" w:ascii="宋体" w:hAnsi="宋体"/>
          <w:b/>
          <w:color w:val="auto"/>
          <w:szCs w:val="21"/>
        </w:rPr>
      </w:pPr>
    </w:p>
    <w:p w14:paraId="0D2F66AA">
      <w:pPr>
        <w:spacing w:line="360" w:lineRule="auto"/>
        <w:contextualSpacing/>
        <w:jc w:val="left"/>
        <w:rPr>
          <w:rFonts w:ascii="宋体" w:hAnsi="宋体"/>
          <w:b/>
          <w:color w:val="auto"/>
          <w:szCs w:val="21"/>
        </w:rPr>
      </w:pPr>
      <w:r>
        <w:rPr>
          <w:rFonts w:hint="eastAsia" w:ascii="宋体" w:hAnsi="宋体"/>
          <w:b/>
          <w:color w:val="auto"/>
          <w:szCs w:val="21"/>
        </w:rPr>
        <w:t>一、我方承诺无下列相互串通投标的情形：</w:t>
      </w:r>
    </w:p>
    <w:p w14:paraId="6A368EEE">
      <w:pPr>
        <w:spacing w:line="360" w:lineRule="auto"/>
        <w:ind w:firstLine="411" w:firstLineChars="196"/>
        <w:contextualSpacing/>
        <w:jc w:val="left"/>
        <w:rPr>
          <w:rFonts w:ascii="宋体" w:hAnsi="宋体"/>
          <w:color w:val="auto"/>
          <w:szCs w:val="21"/>
        </w:rPr>
      </w:pPr>
      <w:r>
        <w:rPr>
          <w:rFonts w:hint="eastAsia" w:ascii="宋体" w:hAnsi="宋体"/>
          <w:color w:val="auto"/>
          <w:szCs w:val="21"/>
        </w:rPr>
        <w:t>1.不同供应商的投标文件由同一单位或者个人编制；</w:t>
      </w:r>
    </w:p>
    <w:p w14:paraId="5C70D91A">
      <w:pPr>
        <w:spacing w:line="360" w:lineRule="auto"/>
        <w:ind w:firstLine="411" w:firstLineChars="196"/>
        <w:contextualSpacing/>
        <w:jc w:val="left"/>
        <w:rPr>
          <w:rFonts w:ascii="宋体" w:hAnsi="宋体"/>
          <w:color w:val="auto"/>
          <w:szCs w:val="21"/>
        </w:rPr>
      </w:pPr>
      <w:r>
        <w:rPr>
          <w:rFonts w:hint="eastAsia" w:ascii="宋体" w:hAnsi="宋体"/>
          <w:color w:val="auto"/>
          <w:szCs w:val="21"/>
        </w:rPr>
        <w:t>2.不同供应商委托同一单位或者个人办理投标事宜；</w:t>
      </w:r>
    </w:p>
    <w:p w14:paraId="6F8FB0B9">
      <w:pPr>
        <w:spacing w:line="360" w:lineRule="auto"/>
        <w:ind w:firstLine="411" w:firstLineChars="196"/>
        <w:contextualSpacing/>
        <w:jc w:val="left"/>
        <w:rPr>
          <w:rFonts w:ascii="宋体" w:hAnsi="宋体"/>
          <w:color w:val="auto"/>
          <w:szCs w:val="21"/>
        </w:rPr>
      </w:pPr>
      <w:r>
        <w:rPr>
          <w:rFonts w:hint="eastAsia" w:ascii="宋体" w:hAnsi="宋体"/>
          <w:color w:val="auto"/>
          <w:szCs w:val="21"/>
        </w:rPr>
        <w:t>3.不同的供应商的投标文件载明的项目管理员为同一个人；</w:t>
      </w:r>
    </w:p>
    <w:p w14:paraId="6419249B">
      <w:pPr>
        <w:spacing w:line="360" w:lineRule="auto"/>
        <w:ind w:firstLine="411" w:firstLineChars="196"/>
        <w:contextualSpacing/>
        <w:jc w:val="left"/>
        <w:rPr>
          <w:rFonts w:ascii="宋体" w:hAnsi="宋体"/>
          <w:color w:val="auto"/>
          <w:szCs w:val="21"/>
        </w:rPr>
      </w:pPr>
      <w:r>
        <w:rPr>
          <w:rFonts w:hint="eastAsia" w:ascii="宋体" w:hAnsi="宋体"/>
          <w:color w:val="auto"/>
          <w:szCs w:val="21"/>
        </w:rPr>
        <w:t>4.不同供应商的投标文件异常一致或者投标报价呈规律性差异；</w:t>
      </w:r>
    </w:p>
    <w:p w14:paraId="59DECF79">
      <w:pPr>
        <w:spacing w:line="360" w:lineRule="auto"/>
        <w:ind w:firstLine="411" w:firstLineChars="196"/>
        <w:contextualSpacing/>
        <w:jc w:val="left"/>
        <w:rPr>
          <w:rFonts w:ascii="宋体" w:hAnsi="宋体"/>
          <w:color w:val="auto"/>
          <w:szCs w:val="21"/>
        </w:rPr>
      </w:pPr>
      <w:r>
        <w:rPr>
          <w:rFonts w:hint="eastAsia" w:ascii="宋体" w:hAnsi="宋体"/>
          <w:color w:val="auto"/>
          <w:szCs w:val="21"/>
        </w:rPr>
        <w:t>5.不同供应商的投标文件相互混装；</w:t>
      </w:r>
    </w:p>
    <w:p w14:paraId="0B202646">
      <w:pPr>
        <w:spacing w:line="360" w:lineRule="auto"/>
        <w:ind w:firstLine="411" w:firstLineChars="196"/>
        <w:contextualSpacing/>
        <w:jc w:val="left"/>
        <w:rPr>
          <w:rFonts w:ascii="宋体" w:hAnsi="宋体"/>
          <w:color w:val="auto"/>
          <w:szCs w:val="21"/>
        </w:rPr>
      </w:pPr>
      <w:r>
        <w:rPr>
          <w:rFonts w:hint="eastAsia" w:ascii="宋体" w:hAnsi="宋体"/>
          <w:color w:val="auto"/>
          <w:szCs w:val="21"/>
        </w:rPr>
        <w:t>6.不同供应商的投标保证金从同一单位或者个人账户转出。</w:t>
      </w:r>
    </w:p>
    <w:p w14:paraId="0BD4C0E3">
      <w:pPr>
        <w:spacing w:line="360" w:lineRule="auto"/>
        <w:contextualSpacing/>
        <w:jc w:val="left"/>
        <w:rPr>
          <w:rFonts w:ascii="宋体" w:hAnsi="宋体"/>
          <w:color w:val="auto"/>
          <w:szCs w:val="21"/>
        </w:rPr>
      </w:pPr>
      <w:r>
        <w:rPr>
          <w:rFonts w:hint="eastAsia" w:ascii="宋体" w:hAnsi="宋体"/>
          <w:b/>
          <w:color w:val="auto"/>
          <w:szCs w:val="21"/>
        </w:rPr>
        <w:t>二、我方承诺无下列恶意串通的情形：</w:t>
      </w:r>
    </w:p>
    <w:p w14:paraId="22569916">
      <w:pPr>
        <w:spacing w:line="360" w:lineRule="auto"/>
        <w:ind w:firstLine="411" w:firstLineChars="196"/>
        <w:contextualSpacing/>
        <w:jc w:val="left"/>
        <w:rPr>
          <w:rFonts w:ascii="宋体" w:hAnsi="宋体"/>
          <w:color w:val="auto"/>
          <w:szCs w:val="21"/>
        </w:rPr>
      </w:pPr>
      <w:r>
        <w:rPr>
          <w:rFonts w:hint="eastAsia" w:ascii="宋体" w:hAnsi="宋体"/>
          <w:color w:val="auto"/>
          <w:szCs w:val="21"/>
        </w:rPr>
        <w:t>1.供应商直接或者间接从采购人或者采购代理机构处获得其他供应商的相关信息并修改其投标文件或者响应文件；</w:t>
      </w:r>
    </w:p>
    <w:p w14:paraId="39243577">
      <w:pPr>
        <w:spacing w:line="360" w:lineRule="auto"/>
        <w:ind w:firstLine="411" w:firstLineChars="196"/>
        <w:contextualSpacing/>
        <w:jc w:val="left"/>
        <w:rPr>
          <w:rFonts w:ascii="宋体" w:hAnsi="宋体"/>
          <w:color w:val="auto"/>
          <w:szCs w:val="21"/>
        </w:rPr>
      </w:pPr>
      <w:r>
        <w:rPr>
          <w:rFonts w:hint="eastAsia" w:ascii="宋体" w:hAnsi="宋体"/>
          <w:color w:val="auto"/>
          <w:szCs w:val="21"/>
        </w:rPr>
        <w:t>2.供应商按照采购人或者采购代理机构的授意撤换、修改投标文件或者响应文件；</w:t>
      </w:r>
    </w:p>
    <w:p w14:paraId="16A41252">
      <w:pPr>
        <w:spacing w:line="360" w:lineRule="auto"/>
        <w:ind w:firstLine="411" w:firstLineChars="196"/>
        <w:contextualSpacing/>
        <w:jc w:val="left"/>
        <w:rPr>
          <w:rFonts w:ascii="宋体" w:hAnsi="宋体"/>
          <w:color w:val="auto"/>
          <w:szCs w:val="21"/>
        </w:rPr>
      </w:pPr>
      <w:r>
        <w:rPr>
          <w:rFonts w:hint="eastAsia" w:ascii="宋体" w:hAnsi="宋体"/>
          <w:color w:val="auto"/>
          <w:szCs w:val="21"/>
        </w:rPr>
        <w:t>3.供应商之间协商报价、技术方案等投标文件或者响应文件的实质性内容；</w:t>
      </w:r>
    </w:p>
    <w:p w14:paraId="79EB7BD5">
      <w:pPr>
        <w:spacing w:line="360" w:lineRule="auto"/>
        <w:ind w:firstLine="411" w:firstLineChars="196"/>
        <w:contextualSpacing/>
        <w:jc w:val="left"/>
        <w:rPr>
          <w:rFonts w:ascii="宋体" w:hAnsi="宋体"/>
          <w:color w:val="auto"/>
          <w:szCs w:val="21"/>
        </w:rPr>
      </w:pPr>
      <w:r>
        <w:rPr>
          <w:rFonts w:hint="eastAsia" w:ascii="宋体" w:hAnsi="宋体"/>
          <w:color w:val="auto"/>
          <w:szCs w:val="21"/>
        </w:rPr>
        <w:t>4.属于同一集团、协会、商会等组织成员的供应商按照该组织要求协同参加政府采购活动；</w:t>
      </w:r>
    </w:p>
    <w:p w14:paraId="68E6B6F2">
      <w:pPr>
        <w:spacing w:line="360" w:lineRule="auto"/>
        <w:ind w:firstLine="411" w:firstLineChars="196"/>
        <w:contextualSpacing/>
        <w:jc w:val="left"/>
        <w:rPr>
          <w:rFonts w:ascii="宋体" w:hAnsi="宋体"/>
          <w:color w:val="auto"/>
          <w:szCs w:val="21"/>
        </w:rPr>
      </w:pPr>
      <w:r>
        <w:rPr>
          <w:rFonts w:hint="eastAsia" w:ascii="宋体" w:hAnsi="宋体"/>
          <w:color w:val="auto"/>
          <w:szCs w:val="21"/>
        </w:rPr>
        <w:t>5.供应商之间事先约定一致抬高或者压低投标报价，或者在招标项目中事先约定轮流以高价位或者低价位中标，或者事先约定由某一特定供应商中标，然后再参加投标；</w:t>
      </w:r>
    </w:p>
    <w:p w14:paraId="1A18A6E0">
      <w:pPr>
        <w:spacing w:line="360" w:lineRule="auto"/>
        <w:ind w:firstLine="411" w:firstLineChars="196"/>
        <w:contextualSpacing/>
        <w:jc w:val="left"/>
        <w:rPr>
          <w:rFonts w:ascii="宋体" w:hAnsi="宋体"/>
          <w:color w:val="auto"/>
          <w:szCs w:val="21"/>
        </w:rPr>
      </w:pPr>
      <w:r>
        <w:rPr>
          <w:rFonts w:hint="eastAsia" w:ascii="宋体" w:hAnsi="宋体"/>
          <w:color w:val="auto"/>
          <w:szCs w:val="21"/>
        </w:rPr>
        <w:t>6.供应商之间商定部分供应商放弃参加政府采购活动或者放弃中标；</w:t>
      </w:r>
    </w:p>
    <w:p w14:paraId="032F447A">
      <w:pPr>
        <w:spacing w:line="360" w:lineRule="auto"/>
        <w:ind w:firstLine="411" w:firstLineChars="196"/>
        <w:contextualSpacing/>
        <w:jc w:val="left"/>
        <w:rPr>
          <w:rFonts w:ascii="宋体" w:hAnsi="宋体"/>
          <w:color w:val="auto"/>
          <w:szCs w:val="21"/>
        </w:rPr>
      </w:pPr>
      <w:r>
        <w:rPr>
          <w:rFonts w:hint="eastAsia" w:ascii="宋体" w:hAnsi="宋体"/>
          <w:color w:val="auto"/>
          <w:szCs w:val="21"/>
        </w:rPr>
        <w:t>7.供应商与采购人或者采购代理机构之间、供应商相互之间，为谋求特定供应商中标或者排斥其他供应商的其他串通行为。</w:t>
      </w:r>
    </w:p>
    <w:p w14:paraId="2AF26C1B">
      <w:pPr>
        <w:spacing w:line="360" w:lineRule="auto"/>
        <w:ind w:firstLine="413" w:firstLineChars="196"/>
        <w:contextualSpacing/>
        <w:jc w:val="left"/>
        <w:rPr>
          <w:rFonts w:ascii="宋体" w:hAnsi="宋体"/>
          <w:b/>
          <w:color w:val="auto"/>
          <w:szCs w:val="21"/>
        </w:rPr>
      </w:pPr>
      <w:r>
        <w:rPr>
          <w:rFonts w:hint="eastAsia" w:ascii="宋体" w:hAnsi="宋体"/>
          <w:b/>
          <w:color w:val="auto"/>
          <w:szCs w:val="21"/>
        </w:rPr>
        <w:t>以上情形一经核查属实，我方愿意承担一切后果，并不再寻求任何旨在减轻或者免除法律责任的辩解。</w:t>
      </w:r>
    </w:p>
    <w:p w14:paraId="15FFE919">
      <w:pPr>
        <w:pStyle w:val="24"/>
        <w:spacing w:line="360" w:lineRule="auto"/>
        <w:ind w:firstLine="5985" w:firstLineChars="2850"/>
        <w:contextualSpacing/>
        <w:rPr>
          <w:rFonts w:hAnsi="宋体"/>
          <w:color w:val="auto"/>
          <w:sz w:val="21"/>
        </w:rPr>
      </w:pPr>
    </w:p>
    <w:p w14:paraId="3F7D2035">
      <w:pPr>
        <w:spacing w:line="360" w:lineRule="auto"/>
        <w:jc w:val="center"/>
        <w:rPr>
          <w:rFonts w:ascii="宋体" w:hAnsi="宋体"/>
          <w:color w:val="auto"/>
          <w:szCs w:val="21"/>
          <w:u w:val="single"/>
        </w:rPr>
      </w:pPr>
    </w:p>
    <w:p w14:paraId="25DBC3CF">
      <w:pPr>
        <w:pStyle w:val="24"/>
        <w:spacing w:line="360" w:lineRule="auto"/>
        <w:ind w:firstLine="3360" w:firstLineChars="16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43E98A51">
      <w:pPr>
        <w:pStyle w:val="24"/>
        <w:spacing w:line="360" w:lineRule="auto"/>
        <w:rPr>
          <w:rFonts w:hAnsi="宋体"/>
          <w:color w:val="auto"/>
          <w:sz w:val="21"/>
        </w:rPr>
      </w:pPr>
    </w:p>
    <w:p w14:paraId="16182098">
      <w:pPr>
        <w:pStyle w:val="24"/>
        <w:spacing w:line="360" w:lineRule="auto"/>
        <w:jc w:val="right"/>
        <w:rPr>
          <w:rFonts w:hAnsi="宋体"/>
          <w:b/>
          <w:color w:val="auto"/>
          <w:sz w:val="30"/>
          <w:szCs w:val="30"/>
        </w:rPr>
      </w:pPr>
      <w:r>
        <w:rPr>
          <w:rFonts w:hint="eastAsia" w:hAnsi="宋体"/>
          <w:color w:val="auto"/>
          <w:sz w:val="21"/>
        </w:rPr>
        <w:t>日期：    年   月  日</w:t>
      </w:r>
    </w:p>
    <w:p w14:paraId="1B29CCEC">
      <w:pPr>
        <w:snapToGrid w:val="0"/>
        <w:spacing w:before="120" w:beforeLines="50" w:after="50" w:line="360" w:lineRule="auto"/>
        <w:jc w:val="left"/>
        <w:rPr>
          <w:rFonts w:ascii="宋体" w:hAnsi="宋体"/>
          <w:b/>
          <w:color w:val="auto"/>
          <w:sz w:val="24"/>
          <w:szCs w:val="20"/>
        </w:rPr>
      </w:pPr>
      <w:r>
        <w:rPr>
          <w:rFonts w:ascii="宋体" w:hAnsi="宋体"/>
          <w:b/>
          <w:color w:val="auto"/>
          <w:sz w:val="24"/>
        </w:rPr>
        <w:br w:type="page"/>
      </w:r>
      <w:r>
        <w:rPr>
          <w:rFonts w:hint="eastAsia" w:ascii="宋体" w:hAnsi="宋体"/>
          <w:b/>
          <w:color w:val="auto"/>
          <w:sz w:val="24"/>
        </w:rPr>
        <w:t>4.法定代表人身份证明</w:t>
      </w:r>
    </w:p>
    <w:p w14:paraId="393F9F9E">
      <w:pPr>
        <w:spacing w:before="240" w:beforeLines="100" w:after="120" w:afterLines="50" w:line="360" w:lineRule="auto"/>
        <w:jc w:val="center"/>
        <w:rPr>
          <w:rFonts w:ascii="宋体" w:hAnsi="宋体" w:cs="微软雅黑"/>
          <w:bCs/>
          <w:color w:val="auto"/>
          <w:sz w:val="44"/>
          <w:szCs w:val="44"/>
        </w:rPr>
      </w:pPr>
      <w:r>
        <w:rPr>
          <w:rFonts w:hint="eastAsia" w:ascii="宋体" w:hAnsi="宋体" w:cs="微软雅黑"/>
          <w:bCs/>
          <w:color w:val="auto"/>
          <w:sz w:val="44"/>
          <w:szCs w:val="44"/>
        </w:rPr>
        <w:t>法定代表人身份证明</w:t>
      </w:r>
    </w:p>
    <w:p w14:paraId="319ED31E">
      <w:pPr>
        <w:spacing w:line="360" w:lineRule="auto"/>
        <w:ind w:left="540"/>
        <w:rPr>
          <w:rFonts w:ascii="宋体" w:hAnsi="宋体"/>
          <w:color w:val="auto"/>
          <w:szCs w:val="21"/>
          <w:u w:val="single"/>
        </w:rPr>
      </w:pPr>
      <w:r>
        <w:rPr>
          <w:rFonts w:hint="eastAsia" w:ascii="宋体" w:hAnsi="宋体"/>
          <w:color w:val="auto"/>
          <w:szCs w:val="21"/>
        </w:rPr>
        <w:t>投 标 人：</w:t>
      </w:r>
      <w:r>
        <w:rPr>
          <w:rFonts w:hint="eastAsia" w:ascii="宋体" w:hAnsi="宋体"/>
          <w:color w:val="auto"/>
          <w:szCs w:val="21"/>
          <w:u w:val="single"/>
        </w:rPr>
        <w:t xml:space="preserve">                   </w:t>
      </w:r>
    </w:p>
    <w:p w14:paraId="1E23DD36">
      <w:pPr>
        <w:spacing w:line="360" w:lineRule="auto"/>
        <w:ind w:left="540"/>
        <w:rPr>
          <w:rFonts w:ascii="宋体" w:hAnsi="宋体"/>
          <w:color w:val="auto"/>
          <w:szCs w:val="21"/>
          <w:u w:val="single"/>
        </w:rPr>
      </w:pPr>
      <w:r>
        <w:rPr>
          <w:rFonts w:hint="eastAsia" w:ascii="宋体" w:hAnsi="宋体"/>
          <w:color w:val="auto"/>
          <w:szCs w:val="21"/>
        </w:rPr>
        <w:t>地    址：</w:t>
      </w:r>
      <w:r>
        <w:rPr>
          <w:rFonts w:hint="eastAsia" w:ascii="宋体" w:hAnsi="宋体"/>
          <w:color w:val="auto"/>
          <w:szCs w:val="21"/>
          <w:u w:val="single"/>
        </w:rPr>
        <w:t xml:space="preserve">                   </w:t>
      </w:r>
    </w:p>
    <w:p w14:paraId="585E933C">
      <w:pPr>
        <w:spacing w:line="360" w:lineRule="auto"/>
        <w:ind w:left="540"/>
        <w:rPr>
          <w:rFonts w:ascii="宋体" w:hAnsi="宋体"/>
          <w:color w:val="auto"/>
          <w:szCs w:val="21"/>
          <w:u w:val="single"/>
        </w:rPr>
      </w:pPr>
      <w:r>
        <w:rPr>
          <w:rFonts w:hint="eastAsia" w:ascii="宋体" w:hAnsi="宋体"/>
          <w:color w:val="auto"/>
          <w:szCs w:val="21"/>
        </w:rPr>
        <w:t>姓    名：</w:t>
      </w:r>
      <w:r>
        <w:rPr>
          <w:rFonts w:hint="eastAsia" w:ascii="宋体" w:hAnsi="宋体"/>
          <w:color w:val="auto"/>
          <w:szCs w:val="21"/>
          <w:u w:val="single"/>
        </w:rPr>
        <w:t xml:space="preserve">              </w:t>
      </w:r>
      <w:r>
        <w:rPr>
          <w:rFonts w:hint="eastAsia" w:ascii="宋体" w:hAnsi="宋体"/>
          <w:color w:val="auto"/>
          <w:szCs w:val="21"/>
        </w:rPr>
        <w:t>性      别：</w:t>
      </w:r>
      <w:r>
        <w:rPr>
          <w:rFonts w:hint="eastAsia" w:ascii="宋体" w:hAnsi="宋体"/>
          <w:color w:val="auto"/>
          <w:szCs w:val="21"/>
          <w:u w:val="single"/>
        </w:rPr>
        <w:t xml:space="preserve">      </w:t>
      </w:r>
    </w:p>
    <w:p w14:paraId="43EA00E7">
      <w:pPr>
        <w:spacing w:line="360" w:lineRule="auto"/>
        <w:ind w:left="540"/>
        <w:rPr>
          <w:rFonts w:ascii="宋体" w:hAnsi="宋体"/>
          <w:color w:val="auto"/>
          <w:szCs w:val="21"/>
          <w:u w:val="single"/>
        </w:rPr>
      </w:pPr>
      <w:r>
        <w:rPr>
          <w:rFonts w:hint="eastAsia" w:ascii="宋体" w:hAnsi="宋体"/>
          <w:color w:val="auto"/>
          <w:szCs w:val="21"/>
        </w:rPr>
        <w:t>年    龄：</w:t>
      </w:r>
      <w:r>
        <w:rPr>
          <w:rFonts w:hint="eastAsia" w:ascii="宋体" w:hAnsi="宋体"/>
          <w:color w:val="auto"/>
          <w:szCs w:val="21"/>
          <w:u w:val="single"/>
        </w:rPr>
        <w:t xml:space="preserve">              </w:t>
      </w:r>
      <w:r>
        <w:rPr>
          <w:rFonts w:hint="eastAsia" w:ascii="宋体" w:hAnsi="宋体"/>
          <w:color w:val="auto"/>
          <w:szCs w:val="21"/>
        </w:rPr>
        <w:t>职      务：</w:t>
      </w:r>
      <w:r>
        <w:rPr>
          <w:rFonts w:hint="eastAsia" w:ascii="宋体" w:hAnsi="宋体"/>
          <w:color w:val="auto"/>
          <w:szCs w:val="21"/>
          <w:u w:val="single"/>
        </w:rPr>
        <w:t xml:space="preserve">      </w:t>
      </w:r>
    </w:p>
    <w:p w14:paraId="7638AE99">
      <w:pPr>
        <w:spacing w:line="360" w:lineRule="auto"/>
        <w:ind w:left="540"/>
        <w:rPr>
          <w:rFonts w:ascii="宋体" w:hAnsi="宋体"/>
          <w:color w:val="auto"/>
          <w:szCs w:val="21"/>
          <w:u w:val="single"/>
        </w:rPr>
      </w:pPr>
      <w:r>
        <w:rPr>
          <w:rFonts w:hint="eastAsia" w:ascii="宋体" w:hAnsi="宋体"/>
          <w:color w:val="auto"/>
          <w:szCs w:val="21"/>
        </w:rPr>
        <w:t>身份证号码：</w:t>
      </w:r>
      <w:r>
        <w:rPr>
          <w:rFonts w:hint="eastAsia" w:ascii="宋体" w:hAnsi="宋体"/>
          <w:color w:val="auto"/>
          <w:szCs w:val="21"/>
          <w:u w:val="single"/>
        </w:rPr>
        <w:t xml:space="preserve">                             </w:t>
      </w:r>
    </w:p>
    <w:p w14:paraId="200FD394">
      <w:pPr>
        <w:spacing w:line="360" w:lineRule="auto"/>
        <w:ind w:left="540"/>
        <w:rPr>
          <w:rFonts w:ascii="宋体" w:hAnsi="宋体"/>
          <w:color w:val="auto"/>
          <w:szCs w:val="21"/>
        </w:rPr>
      </w:pPr>
      <w:r>
        <w:rPr>
          <w:rFonts w:hint="eastAsia" w:ascii="宋体" w:hAnsi="宋体"/>
          <w:color w:val="auto"/>
          <w:szCs w:val="21"/>
        </w:rPr>
        <w:t>系</w:t>
      </w:r>
      <w:r>
        <w:rPr>
          <w:rFonts w:hint="eastAsia" w:ascii="宋体" w:hAnsi="宋体"/>
          <w:color w:val="auto"/>
          <w:szCs w:val="21"/>
          <w:u w:val="single"/>
        </w:rPr>
        <w:t xml:space="preserve">            （供应商名称）              </w:t>
      </w:r>
      <w:r>
        <w:rPr>
          <w:rFonts w:hint="eastAsia" w:ascii="宋体" w:hAnsi="宋体"/>
          <w:color w:val="auto"/>
          <w:szCs w:val="21"/>
        </w:rPr>
        <w:t>的法定代表人。</w:t>
      </w:r>
    </w:p>
    <w:p w14:paraId="6E864EE0">
      <w:pPr>
        <w:spacing w:line="360" w:lineRule="auto"/>
        <w:ind w:left="540"/>
        <w:rPr>
          <w:rFonts w:ascii="宋体" w:hAnsi="宋体"/>
          <w:color w:val="auto"/>
          <w:szCs w:val="21"/>
        </w:rPr>
      </w:pPr>
      <w:r>
        <w:rPr>
          <w:rFonts w:hint="eastAsia" w:ascii="宋体" w:hAnsi="宋体"/>
          <w:color w:val="auto"/>
          <w:szCs w:val="21"/>
        </w:rPr>
        <w:t>特此证明。</w:t>
      </w:r>
    </w:p>
    <w:p w14:paraId="49E46F54">
      <w:pPr>
        <w:spacing w:line="360" w:lineRule="auto"/>
        <w:ind w:left="540"/>
        <w:rPr>
          <w:rFonts w:ascii="宋体" w:hAnsi="宋体"/>
          <w:color w:val="auto"/>
          <w:szCs w:val="21"/>
        </w:rPr>
      </w:pPr>
    </w:p>
    <w:p w14:paraId="54F6B7ED">
      <w:pPr>
        <w:spacing w:line="360" w:lineRule="auto"/>
        <w:ind w:left="540"/>
        <w:rPr>
          <w:rFonts w:ascii="宋体" w:hAnsi="宋体"/>
          <w:color w:val="auto"/>
          <w:szCs w:val="21"/>
        </w:rPr>
      </w:pPr>
    </w:p>
    <w:p w14:paraId="0EA92122">
      <w:pPr>
        <w:spacing w:line="360" w:lineRule="auto"/>
        <w:ind w:left="540"/>
        <w:rPr>
          <w:rFonts w:ascii="宋体" w:hAnsi="宋体"/>
          <w:color w:val="auto"/>
          <w:szCs w:val="21"/>
        </w:rPr>
      </w:pPr>
      <w:r>
        <w:rPr>
          <w:rFonts w:hint="eastAsia" w:ascii="宋体" w:hAnsi="宋体"/>
          <w:color w:val="auto"/>
          <w:szCs w:val="21"/>
        </w:rPr>
        <w:t>附件：法定代表人有效身份证正反面复印件</w:t>
      </w:r>
    </w:p>
    <w:p w14:paraId="364C3ACC">
      <w:pPr>
        <w:spacing w:line="360" w:lineRule="auto"/>
        <w:ind w:left="540"/>
        <w:rPr>
          <w:rFonts w:ascii="宋体" w:hAnsi="宋体"/>
          <w:color w:val="auto"/>
          <w:szCs w:val="21"/>
        </w:rPr>
      </w:pPr>
    </w:p>
    <w:tbl>
      <w:tblPr>
        <w:tblStyle w:val="47"/>
        <w:tblpPr w:leftFromText="180" w:rightFromText="180" w:vertAnchor="text" w:horzAnchor="page" w:tblpX="1434" w:tblpY="12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1BC1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trPr>
        <w:tc>
          <w:tcPr>
            <w:tcW w:w="9242" w:type="dxa"/>
            <w:noWrap w:val="0"/>
            <w:vAlign w:val="top"/>
          </w:tcPr>
          <w:p w14:paraId="7189D4CE">
            <w:pPr>
              <w:spacing w:line="360" w:lineRule="auto"/>
              <w:jc w:val="center"/>
              <w:rPr>
                <w:rFonts w:hint="eastAsia" w:ascii="宋体" w:hAnsi="宋体"/>
                <w:color w:val="auto"/>
                <w:szCs w:val="21"/>
              </w:rPr>
            </w:pPr>
            <w:r>
              <w:rPr>
                <w:rFonts w:hint="eastAsia" w:ascii="宋体" w:hAnsi="宋体"/>
                <w:color w:val="auto"/>
                <w:szCs w:val="21"/>
              </w:rPr>
              <w:t>法定代表人有效身份证正反面复印件</w:t>
            </w:r>
          </w:p>
        </w:tc>
      </w:tr>
    </w:tbl>
    <w:p w14:paraId="25A7E993">
      <w:pPr>
        <w:spacing w:line="360" w:lineRule="auto"/>
        <w:ind w:left="540"/>
        <w:rPr>
          <w:rFonts w:ascii="宋体" w:hAnsi="宋体"/>
          <w:color w:val="auto"/>
          <w:szCs w:val="21"/>
        </w:rPr>
      </w:pPr>
    </w:p>
    <w:p w14:paraId="255761A8">
      <w:pPr>
        <w:spacing w:line="360" w:lineRule="auto"/>
        <w:ind w:left="540"/>
        <w:rPr>
          <w:rFonts w:ascii="宋体" w:hAnsi="宋体"/>
          <w:color w:val="auto"/>
          <w:szCs w:val="21"/>
        </w:rPr>
      </w:pPr>
    </w:p>
    <w:p w14:paraId="454ABDF5">
      <w:pPr>
        <w:pStyle w:val="24"/>
        <w:spacing w:line="360" w:lineRule="auto"/>
        <w:ind w:firstLine="5040" w:firstLineChars="24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2219E76C">
      <w:pPr>
        <w:spacing w:line="360" w:lineRule="auto"/>
        <w:ind w:left="540"/>
        <w:jc w:val="right"/>
        <w:rPr>
          <w:rFonts w:ascii="宋体" w:hAnsi="宋体"/>
          <w:color w:val="auto"/>
          <w:szCs w:val="21"/>
        </w:rPr>
      </w:pPr>
    </w:p>
    <w:p w14:paraId="7B8590F2">
      <w:pPr>
        <w:wordWrap w:val="0"/>
        <w:snapToGrid w:val="0"/>
        <w:spacing w:before="120" w:beforeLines="50" w:after="50" w:line="360" w:lineRule="auto"/>
        <w:ind w:left="540"/>
        <w:jc w:val="center"/>
        <w:rPr>
          <w:rFonts w:ascii="宋体" w:hAnsi="宋体"/>
          <w:color w:val="auto"/>
          <w:szCs w:val="21"/>
        </w:rPr>
      </w:pPr>
      <w:r>
        <w:rPr>
          <w:rFonts w:hint="eastAsia" w:ascii="宋体" w:hAnsi="宋体"/>
          <w:color w:val="auto"/>
          <w:szCs w:val="21"/>
        </w:rPr>
        <w:t xml:space="preserve">                                 日期：   年   月   日</w:t>
      </w:r>
    </w:p>
    <w:p w14:paraId="282E6E06">
      <w:pPr>
        <w:snapToGrid w:val="0"/>
        <w:spacing w:before="120" w:beforeLines="50" w:after="50" w:line="360" w:lineRule="auto"/>
        <w:jc w:val="center"/>
        <w:rPr>
          <w:rFonts w:ascii="宋体" w:hAnsi="宋体"/>
          <w:b/>
          <w:color w:val="auto"/>
          <w:szCs w:val="21"/>
        </w:rPr>
      </w:pPr>
    </w:p>
    <w:p w14:paraId="1A94CBD6">
      <w:pPr>
        <w:snapToGrid w:val="0"/>
        <w:spacing w:before="120" w:beforeLines="50" w:after="50" w:line="360" w:lineRule="auto"/>
        <w:ind w:firstLine="630" w:firstLineChars="300"/>
        <w:jc w:val="left"/>
        <w:rPr>
          <w:rFonts w:ascii="宋体" w:hAnsi="宋体"/>
          <w:b/>
          <w:color w:val="auto"/>
          <w:szCs w:val="21"/>
        </w:rPr>
      </w:pPr>
      <w:r>
        <w:rPr>
          <w:rFonts w:hint="eastAsia" w:ascii="宋体" w:hAnsi="宋体"/>
          <w:color w:val="auto"/>
          <w:szCs w:val="21"/>
        </w:rPr>
        <w:t>注：自然人投标的无需提供</w:t>
      </w:r>
    </w:p>
    <w:p w14:paraId="4B8AEF36">
      <w:pPr>
        <w:snapToGrid w:val="0"/>
        <w:spacing w:before="120" w:beforeLines="50" w:after="50" w:line="360" w:lineRule="auto"/>
        <w:jc w:val="left"/>
        <w:rPr>
          <w:rFonts w:ascii="宋体" w:hAnsi="宋体"/>
          <w:b/>
          <w:color w:val="auto"/>
          <w:sz w:val="24"/>
          <w:szCs w:val="20"/>
        </w:rPr>
      </w:pPr>
      <w:r>
        <w:rPr>
          <w:rFonts w:ascii="宋体" w:hAnsi="宋体"/>
          <w:b/>
          <w:color w:val="auto"/>
          <w:sz w:val="24"/>
        </w:rPr>
        <w:br w:type="page"/>
      </w:r>
      <w:r>
        <w:rPr>
          <w:rFonts w:hint="eastAsia" w:ascii="宋体" w:hAnsi="宋体"/>
          <w:b/>
          <w:color w:val="auto"/>
          <w:sz w:val="24"/>
        </w:rPr>
        <w:t>5.授权委托书格式</w:t>
      </w:r>
    </w:p>
    <w:p w14:paraId="7A25EA09">
      <w:pPr>
        <w:spacing w:line="360" w:lineRule="auto"/>
        <w:contextualSpacing/>
        <w:jc w:val="center"/>
        <w:rPr>
          <w:rFonts w:ascii="宋体" w:hAnsi="宋体" w:cs="微软雅黑"/>
          <w:bCs/>
          <w:color w:val="auto"/>
          <w:sz w:val="44"/>
          <w:szCs w:val="44"/>
        </w:rPr>
      </w:pPr>
      <w:r>
        <w:rPr>
          <w:rFonts w:hint="eastAsia" w:ascii="宋体" w:hAnsi="宋体" w:cs="微软雅黑"/>
          <w:bCs/>
          <w:color w:val="auto"/>
          <w:sz w:val="44"/>
          <w:szCs w:val="44"/>
        </w:rPr>
        <w:t>授权委托书</w:t>
      </w:r>
    </w:p>
    <w:p w14:paraId="434ABF54">
      <w:pPr>
        <w:spacing w:line="360" w:lineRule="auto"/>
        <w:contextualSpacing/>
        <w:jc w:val="center"/>
        <w:rPr>
          <w:rFonts w:ascii="宋体" w:hAnsi="宋体" w:cs="微软雅黑"/>
          <w:bCs/>
          <w:color w:val="auto"/>
          <w:sz w:val="24"/>
        </w:rPr>
      </w:pPr>
      <w:r>
        <w:rPr>
          <w:rFonts w:hint="eastAsia" w:ascii="宋体" w:hAnsi="宋体" w:cs="微软雅黑"/>
          <w:bCs/>
          <w:color w:val="auto"/>
          <w:sz w:val="32"/>
          <w:szCs w:val="32"/>
        </w:rPr>
        <w:t>（如有委托时）</w:t>
      </w:r>
    </w:p>
    <w:p w14:paraId="7E6258CA">
      <w:pPr>
        <w:spacing w:line="360" w:lineRule="auto"/>
        <w:contextualSpacing/>
        <w:jc w:val="center"/>
        <w:rPr>
          <w:rFonts w:ascii="宋体" w:hAnsi="宋体"/>
          <w:b/>
          <w:color w:val="auto"/>
          <w:sz w:val="24"/>
        </w:rPr>
      </w:pPr>
    </w:p>
    <w:p w14:paraId="7BC7E3D2">
      <w:pPr>
        <w:spacing w:line="360" w:lineRule="auto"/>
        <w:contextualSpacing/>
        <w:rPr>
          <w:rFonts w:ascii="宋体" w:hAnsi="宋体"/>
          <w:b/>
          <w:bCs/>
          <w:color w:val="auto"/>
          <w:szCs w:val="21"/>
        </w:rPr>
      </w:pPr>
      <w:r>
        <w:rPr>
          <w:rFonts w:hint="eastAsia" w:ascii="宋体" w:hAnsi="宋体"/>
          <w:bCs/>
          <w:color w:val="auto"/>
          <w:szCs w:val="21"/>
        </w:rPr>
        <w:t>致</w:t>
      </w:r>
      <w:r>
        <w:rPr>
          <w:rFonts w:hint="eastAsia" w:ascii="宋体" w:hAnsi="宋体"/>
          <w:bCs/>
          <w:color w:val="auto"/>
          <w:szCs w:val="21"/>
          <w:u w:val="single"/>
        </w:rPr>
        <w:t xml:space="preserve">  （采购人名称） </w:t>
      </w:r>
      <w:r>
        <w:rPr>
          <w:rFonts w:hint="eastAsia" w:ascii="宋体" w:hAnsi="宋体"/>
          <w:color w:val="auto"/>
          <w:szCs w:val="21"/>
        </w:rPr>
        <w:t>：</w:t>
      </w:r>
    </w:p>
    <w:p w14:paraId="3162B45F">
      <w:pPr>
        <w:spacing w:line="360" w:lineRule="auto"/>
        <w:ind w:firstLine="495" w:firstLineChars="236"/>
        <w:contextualSpacing/>
        <w:rPr>
          <w:rFonts w:ascii="宋体" w:hAnsi="宋体"/>
          <w:color w:val="auto"/>
          <w:szCs w:val="21"/>
        </w:rPr>
      </w:pPr>
      <w:r>
        <w:rPr>
          <w:rFonts w:hint="eastAsia" w:ascii="宋体" w:hAnsi="宋体"/>
          <w:color w:val="auto"/>
          <w:szCs w:val="21"/>
        </w:rPr>
        <w:t>我</w:t>
      </w:r>
      <w:r>
        <w:rPr>
          <w:rFonts w:hint="eastAsia" w:ascii="宋体" w:hAnsi="宋体"/>
          <w:color w:val="auto"/>
          <w:szCs w:val="21"/>
          <w:u w:val="single"/>
        </w:rPr>
        <w:t>（姓名）</w:t>
      </w:r>
      <w:r>
        <w:rPr>
          <w:rFonts w:hint="eastAsia" w:ascii="宋体" w:hAnsi="宋体"/>
          <w:color w:val="auto"/>
          <w:szCs w:val="21"/>
        </w:rPr>
        <w:t>系</w:t>
      </w:r>
      <w:r>
        <w:rPr>
          <w:rFonts w:hint="eastAsia" w:ascii="宋体" w:hAnsi="宋体"/>
          <w:color w:val="auto"/>
          <w:szCs w:val="21"/>
          <w:u w:val="single"/>
        </w:rPr>
        <w:t>（供应商名称）</w:t>
      </w:r>
      <w:r>
        <w:rPr>
          <w:rFonts w:hint="eastAsia" w:ascii="宋体" w:hAnsi="宋体"/>
          <w:color w:val="auto"/>
          <w:szCs w:val="21"/>
        </w:rPr>
        <w:t>的法定代表人，现授权委托</w:t>
      </w:r>
      <w:r>
        <w:rPr>
          <w:rFonts w:hint="eastAsia" w:ascii="宋体" w:hAnsi="宋体"/>
          <w:color w:val="auto"/>
          <w:szCs w:val="21"/>
          <w:u w:val="single"/>
        </w:rPr>
        <w:t>（姓名）</w:t>
      </w:r>
      <w:r>
        <w:rPr>
          <w:rFonts w:hint="eastAsia" w:ascii="宋体" w:hAnsi="宋体"/>
          <w:color w:val="auto"/>
          <w:szCs w:val="21"/>
        </w:rPr>
        <w:t>以我方的名义参加项目的投标活动，并代表我方全权办理针对上述项目的所有采购程序和环节的具体事务和签署相关文件。</w:t>
      </w:r>
    </w:p>
    <w:p w14:paraId="6CA20DAB">
      <w:pPr>
        <w:spacing w:line="360" w:lineRule="auto"/>
        <w:contextualSpacing/>
        <w:rPr>
          <w:rFonts w:ascii="宋体" w:hAnsi="宋体"/>
          <w:color w:val="auto"/>
          <w:szCs w:val="21"/>
        </w:rPr>
      </w:pPr>
      <w:r>
        <w:rPr>
          <w:rFonts w:hint="eastAsia" w:ascii="宋体" w:hAnsi="宋体"/>
          <w:color w:val="auto"/>
          <w:szCs w:val="21"/>
        </w:rPr>
        <w:t xml:space="preserve">    我方对委托代理人的签字事项负全部责任。</w:t>
      </w:r>
    </w:p>
    <w:p w14:paraId="141176E7">
      <w:pPr>
        <w:spacing w:line="360" w:lineRule="auto"/>
        <w:ind w:firstLine="480"/>
        <w:contextualSpacing/>
        <w:rPr>
          <w:rFonts w:ascii="宋体" w:hAnsi="宋体"/>
          <w:color w:val="auto"/>
          <w:szCs w:val="21"/>
        </w:rPr>
      </w:pPr>
      <w:r>
        <w:rPr>
          <w:rFonts w:hint="eastAsia" w:ascii="宋体" w:hAnsi="宋体"/>
          <w:color w:val="auto"/>
          <w:szCs w:val="21"/>
          <w:u w:val="single"/>
        </w:rPr>
        <w:t>本授权书自签署之日起生效，在撤销授权的书面通知以前，本授权书一直有效。委托代理人在授权书有效期内签署的所有文件不因授权的撤销而失效。</w:t>
      </w:r>
    </w:p>
    <w:p w14:paraId="2DCA7357">
      <w:pPr>
        <w:spacing w:line="360" w:lineRule="auto"/>
        <w:ind w:firstLine="480"/>
        <w:contextualSpacing/>
        <w:rPr>
          <w:rFonts w:ascii="宋体" w:hAnsi="宋体"/>
          <w:color w:val="auto"/>
          <w:szCs w:val="21"/>
        </w:rPr>
      </w:pPr>
      <w:r>
        <w:rPr>
          <w:rFonts w:hint="eastAsia" w:ascii="宋体" w:hAnsi="宋体"/>
          <w:color w:val="auto"/>
          <w:szCs w:val="21"/>
        </w:rPr>
        <w:t>委托代理人无转委托权，特此委托。</w:t>
      </w:r>
    </w:p>
    <w:p w14:paraId="30F67BDB">
      <w:pPr>
        <w:spacing w:line="360" w:lineRule="auto"/>
        <w:ind w:firstLine="480"/>
        <w:contextualSpacing/>
        <w:rPr>
          <w:rFonts w:ascii="宋体" w:hAnsi="宋体"/>
          <w:color w:val="auto"/>
          <w:szCs w:val="21"/>
        </w:rPr>
      </w:pPr>
      <w:r>
        <w:rPr>
          <w:rFonts w:hint="eastAsia" w:ascii="宋体" w:hAnsi="宋体"/>
          <w:color w:val="auto"/>
          <w:szCs w:val="21"/>
        </w:rPr>
        <w:t>附：委托代理人有效身份证正反面复印件</w:t>
      </w:r>
    </w:p>
    <w:p w14:paraId="50C0AB1C">
      <w:pPr>
        <w:spacing w:line="360" w:lineRule="auto"/>
        <w:contextualSpacing/>
        <w:rPr>
          <w:rFonts w:ascii="宋体" w:hAnsi="宋体"/>
          <w:color w:val="auto"/>
          <w:szCs w:val="21"/>
        </w:rPr>
      </w:pPr>
    </w:p>
    <w:p w14:paraId="076CA9CB">
      <w:pPr>
        <w:spacing w:line="360" w:lineRule="auto"/>
        <w:contextualSpacing/>
        <w:rPr>
          <w:rFonts w:ascii="宋体" w:hAnsi="宋体"/>
          <w:color w:val="auto"/>
          <w:szCs w:val="21"/>
          <w:u w:val="single"/>
        </w:rPr>
      </w:pPr>
      <w:r>
        <w:rPr>
          <w:rFonts w:hint="eastAsia" w:ascii="宋体" w:hAnsi="宋体"/>
          <w:color w:val="auto"/>
          <w:szCs w:val="21"/>
        </w:rPr>
        <w:t>委托代理人（签字）：            法定代表人（签字或签章）：</w:t>
      </w:r>
    </w:p>
    <w:p w14:paraId="64B32BDC">
      <w:pPr>
        <w:spacing w:line="360" w:lineRule="auto"/>
        <w:contextualSpacing/>
        <w:rPr>
          <w:rFonts w:ascii="宋体" w:hAnsi="宋体"/>
          <w:color w:val="auto"/>
          <w:szCs w:val="21"/>
        </w:rPr>
      </w:pPr>
      <w:r>
        <w:rPr>
          <w:rFonts w:hint="eastAsia" w:ascii="宋体" w:hAnsi="宋体"/>
          <w:color w:val="auto"/>
          <w:szCs w:val="21"/>
        </w:rPr>
        <w:t>委托代理人身份证号码：</w:t>
      </w:r>
    </w:p>
    <w:p w14:paraId="76958D3C">
      <w:pPr>
        <w:spacing w:line="360" w:lineRule="auto"/>
        <w:contextualSpacing/>
        <w:jc w:val="center"/>
        <w:rPr>
          <w:rFonts w:hint="eastAsia" w:ascii="宋体" w:hAnsi="宋体"/>
          <w:color w:val="auto"/>
          <w:szCs w:val="21"/>
        </w:rPr>
      </w:pPr>
      <w:r>
        <w:rPr>
          <w:rFonts w:hint="eastAsia" w:ascii="宋体" w:hAnsi="宋体"/>
          <w:color w:val="auto"/>
          <w:szCs w:val="21"/>
        </w:rPr>
        <w:t xml:space="preserve">                                               </w:t>
      </w:r>
    </w:p>
    <w:tbl>
      <w:tblPr>
        <w:tblStyle w:val="47"/>
        <w:tblpPr w:leftFromText="180" w:rightFromText="180" w:vertAnchor="text" w:horzAnchor="page" w:tblpX="1434" w:tblpY="12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33DE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trPr>
        <w:tc>
          <w:tcPr>
            <w:tcW w:w="9242" w:type="dxa"/>
            <w:noWrap w:val="0"/>
            <w:vAlign w:val="top"/>
          </w:tcPr>
          <w:p w14:paraId="0BEB2F01">
            <w:pPr>
              <w:spacing w:line="360" w:lineRule="auto"/>
              <w:jc w:val="center"/>
              <w:rPr>
                <w:rFonts w:hint="eastAsia" w:ascii="宋体" w:hAnsi="宋体"/>
                <w:color w:val="auto"/>
                <w:szCs w:val="21"/>
              </w:rPr>
            </w:pPr>
            <w:r>
              <w:rPr>
                <w:rFonts w:hint="eastAsia" w:ascii="宋体" w:hAnsi="宋体"/>
                <w:color w:val="auto"/>
                <w:szCs w:val="21"/>
              </w:rPr>
              <w:t>授权委托人有效身份证正反面复印件</w:t>
            </w:r>
          </w:p>
        </w:tc>
      </w:tr>
    </w:tbl>
    <w:p w14:paraId="2E88E25C">
      <w:pPr>
        <w:pStyle w:val="24"/>
        <w:spacing w:line="360" w:lineRule="auto"/>
        <w:ind w:firstLine="4800" w:firstLineChars="2400"/>
        <w:rPr>
          <w:rFonts w:hint="eastAsia" w:hAnsi="宋体"/>
          <w:color w:val="auto"/>
        </w:rPr>
      </w:pPr>
      <w:r>
        <w:rPr>
          <w:rFonts w:hint="eastAsia" w:hAnsi="宋体"/>
          <w:color w:val="auto"/>
        </w:rPr>
        <w:t xml:space="preserve">               </w:t>
      </w:r>
    </w:p>
    <w:p w14:paraId="24EE5F83">
      <w:pPr>
        <w:pStyle w:val="24"/>
        <w:spacing w:line="360" w:lineRule="auto"/>
        <w:ind w:firstLine="4800" w:firstLineChars="2400"/>
        <w:rPr>
          <w:rFonts w:hAnsi="宋体"/>
          <w:color w:val="auto"/>
          <w:sz w:val="21"/>
        </w:rPr>
      </w:pPr>
      <w:r>
        <w:rPr>
          <w:rFonts w:hint="eastAsia" w:hAnsi="宋体"/>
          <w:color w:val="auto"/>
        </w:rPr>
        <w:t xml:space="preserve">  </w:t>
      </w: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0EEF37C4">
      <w:pPr>
        <w:wordWrap w:val="0"/>
        <w:snapToGrid w:val="0"/>
        <w:spacing w:before="120" w:beforeLines="50" w:after="50" w:line="360" w:lineRule="auto"/>
        <w:ind w:left="540"/>
        <w:jc w:val="center"/>
        <w:rPr>
          <w:rFonts w:ascii="宋体" w:hAnsi="宋体"/>
          <w:color w:val="auto"/>
          <w:szCs w:val="21"/>
        </w:rPr>
      </w:pPr>
      <w:r>
        <w:rPr>
          <w:rFonts w:hint="eastAsia" w:ascii="宋体" w:hAnsi="宋体"/>
          <w:color w:val="auto"/>
          <w:szCs w:val="21"/>
        </w:rPr>
        <w:t xml:space="preserve">                             日期：   年   月   日</w:t>
      </w:r>
    </w:p>
    <w:p w14:paraId="5BC64011">
      <w:pPr>
        <w:spacing w:line="360" w:lineRule="auto"/>
        <w:contextualSpacing/>
        <w:jc w:val="center"/>
        <w:rPr>
          <w:rFonts w:hint="eastAsia" w:ascii="宋体" w:hAnsi="宋体"/>
          <w:color w:val="auto"/>
          <w:szCs w:val="21"/>
        </w:rPr>
      </w:pPr>
    </w:p>
    <w:p w14:paraId="64635136">
      <w:pPr>
        <w:spacing w:line="360" w:lineRule="auto"/>
        <w:contextualSpacing/>
        <w:rPr>
          <w:rFonts w:ascii="宋体" w:hAnsi="宋体" w:cs="仿宋_GB2312"/>
          <w:color w:val="auto"/>
          <w:szCs w:val="21"/>
        </w:rPr>
      </w:pPr>
      <w:r>
        <w:rPr>
          <w:rFonts w:hint="eastAsia" w:ascii="宋体" w:hAnsi="宋体" w:cs="仿宋_GB2312"/>
          <w:color w:val="auto"/>
          <w:szCs w:val="21"/>
        </w:rPr>
        <w:t>注：1.</w:t>
      </w:r>
      <w:bookmarkStart w:id="149" w:name="_Hlk65851555"/>
      <w:bookmarkStart w:id="150" w:name="_Hlk65851620"/>
      <w:r>
        <w:rPr>
          <w:rFonts w:hint="eastAsia" w:ascii="宋体" w:hAnsi="宋体" w:cs="仿宋_GB2312"/>
          <w:color w:val="auto"/>
          <w:szCs w:val="21"/>
        </w:rPr>
        <w:t>法定代表人必须在授权委托书上亲笔签字或盖章，</w:t>
      </w:r>
      <w:bookmarkEnd w:id="149"/>
      <w:r>
        <w:rPr>
          <w:rFonts w:hint="eastAsia" w:ascii="宋体" w:hAnsi="宋体" w:cs="仿宋_GB2312"/>
          <w:color w:val="auto"/>
          <w:szCs w:val="21"/>
        </w:rPr>
        <w:t>委托代理人必须在授权委托书上亲笔签字，</w:t>
      </w:r>
      <w:r>
        <w:rPr>
          <w:rFonts w:hint="eastAsia" w:ascii="宋体" w:hAnsi="宋体" w:cs="仿宋_GB2312"/>
          <w:b/>
          <w:bCs/>
          <w:color w:val="auto"/>
          <w:szCs w:val="21"/>
        </w:rPr>
        <w:t>否则按无效投标处理</w:t>
      </w:r>
      <w:r>
        <w:rPr>
          <w:rFonts w:hint="eastAsia" w:ascii="宋体" w:hAnsi="宋体" w:cs="仿宋_GB2312"/>
          <w:color w:val="auto"/>
          <w:szCs w:val="21"/>
        </w:rPr>
        <w:t>；</w:t>
      </w:r>
      <w:bookmarkEnd w:id="150"/>
    </w:p>
    <w:p w14:paraId="32B29454">
      <w:pPr>
        <w:spacing w:line="360" w:lineRule="auto"/>
        <w:ind w:firstLine="420" w:firstLineChars="200"/>
        <w:contextualSpacing/>
        <w:jc w:val="left"/>
        <w:rPr>
          <w:rFonts w:ascii="宋体" w:hAnsi="宋体"/>
          <w:color w:val="auto"/>
          <w:szCs w:val="21"/>
        </w:rPr>
      </w:pPr>
      <w:r>
        <w:rPr>
          <w:rFonts w:hint="eastAsia" w:ascii="宋体" w:hAnsi="宋体" w:cs="仿宋_GB2312"/>
          <w:color w:val="auto"/>
          <w:szCs w:val="21"/>
        </w:rPr>
        <w:t>2.法人、其他组织投标时“我方”是指“我单位”，自然人投标时“我方”是指“本人”。</w:t>
      </w:r>
    </w:p>
    <w:p w14:paraId="443F4203">
      <w:pPr>
        <w:snapToGrid w:val="0"/>
        <w:spacing w:before="120" w:beforeLines="50" w:after="50" w:line="360" w:lineRule="auto"/>
        <w:rPr>
          <w:rFonts w:hint="eastAsia" w:ascii="宋体" w:hAnsi="宋体"/>
          <w:b/>
          <w:color w:val="auto"/>
          <w:sz w:val="24"/>
        </w:rPr>
      </w:pPr>
      <w:r>
        <w:rPr>
          <w:rFonts w:ascii="宋体" w:hAnsi="宋体"/>
          <w:color w:val="auto"/>
          <w:sz w:val="24"/>
        </w:rPr>
        <w:br w:type="page"/>
      </w:r>
      <w:r>
        <w:rPr>
          <w:rFonts w:hint="eastAsia" w:ascii="宋体" w:hAnsi="宋体"/>
          <w:b/>
          <w:color w:val="auto"/>
          <w:sz w:val="24"/>
        </w:rPr>
        <w:t>6.商务要求偏离表格式</w:t>
      </w:r>
    </w:p>
    <w:p w14:paraId="43606145">
      <w:pPr>
        <w:snapToGrid w:val="0"/>
        <w:spacing w:before="120" w:beforeLines="50" w:after="50" w:line="360" w:lineRule="auto"/>
        <w:rPr>
          <w:rFonts w:hint="eastAsia" w:ascii="宋体" w:hAnsi="宋体"/>
          <w:b/>
          <w:color w:val="auto"/>
          <w:sz w:val="24"/>
        </w:rPr>
      </w:pPr>
    </w:p>
    <w:p w14:paraId="6A05161C">
      <w:pPr>
        <w:snapToGrid w:val="0"/>
        <w:spacing w:before="50" w:line="360" w:lineRule="auto"/>
        <w:jc w:val="center"/>
        <w:rPr>
          <w:rFonts w:hint="eastAsia" w:ascii="宋体" w:hAnsi="宋体"/>
          <w:bCs/>
          <w:color w:val="auto"/>
          <w:sz w:val="32"/>
          <w:szCs w:val="32"/>
        </w:rPr>
      </w:pPr>
      <w:r>
        <w:rPr>
          <w:rFonts w:hint="eastAsia" w:ascii="宋体" w:hAnsi="宋体"/>
          <w:bCs/>
          <w:color w:val="auto"/>
          <w:sz w:val="32"/>
          <w:szCs w:val="32"/>
        </w:rPr>
        <w:t>商务要求偏离表</w:t>
      </w:r>
    </w:p>
    <w:tbl>
      <w:tblPr>
        <w:tblStyle w:val="47"/>
        <w:tblW w:w="958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4"/>
        <w:gridCol w:w="1701"/>
        <w:gridCol w:w="3861"/>
        <w:gridCol w:w="1760"/>
        <w:gridCol w:w="1467"/>
      </w:tblGrid>
      <w:tr w14:paraId="201956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794" w:type="dxa"/>
            <w:tcBorders>
              <w:top w:val="single" w:color="auto" w:sz="4" w:space="0"/>
              <w:left w:val="single" w:color="auto" w:sz="4" w:space="0"/>
              <w:bottom w:val="single" w:color="auto" w:sz="4" w:space="0"/>
              <w:right w:val="single" w:color="auto" w:sz="4" w:space="0"/>
            </w:tcBorders>
            <w:noWrap w:val="0"/>
            <w:vAlign w:val="top"/>
          </w:tcPr>
          <w:p w14:paraId="399458DA">
            <w:pPr>
              <w:snapToGrid w:val="0"/>
              <w:spacing w:before="120" w:beforeLines="50" w:line="360" w:lineRule="auto"/>
              <w:jc w:val="center"/>
              <w:rPr>
                <w:rFonts w:hint="eastAsia" w:ascii="宋体" w:hAnsi="宋体"/>
                <w:color w:val="auto"/>
                <w:szCs w:val="21"/>
              </w:rPr>
            </w:pPr>
            <w:r>
              <w:rPr>
                <w:rFonts w:hint="eastAsia" w:ascii="宋体" w:hAnsi="宋体"/>
                <w:color w:val="auto"/>
                <w:szCs w:val="21"/>
              </w:rPr>
              <w:t>序号</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3D5ED67E">
            <w:pPr>
              <w:snapToGrid w:val="0"/>
              <w:spacing w:before="120" w:beforeLines="50" w:line="360" w:lineRule="auto"/>
              <w:jc w:val="center"/>
              <w:rPr>
                <w:rFonts w:ascii="宋体" w:hAnsi="宋体"/>
                <w:color w:val="auto"/>
                <w:szCs w:val="21"/>
              </w:rPr>
            </w:pPr>
            <w:r>
              <w:rPr>
                <w:rFonts w:hint="eastAsia" w:ascii="宋体" w:hAnsi="宋体"/>
                <w:color w:val="auto"/>
                <w:szCs w:val="21"/>
              </w:rPr>
              <w:t>项目</w:t>
            </w:r>
          </w:p>
        </w:tc>
        <w:tc>
          <w:tcPr>
            <w:tcW w:w="3861" w:type="dxa"/>
            <w:tcBorders>
              <w:top w:val="single" w:color="auto" w:sz="4" w:space="0"/>
              <w:left w:val="single" w:color="auto" w:sz="4" w:space="0"/>
              <w:bottom w:val="single" w:color="auto" w:sz="4" w:space="0"/>
              <w:right w:val="single" w:color="auto" w:sz="4" w:space="0"/>
            </w:tcBorders>
            <w:noWrap w:val="0"/>
            <w:vAlign w:val="top"/>
          </w:tcPr>
          <w:p w14:paraId="55760BDE">
            <w:pPr>
              <w:snapToGrid w:val="0"/>
              <w:spacing w:before="120" w:beforeLines="50" w:line="360" w:lineRule="auto"/>
              <w:jc w:val="center"/>
              <w:rPr>
                <w:rFonts w:ascii="宋体" w:hAnsi="宋体"/>
                <w:color w:val="auto"/>
                <w:szCs w:val="21"/>
              </w:rPr>
            </w:pPr>
            <w:r>
              <w:rPr>
                <w:rFonts w:hint="eastAsia" w:ascii="宋体" w:hAnsi="宋体"/>
                <w:color w:val="auto"/>
                <w:szCs w:val="21"/>
              </w:rPr>
              <w:t>商务要求</w:t>
            </w:r>
          </w:p>
        </w:tc>
        <w:tc>
          <w:tcPr>
            <w:tcW w:w="1760" w:type="dxa"/>
            <w:tcBorders>
              <w:top w:val="single" w:color="auto" w:sz="4" w:space="0"/>
              <w:left w:val="single" w:color="auto" w:sz="4" w:space="0"/>
              <w:bottom w:val="single" w:color="auto" w:sz="4" w:space="0"/>
              <w:right w:val="single" w:color="auto" w:sz="4" w:space="0"/>
            </w:tcBorders>
            <w:noWrap w:val="0"/>
            <w:vAlign w:val="top"/>
          </w:tcPr>
          <w:p w14:paraId="3F479724">
            <w:pPr>
              <w:snapToGrid w:val="0"/>
              <w:spacing w:before="120" w:beforeLines="50" w:line="360" w:lineRule="auto"/>
              <w:jc w:val="center"/>
              <w:rPr>
                <w:rFonts w:ascii="宋体" w:hAnsi="宋体"/>
                <w:color w:val="auto"/>
                <w:szCs w:val="21"/>
              </w:rPr>
            </w:pPr>
            <w:r>
              <w:rPr>
                <w:rFonts w:hint="eastAsia" w:hAnsi="宋体" w:cs="Courier New"/>
                <w:color w:val="auto"/>
                <w:kern w:val="2"/>
                <w:sz w:val="21"/>
              </w:rPr>
              <w:t>响应</w:t>
            </w:r>
            <w:r>
              <w:rPr>
                <w:rFonts w:hint="eastAsia" w:hAnsi="宋体" w:cs="Courier New"/>
                <w:color w:val="auto"/>
                <w:kern w:val="2"/>
                <w:sz w:val="21"/>
                <w:lang w:val="en-US" w:eastAsia="zh-CN"/>
              </w:rPr>
              <w:t>情况</w:t>
            </w:r>
          </w:p>
        </w:tc>
        <w:tc>
          <w:tcPr>
            <w:tcW w:w="1467" w:type="dxa"/>
            <w:tcBorders>
              <w:top w:val="single" w:color="auto" w:sz="4" w:space="0"/>
              <w:left w:val="single" w:color="auto" w:sz="4" w:space="0"/>
              <w:bottom w:val="single" w:color="auto" w:sz="4" w:space="0"/>
              <w:right w:val="single" w:color="auto" w:sz="4" w:space="0"/>
            </w:tcBorders>
            <w:noWrap w:val="0"/>
            <w:vAlign w:val="top"/>
          </w:tcPr>
          <w:p w14:paraId="07A8DE2C">
            <w:pPr>
              <w:snapToGrid w:val="0"/>
              <w:spacing w:before="120" w:beforeLines="50" w:line="360" w:lineRule="auto"/>
              <w:jc w:val="center"/>
              <w:rPr>
                <w:rFonts w:ascii="宋体" w:hAnsi="宋体"/>
                <w:color w:val="auto"/>
                <w:szCs w:val="21"/>
              </w:rPr>
            </w:pPr>
            <w:r>
              <w:rPr>
                <w:rFonts w:hint="eastAsia" w:ascii="宋体" w:hAnsi="宋体"/>
                <w:color w:val="auto"/>
                <w:szCs w:val="21"/>
              </w:rPr>
              <w:t>偏离说明</w:t>
            </w:r>
          </w:p>
        </w:tc>
      </w:tr>
      <w:tr w14:paraId="0C8947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794" w:type="dxa"/>
            <w:tcBorders>
              <w:top w:val="single" w:color="auto" w:sz="4" w:space="0"/>
              <w:left w:val="single" w:color="auto" w:sz="4" w:space="0"/>
              <w:bottom w:val="single" w:color="auto" w:sz="4" w:space="0"/>
              <w:right w:val="single" w:color="auto" w:sz="4" w:space="0"/>
            </w:tcBorders>
            <w:noWrap w:val="0"/>
            <w:vAlign w:val="center"/>
          </w:tcPr>
          <w:p w14:paraId="24CFF766">
            <w:pPr>
              <w:spacing w:line="360" w:lineRule="auto"/>
              <w:jc w:val="center"/>
              <w:rPr>
                <w:rFonts w:ascii="宋体" w:hAnsi="宋体"/>
                <w:color w:val="auto"/>
                <w:szCs w:val="21"/>
              </w:rPr>
            </w:pPr>
            <w:r>
              <w:rPr>
                <w:rFonts w:hint="eastAsia" w:ascii="宋体" w:hAnsi="宋体"/>
                <w:color w:val="auto"/>
                <w:szCs w:val="21"/>
              </w:rPr>
              <w:t>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F16337">
            <w:pPr>
              <w:spacing w:line="360" w:lineRule="auto"/>
              <w:jc w:val="center"/>
              <w:rPr>
                <w:rFonts w:ascii="宋体" w:hAnsi="宋体"/>
                <w:color w:val="auto"/>
                <w:szCs w:val="21"/>
              </w:rPr>
            </w:pPr>
          </w:p>
        </w:tc>
        <w:tc>
          <w:tcPr>
            <w:tcW w:w="3861" w:type="dxa"/>
            <w:tcBorders>
              <w:top w:val="single" w:color="auto" w:sz="4" w:space="0"/>
              <w:left w:val="single" w:color="auto" w:sz="4" w:space="0"/>
              <w:bottom w:val="single" w:color="auto" w:sz="4" w:space="0"/>
              <w:right w:val="single" w:color="auto" w:sz="4" w:space="0"/>
            </w:tcBorders>
            <w:noWrap w:val="0"/>
            <w:vAlign w:val="center"/>
          </w:tcPr>
          <w:p w14:paraId="5F55DC6B">
            <w:pPr>
              <w:snapToGrid w:val="0"/>
              <w:spacing w:before="120" w:beforeLines="50" w:line="360" w:lineRule="auto"/>
              <w:rPr>
                <w:rFonts w:ascii="宋体" w:hAnsi="宋体"/>
                <w:color w:val="auto"/>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14:paraId="738877DE">
            <w:pPr>
              <w:snapToGrid w:val="0"/>
              <w:spacing w:before="120" w:beforeLines="50" w:line="360" w:lineRule="auto"/>
              <w:jc w:val="center"/>
              <w:rPr>
                <w:rFonts w:ascii="宋体" w:hAnsi="宋体"/>
                <w:color w:val="auto"/>
                <w:szCs w:val="21"/>
              </w:rPr>
            </w:pPr>
          </w:p>
        </w:tc>
        <w:tc>
          <w:tcPr>
            <w:tcW w:w="1467" w:type="dxa"/>
            <w:tcBorders>
              <w:top w:val="single" w:color="auto" w:sz="4" w:space="0"/>
              <w:left w:val="single" w:color="auto" w:sz="4" w:space="0"/>
              <w:bottom w:val="single" w:color="auto" w:sz="4" w:space="0"/>
              <w:right w:val="single" w:color="auto" w:sz="4" w:space="0"/>
            </w:tcBorders>
            <w:noWrap w:val="0"/>
            <w:vAlign w:val="center"/>
          </w:tcPr>
          <w:p w14:paraId="1528F4F7">
            <w:pPr>
              <w:snapToGrid w:val="0"/>
              <w:spacing w:before="120" w:beforeLines="50" w:line="360" w:lineRule="auto"/>
              <w:jc w:val="center"/>
              <w:rPr>
                <w:rFonts w:ascii="宋体" w:hAnsi="宋体"/>
                <w:color w:val="auto"/>
                <w:szCs w:val="21"/>
              </w:rPr>
            </w:pPr>
          </w:p>
        </w:tc>
      </w:tr>
      <w:tr w14:paraId="00E890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794" w:type="dxa"/>
            <w:tcBorders>
              <w:top w:val="single" w:color="auto" w:sz="4" w:space="0"/>
              <w:left w:val="single" w:color="auto" w:sz="4" w:space="0"/>
              <w:bottom w:val="single" w:color="auto" w:sz="4" w:space="0"/>
              <w:right w:val="single" w:color="auto" w:sz="4" w:space="0"/>
            </w:tcBorders>
            <w:noWrap w:val="0"/>
            <w:vAlign w:val="center"/>
          </w:tcPr>
          <w:p w14:paraId="0DA931C3">
            <w:pPr>
              <w:spacing w:line="360" w:lineRule="auto"/>
              <w:jc w:val="center"/>
              <w:rPr>
                <w:rFonts w:ascii="宋体" w:hAnsi="宋体"/>
                <w:color w:val="auto"/>
                <w:szCs w:val="21"/>
              </w:rPr>
            </w:pPr>
            <w:r>
              <w:rPr>
                <w:rFonts w:hint="eastAsia" w:ascii="宋体" w:hAnsi="宋体"/>
                <w:color w:val="auto"/>
                <w:szCs w:val="21"/>
              </w:rPr>
              <w:t>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523274">
            <w:pPr>
              <w:spacing w:line="360" w:lineRule="auto"/>
              <w:jc w:val="center"/>
              <w:rPr>
                <w:rFonts w:ascii="宋体" w:hAnsi="宋体"/>
                <w:color w:val="auto"/>
                <w:szCs w:val="21"/>
              </w:rPr>
            </w:pPr>
          </w:p>
        </w:tc>
        <w:tc>
          <w:tcPr>
            <w:tcW w:w="3861" w:type="dxa"/>
            <w:tcBorders>
              <w:top w:val="single" w:color="auto" w:sz="4" w:space="0"/>
              <w:left w:val="single" w:color="auto" w:sz="4" w:space="0"/>
              <w:bottom w:val="single" w:color="auto" w:sz="4" w:space="0"/>
              <w:right w:val="single" w:color="auto" w:sz="4" w:space="0"/>
            </w:tcBorders>
            <w:noWrap w:val="0"/>
            <w:vAlign w:val="center"/>
          </w:tcPr>
          <w:p w14:paraId="2AEBE8E1">
            <w:pPr>
              <w:snapToGrid w:val="0"/>
              <w:spacing w:before="120" w:beforeLines="50" w:line="360" w:lineRule="auto"/>
              <w:jc w:val="center"/>
              <w:rPr>
                <w:rFonts w:ascii="宋体" w:hAnsi="宋体"/>
                <w:color w:val="auto"/>
                <w:szCs w:val="21"/>
                <w:u w:val="single"/>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14:paraId="07810323">
            <w:pPr>
              <w:snapToGrid w:val="0"/>
              <w:spacing w:before="120" w:beforeLines="50" w:line="360" w:lineRule="auto"/>
              <w:ind w:left="43"/>
              <w:jc w:val="center"/>
              <w:rPr>
                <w:rFonts w:ascii="宋体" w:hAnsi="宋体"/>
                <w:color w:val="auto"/>
                <w:szCs w:val="21"/>
              </w:rPr>
            </w:pPr>
          </w:p>
        </w:tc>
        <w:tc>
          <w:tcPr>
            <w:tcW w:w="1467" w:type="dxa"/>
            <w:tcBorders>
              <w:top w:val="single" w:color="auto" w:sz="4" w:space="0"/>
              <w:left w:val="single" w:color="auto" w:sz="4" w:space="0"/>
              <w:bottom w:val="single" w:color="auto" w:sz="4" w:space="0"/>
              <w:right w:val="single" w:color="auto" w:sz="4" w:space="0"/>
            </w:tcBorders>
            <w:noWrap w:val="0"/>
            <w:vAlign w:val="center"/>
          </w:tcPr>
          <w:p w14:paraId="5F09F820">
            <w:pPr>
              <w:snapToGrid w:val="0"/>
              <w:spacing w:before="120" w:beforeLines="50" w:line="360" w:lineRule="auto"/>
              <w:ind w:left="43"/>
              <w:jc w:val="center"/>
              <w:rPr>
                <w:rFonts w:ascii="宋体" w:hAnsi="宋体"/>
                <w:color w:val="auto"/>
                <w:szCs w:val="21"/>
              </w:rPr>
            </w:pPr>
          </w:p>
        </w:tc>
      </w:tr>
      <w:tr w14:paraId="462C7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94" w:type="dxa"/>
            <w:tcBorders>
              <w:top w:val="single" w:color="auto" w:sz="4" w:space="0"/>
              <w:left w:val="single" w:color="auto" w:sz="4" w:space="0"/>
              <w:bottom w:val="single" w:color="auto" w:sz="4" w:space="0"/>
              <w:right w:val="single" w:color="auto" w:sz="4" w:space="0"/>
            </w:tcBorders>
            <w:noWrap w:val="0"/>
            <w:vAlign w:val="center"/>
          </w:tcPr>
          <w:p w14:paraId="54AFAD13">
            <w:pPr>
              <w:snapToGrid w:val="0"/>
              <w:spacing w:before="120" w:beforeLines="50" w:line="360" w:lineRule="auto"/>
              <w:jc w:val="center"/>
              <w:rPr>
                <w:rFonts w:hint="eastAsia" w:ascii="宋体" w:hAnsi="宋体"/>
                <w:color w:val="auto"/>
                <w:szCs w:val="21"/>
              </w:rPr>
            </w:pPr>
            <w:r>
              <w:rPr>
                <w:rFonts w:ascii="宋体" w:hAnsi="宋体"/>
                <w:color w:val="auto"/>
                <w:szCs w:val="21"/>
              </w:rPr>
              <w:t>……</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B185B5">
            <w:pPr>
              <w:snapToGrid w:val="0"/>
              <w:spacing w:before="120" w:beforeLines="50" w:line="360" w:lineRule="auto"/>
              <w:jc w:val="center"/>
              <w:rPr>
                <w:rFonts w:ascii="宋体" w:hAnsi="宋体"/>
                <w:color w:val="auto"/>
                <w:szCs w:val="21"/>
              </w:rPr>
            </w:pPr>
            <w:r>
              <w:rPr>
                <w:rFonts w:ascii="宋体" w:hAnsi="宋体"/>
                <w:color w:val="auto"/>
                <w:szCs w:val="21"/>
              </w:rPr>
              <w:t>……</w:t>
            </w:r>
          </w:p>
        </w:tc>
        <w:tc>
          <w:tcPr>
            <w:tcW w:w="3861" w:type="dxa"/>
            <w:tcBorders>
              <w:top w:val="single" w:color="auto" w:sz="4" w:space="0"/>
              <w:left w:val="single" w:color="auto" w:sz="4" w:space="0"/>
              <w:bottom w:val="single" w:color="auto" w:sz="4" w:space="0"/>
              <w:right w:val="single" w:color="auto" w:sz="4" w:space="0"/>
            </w:tcBorders>
            <w:noWrap w:val="0"/>
            <w:vAlign w:val="center"/>
          </w:tcPr>
          <w:p w14:paraId="3A80548E">
            <w:pPr>
              <w:snapToGrid w:val="0"/>
              <w:spacing w:before="120" w:beforeLines="50" w:line="360" w:lineRule="auto"/>
              <w:jc w:val="center"/>
              <w:rPr>
                <w:rFonts w:ascii="宋体" w:hAnsi="宋体"/>
                <w:color w:val="auto"/>
                <w:szCs w:val="21"/>
              </w:rPr>
            </w:pPr>
            <w:r>
              <w:rPr>
                <w:rFonts w:ascii="宋体" w:hAnsi="宋体"/>
                <w:color w:val="auto"/>
                <w:szCs w:val="21"/>
              </w:rPr>
              <w:t>……</w:t>
            </w:r>
          </w:p>
        </w:tc>
        <w:tc>
          <w:tcPr>
            <w:tcW w:w="1760" w:type="dxa"/>
            <w:tcBorders>
              <w:top w:val="single" w:color="auto" w:sz="4" w:space="0"/>
              <w:left w:val="single" w:color="auto" w:sz="4" w:space="0"/>
              <w:bottom w:val="single" w:color="auto" w:sz="4" w:space="0"/>
              <w:right w:val="single" w:color="auto" w:sz="4" w:space="0"/>
            </w:tcBorders>
            <w:noWrap w:val="0"/>
            <w:vAlign w:val="center"/>
          </w:tcPr>
          <w:p w14:paraId="0F2E9836">
            <w:pPr>
              <w:snapToGrid w:val="0"/>
              <w:spacing w:before="120" w:beforeLines="50" w:line="360" w:lineRule="auto"/>
              <w:jc w:val="center"/>
              <w:rPr>
                <w:rFonts w:ascii="宋体" w:hAnsi="宋体"/>
                <w:color w:val="auto"/>
                <w:szCs w:val="21"/>
              </w:rPr>
            </w:pPr>
            <w:r>
              <w:rPr>
                <w:rFonts w:ascii="宋体" w:hAnsi="宋体"/>
                <w:color w:val="auto"/>
                <w:szCs w:val="21"/>
              </w:rPr>
              <w:t>……</w:t>
            </w:r>
          </w:p>
        </w:tc>
        <w:tc>
          <w:tcPr>
            <w:tcW w:w="1467" w:type="dxa"/>
            <w:tcBorders>
              <w:top w:val="single" w:color="auto" w:sz="4" w:space="0"/>
              <w:left w:val="single" w:color="auto" w:sz="4" w:space="0"/>
              <w:bottom w:val="single" w:color="auto" w:sz="4" w:space="0"/>
              <w:right w:val="single" w:color="auto" w:sz="4" w:space="0"/>
            </w:tcBorders>
            <w:noWrap w:val="0"/>
            <w:vAlign w:val="center"/>
          </w:tcPr>
          <w:p w14:paraId="1B6BAF0C">
            <w:pPr>
              <w:snapToGrid w:val="0"/>
              <w:spacing w:before="120" w:beforeLines="50" w:line="360" w:lineRule="auto"/>
              <w:jc w:val="center"/>
              <w:rPr>
                <w:rFonts w:ascii="宋体" w:hAnsi="宋体"/>
                <w:color w:val="auto"/>
                <w:szCs w:val="21"/>
              </w:rPr>
            </w:pPr>
            <w:r>
              <w:rPr>
                <w:rFonts w:ascii="宋体" w:hAnsi="宋体"/>
                <w:color w:val="auto"/>
                <w:szCs w:val="21"/>
              </w:rPr>
              <w:t>……</w:t>
            </w:r>
          </w:p>
        </w:tc>
      </w:tr>
    </w:tbl>
    <w:p w14:paraId="64845411">
      <w:pPr>
        <w:pStyle w:val="17"/>
        <w:spacing w:line="360" w:lineRule="auto"/>
        <w:rPr>
          <w:rFonts w:ascii="宋体" w:hAnsi="宋体"/>
          <w:color w:val="auto"/>
          <w:sz w:val="21"/>
          <w:szCs w:val="21"/>
        </w:rPr>
      </w:pPr>
      <w:r>
        <w:rPr>
          <w:rFonts w:hint="eastAsia" w:ascii="宋体" w:hAnsi="宋体"/>
          <w:color w:val="auto"/>
          <w:sz w:val="21"/>
          <w:szCs w:val="21"/>
        </w:rPr>
        <w:t>注：</w:t>
      </w:r>
    </w:p>
    <w:p w14:paraId="17AB679B">
      <w:pPr>
        <w:pStyle w:val="19"/>
        <w:spacing w:line="360" w:lineRule="auto"/>
        <w:ind w:firstLine="420" w:firstLineChars="200"/>
        <w:rPr>
          <w:rFonts w:ascii="宋体" w:hAnsi="宋体" w:eastAsia="宋体" w:cs="仿宋_GB2312"/>
          <w:color w:val="auto"/>
          <w:sz w:val="21"/>
          <w:szCs w:val="21"/>
        </w:rPr>
      </w:pPr>
      <w:r>
        <w:rPr>
          <w:rFonts w:hint="eastAsia" w:ascii="宋体" w:hAnsi="宋体" w:eastAsia="宋体"/>
          <w:color w:val="auto"/>
          <w:sz w:val="21"/>
          <w:szCs w:val="21"/>
        </w:rPr>
        <w:t>1.说明：应对照招标文件“第二章 采购需求”中的商务要求逐条作明确的投标响应，并作出偏离说明。</w:t>
      </w:r>
    </w:p>
    <w:p w14:paraId="524AED2A">
      <w:pPr>
        <w:pStyle w:val="17"/>
        <w:spacing w:line="360" w:lineRule="auto"/>
        <w:ind w:firstLine="420" w:firstLineChars="200"/>
        <w:rPr>
          <w:rFonts w:ascii="宋体" w:hAnsi="宋体"/>
          <w:b w:val="0"/>
          <w:bCs w:val="0"/>
          <w:color w:val="auto"/>
          <w:sz w:val="21"/>
          <w:szCs w:val="21"/>
        </w:rPr>
      </w:pPr>
      <w:r>
        <w:rPr>
          <w:rFonts w:ascii="宋体" w:hAnsi="宋体"/>
          <w:b w:val="0"/>
          <w:bCs w:val="0"/>
          <w:color w:val="auto"/>
          <w:sz w:val="21"/>
          <w:szCs w:val="21"/>
        </w:rPr>
        <w:t>2.</w:t>
      </w:r>
      <w:r>
        <w:rPr>
          <w:rFonts w:hint="eastAsia" w:ascii="宋体" w:hAnsi="宋体"/>
          <w:b w:val="0"/>
          <w:bCs w:val="0"/>
          <w:color w:val="auto"/>
          <w:sz w:val="21"/>
          <w:szCs w:val="21"/>
        </w:rPr>
        <w:t>供应商应根据自身的承诺，对照招标文件要求在“偏离说明”中注明“</w:t>
      </w:r>
      <w:r>
        <w:rPr>
          <w:rFonts w:hint="eastAsia" w:ascii="宋体" w:hAnsi="宋体"/>
          <w:color w:val="auto"/>
          <w:sz w:val="21"/>
          <w:szCs w:val="21"/>
        </w:rPr>
        <w:t>正偏离</w:t>
      </w:r>
      <w:r>
        <w:rPr>
          <w:rFonts w:hint="eastAsia" w:ascii="宋体" w:hAnsi="宋体"/>
          <w:b w:val="0"/>
          <w:bCs w:val="0"/>
          <w:color w:val="auto"/>
          <w:sz w:val="21"/>
          <w:szCs w:val="21"/>
        </w:rPr>
        <w:t>”、“</w:t>
      </w:r>
      <w:r>
        <w:rPr>
          <w:rFonts w:hint="eastAsia" w:ascii="宋体" w:hAnsi="宋体"/>
          <w:color w:val="auto"/>
          <w:sz w:val="21"/>
          <w:szCs w:val="21"/>
        </w:rPr>
        <w:t>负偏离</w:t>
      </w:r>
      <w:r>
        <w:rPr>
          <w:rFonts w:hint="eastAsia" w:ascii="宋体" w:hAnsi="宋体"/>
          <w:b w:val="0"/>
          <w:bCs w:val="0"/>
          <w:color w:val="auto"/>
          <w:sz w:val="21"/>
          <w:szCs w:val="21"/>
        </w:rPr>
        <w:t>”或者“</w:t>
      </w:r>
      <w:r>
        <w:rPr>
          <w:rFonts w:hint="eastAsia" w:ascii="宋体" w:hAnsi="宋体"/>
          <w:color w:val="auto"/>
          <w:sz w:val="21"/>
          <w:szCs w:val="21"/>
        </w:rPr>
        <w:t>无偏离</w:t>
      </w:r>
      <w:r>
        <w:rPr>
          <w:rFonts w:hint="eastAsia" w:ascii="宋体" w:hAnsi="宋体"/>
          <w:b w:val="0"/>
          <w:bCs w:val="0"/>
          <w:color w:val="auto"/>
          <w:sz w:val="21"/>
          <w:szCs w:val="21"/>
        </w:rPr>
        <w:t>”。既不属于“</w:t>
      </w:r>
      <w:r>
        <w:rPr>
          <w:rFonts w:hint="eastAsia" w:ascii="宋体" w:hAnsi="宋体"/>
          <w:color w:val="auto"/>
          <w:sz w:val="21"/>
          <w:szCs w:val="21"/>
        </w:rPr>
        <w:t>正偏离</w:t>
      </w:r>
      <w:r>
        <w:rPr>
          <w:rFonts w:hint="eastAsia" w:ascii="宋体" w:hAnsi="宋体"/>
          <w:b w:val="0"/>
          <w:bCs w:val="0"/>
          <w:color w:val="auto"/>
          <w:sz w:val="21"/>
          <w:szCs w:val="21"/>
        </w:rPr>
        <w:t>”也不属于“</w:t>
      </w:r>
      <w:r>
        <w:rPr>
          <w:rFonts w:hint="eastAsia" w:ascii="宋体" w:hAnsi="宋体"/>
          <w:color w:val="auto"/>
          <w:sz w:val="21"/>
          <w:szCs w:val="21"/>
        </w:rPr>
        <w:t>负偏离</w:t>
      </w:r>
      <w:r>
        <w:rPr>
          <w:rFonts w:hint="eastAsia" w:ascii="宋体" w:hAnsi="宋体"/>
          <w:b w:val="0"/>
          <w:bCs w:val="0"/>
          <w:color w:val="auto"/>
          <w:sz w:val="21"/>
          <w:szCs w:val="21"/>
        </w:rPr>
        <w:t>”即为“</w:t>
      </w:r>
      <w:r>
        <w:rPr>
          <w:rFonts w:hint="eastAsia" w:ascii="宋体" w:hAnsi="宋体"/>
          <w:color w:val="auto"/>
          <w:sz w:val="21"/>
          <w:szCs w:val="21"/>
        </w:rPr>
        <w:t>无偏离</w:t>
      </w:r>
      <w:r>
        <w:rPr>
          <w:rFonts w:hint="eastAsia" w:ascii="宋体" w:hAnsi="宋体"/>
          <w:b w:val="0"/>
          <w:bCs w:val="0"/>
          <w:color w:val="auto"/>
          <w:sz w:val="21"/>
          <w:szCs w:val="21"/>
        </w:rPr>
        <w:t>”。</w:t>
      </w:r>
    </w:p>
    <w:p w14:paraId="7490D211">
      <w:pPr>
        <w:snapToGrid w:val="0"/>
        <w:spacing w:before="50" w:after="50" w:line="360" w:lineRule="auto"/>
        <w:rPr>
          <w:rFonts w:hint="eastAsia" w:ascii="宋体" w:hAnsi="宋体"/>
          <w:color w:val="auto"/>
          <w:szCs w:val="21"/>
        </w:rPr>
      </w:pPr>
    </w:p>
    <w:p w14:paraId="4E0BE292">
      <w:pPr>
        <w:snapToGrid w:val="0"/>
        <w:spacing w:before="50" w:after="50" w:line="360" w:lineRule="auto"/>
        <w:rPr>
          <w:rFonts w:hint="eastAsia" w:ascii="宋体" w:hAnsi="宋体"/>
          <w:color w:val="auto"/>
          <w:szCs w:val="21"/>
        </w:rPr>
      </w:pPr>
    </w:p>
    <w:p w14:paraId="4143F4FF">
      <w:pPr>
        <w:snapToGrid w:val="0"/>
        <w:spacing w:before="50" w:after="50" w:line="360" w:lineRule="auto"/>
        <w:rPr>
          <w:rFonts w:hint="eastAsia" w:ascii="宋体" w:hAnsi="宋体"/>
          <w:color w:val="auto"/>
          <w:szCs w:val="21"/>
        </w:rPr>
      </w:pPr>
    </w:p>
    <w:p w14:paraId="7553E4DB">
      <w:pPr>
        <w:snapToGrid w:val="0"/>
        <w:spacing w:before="50" w:after="50" w:line="360" w:lineRule="auto"/>
        <w:rPr>
          <w:rFonts w:ascii="宋体" w:hAnsi="宋体"/>
          <w:color w:val="auto"/>
          <w:spacing w:val="20"/>
          <w:szCs w:val="21"/>
          <w:u w:val="single"/>
        </w:rPr>
      </w:pPr>
    </w:p>
    <w:p w14:paraId="73AE0CD4">
      <w:pPr>
        <w:pStyle w:val="24"/>
        <w:spacing w:line="360" w:lineRule="auto"/>
        <w:ind w:firstLine="4800" w:firstLineChars="2400"/>
        <w:rPr>
          <w:rFonts w:hAnsi="宋体"/>
          <w:color w:val="auto"/>
          <w:sz w:val="21"/>
        </w:rPr>
      </w:pPr>
      <w:r>
        <w:rPr>
          <w:rFonts w:hint="eastAsia" w:hAnsi="宋体"/>
          <w:color w:val="auto"/>
        </w:rPr>
        <w:t xml:space="preserve"> </w:t>
      </w: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2EB0DA29">
      <w:pPr>
        <w:wordWrap w:val="0"/>
        <w:snapToGrid w:val="0"/>
        <w:spacing w:before="120" w:beforeLines="50" w:after="50" w:line="360" w:lineRule="auto"/>
        <w:ind w:left="540"/>
        <w:jc w:val="center"/>
        <w:rPr>
          <w:rFonts w:ascii="宋体" w:hAnsi="宋体"/>
          <w:color w:val="auto"/>
          <w:szCs w:val="21"/>
        </w:rPr>
      </w:pPr>
      <w:r>
        <w:rPr>
          <w:rFonts w:hint="eastAsia" w:ascii="宋体" w:hAnsi="宋体"/>
          <w:color w:val="auto"/>
          <w:szCs w:val="21"/>
        </w:rPr>
        <w:t xml:space="preserve">                             日期：   年   月   日</w:t>
      </w:r>
    </w:p>
    <w:p w14:paraId="2EFC3F08">
      <w:pPr>
        <w:snapToGrid w:val="0"/>
        <w:spacing w:before="120" w:beforeLines="50" w:line="360" w:lineRule="auto"/>
        <w:rPr>
          <w:rFonts w:ascii="宋体" w:hAnsi="宋体"/>
          <w:color w:val="auto"/>
          <w:sz w:val="24"/>
          <w:szCs w:val="20"/>
        </w:rPr>
      </w:pPr>
    </w:p>
    <w:p w14:paraId="5712D137">
      <w:pPr>
        <w:snapToGrid w:val="0"/>
        <w:spacing w:before="120" w:beforeLines="50" w:after="50" w:line="360" w:lineRule="auto"/>
        <w:jc w:val="left"/>
        <w:rPr>
          <w:rFonts w:ascii="宋体" w:hAnsi="宋体"/>
          <w:color w:val="auto"/>
          <w:sz w:val="24"/>
          <w:szCs w:val="20"/>
        </w:rPr>
      </w:pPr>
    </w:p>
    <w:p w14:paraId="6106CD6A">
      <w:pPr>
        <w:snapToGrid w:val="0"/>
        <w:spacing w:before="50" w:line="360" w:lineRule="auto"/>
        <w:jc w:val="left"/>
        <w:rPr>
          <w:rFonts w:ascii="宋体" w:hAnsi="宋体"/>
          <w:color w:val="auto"/>
          <w:sz w:val="24"/>
        </w:rPr>
      </w:pPr>
    </w:p>
    <w:p w14:paraId="77C15995">
      <w:pPr>
        <w:snapToGrid w:val="0"/>
        <w:spacing w:before="120" w:beforeLines="50" w:line="360" w:lineRule="auto"/>
        <w:rPr>
          <w:rFonts w:ascii="宋体" w:hAnsi="宋体"/>
          <w:color w:val="auto"/>
          <w:sz w:val="24"/>
          <w:szCs w:val="20"/>
        </w:rPr>
        <w:sectPr>
          <w:footerReference r:id="rId7" w:type="first"/>
          <w:footerReference r:id="rId6" w:type="default"/>
          <w:pgSz w:w="11906" w:h="16838"/>
          <w:pgMar w:top="1327" w:right="1304" w:bottom="1327" w:left="1304" w:header="851" w:footer="992" w:gutter="0"/>
          <w:pgNumType w:start="1"/>
          <w:cols w:space="720" w:num="1"/>
          <w:titlePg/>
          <w:docGrid w:linePitch="312" w:charSpace="0"/>
        </w:sectPr>
      </w:pPr>
    </w:p>
    <w:p w14:paraId="6C6D39B7">
      <w:pPr>
        <w:numPr>
          <w:ilvl w:val="0"/>
          <w:numId w:val="7"/>
        </w:numPr>
        <w:rPr>
          <w:rFonts w:hint="eastAsia" w:ascii="宋体" w:hAnsi="宋体" w:cs="宋体"/>
          <w:b/>
          <w:bCs/>
          <w:color w:val="auto"/>
          <w:sz w:val="28"/>
          <w:szCs w:val="36"/>
        </w:rPr>
      </w:pPr>
      <w:r>
        <w:rPr>
          <w:rFonts w:hint="eastAsia" w:ascii="宋体" w:hAnsi="宋体" w:cs="宋体"/>
          <w:b/>
          <w:bCs/>
          <w:color w:val="auto"/>
          <w:sz w:val="28"/>
          <w:szCs w:val="36"/>
        </w:rPr>
        <w:t>技术要求偏离表格式</w:t>
      </w:r>
    </w:p>
    <w:p w14:paraId="05587C54">
      <w:pPr>
        <w:snapToGrid w:val="0"/>
        <w:spacing w:before="120" w:beforeLines="50" w:after="50" w:line="360" w:lineRule="auto"/>
        <w:ind w:left="142"/>
        <w:jc w:val="center"/>
        <w:rPr>
          <w:rFonts w:ascii="宋体" w:hAnsi="宋体"/>
          <w:bCs/>
          <w:color w:val="auto"/>
          <w:sz w:val="36"/>
          <w:szCs w:val="36"/>
        </w:rPr>
      </w:pPr>
      <w:r>
        <w:rPr>
          <w:rFonts w:hint="eastAsia" w:ascii="宋体" w:hAnsi="宋体"/>
          <w:bCs/>
          <w:color w:val="auto"/>
          <w:sz w:val="36"/>
          <w:szCs w:val="36"/>
        </w:rPr>
        <w:t>技术要求偏离表</w:t>
      </w:r>
    </w:p>
    <w:tbl>
      <w:tblPr>
        <w:tblStyle w:val="47"/>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498"/>
        <w:gridCol w:w="3033"/>
        <w:gridCol w:w="2485"/>
        <w:gridCol w:w="1652"/>
      </w:tblGrid>
      <w:tr w14:paraId="7A23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0" w:type="dxa"/>
            <w:noWrap w:val="0"/>
            <w:vAlign w:val="center"/>
          </w:tcPr>
          <w:p w14:paraId="5294B410">
            <w:pPr>
              <w:pStyle w:val="24"/>
              <w:spacing w:line="360" w:lineRule="auto"/>
              <w:jc w:val="center"/>
              <w:rPr>
                <w:rFonts w:hAnsi="宋体" w:cs="Courier New"/>
                <w:color w:val="auto"/>
                <w:kern w:val="2"/>
                <w:sz w:val="21"/>
              </w:rPr>
            </w:pPr>
            <w:r>
              <w:rPr>
                <w:rFonts w:hint="eastAsia" w:hAnsi="宋体" w:cs="Courier New"/>
                <w:color w:val="auto"/>
                <w:kern w:val="2"/>
                <w:sz w:val="21"/>
                <w:lang w:val="en-US" w:eastAsia="zh-CN"/>
              </w:rPr>
              <w:t>序号</w:t>
            </w:r>
          </w:p>
        </w:tc>
        <w:tc>
          <w:tcPr>
            <w:tcW w:w="1498" w:type="dxa"/>
            <w:noWrap w:val="0"/>
            <w:vAlign w:val="center"/>
          </w:tcPr>
          <w:p w14:paraId="200F507C">
            <w:pPr>
              <w:pStyle w:val="24"/>
              <w:spacing w:line="360" w:lineRule="auto"/>
              <w:jc w:val="center"/>
              <w:rPr>
                <w:rFonts w:hint="default" w:hAnsi="宋体" w:eastAsia="宋体" w:cs="Courier New"/>
                <w:color w:val="auto"/>
                <w:kern w:val="2"/>
                <w:sz w:val="21"/>
                <w:lang w:val="en-US" w:eastAsia="zh-CN"/>
              </w:rPr>
            </w:pPr>
            <w:r>
              <w:rPr>
                <w:rFonts w:hint="eastAsia" w:hAnsi="宋体" w:cs="Courier New"/>
                <w:color w:val="auto"/>
                <w:kern w:val="2"/>
                <w:sz w:val="21"/>
                <w:lang w:val="en-US" w:eastAsia="zh-CN"/>
              </w:rPr>
              <w:t>标的名称</w:t>
            </w:r>
          </w:p>
        </w:tc>
        <w:tc>
          <w:tcPr>
            <w:tcW w:w="3033" w:type="dxa"/>
            <w:noWrap w:val="0"/>
            <w:vAlign w:val="center"/>
          </w:tcPr>
          <w:p w14:paraId="01706F5D">
            <w:pPr>
              <w:pStyle w:val="24"/>
              <w:spacing w:line="360" w:lineRule="auto"/>
              <w:jc w:val="center"/>
              <w:rPr>
                <w:rFonts w:hAnsi="宋体" w:cs="Courier New"/>
                <w:color w:val="auto"/>
                <w:kern w:val="2"/>
                <w:sz w:val="21"/>
              </w:rPr>
            </w:pPr>
            <w:r>
              <w:rPr>
                <w:rFonts w:hint="eastAsia" w:hAnsi="宋体" w:cs="Courier New"/>
                <w:color w:val="auto"/>
                <w:kern w:val="2"/>
                <w:sz w:val="21"/>
              </w:rPr>
              <w:t>技术参数及</w:t>
            </w:r>
            <w:r>
              <w:rPr>
                <w:rFonts w:hint="eastAsia" w:hAnsi="宋体" w:cs="Courier New"/>
                <w:color w:val="auto"/>
                <w:kern w:val="2"/>
                <w:sz w:val="21"/>
                <w:lang w:val="en-US" w:eastAsia="zh-CN"/>
              </w:rPr>
              <w:t>性能（配置）</w:t>
            </w:r>
            <w:r>
              <w:rPr>
                <w:rFonts w:hint="eastAsia" w:hAnsi="宋体" w:cs="Courier New"/>
                <w:color w:val="auto"/>
                <w:kern w:val="2"/>
                <w:sz w:val="21"/>
              </w:rPr>
              <w:t>要求</w:t>
            </w:r>
          </w:p>
        </w:tc>
        <w:tc>
          <w:tcPr>
            <w:tcW w:w="2485" w:type="dxa"/>
            <w:noWrap w:val="0"/>
            <w:vAlign w:val="center"/>
          </w:tcPr>
          <w:p w14:paraId="4E3C8A9E">
            <w:pPr>
              <w:pStyle w:val="24"/>
              <w:spacing w:line="360" w:lineRule="auto"/>
              <w:jc w:val="center"/>
              <w:rPr>
                <w:rFonts w:hint="default" w:hAnsi="宋体" w:eastAsia="宋体" w:cs="Courier New"/>
                <w:color w:val="auto"/>
                <w:kern w:val="2"/>
                <w:sz w:val="21"/>
                <w:lang w:val="en-US" w:eastAsia="zh-CN"/>
              </w:rPr>
            </w:pPr>
            <w:r>
              <w:rPr>
                <w:rFonts w:hint="eastAsia" w:hAnsi="宋体" w:cs="Courier New"/>
                <w:color w:val="auto"/>
                <w:kern w:val="2"/>
                <w:sz w:val="21"/>
              </w:rPr>
              <w:t>响应</w:t>
            </w:r>
            <w:r>
              <w:rPr>
                <w:rFonts w:hint="eastAsia" w:hAnsi="宋体" w:cs="Courier New"/>
                <w:color w:val="auto"/>
                <w:kern w:val="2"/>
                <w:sz w:val="21"/>
                <w:lang w:val="en-US" w:eastAsia="zh-CN"/>
              </w:rPr>
              <w:t>情况</w:t>
            </w:r>
          </w:p>
        </w:tc>
        <w:tc>
          <w:tcPr>
            <w:tcW w:w="1652" w:type="dxa"/>
            <w:noWrap w:val="0"/>
            <w:vAlign w:val="center"/>
          </w:tcPr>
          <w:p w14:paraId="568DF373">
            <w:pPr>
              <w:pStyle w:val="24"/>
              <w:spacing w:line="360" w:lineRule="auto"/>
              <w:jc w:val="center"/>
              <w:rPr>
                <w:rFonts w:hAnsi="宋体" w:cs="Courier New"/>
                <w:color w:val="auto"/>
                <w:kern w:val="2"/>
                <w:sz w:val="21"/>
              </w:rPr>
            </w:pPr>
            <w:r>
              <w:rPr>
                <w:rFonts w:hint="eastAsia" w:hAnsi="宋体" w:cs="Courier New"/>
                <w:color w:val="auto"/>
                <w:kern w:val="2"/>
                <w:sz w:val="21"/>
              </w:rPr>
              <w:t>偏离说明</w:t>
            </w:r>
          </w:p>
        </w:tc>
      </w:tr>
      <w:tr w14:paraId="7722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noWrap w:val="0"/>
            <w:vAlign w:val="top"/>
          </w:tcPr>
          <w:p w14:paraId="72008B15">
            <w:pPr>
              <w:pStyle w:val="24"/>
              <w:spacing w:line="360" w:lineRule="auto"/>
              <w:jc w:val="center"/>
              <w:rPr>
                <w:rFonts w:hAnsi="宋体" w:cs="Courier New"/>
                <w:color w:val="auto"/>
                <w:kern w:val="2"/>
                <w:sz w:val="21"/>
              </w:rPr>
            </w:pPr>
          </w:p>
        </w:tc>
        <w:tc>
          <w:tcPr>
            <w:tcW w:w="1498" w:type="dxa"/>
            <w:noWrap w:val="0"/>
            <w:vAlign w:val="center"/>
          </w:tcPr>
          <w:p w14:paraId="054081BC">
            <w:pPr>
              <w:pStyle w:val="24"/>
              <w:spacing w:line="360" w:lineRule="auto"/>
              <w:jc w:val="center"/>
              <w:rPr>
                <w:rFonts w:hAnsi="宋体" w:cs="Courier New"/>
                <w:color w:val="auto"/>
                <w:kern w:val="2"/>
                <w:sz w:val="21"/>
              </w:rPr>
            </w:pPr>
          </w:p>
        </w:tc>
        <w:tc>
          <w:tcPr>
            <w:tcW w:w="3033" w:type="dxa"/>
            <w:noWrap w:val="0"/>
            <w:vAlign w:val="center"/>
          </w:tcPr>
          <w:p w14:paraId="57C2ABC9">
            <w:pPr>
              <w:pStyle w:val="24"/>
              <w:spacing w:line="360" w:lineRule="auto"/>
              <w:jc w:val="center"/>
              <w:rPr>
                <w:rFonts w:hAnsi="宋体" w:cs="Courier New"/>
                <w:color w:val="auto"/>
                <w:kern w:val="2"/>
                <w:sz w:val="21"/>
              </w:rPr>
            </w:pPr>
          </w:p>
        </w:tc>
        <w:tc>
          <w:tcPr>
            <w:tcW w:w="2485" w:type="dxa"/>
            <w:noWrap w:val="0"/>
            <w:vAlign w:val="center"/>
          </w:tcPr>
          <w:p w14:paraId="14762CC8">
            <w:pPr>
              <w:pStyle w:val="24"/>
              <w:spacing w:line="360" w:lineRule="auto"/>
              <w:jc w:val="center"/>
              <w:rPr>
                <w:rFonts w:hAnsi="宋体" w:cs="Courier New"/>
                <w:color w:val="auto"/>
                <w:kern w:val="2"/>
                <w:sz w:val="21"/>
              </w:rPr>
            </w:pPr>
          </w:p>
        </w:tc>
        <w:tc>
          <w:tcPr>
            <w:tcW w:w="1652" w:type="dxa"/>
            <w:noWrap w:val="0"/>
            <w:vAlign w:val="center"/>
          </w:tcPr>
          <w:p w14:paraId="2AFD3E9F">
            <w:pPr>
              <w:pStyle w:val="24"/>
              <w:spacing w:line="360" w:lineRule="auto"/>
              <w:jc w:val="center"/>
              <w:rPr>
                <w:rFonts w:hAnsi="宋体" w:cs="Courier New"/>
                <w:color w:val="auto"/>
                <w:kern w:val="2"/>
                <w:sz w:val="21"/>
              </w:rPr>
            </w:pPr>
          </w:p>
        </w:tc>
      </w:tr>
      <w:tr w14:paraId="6D23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noWrap w:val="0"/>
            <w:vAlign w:val="top"/>
          </w:tcPr>
          <w:p w14:paraId="133F2970">
            <w:pPr>
              <w:pStyle w:val="24"/>
              <w:spacing w:line="360" w:lineRule="auto"/>
              <w:rPr>
                <w:rFonts w:hAnsi="宋体" w:cs="Courier New"/>
                <w:color w:val="auto"/>
                <w:kern w:val="2"/>
                <w:sz w:val="21"/>
              </w:rPr>
            </w:pPr>
          </w:p>
        </w:tc>
        <w:tc>
          <w:tcPr>
            <w:tcW w:w="1498" w:type="dxa"/>
            <w:noWrap w:val="0"/>
            <w:vAlign w:val="top"/>
          </w:tcPr>
          <w:p w14:paraId="294EFB05">
            <w:pPr>
              <w:pStyle w:val="24"/>
              <w:spacing w:line="360" w:lineRule="auto"/>
              <w:rPr>
                <w:rFonts w:hAnsi="宋体" w:cs="Courier New"/>
                <w:color w:val="auto"/>
                <w:kern w:val="2"/>
                <w:sz w:val="21"/>
              </w:rPr>
            </w:pPr>
          </w:p>
        </w:tc>
        <w:tc>
          <w:tcPr>
            <w:tcW w:w="3033" w:type="dxa"/>
            <w:noWrap w:val="0"/>
            <w:vAlign w:val="top"/>
          </w:tcPr>
          <w:p w14:paraId="00FC4490">
            <w:pPr>
              <w:pStyle w:val="24"/>
              <w:spacing w:line="360" w:lineRule="auto"/>
              <w:rPr>
                <w:rFonts w:hAnsi="宋体" w:cs="Courier New"/>
                <w:color w:val="auto"/>
                <w:kern w:val="2"/>
                <w:sz w:val="21"/>
              </w:rPr>
            </w:pPr>
          </w:p>
        </w:tc>
        <w:tc>
          <w:tcPr>
            <w:tcW w:w="2485" w:type="dxa"/>
            <w:noWrap w:val="0"/>
            <w:vAlign w:val="top"/>
          </w:tcPr>
          <w:p w14:paraId="1BEF78BF">
            <w:pPr>
              <w:pStyle w:val="24"/>
              <w:spacing w:line="360" w:lineRule="auto"/>
              <w:rPr>
                <w:rFonts w:hAnsi="宋体" w:cs="Courier New"/>
                <w:color w:val="auto"/>
                <w:kern w:val="2"/>
                <w:sz w:val="21"/>
              </w:rPr>
            </w:pPr>
          </w:p>
        </w:tc>
        <w:tc>
          <w:tcPr>
            <w:tcW w:w="1652" w:type="dxa"/>
            <w:noWrap w:val="0"/>
            <w:vAlign w:val="top"/>
          </w:tcPr>
          <w:p w14:paraId="706909A7">
            <w:pPr>
              <w:pStyle w:val="24"/>
              <w:spacing w:line="360" w:lineRule="auto"/>
              <w:rPr>
                <w:rFonts w:hAnsi="宋体" w:cs="Courier New"/>
                <w:color w:val="auto"/>
                <w:kern w:val="2"/>
                <w:sz w:val="21"/>
              </w:rPr>
            </w:pPr>
          </w:p>
        </w:tc>
      </w:tr>
      <w:tr w14:paraId="7B4D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noWrap w:val="0"/>
            <w:vAlign w:val="top"/>
          </w:tcPr>
          <w:p w14:paraId="10C7BD3D">
            <w:pPr>
              <w:pStyle w:val="24"/>
              <w:spacing w:line="360" w:lineRule="auto"/>
              <w:jc w:val="center"/>
              <w:rPr>
                <w:rFonts w:hAnsi="宋体" w:cs="Courier New"/>
                <w:color w:val="auto"/>
                <w:kern w:val="2"/>
                <w:sz w:val="21"/>
              </w:rPr>
            </w:pPr>
            <w:r>
              <w:rPr>
                <w:rFonts w:hAnsi="宋体"/>
                <w:color w:val="auto"/>
              </w:rPr>
              <w:t>……</w:t>
            </w:r>
          </w:p>
        </w:tc>
        <w:tc>
          <w:tcPr>
            <w:tcW w:w="1498" w:type="dxa"/>
            <w:noWrap w:val="0"/>
            <w:vAlign w:val="top"/>
          </w:tcPr>
          <w:p w14:paraId="2C2CABA8">
            <w:pPr>
              <w:pStyle w:val="24"/>
              <w:spacing w:line="360" w:lineRule="auto"/>
              <w:rPr>
                <w:rFonts w:hAnsi="宋体" w:cs="Courier New"/>
                <w:color w:val="auto"/>
                <w:kern w:val="2"/>
                <w:sz w:val="21"/>
              </w:rPr>
            </w:pPr>
          </w:p>
        </w:tc>
        <w:tc>
          <w:tcPr>
            <w:tcW w:w="3033" w:type="dxa"/>
            <w:noWrap w:val="0"/>
            <w:vAlign w:val="top"/>
          </w:tcPr>
          <w:p w14:paraId="04402F2B">
            <w:pPr>
              <w:pStyle w:val="24"/>
              <w:spacing w:line="360" w:lineRule="auto"/>
              <w:rPr>
                <w:rFonts w:hAnsi="宋体" w:cs="Courier New"/>
                <w:color w:val="auto"/>
                <w:kern w:val="2"/>
                <w:sz w:val="21"/>
              </w:rPr>
            </w:pPr>
          </w:p>
        </w:tc>
        <w:tc>
          <w:tcPr>
            <w:tcW w:w="2485" w:type="dxa"/>
            <w:noWrap w:val="0"/>
            <w:vAlign w:val="top"/>
          </w:tcPr>
          <w:p w14:paraId="6D132FEE">
            <w:pPr>
              <w:pStyle w:val="24"/>
              <w:spacing w:line="360" w:lineRule="auto"/>
              <w:rPr>
                <w:rFonts w:hAnsi="宋体" w:cs="Courier New"/>
                <w:color w:val="auto"/>
                <w:kern w:val="2"/>
                <w:sz w:val="21"/>
              </w:rPr>
            </w:pPr>
          </w:p>
        </w:tc>
        <w:tc>
          <w:tcPr>
            <w:tcW w:w="1652" w:type="dxa"/>
            <w:noWrap w:val="0"/>
            <w:vAlign w:val="top"/>
          </w:tcPr>
          <w:p w14:paraId="3951255F">
            <w:pPr>
              <w:pStyle w:val="24"/>
              <w:spacing w:line="360" w:lineRule="auto"/>
              <w:rPr>
                <w:rFonts w:hAnsi="宋体" w:cs="Courier New"/>
                <w:color w:val="auto"/>
                <w:kern w:val="2"/>
                <w:sz w:val="21"/>
              </w:rPr>
            </w:pPr>
          </w:p>
        </w:tc>
      </w:tr>
    </w:tbl>
    <w:p w14:paraId="1C3092F5">
      <w:pPr>
        <w:pStyle w:val="17"/>
        <w:spacing w:line="360" w:lineRule="auto"/>
        <w:rPr>
          <w:rFonts w:ascii="宋体" w:hAnsi="宋体"/>
          <w:color w:val="auto"/>
          <w:sz w:val="21"/>
          <w:szCs w:val="21"/>
        </w:rPr>
      </w:pPr>
      <w:r>
        <w:rPr>
          <w:rFonts w:hint="eastAsia" w:ascii="宋体" w:hAnsi="宋体"/>
          <w:color w:val="auto"/>
          <w:sz w:val="21"/>
          <w:szCs w:val="21"/>
        </w:rPr>
        <w:t>注：</w:t>
      </w:r>
    </w:p>
    <w:p w14:paraId="148608F9">
      <w:pPr>
        <w:pStyle w:val="19"/>
        <w:spacing w:line="360" w:lineRule="auto"/>
        <w:ind w:firstLine="420" w:firstLineChars="200"/>
        <w:rPr>
          <w:rFonts w:hint="eastAsia" w:ascii="宋体" w:hAnsi="宋体" w:eastAsia="宋体" w:cs="仿宋_GB2312"/>
          <w:color w:val="auto"/>
          <w:sz w:val="21"/>
          <w:szCs w:val="21"/>
        </w:rPr>
      </w:pPr>
      <w:r>
        <w:rPr>
          <w:rFonts w:hint="eastAsia" w:ascii="宋体" w:hAnsi="宋体" w:eastAsia="宋体"/>
          <w:color w:val="auto"/>
          <w:sz w:val="21"/>
          <w:szCs w:val="21"/>
        </w:rPr>
        <w:t>1. 说明：应对照招标文件“第二章 采购需求”中的“技术要求”逐条作明确的投标响应，并作出偏离说明。</w:t>
      </w:r>
    </w:p>
    <w:p w14:paraId="162EB9EF">
      <w:pPr>
        <w:pStyle w:val="17"/>
        <w:spacing w:line="360" w:lineRule="auto"/>
        <w:ind w:firstLine="420" w:firstLineChars="200"/>
        <w:rPr>
          <w:rFonts w:hint="eastAsia" w:ascii="宋体" w:hAnsi="宋体"/>
          <w:b w:val="0"/>
          <w:bCs w:val="0"/>
          <w:color w:val="auto"/>
          <w:sz w:val="21"/>
          <w:szCs w:val="21"/>
        </w:rPr>
      </w:pPr>
      <w:r>
        <w:rPr>
          <w:rFonts w:ascii="宋体" w:hAnsi="宋体"/>
          <w:b w:val="0"/>
          <w:bCs w:val="0"/>
          <w:color w:val="auto"/>
          <w:sz w:val="21"/>
          <w:szCs w:val="21"/>
        </w:rPr>
        <w:t>2.</w:t>
      </w:r>
      <w:r>
        <w:rPr>
          <w:rFonts w:hint="eastAsia" w:ascii="宋体" w:hAnsi="宋体"/>
          <w:b w:val="0"/>
          <w:bCs w:val="0"/>
          <w:color w:val="auto"/>
          <w:sz w:val="21"/>
          <w:szCs w:val="21"/>
        </w:rPr>
        <w:t>供应商根据投标货物的性能指标，对照招标文件技术要求，在“偏离说明”中注明“</w:t>
      </w:r>
      <w:r>
        <w:rPr>
          <w:rFonts w:hint="eastAsia" w:ascii="宋体" w:hAnsi="宋体"/>
          <w:color w:val="auto"/>
          <w:sz w:val="21"/>
          <w:szCs w:val="21"/>
        </w:rPr>
        <w:t>正偏离</w:t>
      </w:r>
      <w:r>
        <w:rPr>
          <w:rFonts w:hint="eastAsia" w:ascii="宋体" w:hAnsi="宋体"/>
          <w:b w:val="0"/>
          <w:bCs w:val="0"/>
          <w:color w:val="auto"/>
          <w:sz w:val="21"/>
          <w:szCs w:val="21"/>
        </w:rPr>
        <w:t>”、“</w:t>
      </w:r>
      <w:r>
        <w:rPr>
          <w:rFonts w:hint="eastAsia" w:ascii="宋体" w:hAnsi="宋体"/>
          <w:color w:val="auto"/>
          <w:sz w:val="21"/>
          <w:szCs w:val="21"/>
        </w:rPr>
        <w:t>负偏离</w:t>
      </w:r>
      <w:r>
        <w:rPr>
          <w:rFonts w:hint="eastAsia" w:ascii="宋体" w:hAnsi="宋体"/>
          <w:b w:val="0"/>
          <w:bCs w:val="0"/>
          <w:color w:val="auto"/>
          <w:sz w:val="21"/>
          <w:szCs w:val="21"/>
        </w:rPr>
        <w:t>”或者“</w:t>
      </w:r>
      <w:r>
        <w:rPr>
          <w:rFonts w:hint="eastAsia" w:ascii="宋体" w:hAnsi="宋体"/>
          <w:color w:val="auto"/>
          <w:sz w:val="21"/>
          <w:szCs w:val="21"/>
        </w:rPr>
        <w:t>无偏离</w:t>
      </w:r>
      <w:r>
        <w:rPr>
          <w:rFonts w:hint="eastAsia" w:ascii="宋体" w:hAnsi="宋体"/>
          <w:b w:val="0"/>
          <w:bCs w:val="0"/>
          <w:color w:val="auto"/>
          <w:sz w:val="21"/>
          <w:szCs w:val="21"/>
        </w:rPr>
        <w:t>”。既不属于“</w:t>
      </w:r>
      <w:r>
        <w:rPr>
          <w:rFonts w:hint="eastAsia" w:ascii="宋体" w:hAnsi="宋体"/>
          <w:color w:val="auto"/>
          <w:sz w:val="21"/>
          <w:szCs w:val="21"/>
        </w:rPr>
        <w:t>正偏离</w:t>
      </w:r>
      <w:r>
        <w:rPr>
          <w:rFonts w:hint="eastAsia" w:ascii="宋体" w:hAnsi="宋体"/>
          <w:b w:val="0"/>
          <w:bCs w:val="0"/>
          <w:color w:val="auto"/>
          <w:sz w:val="21"/>
          <w:szCs w:val="21"/>
        </w:rPr>
        <w:t>”也不属于“</w:t>
      </w:r>
      <w:r>
        <w:rPr>
          <w:rFonts w:hint="eastAsia" w:ascii="宋体" w:hAnsi="宋体"/>
          <w:color w:val="auto"/>
          <w:sz w:val="21"/>
          <w:szCs w:val="21"/>
        </w:rPr>
        <w:t>负偏离</w:t>
      </w:r>
      <w:r>
        <w:rPr>
          <w:rFonts w:hint="eastAsia" w:ascii="宋体" w:hAnsi="宋体"/>
          <w:b w:val="0"/>
          <w:bCs w:val="0"/>
          <w:color w:val="auto"/>
          <w:sz w:val="21"/>
          <w:szCs w:val="21"/>
        </w:rPr>
        <w:t>”即为“</w:t>
      </w:r>
      <w:r>
        <w:rPr>
          <w:rFonts w:hint="eastAsia" w:ascii="宋体" w:hAnsi="宋体"/>
          <w:color w:val="auto"/>
          <w:sz w:val="21"/>
          <w:szCs w:val="21"/>
        </w:rPr>
        <w:t>无偏离</w:t>
      </w:r>
      <w:r>
        <w:rPr>
          <w:rFonts w:hint="eastAsia" w:ascii="宋体" w:hAnsi="宋体"/>
          <w:b w:val="0"/>
          <w:bCs w:val="0"/>
          <w:color w:val="auto"/>
          <w:sz w:val="21"/>
          <w:szCs w:val="21"/>
        </w:rPr>
        <w:t>”。</w:t>
      </w:r>
    </w:p>
    <w:p w14:paraId="447E3EC0">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2.1正偏离处理：</w:t>
      </w:r>
    </w:p>
    <w:p w14:paraId="1A63C3AF">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供应商响应情况为“正偏离”的，须提供佐证材料（如产品白皮书、使用说明书、第三方检测报告、制造商官网截图等），未提供佐证材料的，视为“无偏离”。</w:t>
      </w:r>
    </w:p>
    <w:p w14:paraId="2462F1AB">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2.2负偏离处理：</w:t>
      </w:r>
    </w:p>
    <w:p w14:paraId="55729DFE">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供应商响应情况为“负偏离”的，评标委员会依据投标人提供的佐证材料进行扣分；未提供佐证材料但经评标委员会认定投标文件响应内容不满足要求的，视为“负偏离”。</w:t>
      </w:r>
    </w:p>
    <w:p w14:paraId="626BAE18">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2.3无偏离处理：</w:t>
      </w:r>
    </w:p>
    <w:p w14:paraId="0A2D9902">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供应商响应情况为“无偏离”的，无需提供佐证材料，供应商承诺满足即可。但评标委员会有权依据投标文件中的其他技术资料进行核查，如发现实际不满足的，按“负偏离”处理，并按相关规定追究虚假应标责任。</w:t>
      </w:r>
    </w:p>
    <w:p w14:paraId="30985089">
      <w:pPr>
        <w:pStyle w:val="19"/>
        <w:spacing w:line="360" w:lineRule="auto"/>
        <w:ind w:firstLine="420" w:firstLineChars="200"/>
        <w:rPr>
          <w:rFonts w:hint="eastAsia" w:ascii="宋体" w:hAnsi="宋体" w:eastAsia="宋体"/>
          <w:color w:val="auto"/>
          <w:sz w:val="21"/>
          <w:szCs w:val="21"/>
        </w:rPr>
      </w:pPr>
      <w:r>
        <w:rPr>
          <w:rFonts w:hint="eastAsia" w:ascii="宋体" w:hAnsi="宋体" w:eastAsia="宋体"/>
          <w:color w:val="auto"/>
          <w:sz w:val="21"/>
          <w:szCs w:val="21"/>
          <w:lang w:val="en-US" w:eastAsia="zh-CN"/>
        </w:rPr>
        <w:t>3</w:t>
      </w:r>
      <w:r>
        <w:rPr>
          <w:rFonts w:ascii="宋体" w:hAnsi="宋体" w:eastAsia="宋体"/>
          <w:color w:val="auto"/>
          <w:sz w:val="21"/>
          <w:szCs w:val="21"/>
        </w:rPr>
        <w:t>.</w:t>
      </w:r>
      <w:r>
        <w:rPr>
          <w:rFonts w:hint="eastAsia" w:ascii="宋体" w:hAnsi="宋体" w:eastAsia="宋体"/>
          <w:color w:val="auto"/>
          <w:sz w:val="21"/>
          <w:szCs w:val="21"/>
        </w:rPr>
        <w:t>如技术要求偏离表中的投标响应与佐证材料不一致的，以佐证材料为准。</w:t>
      </w:r>
    </w:p>
    <w:p w14:paraId="18501C4B">
      <w:pPr>
        <w:pStyle w:val="19"/>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4.标注“▲”的技术参数为实质性要求，有任一项不满足的，按无效投标处理。</w:t>
      </w:r>
    </w:p>
    <w:p w14:paraId="00B2B7FA">
      <w:pPr>
        <w:pStyle w:val="19"/>
        <w:spacing w:line="360" w:lineRule="auto"/>
        <w:ind w:firstLine="420" w:firstLineChars="200"/>
        <w:rPr>
          <w:rFonts w:hint="eastAsia" w:ascii="宋体" w:hAnsi="宋体" w:eastAsia="宋体"/>
          <w:color w:val="auto"/>
          <w:sz w:val="21"/>
          <w:szCs w:val="21"/>
          <w:lang w:val="en-US" w:eastAsia="zh-CN"/>
        </w:rPr>
      </w:pPr>
    </w:p>
    <w:p w14:paraId="1DB20FAF">
      <w:pPr>
        <w:snapToGrid w:val="0"/>
        <w:spacing w:before="50" w:after="50" w:line="360" w:lineRule="auto"/>
        <w:rPr>
          <w:rFonts w:ascii="宋体" w:hAnsi="宋体"/>
          <w:color w:val="auto"/>
          <w:szCs w:val="21"/>
        </w:rPr>
      </w:pPr>
    </w:p>
    <w:p w14:paraId="5D7A4281">
      <w:pPr>
        <w:snapToGrid w:val="0"/>
        <w:spacing w:before="50" w:after="50" w:line="360" w:lineRule="auto"/>
        <w:rPr>
          <w:rFonts w:ascii="宋体" w:hAnsi="宋体"/>
          <w:color w:val="auto"/>
          <w:szCs w:val="21"/>
        </w:rPr>
      </w:pPr>
    </w:p>
    <w:p w14:paraId="08260A05">
      <w:pPr>
        <w:pStyle w:val="24"/>
        <w:spacing w:line="360" w:lineRule="auto"/>
        <w:ind w:firstLine="4800" w:firstLineChars="2400"/>
        <w:rPr>
          <w:rFonts w:hAnsi="宋体"/>
          <w:color w:val="auto"/>
          <w:sz w:val="21"/>
        </w:rPr>
      </w:pPr>
      <w:r>
        <w:rPr>
          <w:rFonts w:hint="eastAsia" w:hAnsi="宋体"/>
          <w:color w:val="auto"/>
        </w:rPr>
        <w:t xml:space="preserve"> </w:t>
      </w: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32C9AFC7">
      <w:pPr>
        <w:wordWrap w:val="0"/>
        <w:snapToGrid w:val="0"/>
        <w:spacing w:before="120" w:beforeLines="50" w:after="50" w:line="360" w:lineRule="auto"/>
        <w:ind w:left="540"/>
        <w:jc w:val="center"/>
        <w:rPr>
          <w:rFonts w:ascii="宋体" w:hAnsi="宋体"/>
          <w:color w:val="auto"/>
          <w:szCs w:val="21"/>
        </w:rPr>
      </w:pPr>
      <w:r>
        <w:rPr>
          <w:rFonts w:hint="eastAsia" w:ascii="宋体" w:hAnsi="宋体"/>
          <w:color w:val="auto"/>
          <w:szCs w:val="21"/>
        </w:rPr>
        <w:t xml:space="preserve">                             日期：   年   月   日</w:t>
      </w:r>
    </w:p>
    <w:p w14:paraId="3A068431">
      <w:pPr>
        <w:snapToGrid w:val="0"/>
        <w:spacing w:before="120" w:beforeLines="50" w:after="50" w:line="360" w:lineRule="auto"/>
        <w:jc w:val="left"/>
        <w:rPr>
          <w:rFonts w:ascii="宋体" w:hAnsi="宋体"/>
          <w:b/>
          <w:color w:val="auto"/>
          <w:sz w:val="24"/>
        </w:rPr>
      </w:pPr>
      <w:r>
        <w:rPr>
          <w:rFonts w:hint="eastAsia" w:ascii="宋体" w:hAnsi="宋体"/>
          <w:color w:val="auto"/>
          <w:szCs w:val="21"/>
        </w:rPr>
        <w:br w:type="page"/>
      </w:r>
      <w:r>
        <w:rPr>
          <w:rFonts w:hint="eastAsia" w:ascii="宋体" w:hAnsi="宋体"/>
          <w:b/>
          <w:color w:val="auto"/>
          <w:sz w:val="24"/>
        </w:rPr>
        <w:t>8.供应商业绩证明材料</w:t>
      </w:r>
    </w:p>
    <w:p w14:paraId="32CA7160">
      <w:pPr>
        <w:pStyle w:val="34"/>
        <w:snapToGrid w:val="0"/>
        <w:spacing w:line="360" w:lineRule="auto"/>
        <w:ind w:left="480" w:hanging="480"/>
        <w:rPr>
          <w:rFonts w:ascii="宋体" w:hAnsi="宋体"/>
          <w:color w:val="auto"/>
          <w:sz w:val="24"/>
        </w:rPr>
      </w:pPr>
      <w:r>
        <w:rPr>
          <w:rFonts w:hint="eastAsia" w:ascii="宋体" w:hAnsi="宋体"/>
          <w:color w:val="auto"/>
          <w:sz w:val="24"/>
        </w:rPr>
        <w:t xml:space="preserve">供应商业绩情况一览表格式： </w:t>
      </w:r>
    </w:p>
    <w:tbl>
      <w:tblPr>
        <w:tblStyle w:val="47"/>
        <w:tblW w:w="488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310"/>
        <w:gridCol w:w="1918"/>
        <w:gridCol w:w="1918"/>
        <w:gridCol w:w="2883"/>
      </w:tblGrid>
      <w:tr w14:paraId="6A546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79" w:type="pct"/>
            <w:vMerge w:val="restart"/>
            <w:tcBorders>
              <w:top w:val="single" w:color="auto" w:sz="4" w:space="0"/>
              <w:left w:val="single" w:color="auto" w:sz="4" w:space="0"/>
              <w:bottom w:val="single" w:color="auto" w:sz="4" w:space="0"/>
              <w:right w:val="single" w:color="auto" w:sz="4" w:space="0"/>
            </w:tcBorders>
            <w:noWrap w:val="0"/>
            <w:vAlign w:val="center"/>
          </w:tcPr>
          <w:p w14:paraId="026AD6A8">
            <w:pPr>
              <w:snapToGrid w:val="0"/>
              <w:spacing w:line="360" w:lineRule="auto"/>
              <w:jc w:val="center"/>
              <w:rPr>
                <w:rFonts w:ascii="宋体" w:hAnsi="宋体"/>
                <w:color w:val="auto"/>
                <w:szCs w:val="21"/>
              </w:rPr>
            </w:pPr>
            <w:r>
              <w:rPr>
                <w:rFonts w:hint="eastAsia" w:ascii="宋体" w:hAnsi="宋体"/>
                <w:color w:val="auto"/>
                <w:szCs w:val="21"/>
              </w:rPr>
              <w:t>采购人名称</w:t>
            </w:r>
          </w:p>
        </w:tc>
        <w:tc>
          <w:tcPr>
            <w:tcW w:w="1062" w:type="pct"/>
            <w:vMerge w:val="restart"/>
            <w:tcBorders>
              <w:top w:val="single" w:color="auto" w:sz="4" w:space="0"/>
              <w:left w:val="single" w:color="auto" w:sz="4" w:space="0"/>
              <w:bottom w:val="single" w:color="auto" w:sz="4" w:space="0"/>
              <w:right w:val="single" w:color="auto" w:sz="4" w:space="0"/>
            </w:tcBorders>
            <w:noWrap w:val="0"/>
            <w:vAlign w:val="center"/>
          </w:tcPr>
          <w:p w14:paraId="00A7F0AD">
            <w:pPr>
              <w:snapToGrid w:val="0"/>
              <w:spacing w:line="360" w:lineRule="auto"/>
              <w:jc w:val="center"/>
              <w:rPr>
                <w:rFonts w:ascii="宋体" w:hAnsi="宋体"/>
                <w:color w:val="auto"/>
                <w:szCs w:val="21"/>
              </w:rPr>
            </w:pPr>
            <w:r>
              <w:rPr>
                <w:rFonts w:hint="eastAsia" w:ascii="宋体" w:hAnsi="宋体"/>
                <w:color w:val="auto"/>
                <w:szCs w:val="21"/>
              </w:rPr>
              <w:t>项目名称</w:t>
            </w:r>
          </w:p>
        </w:tc>
        <w:tc>
          <w:tcPr>
            <w:tcW w:w="1062" w:type="pct"/>
            <w:vMerge w:val="restart"/>
            <w:tcBorders>
              <w:top w:val="single" w:color="auto" w:sz="4" w:space="0"/>
              <w:left w:val="single" w:color="auto" w:sz="4" w:space="0"/>
              <w:bottom w:val="single" w:color="auto" w:sz="4" w:space="0"/>
              <w:right w:val="single" w:color="auto" w:sz="4" w:space="0"/>
            </w:tcBorders>
            <w:noWrap w:val="0"/>
            <w:vAlign w:val="center"/>
          </w:tcPr>
          <w:p w14:paraId="6B832FEC">
            <w:pPr>
              <w:snapToGrid w:val="0"/>
              <w:spacing w:line="360" w:lineRule="auto"/>
              <w:jc w:val="center"/>
              <w:rPr>
                <w:rFonts w:ascii="宋体" w:hAnsi="宋体"/>
                <w:color w:val="auto"/>
                <w:szCs w:val="21"/>
              </w:rPr>
            </w:pPr>
            <w:r>
              <w:rPr>
                <w:rFonts w:hint="eastAsia" w:ascii="宋体" w:hAnsi="宋体"/>
                <w:color w:val="auto"/>
                <w:szCs w:val="21"/>
              </w:rPr>
              <w:t>合同金额</w:t>
            </w:r>
          </w:p>
          <w:p w14:paraId="12D3F061">
            <w:pPr>
              <w:snapToGrid w:val="0"/>
              <w:spacing w:line="360" w:lineRule="auto"/>
              <w:jc w:val="center"/>
              <w:rPr>
                <w:rFonts w:ascii="宋体" w:hAnsi="宋体"/>
                <w:color w:val="auto"/>
                <w:szCs w:val="21"/>
              </w:rPr>
            </w:pPr>
            <w:r>
              <w:rPr>
                <w:rFonts w:hint="eastAsia" w:ascii="宋体" w:hAnsi="宋体"/>
                <w:color w:val="auto"/>
                <w:szCs w:val="21"/>
              </w:rPr>
              <w:t>（万元）</w:t>
            </w:r>
          </w:p>
        </w:tc>
        <w:tc>
          <w:tcPr>
            <w:tcW w:w="1596" w:type="pct"/>
            <w:vMerge w:val="restart"/>
            <w:tcBorders>
              <w:top w:val="single" w:color="auto" w:sz="4" w:space="0"/>
              <w:left w:val="single" w:color="auto" w:sz="4" w:space="0"/>
              <w:bottom w:val="single" w:color="auto" w:sz="4" w:space="0"/>
              <w:right w:val="single" w:color="auto" w:sz="4" w:space="0"/>
            </w:tcBorders>
            <w:noWrap w:val="0"/>
            <w:vAlign w:val="center"/>
          </w:tcPr>
          <w:p w14:paraId="7E61C019">
            <w:pPr>
              <w:snapToGrid w:val="0"/>
              <w:spacing w:line="360" w:lineRule="auto"/>
              <w:jc w:val="center"/>
              <w:rPr>
                <w:rFonts w:ascii="宋体" w:hAnsi="宋体"/>
                <w:color w:val="auto"/>
                <w:szCs w:val="21"/>
              </w:rPr>
            </w:pPr>
            <w:r>
              <w:rPr>
                <w:rFonts w:hint="eastAsia" w:ascii="宋体" w:hAnsi="宋体"/>
                <w:color w:val="auto"/>
                <w:szCs w:val="21"/>
              </w:rPr>
              <w:t>采购人联系人及</w:t>
            </w:r>
          </w:p>
          <w:p w14:paraId="508F40A6">
            <w:pPr>
              <w:snapToGrid w:val="0"/>
              <w:spacing w:line="360" w:lineRule="auto"/>
              <w:jc w:val="center"/>
              <w:rPr>
                <w:rFonts w:ascii="宋体" w:hAnsi="宋体"/>
                <w:color w:val="auto"/>
                <w:szCs w:val="21"/>
              </w:rPr>
            </w:pPr>
            <w:r>
              <w:rPr>
                <w:rFonts w:hint="eastAsia" w:ascii="宋体" w:hAnsi="宋体"/>
                <w:color w:val="auto"/>
                <w:szCs w:val="21"/>
              </w:rPr>
              <w:t>联系电话</w:t>
            </w:r>
          </w:p>
        </w:tc>
      </w:tr>
      <w:tr w14:paraId="081BA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79" w:type="pct"/>
            <w:vMerge w:val="continue"/>
            <w:tcBorders>
              <w:top w:val="single" w:color="auto" w:sz="4" w:space="0"/>
              <w:left w:val="single" w:color="auto" w:sz="4" w:space="0"/>
              <w:bottom w:val="single" w:color="auto" w:sz="4" w:space="0"/>
              <w:right w:val="single" w:color="auto" w:sz="4" w:space="0"/>
            </w:tcBorders>
            <w:noWrap w:val="0"/>
            <w:vAlign w:val="center"/>
          </w:tcPr>
          <w:p w14:paraId="2F31ADFD">
            <w:pPr>
              <w:spacing w:line="360" w:lineRule="auto"/>
              <w:jc w:val="left"/>
              <w:rPr>
                <w:rFonts w:ascii="宋体" w:hAnsi="宋体"/>
                <w:color w:val="auto"/>
                <w:szCs w:val="21"/>
              </w:rPr>
            </w:pPr>
          </w:p>
        </w:tc>
        <w:tc>
          <w:tcPr>
            <w:tcW w:w="1062" w:type="pct"/>
            <w:vMerge w:val="continue"/>
            <w:tcBorders>
              <w:top w:val="single" w:color="auto" w:sz="4" w:space="0"/>
              <w:left w:val="single" w:color="auto" w:sz="4" w:space="0"/>
              <w:bottom w:val="single" w:color="auto" w:sz="4" w:space="0"/>
              <w:right w:val="single" w:color="auto" w:sz="4" w:space="0"/>
            </w:tcBorders>
            <w:noWrap w:val="0"/>
            <w:vAlign w:val="center"/>
          </w:tcPr>
          <w:p w14:paraId="506658BA">
            <w:pPr>
              <w:spacing w:line="360" w:lineRule="auto"/>
              <w:jc w:val="left"/>
              <w:rPr>
                <w:rFonts w:ascii="宋体" w:hAnsi="宋体"/>
                <w:color w:val="auto"/>
                <w:szCs w:val="21"/>
              </w:rPr>
            </w:pPr>
          </w:p>
        </w:tc>
        <w:tc>
          <w:tcPr>
            <w:tcW w:w="1062" w:type="pct"/>
            <w:vMerge w:val="continue"/>
            <w:tcBorders>
              <w:top w:val="single" w:color="auto" w:sz="4" w:space="0"/>
              <w:left w:val="single" w:color="auto" w:sz="4" w:space="0"/>
              <w:bottom w:val="single" w:color="auto" w:sz="4" w:space="0"/>
              <w:right w:val="single" w:color="auto" w:sz="4" w:space="0"/>
            </w:tcBorders>
            <w:noWrap w:val="0"/>
            <w:vAlign w:val="center"/>
          </w:tcPr>
          <w:p w14:paraId="31122D5E">
            <w:pPr>
              <w:spacing w:line="360" w:lineRule="auto"/>
              <w:jc w:val="left"/>
              <w:rPr>
                <w:rFonts w:ascii="宋体" w:hAnsi="宋体"/>
                <w:color w:val="auto"/>
                <w:szCs w:val="21"/>
              </w:rPr>
            </w:pPr>
          </w:p>
        </w:tc>
        <w:tc>
          <w:tcPr>
            <w:tcW w:w="1596" w:type="pct"/>
            <w:vMerge w:val="continue"/>
            <w:tcBorders>
              <w:top w:val="single" w:color="auto" w:sz="4" w:space="0"/>
              <w:left w:val="single" w:color="auto" w:sz="4" w:space="0"/>
              <w:bottom w:val="single" w:color="auto" w:sz="4" w:space="0"/>
              <w:right w:val="single" w:color="auto" w:sz="4" w:space="0"/>
            </w:tcBorders>
            <w:noWrap w:val="0"/>
            <w:vAlign w:val="center"/>
          </w:tcPr>
          <w:p w14:paraId="7EDFBFC5">
            <w:pPr>
              <w:spacing w:line="360" w:lineRule="auto"/>
              <w:jc w:val="left"/>
              <w:rPr>
                <w:rFonts w:ascii="宋体" w:hAnsi="宋体"/>
                <w:color w:val="auto"/>
                <w:szCs w:val="21"/>
              </w:rPr>
            </w:pPr>
          </w:p>
        </w:tc>
      </w:tr>
      <w:tr w14:paraId="73A562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79" w:type="pct"/>
            <w:tcBorders>
              <w:top w:val="single" w:color="auto" w:sz="4" w:space="0"/>
              <w:left w:val="single" w:color="auto" w:sz="4" w:space="0"/>
              <w:bottom w:val="single" w:color="auto" w:sz="4" w:space="0"/>
              <w:right w:val="single" w:color="auto" w:sz="4" w:space="0"/>
            </w:tcBorders>
            <w:noWrap w:val="0"/>
            <w:vAlign w:val="top"/>
          </w:tcPr>
          <w:p w14:paraId="257D70B7">
            <w:pPr>
              <w:snapToGrid w:val="0"/>
              <w:spacing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4BB6282A">
            <w:pPr>
              <w:snapToGrid w:val="0"/>
              <w:spacing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59C27B96">
            <w:pPr>
              <w:snapToGrid w:val="0"/>
              <w:spacing w:line="360" w:lineRule="auto"/>
              <w:jc w:val="left"/>
              <w:rPr>
                <w:rFonts w:ascii="宋体" w:hAnsi="宋体"/>
                <w:color w:val="auto"/>
                <w:szCs w:val="21"/>
              </w:rPr>
            </w:pPr>
          </w:p>
        </w:tc>
        <w:tc>
          <w:tcPr>
            <w:tcW w:w="1596" w:type="pct"/>
            <w:tcBorders>
              <w:top w:val="single" w:color="auto" w:sz="4" w:space="0"/>
              <w:left w:val="single" w:color="auto" w:sz="4" w:space="0"/>
              <w:bottom w:val="single" w:color="auto" w:sz="4" w:space="0"/>
              <w:right w:val="single" w:color="auto" w:sz="4" w:space="0"/>
            </w:tcBorders>
            <w:noWrap w:val="0"/>
            <w:vAlign w:val="top"/>
          </w:tcPr>
          <w:p w14:paraId="3D86E56C">
            <w:pPr>
              <w:snapToGrid w:val="0"/>
              <w:spacing w:line="360" w:lineRule="auto"/>
              <w:jc w:val="left"/>
              <w:rPr>
                <w:rFonts w:ascii="宋体" w:hAnsi="宋体"/>
                <w:color w:val="auto"/>
                <w:szCs w:val="21"/>
              </w:rPr>
            </w:pPr>
          </w:p>
        </w:tc>
      </w:tr>
      <w:tr w14:paraId="6DEB06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79" w:type="pct"/>
            <w:tcBorders>
              <w:top w:val="single" w:color="auto" w:sz="4" w:space="0"/>
              <w:left w:val="single" w:color="auto" w:sz="4" w:space="0"/>
              <w:bottom w:val="single" w:color="auto" w:sz="4" w:space="0"/>
              <w:right w:val="single" w:color="auto" w:sz="4" w:space="0"/>
            </w:tcBorders>
            <w:noWrap w:val="0"/>
            <w:vAlign w:val="top"/>
          </w:tcPr>
          <w:p w14:paraId="4378B94B">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449A5666">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31B9C9E7">
            <w:pPr>
              <w:snapToGrid w:val="0"/>
              <w:spacing w:before="50" w:after="120" w:afterLines="50" w:line="360" w:lineRule="auto"/>
              <w:jc w:val="left"/>
              <w:rPr>
                <w:rFonts w:ascii="宋体" w:hAnsi="宋体"/>
                <w:color w:val="auto"/>
                <w:szCs w:val="21"/>
              </w:rPr>
            </w:pPr>
          </w:p>
        </w:tc>
        <w:tc>
          <w:tcPr>
            <w:tcW w:w="1596" w:type="pct"/>
            <w:tcBorders>
              <w:top w:val="single" w:color="auto" w:sz="4" w:space="0"/>
              <w:left w:val="single" w:color="auto" w:sz="4" w:space="0"/>
              <w:bottom w:val="single" w:color="auto" w:sz="4" w:space="0"/>
              <w:right w:val="single" w:color="auto" w:sz="4" w:space="0"/>
            </w:tcBorders>
            <w:noWrap w:val="0"/>
            <w:vAlign w:val="top"/>
          </w:tcPr>
          <w:p w14:paraId="4E1D7787">
            <w:pPr>
              <w:snapToGrid w:val="0"/>
              <w:spacing w:before="50" w:after="120" w:afterLines="50" w:line="360" w:lineRule="auto"/>
              <w:jc w:val="left"/>
              <w:rPr>
                <w:rFonts w:ascii="宋体" w:hAnsi="宋体"/>
                <w:color w:val="auto"/>
                <w:szCs w:val="21"/>
              </w:rPr>
            </w:pPr>
          </w:p>
        </w:tc>
      </w:tr>
      <w:tr w14:paraId="7D2B17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79" w:type="pct"/>
            <w:tcBorders>
              <w:top w:val="single" w:color="auto" w:sz="4" w:space="0"/>
              <w:left w:val="single" w:color="auto" w:sz="4" w:space="0"/>
              <w:bottom w:val="single" w:color="auto" w:sz="4" w:space="0"/>
              <w:right w:val="single" w:color="auto" w:sz="4" w:space="0"/>
            </w:tcBorders>
            <w:noWrap w:val="0"/>
            <w:vAlign w:val="top"/>
          </w:tcPr>
          <w:p w14:paraId="66023944">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26EDDD34">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556A21C8">
            <w:pPr>
              <w:snapToGrid w:val="0"/>
              <w:spacing w:before="50" w:after="120" w:afterLines="50" w:line="360" w:lineRule="auto"/>
              <w:jc w:val="left"/>
              <w:rPr>
                <w:rFonts w:ascii="宋体" w:hAnsi="宋体"/>
                <w:color w:val="auto"/>
                <w:szCs w:val="21"/>
              </w:rPr>
            </w:pPr>
          </w:p>
        </w:tc>
        <w:tc>
          <w:tcPr>
            <w:tcW w:w="1596" w:type="pct"/>
            <w:tcBorders>
              <w:top w:val="single" w:color="auto" w:sz="4" w:space="0"/>
              <w:left w:val="single" w:color="auto" w:sz="4" w:space="0"/>
              <w:bottom w:val="single" w:color="auto" w:sz="4" w:space="0"/>
              <w:right w:val="single" w:color="auto" w:sz="4" w:space="0"/>
            </w:tcBorders>
            <w:noWrap w:val="0"/>
            <w:vAlign w:val="top"/>
          </w:tcPr>
          <w:p w14:paraId="33C644A2">
            <w:pPr>
              <w:snapToGrid w:val="0"/>
              <w:spacing w:before="50" w:after="120" w:afterLines="50" w:line="360" w:lineRule="auto"/>
              <w:jc w:val="left"/>
              <w:rPr>
                <w:rFonts w:ascii="宋体" w:hAnsi="宋体"/>
                <w:color w:val="auto"/>
                <w:szCs w:val="21"/>
              </w:rPr>
            </w:pPr>
          </w:p>
        </w:tc>
      </w:tr>
      <w:tr w14:paraId="37DA0B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79" w:type="pct"/>
            <w:tcBorders>
              <w:top w:val="single" w:color="auto" w:sz="4" w:space="0"/>
              <w:left w:val="single" w:color="auto" w:sz="4" w:space="0"/>
              <w:bottom w:val="single" w:color="auto" w:sz="4" w:space="0"/>
              <w:right w:val="single" w:color="auto" w:sz="4" w:space="0"/>
            </w:tcBorders>
            <w:noWrap w:val="0"/>
            <w:vAlign w:val="top"/>
          </w:tcPr>
          <w:p w14:paraId="16B1DF7F">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561D043A">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088209A0">
            <w:pPr>
              <w:snapToGrid w:val="0"/>
              <w:spacing w:before="50" w:after="120" w:afterLines="50" w:line="360" w:lineRule="auto"/>
              <w:jc w:val="left"/>
              <w:rPr>
                <w:rFonts w:ascii="宋体" w:hAnsi="宋体"/>
                <w:color w:val="auto"/>
                <w:szCs w:val="21"/>
              </w:rPr>
            </w:pPr>
          </w:p>
        </w:tc>
        <w:tc>
          <w:tcPr>
            <w:tcW w:w="1596" w:type="pct"/>
            <w:tcBorders>
              <w:top w:val="single" w:color="auto" w:sz="4" w:space="0"/>
              <w:left w:val="single" w:color="auto" w:sz="4" w:space="0"/>
              <w:bottom w:val="single" w:color="auto" w:sz="4" w:space="0"/>
              <w:right w:val="single" w:color="auto" w:sz="4" w:space="0"/>
            </w:tcBorders>
            <w:noWrap w:val="0"/>
            <w:vAlign w:val="top"/>
          </w:tcPr>
          <w:p w14:paraId="121C0AB6">
            <w:pPr>
              <w:snapToGrid w:val="0"/>
              <w:spacing w:before="50" w:after="120" w:afterLines="50" w:line="360" w:lineRule="auto"/>
              <w:jc w:val="left"/>
              <w:rPr>
                <w:rFonts w:ascii="宋体" w:hAnsi="宋体"/>
                <w:color w:val="auto"/>
                <w:szCs w:val="21"/>
              </w:rPr>
            </w:pPr>
          </w:p>
        </w:tc>
      </w:tr>
      <w:tr w14:paraId="551FC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79" w:type="pct"/>
            <w:tcBorders>
              <w:top w:val="single" w:color="auto" w:sz="4" w:space="0"/>
              <w:left w:val="single" w:color="auto" w:sz="4" w:space="0"/>
              <w:bottom w:val="single" w:color="auto" w:sz="4" w:space="0"/>
              <w:right w:val="single" w:color="auto" w:sz="4" w:space="0"/>
            </w:tcBorders>
            <w:noWrap w:val="0"/>
            <w:vAlign w:val="top"/>
          </w:tcPr>
          <w:p w14:paraId="5D36363A">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40B9D084">
            <w:pPr>
              <w:snapToGrid w:val="0"/>
              <w:spacing w:before="50" w:after="120" w:afterLines="50" w:line="360" w:lineRule="auto"/>
              <w:jc w:val="left"/>
              <w:rPr>
                <w:rFonts w:ascii="宋体" w:hAnsi="宋体"/>
                <w:color w:val="auto"/>
                <w:szCs w:val="21"/>
              </w:rPr>
            </w:pPr>
          </w:p>
        </w:tc>
        <w:tc>
          <w:tcPr>
            <w:tcW w:w="1062" w:type="pct"/>
            <w:tcBorders>
              <w:top w:val="single" w:color="auto" w:sz="4" w:space="0"/>
              <w:left w:val="single" w:color="auto" w:sz="4" w:space="0"/>
              <w:bottom w:val="single" w:color="auto" w:sz="4" w:space="0"/>
              <w:right w:val="single" w:color="auto" w:sz="4" w:space="0"/>
            </w:tcBorders>
            <w:noWrap w:val="0"/>
            <w:vAlign w:val="top"/>
          </w:tcPr>
          <w:p w14:paraId="0AA365D7">
            <w:pPr>
              <w:snapToGrid w:val="0"/>
              <w:spacing w:before="50" w:after="120" w:afterLines="50" w:line="360" w:lineRule="auto"/>
              <w:jc w:val="left"/>
              <w:rPr>
                <w:rFonts w:ascii="宋体" w:hAnsi="宋体"/>
                <w:color w:val="auto"/>
                <w:szCs w:val="21"/>
              </w:rPr>
            </w:pPr>
          </w:p>
        </w:tc>
        <w:tc>
          <w:tcPr>
            <w:tcW w:w="1596" w:type="pct"/>
            <w:tcBorders>
              <w:top w:val="single" w:color="auto" w:sz="4" w:space="0"/>
              <w:left w:val="single" w:color="auto" w:sz="4" w:space="0"/>
              <w:bottom w:val="single" w:color="auto" w:sz="4" w:space="0"/>
              <w:right w:val="single" w:color="auto" w:sz="4" w:space="0"/>
            </w:tcBorders>
            <w:noWrap w:val="0"/>
            <w:vAlign w:val="top"/>
          </w:tcPr>
          <w:p w14:paraId="4CC39D2E">
            <w:pPr>
              <w:snapToGrid w:val="0"/>
              <w:spacing w:before="50" w:after="120" w:afterLines="50" w:line="360" w:lineRule="auto"/>
              <w:jc w:val="left"/>
              <w:rPr>
                <w:rFonts w:ascii="宋体" w:hAnsi="宋体"/>
                <w:color w:val="auto"/>
                <w:szCs w:val="21"/>
              </w:rPr>
            </w:pPr>
          </w:p>
        </w:tc>
      </w:tr>
    </w:tbl>
    <w:p w14:paraId="644FE9A9">
      <w:pPr>
        <w:pStyle w:val="14"/>
        <w:spacing w:before="0" w:after="0" w:line="360" w:lineRule="auto"/>
        <w:contextualSpacing/>
        <w:rPr>
          <w:rFonts w:ascii="宋体" w:hAnsi="宋体" w:eastAsia="宋体"/>
          <w:color w:val="auto"/>
          <w:sz w:val="21"/>
          <w:szCs w:val="21"/>
        </w:rPr>
      </w:pPr>
    </w:p>
    <w:p w14:paraId="5D3AE414">
      <w:pPr>
        <w:pStyle w:val="14"/>
        <w:spacing w:before="0" w:after="0" w:line="360" w:lineRule="auto"/>
        <w:contextualSpacing/>
        <w:rPr>
          <w:rFonts w:ascii="宋体" w:hAnsi="宋体" w:eastAsia="宋体"/>
          <w:color w:val="auto"/>
          <w:sz w:val="21"/>
          <w:szCs w:val="21"/>
        </w:rPr>
      </w:pPr>
      <w:r>
        <w:rPr>
          <w:rFonts w:hint="eastAsia" w:ascii="宋体" w:hAnsi="宋体" w:eastAsia="宋体"/>
          <w:color w:val="auto"/>
          <w:sz w:val="21"/>
          <w:szCs w:val="21"/>
        </w:rPr>
        <w:t>注：供应商根据评标标准具体要求附业绩证明材料。</w:t>
      </w:r>
    </w:p>
    <w:p w14:paraId="2A06F91A">
      <w:pPr>
        <w:pStyle w:val="14"/>
        <w:spacing w:before="0" w:after="0" w:line="360" w:lineRule="auto"/>
        <w:contextualSpacing/>
        <w:jc w:val="left"/>
        <w:rPr>
          <w:rFonts w:ascii="宋体" w:hAnsi="宋体" w:eastAsia="宋体"/>
          <w:color w:val="auto"/>
          <w:sz w:val="21"/>
          <w:szCs w:val="21"/>
          <w:u w:val="single"/>
        </w:rPr>
      </w:pPr>
    </w:p>
    <w:p w14:paraId="3E9A51A6">
      <w:pPr>
        <w:spacing w:line="360" w:lineRule="auto"/>
        <w:ind w:left="840" w:right="480" w:hanging="840" w:hangingChars="400"/>
        <w:contextualSpacing/>
        <w:jc w:val="center"/>
        <w:rPr>
          <w:rFonts w:hint="eastAsia" w:ascii="宋体" w:hAnsi="宋体" w:cs="Arial"/>
          <w:color w:val="auto"/>
          <w:szCs w:val="21"/>
        </w:rPr>
      </w:pPr>
    </w:p>
    <w:p w14:paraId="549F9762">
      <w:pPr>
        <w:spacing w:line="360" w:lineRule="auto"/>
        <w:ind w:left="840" w:right="480" w:hanging="840" w:hangingChars="400"/>
        <w:contextualSpacing/>
        <w:rPr>
          <w:rFonts w:hint="eastAsia" w:ascii="宋体" w:hAnsi="宋体" w:cs="Arial"/>
          <w:color w:val="auto"/>
          <w:szCs w:val="21"/>
        </w:rPr>
      </w:pPr>
    </w:p>
    <w:p w14:paraId="3AC24F49">
      <w:pPr>
        <w:pStyle w:val="24"/>
        <w:spacing w:line="360" w:lineRule="auto"/>
        <w:ind w:firstLine="4800" w:firstLineChars="2400"/>
        <w:rPr>
          <w:rFonts w:hAnsi="宋体"/>
          <w:color w:val="auto"/>
          <w:sz w:val="21"/>
        </w:rPr>
      </w:pPr>
      <w:r>
        <w:rPr>
          <w:rFonts w:hint="eastAsia" w:hAnsi="宋体"/>
          <w:color w:val="auto"/>
        </w:rPr>
        <w:t xml:space="preserve"> </w:t>
      </w: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7BA543E5">
      <w:pPr>
        <w:wordWrap w:val="0"/>
        <w:snapToGrid w:val="0"/>
        <w:spacing w:before="120" w:beforeLines="50" w:after="50" w:line="360" w:lineRule="auto"/>
        <w:ind w:left="540"/>
        <w:jc w:val="center"/>
        <w:rPr>
          <w:rFonts w:ascii="宋体" w:hAnsi="宋体"/>
          <w:color w:val="auto"/>
          <w:szCs w:val="21"/>
        </w:rPr>
      </w:pPr>
      <w:r>
        <w:rPr>
          <w:rFonts w:hint="eastAsia" w:ascii="宋体" w:hAnsi="宋体"/>
          <w:color w:val="auto"/>
          <w:szCs w:val="21"/>
        </w:rPr>
        <w:t xml:space="preserve">                             日期：   年   月   日</w:t>
      </w:r>
    </w:p>
    <w:p w14:paraId="63DB8A16">
      <w:pPr>
        <w:snapToGrid w:val="0"/>
        <w:spacing w:before="50" w:line="360" w:lineRule="auto"/>
        <w:ind w:firstLine="480" w:firstLineChars="200"/>
        <w:jc w:val="left"/>
        <w:rPr>
          <w:rFonts w:ascii="宋体" w:hAnsi="宋体"/>
          <w:color w:val="auto"/>
          <w:sz w:val="24"/>
          <w:szCs w:val="20"/>
        </w:rPr>
      </w:pPr>
    </w:p>
    <w:p w14:paraId="34BDF9A5">
      <w:pPr>
        <w:snapToGrid w:val="0"/>
        <w:spacing w:before="120" w:beforeLines="50" w:after="50" w:line="360" w:lineRule="auto"/>
        <w:ind w:left="142"/>
        <w:jc w:val="left"/>
        <w:rPr>
          <w:rFonts w:hint="eastAsia" w:ascii="宋体" w:hAnsi="宋体"/>
          <w:b/>
          <w:color w:val="auto"/>
          <w:sz w:val="24"/>
        </w:rPr>
      </w:pPr>
      <w:r>
        <w:rPr>
          <w:rFonts w:hint="eastAsia" w:ascii="宋体" w:hAnsi="宋体"/>
          <w:color w:val="auto"/>
          <w:szCs w:val="21"/>
        </w:rPr>
        <w:br w:type="page"/>
      </w:r>
      <w:r>
        <w:rPr>
          <w:rFonts w:hint="eastAsia" w:ascii="宋体" w:hAnsi="宋体"/>
          <w:b/>
          <w:color w:val="auto"/>
          <w:sz w:val="24"/>
        </w:rPr>
        <w:t>9. 投标产品性能配置清单格式</w:t>
      </w:r>
    </w:p>
    <w:p w14:paraId="10777042">
      <w:pPr>
        <w:snapToGrid w:val="0"/>
        <w:spacing w:before="120" w:beforeLines="50" w:after="50" w:line="360" w:lineRule="auto"/>
        <w:ind w:left="142"/>
        <w:jc w:val="left"/>
        <w:rPr>
          <w:rFonts w:hint="eastAsia" w:ascii="宋体" w:hAnsi="宋体"/>
          <w:b/>
          <w:color w:val="auto"/>
          <w:sz w:val="24"/>
        </w:rPr>
      </w:pPr>
    </w:p>
    <w:p w14:paraId="25E4D563">
      <w:pPr>
        <w:snapToGrid w:val="0"/>
        <w:spacing w:before="120" w:beforeLines="50" w:after="50" w:line="360" w:lineRule="auto"/>
        <w:ind w:left="142"/>
        <w:jc w:val="center"/>
        <w:rPr>
          <w:rFonts w:hint="eastAsia" w:ascii="宋体" w:hAnsi="宋体"/>
          <w:b/>
          <w:color w:val="auto"/>
          <w:sz w:val="32"/>
          <w:szCs w:val="32"/>
        </w:rPr>
      </w:pPr>
      <w:r>
        <w:rPr>
          <w:rFonts w:hint="eastAsia" w:ascii="宋体" w:hAnsi="宋体"/>
          <w:b/>
          <w:color w:val="auto"/>
          <w:sz w:val="32"/>
          <w:szCs w:val="32"/>
        </w:rPr>
        <w:t>投标产品性能配置清单</w:t>
      </w:r>
    </w:p>
    <w:tbl>
      <w:tblPr>
        <w:tblStyle w:val="47"/>
        <w:tblW w:w="487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63"/>
        <w:gridCol w:w="1286"/>
        <w:gridCol w:w="1153"/>
        <w:gridCol w:w="911"/>
        <w:gridCol w:w="1535"/>
        <w:gridCol w:w="1286"/>
        <w:gridCol w:w="761"/>
        <w:gridCol w:w="1318"/>
      </w:tblGrid>
      <w:tr w14:paraId="26B3B2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19EAC924">
            <w:pPr>
              <w:jc w:val="center"/>
              <w:rPr>
                <w:rFonts w:hint="eastAsia"/>
                <w:color w:val="auto"/>
              </w:rPr>
            </w:pPr>
            <w:r>
              <w:rPr>
                <w:rFonts w:hint="eastAsia"/>
                <w:color w:val="auto"/>
              </w:rPr>
              <w:t>序号</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625C6FD6">
            <w:pPr>
              <w:jc w:val="center"/>
              <w:rPr>
                <w:rFonts w:hint="eastAsia"/>
                <w:color w:val="auto"/>
              </w:rPr>
            </w:pPr>
            <w:r>
              <w:rPr>
                <w:rFonts w:hint="eastAsia"/>
                <w:color w:val="auto"/>
              </w:rPr>
              <w:t>标的名称</w:t>
            </w:r>
          </w:p>
        </w:tc>
        <w:tc>
          <w:tcPr>
            <w:tcW w:w="639" w:type="pct"/>
            <w:tcBorders>
              <w:top w:val="single" w:color="auto" w:sz="4" w:space="0"/>
              <w:left w:val="single" w:color="auto" w:sz="4" w:space="0"/>
              <w:bottom w:val="single" w:color="auto" w:sz="4" w:space="0"/>
              <w:right w:val="single" w:color="auto" w:sz="4" w:space="0"/>
            </w:tcBorders>
            <w:noWrap w:val="0"/>
            <w:vAlign w:val="center"/>
          </w:tcPr>
          <w:p w14:paraId="158FC334">
            <w:pPr>
              <w:jc w:val="center"/>
              <w:rPr>
                <w:rFonts w:hint="eastAsia"/>
                <w:color w:val="auto"/>
              </w:rPr>
            </w:pPr>
            <w:r>
              <w:rPr>
                <w:rFonts w:hint="eastAsia"/>
                <w:color w:val="auto"/>
              </w:rPr>
              <w:t>数量及</w:t>
            </w:r>
          </w:p>
          <w:p w14:paraId="3FD406AA">
            <w:pPr>
              <w:jc w:val="center"/>
              <w:rPr>
                <w:rFonts w:hint="eastAsia"/>
                <w:color w:val="auto"/>
              </w:rPr>
            </w:pPr>
            <w:r>
              <w:rPr>
                <w:rFonts w:hint="eastAsia"/>
                <w:color w:val="auto"/>
              </w:rPr>
              <w:t>单位</w:t>
            </w:r>
          </w:p>
        </w:tc>
        <w:tc>
          <w:tcPr>
            <w:tcW w:w="505" w:type="pct"/>
            <w:tcBorders>
              <w:top w:val="single" w:color="auto" w:sz="4" w:space="0"/>
              <w:left w:val="single" w:color="auto" w:sz="4" w:space="0"/>
              <w:bottom w:val="single" w:color="auto" w:sz="4" w:space="0"/>
              <w:right w:val="single" w:color="auto" w:sz="4" w:space="0"/>
            </w:tcBorders>
            <w:noWrap w:val="0"/>
            <w:vAlign w:val="center"/>
          </w:tcPr>
          <w:p w14:paraId="0A6728C3">
            <w:pPr>
              <w:jc w:val="center"/>
              <w:rPr>
                <w:rFonts w:hint="eastAsia"/>
                <w:color w:val="auto"/>
              </w:rPr>
            </w:pPr>
            <w:r>
              <w:rPr>
                <w:rFonts w:hint="eastAsia"/>
                <w:color w:val="auto"/>
              </w:rPr>
              <w:t>品牌</w:t>
            </w:r>
          </w:p>
        </w:tc>
        <w:tc>
          <w:tcPr>
            <w:tcW w:w="851" w:type="pct"/>
            <w:tcBorders>
              <w:top w:val="single" w:color="auto" w:sz="4" w:space="0"/>
              <w:left w:val="single" w:color="auto" w:sz="4" w:space="0"/>
              <w:bottom w:val="single" w:color="auto" w:sz="4" w:space="0"/>
              <w:right w:val="single" w:color="auto" w:sz="4" w:space="0"/>
            </w:tcBorders>
            <w:noWrap w:val="0"/>
            <w:vAlign w:val="center"/>
          </w:tcPr>
          <w:p w14:paraId="1D8B0E4D">
            <w:pPr>
              <w:jc w:val="center"/>
              <w:rPr>
                <w:rFonts w:hint="eastAsia"/>
                <w:color w:val="auto"/>
              </w:rPr>
            </w:pPr>
            <w:r>
              <w:rPr>
                <w:rFonts w:hint="eastAsia"/>
                <w:color w:val="auto"/>
              </w:rPr>
              <w:t>规格型号</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0FFC42D8">
            <w:pPr>
              <w:jc w:val="center"/>
              <w:rPr>
                <w:rFonts w:hint="eastAsia"/>
                <w:color w:val="auto"/>
              </w:rPr>
            </w:pPr>
            <w:r>
              <w:rPr>
                <w:rFonts w:hint="eastAsia"/>
                <w:color w:val="auto"/>
              </w:rPr>
              <w:t>制造商</w:t>
            </w:r>
          </w:p>
        </w:tc>
        <w:tc>
          <w:tcPr>
            <w:tcW w:w="422" w:type="pct"/>
            <w:tcBorders>
              <w:top w:val="single" w:color="auto" w:sz="4" w:space="0"/>
              <w:left w:val="single" w:color="auto" w:sz="4" w:space="0"/>
              <w:bottom w:val="single" w:color="auto" w:sz="4" w:space="0"/>
              <w:right w:val="single" w:color="auto" w:sz="4" w:space="0"/>
            </w:tcBorders>
            <w:noWrap w:val="0"/>
            <w:vAlign w:val="center"/>
          </w:tcPr>
          <w:p w14:paraId="0F22C667">
            <w:pPr>
              <w:jc w:val="center"/>
              <w:rPr>
                <w:rFonts w:hint="eastAsia"/>
                <w:color w:val="auto"/>
              </w:rPr>
            </w:pPr>
            <w:r>
              <w:rPr>
                <w:rFonts w:hint="eastAsia"/>
                <w:color w:val="auto"/>
              </w:rPr>
              <w:t>产地</w:t>
            </w:r>
          </w:p>
        </w:tc>
        <w:tc>
          <w:tcPr>
            <w:tcW w:w="731" w:type="pct"/>
            <w:tcBorders>
              <w:top w:val="single" w:color="auto" w:sz="4" w:space="0"/>
              <w:left w:val="single" w:color="auto" w:sz="4" w:space="0"/>
              <w:bottom w:val="single" w:color="auto" w:sz="4" w:space="0"/>
              <w:right w:val="single" w:color="auto" w:sz="4" w:space="0"/>
            </w:tcBorders>
            <w:noWrap w:val="0"/>
            <w:vAlign w:val="center"/>
          </w:tcPr>
          <w:p w14:paraId="2828091F">
            <w:pPr>
              <w:jc w:val="center"/>
              <w:rPr>
                <w:rFonts w:hint="eastAsia"/>
                <w:color w:val="auto"/>
              </w:rPr>
            </w:pPr>
            <w:r>
              <w:rPr>
                <w:rFonts w:hint="eastAsia"/>
                <w:color w:val="auto"/>
              </w:rPr>
              <w:t>参数性能、指标及配置</w:t>
            </w:r>
          </w:p>
        </w:tc>
      </w:tr>
      <w:tr w14:paraId="09DC9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59F2FFDF">
            <w:pPr>
              <w:snapToGrid w:val="0"/>
              <w:spacing w:before="50" w:after="50" w:line="360" w:lineRule="auto"/>
              <w:jc w:val="center"/>
              <w:rPr>
                <w:rFonts w:hint="eastAsia" w:ascii="宋体" w:hAnsi="宋体"/>
                <w:color w:val="auto"/>
                <w:szCs w:val="21"/>
              </w:rPr>
            </w:pPr>
          </w:p>
        </w:tc>
        <w:tc>
          <w:tcPr>
            <w:tcW w:w="713" w:type="pct"/>
            <w:tcBorders>
              <w:top w:val="single" w:color="auto" w:sz="4" w:space="0"/>
              <w:left w:val="single" w:color="auto" w:sz="4" w:space="0"/>
              <w:bottom w:val="single" w:color="auto" w:sz="4" w:space="0"/>
              <w:right w:val="single" w:color="auto" w:sz="4" w:space="0"/>
            </w:tcBorders>
            <w:noWrap w:val="0"/>
            <w:vAlign w:val="center"/>
          </w:tcPr>
          <w:p w14:paraId="5BAD0C60">
            <w:pPr>
              <w:snapToGrid w:val="0"/>
              <w:spacing w:before="50" w:after="50" w:line="360" w:lineRule="auto"/>
              <w:jc w:val="center"/>
              <w:rPr>
                <w:rFonts w:hint="eastAsia" w:ascii="宋体" w:hAnsi="宋体"/>
                <w:color w:val="auto"/>
                <w:szCs w:val="21"/>
              </w:rPr>
            </w:pPr>
          </w:p>
        </w:tc>
        <w:tc>
          <w:tcPr>
            <w:tcW w:w="639" w:type="pct"/>
            <w:tcBorders>
              <w:top w:val="single" w:color="auto" w:sz="4" w:space="0"/>
              <w:left w:val="single" w:color="auto" w:sz="4" w:space="0"/>
              <w:bottom w:val="single" w:color="auto" w:sz="4" w:space="0"/>
              <w:right w:val="single" w:color="auto" w:sz="4" w:space="0"/>
            </w:tcBorders>
            <w:noWrap w:val="0"/>
            <w:vAlign w:val="center"/>
          </w:tcPr>
          <w:p w14:paraId="32DD0732">
            <w:pPr>
              <w:snapToGrid w:val="0"/>
              <w:spacing w:before="50" w:after="50" w:line="360" w:lineRule="auto"/>
              <w:jc w:val="center"/>
              <w:rPr>
                <w:rFonts w:hint="eastAsia" w:ascii="宋体" w:hAnsi="宋体"/>
                <w:color w:val="auto"/>
                <w:szCs w:val="21"/>
              </w:rPr>
            </w:pPr>
          </w:p>
        </w:tc>
        <w:tc>
          <w:tcPr>
            <w:tcW w:w="505" w:type="pct"/>
            <w:tcBorders>
              <w:top w:val="single" w:color="auto" w:sz="4" w:space="0"/>
              <w:left w:val="single" w:color="auto" w:sz="4" w:space="0"/>
              <w:bottom w:val="single" w:color="auto" w:sz="4" w:space="0"/>
              <w:right w:val="single" w:color="auto" w:sz="4" w:space="0"/>
            </w:tcBorders>
            <w:noWrap w:val="0"/>
            <w:vAlign w:val="center"/>
          </w:tcPr>
          <w:p w14:paraId="36E0E165">
            <w:pPr>
              <w:snapToGrid w:val="0"/>
              <w:spacing w:before="50" w:after="50" w:line="360" w:lineRule="auto"/>
              <w:jc w:val="center"/>
              <w:rPr>
                <w:rFonts w:hint="eastAsia" w:ascii="宋体" w:hAnsi="宋体"/>
                <w:color w:val="auto"/>
                <w:szCs w:val="21"/>
              </w:rPr>
            </w:pPr>
          </w:p>
        </w:tc>
        <w:tc>
          <w:tcPr>
            <w:tcW w:w="851" w:type="pct"/>
            <w:tcBorders>
              <w:top w:val="single" w:color="auto" w:sz="4" w:space="0"/>
              <w:left w:val="single" w:color="auto" w:sz="4" w:space="0"/>
              <w:bottom w:val="single" w:color="auto" w:sz="4" w:space="0"/>
              <w:right w:val="single" w:color="auto" w:sz="4" w:space="0"/>
            </w:tcBorders>
            <w:noWrap w:val="0"/>
            <w:vAlign w:val="top"/>
          </w:tcPr>
          <w:p w14:paraId="5175FBAE">
            <w:pPr>
              <w:snapToGrid w:val="0"/>
              <w:spacing w:before="50" w:after="50" w:line="360" w:lineRule="auto"/>
              <w:jc w:val="center"/>
              <w:rPr>
                <w:rFonts w:hint="eastAsia" w:ascii="宋体" w:hAnsi="宋体"/>
                <w:color w:val="auto"/>
                <w:szCs w:val="21"/>
              </w:rPr>
            </w:pPr>
          </w:p>
        </w:tc>
        <w:tc>
          <w:tcPr>
            <w:tcW w:w="713" w:type="pct"/>
            <w:tcBorders>
              <w:top w:val="single" w:color="auto" w:sz="4" w:space="0"/>
              <w:left w:val="single" w:color="auto" w:sz="4" w:space="0"/>
              <w:bottom w:val="single" w:color="auto" w:sz="4" w:space="0"/>
              <w:right w:val="single" w:color="auto" w:sz="4" w:space="0"/>
            </w:tcBorders>
            <w:noWrap w:val="0"/>
            <w:vAlign w:val="center"/>
          </w:tcPr>
          <w:p w14:paraId="04B5A928">
            <w:pPr>
              <w:snapToGrid w:val="0"/>
              <w:spacing w:before="50" w:after="50" w:line="360" w:lineRule="auto"/>
              <w:jc w:val="center"/>
              <w:rPr>
                <w:rFonts w:hint="eastAsia" w:ascii="宋体" w:hAnsi="宋体"/>
                <w:color w:val="auto"/>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0173BE32">
            <w:pPr>
              <w:snapToGrid w:val="0"/>
              <w:spacing w:before="50" w:after="50" w:line="360" w:lineRule="auto"/>
              <w:jc w:val="center"/>
              <w:rPr>
                <w:rFonts w:hint="eastAsia" w:ascii="宋体" w:hAnsi="宋体"/>
                <w:color w:val="auto"/>
                <w:szCs w:val="21"/>
              </w:rPr>
            </w:pPr>
          </w:p>
        </w:tc>
        <w:tc>
          <w:tcPr>
            <w:tcW w:w="731" w:type="pct"/>
            <w:tcBorders>
              <w:top w:val="single" w:color="auto" w:sz="4" w:space="0"/>
              <w:left w:val="single" w:color="auto" w:sz="4" w:space="0"/>
              <w:bottom w:val="single" w:color="auto" w:sz="4" w:space="0"/>
              <w:right w:val="single" w:color="auto" w:sz="4" w:space="0"/>
            </w:tcBorders>
            <w:noWrap w:val="0"/>
            <w:vAlign w:val="center"/>
          </w:tcPr>
          <w:p w14:paraId="4FE6FB50">
            <w:pPr>
              <w:snapToGrid w:val="0"/>
              <w:spacing w:before="50" w:after="50" w:line="360" w:lineRule="auto"/>
              <w:jc w:val="center"/>
              <w:rPr>
                <w:rFonts w:hint="eastAsia" w:ascii="宋体" w:hAnsi="宋体"/>
                <w:color w:val="auto"/>
                <w:szCs w:val="21"/>
              </w:rPr>
            </w:pPr>
          </w:p>
        </w:tc>
      </w:tr>
      <w:tr w14:paraId="23C1B1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542EF898">
            <w:pPr>
              <w:snapToGrid w:val="0"/>
              <w:spacing w:before="50" w:after="50" w:line="360" w:lineRule="auto"/>
              <w:jc w:val="center"/>
              <w:rPr>
                <w:rFonts w:hint="eastAsia" w:ascii="宋体" w:hAnsi="宋体"/>
                <w:color w:val="auto"/>
                <w:szCs w:val="21"/>
              </w:rPr>
            </w:pPr>
          </w:p>
        </w:tc>
        <w:tc>
          <w:tcPr>
            <w:tcW w:w="713" w:type="pct"/>
            <w:tcBorders>
              <w:top w:val="single" w:color="auto" w:sz="4" w:space="0"/>
              <w:left w:val="single" w:color="auto" w:sz="4" w:space="0"/>
              <w:bottom w:val="single" w:color="auto" w:sz="4" w:space="0"/>
              <w:right w:val="single" w:color="auto" w:sz="4" w:space="0"/>
            </w:tcBorders>
            <w:noWrap w:val="0"/>
            <w:vAlign w:val="center"/>
          </w:tcPr>
          <w:p w14:paraId="5EE53B43">
            <w:pPr>
              <w:snapToGrid w:val="0"/>
              <w:spacing w:before="50" w:after="50" w:line="360" w:lineRule="auto"/>
              <w:jc w:val="center"/>
              <w:rPr>
                <w:rFonts w:hint="eastAsia" w:ascii="宋体" w:hAnsi="宋体"/>
                <w:color w:val="auto"/>
                <w:szCs w:val="21"/>
              </w:rPr>
            </w:pPr>
          </w:p>
        </w:tc>
        <w:tc>
          <w:tcPr>
            <w:tcW w:w="639" w:type="pct"/>
            <w:tcBorders>
              <w:top w:val="single" w:color="auto" w:sz="4" w:space="0"/>
              <w:left w:val="single" w:color="auto" w:sz="4" w:space="0"/>
              <w:bottom w:val="single" w:color="auto" w:sz="4" w:space="0"/>
              <w:right w:val="single" w:color="auto" w:sz="4" w:space="0"/>
            </w:tcBorders>
            <w:noWrap w:val="0"/>
            <w:vAlign w:val="center"/>
          </w:tcPr>
          <w:p w14:paraId="519F5B0F">
            <w:pPr>
              <w:snapToGrid w:val="0"/>
              <w:spacing w:before="50" w:after="50" w:line="360" w:lineRule="auto"/>
              <w:jc w:val="center"/>
              <w:rPr>
                <w:rFonts w:hint="eastAsia" w:ascii="宋体" w:hAnsi="宋体"/>
                <w:color w:val="auto"/>
                <w:szCs w:val="21"/>
              </w:rPr>
            </w:pPr>
          </w:p>
        </w:tc>
        <w:tc>
          <w:tcPr>
            <w:tcW w:w="505" w:type="pct"/>
            <w:tcBorders>
              <w:top w:val="single" w:color="auto" w:sz="4" w:space="0"/>
              <w:left w:val="single" w:color="auto" w:sz="4" w:space="0"/>
              <w:bottom w:val="single" w:color="auto" w:sz="4" w:space="0"/>
              <w:right w:val="single" w:color="auto" w:sz="4" w:space="0"/>
            </w:tcBorders>
            <w:noWrap w:val="0"/>
            <w:vAlign w:val="center"/>
          </w:tcPr>
          <w:p w14:paraId="60A8C2F9">
            <w:pPr>
              <w:snapToGrid w:val="0"/>
              <w:spacing w:before="50" w:after="50" w:line="360" w:lineRule="auto"/>
              <w:jc w:val="center"/>
              <w:rPr>
                <w:rFonts w:hint="eastAsia" w:ascii="宋体" w:hAnsi="宋体"/>
                <w:color w:val="auto"/>
                <w:szCs w:val="21"/>
              </w:rPr>
            </w:pPr>
          </w:p>
        </w:tc>
        <w:tc>
          <w:tcPr>
            <w:tcW w:w="851" w:type="pct"/>
            <w:tcBorders>
              <w:top w:val="single" w:color="auto" w:sz="4" w:space="0"/>
              <w:left w:val="single" w:color="auto" w:sz="4" w:space="0"/>
              <w:bottom w:val="single" w:color="auto" w:sz="4" w:space="0"/>
              <w:right w:val="single" w:color="auto" w:sz="4" w:space="0"/>
            </w:tcBorders>
            <w:noWrap w:val="0"/>
            <w:vAlign w:val="top"/>
          </w:tcPr>
          <w:p w14:paraId="0B09935A">
            <w:pPr>
              <w:snapToGrid w:val="0"/>
              <w:spacing w:before="50" w:after="50" w:line="360" w:lineRule="auto"/>
              <w:jc w:val="center"/>
              <w:rPr>
                <w:rFonts w:hint="eastAsia" w:ascii="宋体" w:hAnsi="宋体"/>
                <w:color w:val="auto"/>
                <w:szCs w:val="21"/>
              </w:rPr>
            </w:pPr>
          </w:p>
        </w:tc>
        <w:tc>
          <w:tcPr>
            <w:tcW w:w="713" w:type="pct"/>
            <w:tcBorders>
              <w:top w:val="single" w:color="auto" w:sz="4" w:space="0"/>
              <w:left w:val="single" w:color="auto" w:sz="4" w:space="0"/>
              <w:bottom w:val="single" w:color="auto" w:sz="4" w:space="0"/>
              <w:right w:val="single" w:color="auto" w:sz="4" w:space="0"/>
            </w:tcBorders>
            <w:noWrap w:val="0"/>
            <w:vAlign w:val="center"/>
          </w:tcPr>
          <w:p w14:paraId="4A73FAE7">
            <w:pPr>
              <w:snapToGrid w:val="0"/>
              <w:spacing w:before="50" w:after="50" w:line="360" w:lineRule="auto"/>
              <w:jc w:val="center"/>
              <w:rPr>
                <w:rFonts w:hint="eastAsia" w:ascii="宋体" w:hAnsi="宋体"/>
                <w:color w:val="auto"/>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5F16376A">
            <w:pPr>
              <w:snapToGrid w:val="0"/>
              <w:spacing w:before="50" w:after="50" w:line="360" w:lineRule="auto"/>
              <w:jc w:val="center"/>
              <w:rPr>
                <w:rFonts w:hint="eastAsia" w:ascii="宋体" w:hAnsi="宋体"/>
                <w:color w:val="auto"/>
                <w:szCs w:val="21"/>
              </w:rPr>
            </w:pPr>
          </w:p>
        </w:tc>
        <w:tc>
          <w:tcPr>
            <w:tcW w:w="731" w:type="pct"/>
            <w:tcBorders>
              <w:top w:val="single" w:color="auto" w:sz="4" w:space="0"/>
              <w:left w:val="single" w:color="auto" w:sz="4" w:space="0"/>
              <w:bottom w:val="single" w:color="auto" w:sz="4" w:space="0"/>
              <w:right w:val="single" w:color="auto" w:sz="4" w:space="0"/>
            </w:tcBorders>
            <w:noWrap w:val="0"/>
            <w:vAlign w:val="center"/>
          </w:tcPr>
          <w:p w14:paraId="3BD453FA">
            <w:pPr>
              <w:snapToGrid w:val="0"/>
              <w:spacing w:before="50" w:after="50" w:line="360" w:lineRule="auto"/>
              <w:jc w:val="center"/>
              <w:rPr>
                <w:rFonts w:hint="eastAsia" w:ascii="宋体" w:hAnsi="宋体"/>
                <w:color w:val="auto"/>
                <w:szCs w:val="21"/>
              </w:rPr>
            </w:pPr>
          </w:p>
        </w:tc>
      </w:tr>
      <w:tr w14:paraId="77A8F9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1AB246C2">
            <w:pPr>
              <w:snapToGrid w:val="0"/>
              <w:spacing w:before="50" w:after="50" w:line="360" w:lineRule="auto"/>
              <w:jc w:val="center"/>
              <w:rPr>
                <w:rFonts w:hint="eastAsia" w:ascii="宋体" w:hAnsi="宋体"/>
                <w:color w:val="auto"/>
                <w:szCs w:val="21"/>
              </w:rPr>
            </w:pPr>
          </w:p>
        </w:tc>
        <w:tc>
          <w:tcPr>
            <w:tcW w:w="713" w:type="pct"/>
            <w:tcBorders>
              <w:top w:val="single" w:color="auto" w:sz="4" w:space="0"/>
              <w:left w:val="single" w:color="auto" w:sz="4" w:space="0"/>
              <w:bottom w:val="single" w:color="auto" w:sz="4" w:space="0"/>
              <w:right w:val="single" w:color="auto" w:sz="4" w:space="0"/>
            </w:tcBorders>
            <w:noWrap w:val="0"/>
            <w:vAlign w:val="center"/>
          </w:tcPr>
          <w:p w14:paraId="6F159301">
            <w:pPr>
              <w:snapToGrid w:val="0"/>
              <w:spacing w:before="50" w:after="50" w:line="360" w:lineRule="auto"/>
              <w:jc w:val="center"/>
              <w:rPr>
                <w:rFonts w:hint="eastAsia" w:ascii="宋体" w:hAnsi="宋体"/>
                <w:color w:val="auto"/>
                <w:szCs w:val="21"/>
              </w:rPr>
            </w:pPr>
          </w:p>
        </w:tc>
        <w:tc>
          <w:tcPr>
            <w:tcW w:w="639" w:type="pct"/>
            <w:tcBorders>
              <w:top w:val="single" w:color="auto" w:sz="4" w:space="0"/>
              <w:left w:val="single" w:color="auto" w:sz="4" w:space="0"/>
              <w:bottom w:val="single" w:color="auto" w:sz="4" w:space="0"/>
              <w:right w:val="single" w:color="auto" w:sz="4" w:space="0"/>
            </w:tcBorders>
            <w:noWrap w:val="0"/>
            <w:vAlign w:val="center"/>
          </w:tcPr>
          <w:p w14:paraId="01B48993">
            <w:pPr>
              <w:snapToGrid w:val="0"/>
              <w:spacing w:before="50" w:after="50" w:line="360" w:lineRule="auto"/>
              <w:jc w:val="center"/>
              <w:rPr>
                <w:rFonts w:hint="eastAsia" w:ascii="宋体" w:hAnsi="宋体"/>
                <w:color w:val="auto"/>
                <w:szCs w:val="21"/>
              </w:rPr>
            </w:pPr>
          </w:p>
        </w:tc>
        <w:tc>
          <w:tcPr>
            <w:tcW w:w="505" w:type="pct"/>
            <w:tcBorders>
              <w:top w:val="single" w:color="auto" w:sz="4" w:space="0"/>
              <w:left w:val="single" w:color="auto" w:sz="4" w:space="0"/>
              <w:bottom w:val="single" w:color="auto" w:sz="4" w:space="0"/>
              <w:right w:val="single" w:color="auto" w:sz="4" w:space="0"/>
            </w:tcBorders>
            <w:noWrap w:val="0"/>
            <w:vAlign w:val="center"/>
          </w:tcPr>
          <w:p w14:paraId="736177E5">
            <w:pPr>
              <w:snapToGrid w:val="0"/>
              <w:spacing w:before="50" w:after="50" w:line="360" w:lineRule="auto"/>
              <w:jc w:val="center"/>
              <w:rPr>
                <w:rFonts w:hint="eastAsia" w:ascii="宋体" w:hAnsi="宋体"/>
                <w:color w:val="auto"/>
                <w:szCs w:val="21"/>
              </w:rPr>
            </w:pPr>
          </w:p>
        </w:tc>
        <w:tc>
          <w:tcPr>
            <w:tcW w:w="851" w:type="pct"/>
            <w:tcBorders>
              <w:top w:val="single" w:color="auto" w:sz="4" w:space="0"/>
              <w:left w:val="single" w:color="auto" w:sz="4" w:space="0"/>
              <w:bottom w:val="single" w:color="auto" w:sz="4" w:space="0"/>
              <w:right w:val="single" w:color="auto" w:sz="4" w:space="0"/>
            </w:tcBorders>
            <w:noWrap w:val="0"/>
            <w:vAlign w:val="top"/>
          </w:tcPr>
          <w:p w14:paraId="1FD5ECF7">
            <w:pPr>
              <w:snapToGrid w:val="0"/>
              <w:spacing w:before="50" w:after="50" w:line="360" w:lineRule="auto"/>
              <w:jc w:val="center"/>
              <w:rPr>
                <w:rFonts w:hint="eastAsia" w:ascii="宋体" w:hAnsi="宋体"/>
                <w:color w:val="auto"/>
                <w:szCs w:val="21"/>
              </w:rPr>
            </w:pPr>
          </w:p>
        </w:tc>
        <w:tc>
          <w:tcPr>
            <w:tcW w:w="713" w:type="pct"/>
            <w:tcBorders>
              <w:top w:val="single" w:color="auto" w:sz="4" w:space="0"/>
              <w:left w:val="single" w:color="auto" w:sz="4" w:space="0"/>
              <w:bottom w:val="single" w:color="auto" w:sz="4" w:space="0"/>
              <w:right w:val="single" w:color="auto" w:sz="4" w:space="0"/>
            </w:tcBorders>
            <w:noWrap w:val="0"/>
            <w:vAlign w:val="center"/>
          </w:tcPr>
          <w:p w14:paraId="4C397F89">
            <w:pPr>
              <w:snapToGrid w:val="0"/>
              <w:spacing w:before="50" w:after="50" w:line="360" w:lineRule="auto"/>
              <w:jc w:val="center"/>
              <w:rPr>
                <w:rFonts w:hint="eastAsia" w:ascii="宋体" w:hAnsi="宋体"/>
                <w:color w:val="auto"/>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2E2A0639">
            <w:pPr>
              <w:snapToGrid w:val="0"/>
              <w:spacing w:before="50" w:after="50" w:line="360" w:lineRule="auto"/>
              <w:jc w:val="center"/>
              <w:rPr>
                <w:rFonts w:hint="eastAsia" w:ascii="宋体" w:hAnsi="宋体"/>
                <w:color w:val="auto"/>
                <w:szCs w:val="21"/>
              </w:rPr>
            </w:pPr>
          </w:p>
        </w:tc>
        <w:tc>
          <w:tcPr>
            <w:tcW w:w="731" w:type="pct"/>
            <w:tcBorders>
              <w:top w:val="single" w:color="auto" w:sz="4" w:space="0"/>
              <w:left w:val="single" w:color="auto" w:sz="4" w:space="0"/>
              <w:bottom w:val="single" w:color="auto" w:sz="4" w:space="0"/>
              <w:right w:val="single" w:color="auto" w:sz="4" w:space="0"/>
            </w:tcBorders>
            <w:noWrap w:val="0"/>
            <w:vAlign w:val="center"/>
          </w:tcPr>
          <w:p w14:paraId="027A460E">
            <w:pPr>
              <w:snapToGrid w:val="0"/>
              <w:spacing w:before="50" w:after="50" w:line="360" w:lineRule="auto"/>
              <w:jc w:val="center"/>
              <w:rPr>
                <w:rFonts w:hint="eastAsia" w:ascii="宋体" w:hAnsi="宋体"/>
                <w:color w:val="auto"/>
                <w:szCs w:val="21"/>
              </w:rPr>
            </w:pPr>
          </w:p>
        </w:tc>
      </w:tr>
    </w:tbl>
    <w:p w14:paraId="1BB097ED">
      <w:pPr>
        <w:spacing w:line="360" w:lineRule="auto"/>
        <w:contextualSpacing/>
        <w:rPr>
          <w:rFonts w:hint="eastAsia" w:ascii="宋体" w:hAnsi="宋体"/>
          <w:color w:val="auto"/>
          <w:szCs w:val="21"/>
        </w:rPr>
      </w:pPr>
      <w:r>
        <w:rPr>
          <w:rFonts w:hint="eastAsia" w:ascii="宋体" w:hAnsi="宋体"/>
          <w:color w:val="auto"/>
          <w:szCs w:val="21"/>
        </w:rPr>
        <w:t>备注：</w:t>
      </w:r>
    </w:p>
    <w:p w14:paraId="053B0FE6">
      <w:pPr>
        <w:spacing w:line="360" w:lineRule="auto"/>
        <w:ind w:firstLine="420" w:firstLineChars="200"/>
        <w:contextualSpacing/>
        <w:rPr>
          <w:rFonts w:hint="eastAsia" w:ascii="宋体" w:hAnsi="宋体"/>
          <w:b/>
          <w:color w:val="auto"/>
          <w:szCs w:val="21"/>
        </w:rPr>
      </w:pPr>
      <w:r>
        <w:rPr>
          <w:rFonts w:hint="eastAsia" w:ascii="宋体" w:hAnsi="宋体"/>
          <w:color w:val="auto"/>
          <w:szCs w:val="21"/>
        </w:rPr>
        <w:t>以上设备性能配置清单须如实填写完整，品牌、规格型号没有则填无</w:t>
      </w:r>
      <w:r>
        <w:rPr>
          <w:rFonts w:hint="eastAsia" w:ascii="宋体" w:hAnsi="宋体"/>
          <w:bCs/>
          <w:color w:val="auto"/>
          <w:szCs w:val="21"/>
        </w:rPr>
        <w:t>。</w:t>
      </w:r>
      <w:r>
        <w:rPr>
          <w:rFonts w:hint="eastAsia" w:ascii="宋体" w:hAnsi="宋体"/>
          <w:color w:val="auto"/>
          <w:szCs w:val="21"/>
        </w:rPr>
        <w:t>货物名称、数量及单位、品牌必须与“开标一览表”一致。</w:t>
      </w:r>
    </w:p>
    <w:p w14:paraId="1F8FD2F1">
      <w:pPr>
        <w:spacing w:line="360" w:lineRule="auto"/>
        <w:ind w:firstLine="420" w:firstLineChars="200"/>
        <w:contextualSpacing/>
        <w:rPr>
          <w:rFonts w:hint="eastAsia" w:ascii="宋体" w:hAnsi="宋体"/>
          <w:color w:val="auto"/>
          <w:szCs w:val="21"/>
        </w:rPr>
      </w:pPr>
    </w:p>
    <w:p w14:paraId="42331C3E">
      <w:pPr>
        <w:spacing w:line="360" w:lineRule="auto"/>
        <w:ind w:firstLine="420" w:firstLineChars="200"/>
        <w:contextualSpacing/>
        <w:rPr>
          <w:rFonts w:hint="eastAsia" w:ascii="宋体" w:hAnsi="宋体"/>
          <w:color w:val="auto"/>
          <w:szCs w:val="21"/>
        </w:rPr>
      </w:pPr>
    </w:p>
    <w:p w14:paraId="03195CB8">
      <w:pPr>
        <w:spacing w:line="360" w:lineRule="auto"/>
        <w:ind w:firstLine="420" w:firstLineChars="200"/>
        <w:contextualSpacing/>
        <w:rPr>
          <w:rFonts w:hint="eastAsia" w:ascii="宋体" w:hAnsi="宋体"/>
          <w:color w:val="auto"/>
          <w:szCs w:val="21"/>
        </w:rPr>
      </w:pPr>
    </w:p>
    <w:p w14:paraId="15317FC2">
      <w:pPr>
        <w:spacing w:line="360" w:lineRule="auto"/>
        <w:jc w:val="center"/>
        <w:rPr>
          <w:rFonts w:ascii="宋体" w:hAnsi="宋体"/>
          <w:color w:val="auto"/>
          <w:szCs w:val="21"/>
          <w:u w:val="single"/>
        </w:rPr>
      </w:pPr>
      <w:r>
        <w:rPr>
          <w:rFonts w:hint="eastAsia" w:ascii="宋体" w:hAnsi="宋体"/>
          <w:color w:val="auto"/>
          <w:szCs w:val="21"/>
        </w:rPr>
        <w:t xml:space="preserve"> 法定代表人或委托代理人</w:t>
      </w:r>
      <w:r>
        <w:rPr>
          <w:rFonts w:hint="eastAsia" w:ascii="宋体" w:hAnsi="宋体"/>
          <w:b/>
          <w:bCs/>
          <w:color w:val="auto"/>
          <w:szCs w:val="21"/>
        </w:rPr>
        <w:t>（签字</w:t>
      </w:r>
      <w:r>
        <w:rPr>
          <w:rFonts w:hint="eastAsia" w:ascii="宋体" w:hAnsi="宋体"/>
          <w:color w:val="auto"/>
          <w:szCs w:val="21"/>
        </w:rPr>
        <w:t>或签章</w:t>
      </w:r>
      <w:r>
        <w:rPr>
          <w:rFonts w:hint="eastAsia" w:ascii="宋体" w:hAnsi="宋体"/>
          <w:b/>
          <w:bCs/>
          <w:color w:val="auto"/>
          <w:szCs w:val="21"/>
        </w:rPr>
        <w:t>）：</w:t>
      </w:r>
    </w:p>
    <w:p w14:paraId="05CCA253">
      <w:pPr>
        <w:spacing w:line="360" w:lineRule="auto"/>
        <w:jc w:val="center"/>
        <w:rPr>
          <w:rFonts w:ascii="宋体" w:hAnsi="宋体"/>
          <w:color w:val="auto"/>
          <w:szCs w:val="21"/>
          <w:u w:val="single"/>
        </w:rPr>
      </w:pPr>
    </w:p>
    <w:p w14:paraId="7B941A71">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6D8B3851">
      <w:pPr>
        <w:pStyle w:val="24"/>
        <w:spacing w:line="360" w:lineRule="auto"/>
        <w:rPr>
          <w:rFonts w:hAnsi="宋体"/>
          <w:color w:val="auto"/>
          <w:sz w:val="21"/>
        </w:rPr>
      </w:pPr>
    </w:p>
    <w:p w14:paraId="76291805">
      <w:pPr>
        <w:pStyle w:val="24"/>
        <w:spacing w:line="360" w:lineRule="auto"/>
        <w:jc w:val="right"/>
        <w:rPr>
          <w:rFonts w:hAnsi="宋体"/>
          <w:b/>
          <w:color w:val="auto"/>
          <w:sz w:val="30"/>
          <w:szCs w:val="30"/>
        </w:rPr>
      </w:pPr>
      <w:r>
        <w:rPr>
          <w:rFonts w:hint="eastAsia" w:hAnsi="宋体"/>
          <w:color w:val="auto"/>
          <w:sz w:val="21"/>
        </w:rPr>
        <w:t>日期：    年   月  日</w:t>
      </w:r>
    </w:p>
    <w:p w14:paraId="11FF6045">
      <w:pPr>
        <w:snapToGrid w:val="0"/>
        <w:spacing w:before="50" w:after="50" w:line="360" w:lineRule="auto"/>
        <w:rPr>
          <w:rFonts w:ascii="宋体" w:hAnsi="宋体"/>
          <w:color w:val="auto"/>
          <w:sz w:val="24"/>
          <w:szCs w:val="20"/>
        </w:rPr>
      </w:pPr>
    </w:p>
    <w:p w14:paraId="6C0B274B">
      <w:pPr>
        <w:snapToGrid w:val="0"/>
        <w:spacing w:before="120" w:beforeLines="50" w:after="50" w:line="360" w:lineRule="auto"/>
        <w:ind w:left="142"/>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10. 项目实施人员一览表格式</w:t>
      </w:r>
    </w:p>
    <w:p w14:paraId="39DB9875">
      <w:pPr>
        <w:snapToGrid w:val="0"/>
        <w:spacing w:before="120" w:beforeLines="50" w:after="50" w:line="360" w:lineRule="auto"/>
        <w:ind w:left="142"/>
        <w:jc w:val="left"/>
        <w:rPr>
          <w:rFonts w:ascii="宋体" w:hAnsi="宋体"/>
          <w:b/>
          <w:color w:val="auto"/>
          <w:sz w:val="24"/>
        </w:rPr>
      </w:pPr>
    </w:p>
    <w:p w14:paraId="2A1AE78D">
      <w:pPr>
        <w:snapToGrid w:val="0"/>
        <w:spacing w:before="120" w:beforeLines="50" w:after="50" w:line="360" w:lineRule="auto"/>
        <w:ind w:left="142"/>
        <w:jc w:val="center"/>
        <w:rPr>
          <w:rFonts w:ascii="宋体" w:hAnsi="宋体"/>
          <w:b/>
          <w:color w:val="auto"/>
          <w:sz w:val="32"/>
          <w:szCs w:val="32"/>
        </w:rPr>
      </w:pPr>
      <w:r>
        <w:rPr>
          <w:rFonts w:hint="eastAsia" w:ascii="宋体" w:hAnsi="宋体"/>
          <w:b/>
          <w:color w:val="auto"/>
          <w:sz w:val="32"/>
          <w:szCs w:val="32"/>
        </w:rPr>
        <w:t>项目实施人员一览表</w:t>
      </w:r>
    </w:p>
    <w:p w14:paraId="74CA68DA">
      <w:pPr>
        <w:pStyle w:val="24"/>
        <w:spacing w:line="360" w:lineRule="auto"/>
        <w:rPr>
          <w:rFonts w:hAnsi="宋体"/>
          <w:color w:val="auto"/>
          <w:sz w:val="24"/>
          <w:szCs w:val="24"/>
        </w:rPr>
      </w:pP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2390"/>
        <w:gridCol w:w="1350"/>
        <w:gridCol w:w="1750"/>
        <w:gridCol w:w="1890"/>
      </w:tblGrid>
      <w:tr w14:paraId="764D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0AD2919">
            <w:pPr>
              <w:snapToGrid w:val="0"/>
              <w:spacing w:before="50" w:after="120" w:afterLines="50" w:line="360" w:lineRule="auto"/>
              <w:jc w:val="center"/>
              <w:rPr>
                <w:rFonts w:ascii="宋体" w:hAnsi="宋体"/>
                <w:color w:val="auto"/>
                <w:szCs w:val="21"/>
              </w:rPr>
            </w:pPr>
            <w:r>
              <w:rPr>
                <w:rFonts w:hint="eastAsia" w:ascii="宋体" w:hAnsi="宋体"/>
                <w:color w:val="auto"/>
                <w:szCs w:val="21"/>
              </w:rPr>
              <w:t>姓名</w:t>
            </w:r>
          </w:p>
        </w:tc>
        <w:tc>
          <w:tcPr>
            <w:tcW w:w="709" w:type="dxa"/>
            <w:noWrap w:val="0"/>
            <w:vAlign w:val="center"/>
          </w:tcPr>
          <w:p w14:paraId="703CEFE7">
            <w:pPr>
              <w:snapToGrid w:val="0"/>
              <w:spacing w:before="50" w:after="120" w:afterLines="50" w:line="360" w:lineRule="auto"/>
              <w:jc w:val="center"/>
              <w:rPr>
                <w:rFonts w:ascii="宋体" w:hAnsi="宋体"/>
                <w:color w:val="auto"/>
                <w:szCs w:val="21"/>
              </w:rPr>
            </w:pPr>
            <w:r>
              <w:rPr>
                <w:rFonts w:hint="eastAsia" w:ascii="宋体" w:hAnsi="宋体"/>
                <w:color w:val="auto"/>
                <w:szCs w:val="21"/>
              </w:rPr>
              <w:t>职务</w:t>
            </w:r>
          </w:p>
        </w:tc>
        <w:tc>
          <w:tcPr>
            <w:tcW w:w="2390" w:type="dxa"/>
            <w:noWrap w:val="0"/>
            <w:vAlign w:val="center"/>
          </w:tcPr>
          <w:p w14:paraId="2B21AA04">
            <w:pPr>
              <w:snapToGrid w:val="0"/>
              <w:spacing w:before="50" w:after="120" w:afterLines="50" w:line="360" w:lineRule="auto"/>
              <w:jc w:val="center"/>
              <w:rPr>
                <w:rFonts w:ascii="宋体" w:hAnsi="宋体"/>
                <w:color w:val="auto"/>
                <w:szCs w:val="21"/>
              </w:rPr>
            </w:pPr>
            <w:r>
              <w:rPr>
                <w:rFonts w:hint="eastAsia" w:ascii="宋体" w:hAnsi="宋体"/>
                <w:color w:val="auto"/>
                <w:szCs w:val="21"/>
              </w:rPr>
              <w:t>专业技术资格（职称）或者职业资格或者执业资格证或者其他证书</w:t>
            </w:r>
          </w:p>
        </w:tc>
        <w:tc>
          <w:tcPr>
            <w:tcW w:w="1350" w:type="dxa"/>
            <w:noWrap w:val="0"/>
            <w:vAlign w:val="center"/>
          </w:tcPr>
          <w:p w14:paraId="49002435">
            <w:pPr>
              <w:snapToGrid w:val="0"/>
              <w:spacing w:before="50" w:after="120" w:afterLines="50" w:line="360" w:lineRule="auto"/>
              <w:jc w:val="center"/>
              <w:rPr>
                <w:rFonts w:ascii="宋体" w:hAnsi="宋体"/>
                <w:color w:val="auto"/>
                <w:szCs w:val="21"/>
              </w:rPr>
            </w:pPr>
            <w:r>
              <w:rPr>
                <w:rFonts w:hint="eastAsia" w:ascii="宋体" w:hAnsi="宋体"/>
                <w:color w:val="auto"/>
                <w:szCs w:val="21"/>
              </w:rPr>
              <w:t>证书编号</w:t>
            </w:r>
          </w:p>
        </w:tc>
        <w:tc>
          <w:tcPr>
            <w:tcW w:w="1750" w:type="dxa"/>
            <w:noWrap w:val="0"/>
            <w:vAlign w:val="center"/>
          </w:tcPr>
          <w:p w14:paraId="456E8A85">
            <w:pPr>
              <w:snapToGrid w:val="0"/>
              <w:spacing w:before="50" w:after="120" w:afterLines="50" w:line="360" w:lineRule="auto"/>
              <w:jc w:val="center"/>
              <w:rPr>
                <w:rFonts w:ascii="宋体" w:hAnsi="宋体"/>
                <w:color w:val="auto"/>
                <w:szCs w:val="21"/>
              </w:rPr>
            </w:pPr>
            <w:r>
              <w:rPr>
                <w:rFonts w:hint="eastAsia" w:ascii="宋体" w:hAnsi="宋体"/>
                <w:color w:val="auto"/>
                <w:szCs w:val="21"/>
              </w:rPr>
              <w:t>参加本单位</w:t>
            </w:r>
          </w:p>
          <w:p w14:paraId="2C11D419">
            <w:pPr>
              <w:snapToGrid w:val="0"/>
              <w:spacing w:before="50" w:after="120" w:afterLines="50" w:line="360" w:lineRule="auto"/>
              <w:jc w:val="center"/>
              <w:rPr>
                <w:rFonts w:ascii="宋体" w:hAnsi="宋体"/>
                <w:color w:val="auto"/>
                <w:szCs w:val="21"/>
              </w:rPr>
            </w:pPr>
            <w:r>
              <w:rPr>
                <w:rFonts w:hint="eastAsia" w:ascii="宋体" w:hAnsi="宋体"/>
                <w:color w:val="auto"/>
                <w:szCs w:val="21"/>
              </w:rPr>
              <w:t>工作时间</w:t>
            </w:r>
          </w:p>
        </w:tc>
        <w:tc>
          <w:tcPr>
            <w:tcW w:w="1890" w:type="dxa"/>
            <w:noWrap w:val="0"/>
            <w:vAlign w:val="center"/>
          </w:tcPr>
          <w:p w14:paraId="031B2921">
            <w:pPr>
              <w:snapToGrid w:val="0"/>
              <w:spacing w:before="50" w:after="120" w:afterLines="50" w:line="360" w:lineRule="auto"/>
              <w:jc w:val="center"/>
              <w:rPr>
                <w:rFonts w:ascii="宋体" w:hAnsi="宋体"/>
                <w:color w:val="auto"/>
                <w:szCs w:val="21"/>
              </w:rPr>
            </w:pPr>
            <w:r>
              <w:rPr>
                <w:rFonts w:hint="eastAsia" w:ascii="宋体" w:hAnsi="宋体"/>
                <w:color w:val="auto"/>
                <w:szCs w:val="21"/>
              </w:rPr>
              <w:t>劳动合同编号</w:t>
            </w:r>
          </w:p>
        </w:tc>
      </w:tr>
      <w:tr w14:paraId="46D3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0B69071">
            <w:pPr>
              <w:snapToGrid w:val="0"/>
              <w:spacing w:before="50" w:after="120" w:afterLines="50" w:line="360" w:lineRule="auto"/>
              <w:jc w:val="center"/>
              <w:rPr>
                <w:rFonts w:ascii="宋体" w:hAnsi="宋体"/>
                <w:color w:val="auto"/>
                <w:szCs w:val="21"/>
              </w:rPr>
            </w:pPr>
          </w:p>
        </w:tc>
        <w:tc>
          <w:tcPr>
            <w:tcW w:w="709" w:type="dxa"/>
            <w:noWrap w:val="0"/>
            <w:vAlign w:val="center"/>
          </w:tcPr>
          <w:p w14:paraId="786C6D60">
            <w:pPr>
              <w:snapToGrid w:val="0"/>
              <w:spacing w:before="50" w:after="120" w:afterLines="50" w:line="360" w:lineRule="auto"/>
              <w:jc w:val="center"/>
              <w:rPr>
                <w:rFonts w:ascii="宋体" w:hAnsi="宋体"/>
                <w:color w:val="auto"/>
                <w:szCs w:val="21"/>
              </w:rPr>
            </w:pPr>
          </w:p>
        </w:tc>
        <w:tc>
          <w:tcPr>
            <w:tcW w:w="2390" w:type="dxa"/>
            <w:noWrap w:val="0"/>
            <w:vAlign w:val="center"/>
          </w:tcPr>
          <w:p w14:paraId="6CFC34AC">
            <w:pPr>
              <w:snapToGrid w:val="0"/>
              <w:spacing w:before="50" w:after="120" w:afterLines="50" w:line="360" w:lineRule="auto"/>
              <w:jc w:val="center"/>
              <w:rPr>
                <w:rFonts w:ascii="宋体" w:hAnsi="宋体"/>
                <w:color w:val="auto"/>
                <w:szCs w:val="21"/>
              </w:rPr>
            </w:pPr>
          </w:p>
        </w:tc>
        <w:tc>
          <w:tcPr>
            <w:tcW w:w="1350" w:type="dxa"/>
            <w:noWrap w:val="0"/>
            <w:vAlign w:val="center"/>
          </w:tcPr>
          <w:p w14:paraId="59DB633D">
            <w:pPr>
              <w:snapToGrid w:val="0"/>
              <w:spacing w:before="50" w:after="120" w:afterLines="50" w:line="360" w:lineRule="auto"/>
              <w:jc w:val="center"/>
              <w:rPr>
                <w:rFonts w:ascii="宋体" w:hAnsi="宋体"/>
                <w:color w:val="auto"/>
                <w:szCs w:val="21"/>
              </w:rPr>
            </w:pPr>
          </w:p>
        </w:tc>
        <w:tc>
          <w:tcPr>
            <w:tcW w:w="1750" w:type="dxa"/>
            <w:noWrap w:val="0"/>
            <w:vAlign w:val="center"/>
          </w:tcPr>
          <w:p w14:paraId="31A22FA8">
            <w:pPr>
              <w:snapToGrid w:val="0"/>
              <w:spacing w:before="50" w:after="120" w:afterLines="50" w:line="360" w:lineRule="auto"/>
              <w:jc w:val="center"/>
              <w:rPr>
                <w:rFonts w:ascii="宋体" w:hAnsi="宋体"/>
                <w:color w:val="auto"/>
                <w:szCs w:val="21"/>
              </w:rPr>
            </w:pPr>
          </w:p>
        </w:tc>
        <w:tc>
          <w:tcPr>
            <w:tcW w:w="1890" w:type="dxa"/>
            <w:noWrap w:val="0"/>
            <w:vAlign w:val="center"/>
          </w:tcPr>
          <w:p w14:paraId="79ED8E5B">
            <w:pPr>
              <w:snapToGrid w:val="0"/>
              <w:spacing w:before="50" w:after="120" w:afterLines="50" w:line="360" w:lineRule="auto"/>
              <w:jc w:val="center"/>
              <w:rPr>
                <w:rFonts w:ascii="宋体" w:hAnsi="宋体"/>
                <w:color w:val="auto"/>
                <w:szCs w:val="21"/>
              </w:rPr>
            </w:pPr>
          </w:p>
        </w:tc>
      </w:tr>
      <w:tr w14:paraId="6449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182DB60">
            <w:pPr>
              <w:snapToGrid w:val="0"/>
              <w:spacing w:before="50" w:after="120" w:afterLines="50" w:line="360" w:lineRule="auto"/>
              <w:jc w:val="center"/>
              <w:rPr>
                <w:rFonts w:ascii="宋体" w:hAnsi="宋体"/>
                <w:color w:val="auto"/>
                <w:szCs w:val="21"/>
              </w:rPr>
            </w:pPr>
          </w:p>
        </w:tc>
        <w:tc>
          <w:tcPr>
            <w:tcW w:w="709" w:type="dxa"/>
            <w:noWrap w:val="0"/>
            <w:vAlign w:val="center"/>
          </w:tcPr>
          <w:p w14:paraId="05C3C502">
            <w:pPr>
              <w:snapToGrid w:val="0"/>
              <w:spacing w:before="50" w:after="120" w:afterLines="50" w:line="360" w:lineRule="auto"/>
              <w:jc w:val="center"/>
              <w:rPr>
                <w:rFonts w:ascii="宋体" w:hAnsi="宋体"/>
                <w:color w:val="auto"/>
                <w:szCs w:val="21"/>
              </w:rPr>
            </w:pPr>
          </w:p>
        </w:tc>
        <w:tc>
          <w:tcPr>
            <w:tcW w:w="2390" w:type="dxa"/>
            <w:noWrap w:val="0"/>
            <w:vAlign w:val="center"/>
          </w:tcPr>
          <w:p w14:paraId="68E0C5F6">
            <w:pPr>
              <w:snapToGrid w:val="0"/>
              <w:spacing w:before="50" w:after="120" w:afterLines="50" w:line="360" w:lineRule="auto"/>
              <w:jc w:val="center"/>
              <w:rPr>
                <w:rFonts w:ascii="宋体" w:hAnsi="宋体"/>
                <w:color w:val="auto"/>
                <w:szCs w:val="21"/>
              </w:rPr>
            </w:pPr>
          </w:p>
        </w:tc>
        <w:tc>
          <w:tcPr>
            <w:tcW w:w="1350" w:type="dxa"/>
            <w:noWrap w:val="0"/>
            <w:vAlign w:val="center"/>
          </w:tcPr>
          <w:p w14:paraId="230556FD">
            <w:pPr>
              <w:snapToGrid w:val="0"/>
              <w:spacing w:before="50" w:after="120" w:afterLines="50" w:line="360" w:lineRule="auto"/>
              <w:jc w:val="center"/>
              <w:rPr>
                <w:rFonts w:ascii="宋体" w:hAnsi="宋体"/>
                <w:color w:val="auto"/>
                <w:szCs w:val="21"/>
              </w:rPr>
            </w:pPr>
          </w:p>
        </w:tc>
        <w:tc>
          <w:tcPr>
            <w:tcW w:w="1750" w:type="dxa"/>
            <w:noWrap w:val="0"/>
            <w:vAlign w:val="center"/>
          </w:tcPr>
          <w:p w14:paraId="56D78292">
            <w:pPr>
              <w:snapToGrid w:val="0"/>
              <w:spacing w:before="50" w:after="120" w:afterLines="50" w:line="360" w:lineRule="auto"/>
              <w:jc w:val="center"/>
              <w:rPr>
                <w:rFonts w:ascii="宋体" w:hAnsi="宋体"/>
                <w:color w:val="auto"/>
                <w:szCs w:val="21"/>
              </w:rPr>
            </w:pPr>
          </w:p>
        </w:tc>
        <w:tc>
          <w:tcPr>
            <w:tcW w:w="1890" w:type="dxa"/>
            <w:noWrap w:val="0"/>
            <w:vAlign w:val="center"/>
          </w:tcPr>
          <w:p w14:paraId="2331523D">
            <w:pPr>
              <w:snapToGrid w:val="0"/>
              <w:spacing w:before="50" w:after="120" w:afterLines="50" w:line="360" w:lineRule="auto"/>
              <w:jc w:val="center"/>
              <w:rPr>
                <w:rFonts w:ascii="宋体" w:hAnsi="宋体"/>
                <w:color w:val="auto"/>
                <w:szCs w:val="21"/>
              </w:rPr>
            </w:pPr>
          </w:p>
        </w:tc>
      </w:tr>
      <w:tr w14:paraId="368C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EBF15A9">
            <w:pPr>
              <w:snapToGrid w:val="0"/>
              <w:spacing w:before="50" w:after="120" w:afterLines="50" w:line="360" w:lineRule="auto"/>
              <w:jc w:val="center"/>
              <w:rPr>
                <w:rFonts w:ascii="宋体" w:hAnsi="宋体"/>
                <w:color w:val="auto"/>
                <w:szCs w:val="21"/>
              </w:rPr>
            </w:pPr>
          </w:p>
        </w:tc>
        <w:tc>
          <w:tcPr>
            <w:tcW w:w="709" w:type="dxa"/>
            <w:noWrap w:val="0"/>
            <w:vAlign w:val="center"/>
          </w:tcPr>
          <w:p w14:paraId="4AE0AE6A">
            <w:pPr>
              <w:snapToGrid w:val="0"/>
              <w:spacing w:before="50" w:after="120" w:afterLines="50" w:line="360" w:lineRule="auto"/>
              <w:jc w:val="center"/>
              <w:rPr>
                <w:rFonts w:ascii="宋体" w:hAnsi="宋体"/>
                <w:color w:val="auto"/>
                <w:szCs w:val="21"/>
              </w:rPr>
            </w:pPr>
          </w:p>
        </w:tc>
        <w:tc>
          <w:tcPr>
            <w:tcW w:w="2390" w:type="dxa"/>
            <w:noWrap w:val="0"/>
            <w:vAlign w:val="center"/>
          </w:tcPr>
          <w:p w14:paraId="4C4E3EB1">
            <w:pPr>
              <w:snapToGrid w:val="0"/>
              <w:spacing w:before="50" w:after="120" w:afterLines="50" w:line="360" w:lineRule="auto"/>
              <w:jc w:val="center"/>
              <w:rPr>
                <w:rFonts w:ascii="宋体" w:hAnsi="宋体"/>
                <w:color w:val="auto"/>
                <w:szCs w:val="21"/>
              </w:rPr>
            </w:pPr>
          </w:p>
        </w:tc>
        <w:tc>
          <w:tcPr>
            <w:tcW w:w="1350" w:type="dxa"/>
            <w:noWrap w:val="0"/>
            <w:vAlign w:val="center"/>
          </w:tcPr>
          <w:p w14:paraId="51BCCFD8">
            <w:pPr>
              <w:snapToGrid w:val="0"/>
              <w:spacing w:before="50" w:after="120" w:afterLines="50" w:line="360" w:lineRule="auto"/>
              <w:jc w:val="center"/>
              <w:rPr>
                <w:rFonts w:ascii="宋体" w:hAnsi="宋体"/>
                <w:color w:val="auto"/>
                <w:szCs w:val="21"/>
              </w:rPr>
            </w:pPr>
          </w:p>
        </w:tc>
        <w:tc>
          <w:tcPr>
            <w:tcW w:w="1750" w:type="dxa"/>
            <w:noWrap w:val="0"/>
            <w:vAlign w:val="center"/>
          </w:tcPr>
          <w:p w14:paraId="2DC79B00">
            <w:pPr>
              <w:snapToGrid w:val="0"/>
              <w:spacing w:before="50" w:after="120" w:afterLines="50" w:line="360" w:lineRule="auto"/>
              <w:jc w:val="center"/>
              <w:rPr>
                <w:rFonts w:ascii="宋体" w:hAnsi="宋体"/>
                <w:color w:val="auto"/>
                <w:szCs w:val="21"/>
              </w:rPr>
            </w:pPr>
          </w:p>
        </w:tc>
        <w:tc>
          <w:tcPr>
            <w:tcW w:w="1890" w:type="dxa"/>
            <w:noWrap w:val="0"/>
            <w:vAlign w:val="center"/>
          </w:tcPr>
          <w:p w14:paraId="6B8C86B8">
            <w:pPr>
              <w:snapToGrid w:val="0"/>
              <w:spacing w:before="50" w:after="120" w:afterLines="50" w:line="360" w:lineRule="auto"/>
              <w:jc w:val="center"/>
              <w:rPr>
                <w:rFonts w:ascii="宋体" w:hAnsi="宋体"/>
                <w:color w:val="auto"/>
                <w:szCs w:val="21"/>
              </w:rPr>
            </w:pPr>
          </w:p>
        </w:tc>
      </w:tr>
    </w:tbl>
    <w:p w14:paraId="3D721687">
      <w:pPr>
        <w:snapToGrid w:val="0"/>
        <w:spacing w:before="50" w:after="120" w:afterLines="50" w:line="360" w:lineRule="auto"/>
        <w:jc w:val="left"/>
        <w:rPr>
          <w:rFonts w:ascii="宋体" w:hAnsi="宋体"/>
          <w:color w:val="auto"/>
          <w:sz w:val="24"/>
          <w:szCs w:val="20"/>
        </w:rPr>
      </w:pPr>
    </w:p>
    <w:p w14:paraId="519719D9">
      <w:pPr>
        <w:spacing w:line="360" w:lineRule="auto"/>
        <w:contextualSpacing/>
        <w:jc w:val="left"/>
        <w:rPr>
          <w:rFonts w:ascii="宋体" w:hAnsi="宋体"/>
          <w:color w:val="auto"/>
          <w:szCs w:val="21"/>
        </w:rPr>
      </w:pPr>
      <w:r>
        <w:rPr>
          <w:rFonts w:hint="eastAsia" w:ascii="宋体" w:hAnsi="宋体"/>
          <w:color w:val="auto"/>
          <w:szCs w:val="21"/>
        </w:rPr>
        <w:t>注：</w:t>
      </w:r>
    </w:p>
    <w:p w14:paraId="1B8F2D6D">
      <w:pPr>
        <w:spacing w:line="360" w:lineRule="auto"/>
        <w:contextualSpacing/>
        <w:jc w:val="left"/>
        <w:rPr>
          <w:rFonts w:ascii="宋体" w:hAns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在填写时，如本表格不适合投标单位的实际情况，可根据本表格式自行制表填写。</w:t>
      </w:r>
    </w:p>
    <w:p w14:paraId="3E37161A">
      <w:pPr>
        <w:spacing w:line="360" w:lineRule="auto"/>
        <w:contextualSpacing/>
        <w:jc w:val="left"/>
        <w:rPr>
          <w:rFonts w:ascii="宋体" w:hAnsi="宋体"/>
          <w:color w:val="auto"/>
          <w:szCs w:val="21"/>
        </w:rPr>
      </w:pPr>
      <w:r>
        <w:rPr>
          <w:rFonts w:ascii="宋体" w:hAnsi="宋体"/>
          <w:color w:val="auto"/>
          <w:szCs w:val="21"/>
        </w:rPr>
        <w:t>2.</w:t>
      </w:r>
      <w:r>
        <w:rPr>
          <w:rFonts w:hint="eastAsia" w:ascii="宋体" w:hAnsi="宋体"/>
          <w:color w:val="auto"/>
          <w:szCs w:val="21"/>
        </w:rPr>
        <w:t>供应商应当附本表所列证书的复印件并加盖供应商公章。</w:t>
      </w:r>
    </w:p>
    <w:p w14:paraId="0DED12FE">
      <w:pPr>
        <w:spacing w:line="360" w:lineRule="auto"/>
        <w:contextualSpacing/>
        <w:rPr>
          <w:rFonts w:ascii="宋体" w:hAnsi="宋体"/>
          <w:color w:val="auto"/>
          <w:spacing w:val="20"/>
          <w:szCs w:val="21"/>
          <w:u w:val="single"/>
        </w:rPr>
      </w:pPr>
    </w:p>
    <w:p w14:paraId="1BE2A83E">
      <w:pPr>
        <w:spacing w:line="360" w:lineRule="auto"/>
        <w:contextualSpacing/>
        <w:jc w:val="center"/>
        <w:rPr>
          <w:rFonts w:hint="eastAsia" w:ascii="宋体" w:hAnsi="宋体"/>
          <w:color w:val="auto"/>
          <w:spacing w:val="20"/>
          <w:szCs w:val="21"/>
        </w:rPr>
      </w:pPr>
    </w:p>
    <w:p w14:paraId="7BEA60D4">
      <w:pPr>
        <w:pStyle w:val="24"/>
        <w:spacing w:line="360" w:lineRule="auto"/>
        <w:ind w:firstLine="3780" w:firstLineChars="18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69156678">
      <w:pPr>
        <w:snapToGrid w:val="0"/>
        <w:spacing w:before="120" w:beforeLines="50" w:after="50" w:line="360" w:lineRule="auto"/>
        <w:ind w:firstLine="4830" w:firstLineChars="2300"/>
        <w:jc w:val="left"/>
        <w:rPr>
          <w:rFonts w:hint="eastAsia" w:ascii="宋体" w:hAnsi="宋体"/>
          <w:b/>
          <w:color w:val="auto"/>
          <w:sz w:val="24"/>
        </w:rPr>
      </w:pPr>
      <w:r>
        <w:rPr>
          <w:rFonts w:hint="eastAsia" w:hAnsi="宋体"/>
          <w:color w:val="auto"/>
        </w:rPr>
        <w:t>日期：    年   月  日</w:t>
      </w:r>
    </w:p>
    <w:p w14:paraId="78806F5C">
      <w:pPr>
        <w:snapToGrid w:val="0"/>
        <w:spacing w:before="120" w:beforeLines="50" w:after="50" w:line="360" w:lineRule="auto"/>
        <w:jc w:val="left"/>
        <w:rPr>
          <w:rFonts w:hint="eastAsia" w:ascii="宋体" w:hAnsi="宋体"/>
          <w:b/>
          <w:color w:val="auto"/>
          <w:sz w:val="24"/>
        </w:rPr>
      </w:pPr>
    </w:p>
    <w:p w14:paraId="3849D372">
      <w:pPr>
        <w:snapToGrid w:val="0"/>
        <w:spacing w:before="120" w:beforeLines="50" w:after="50" w:line="360" w:lineRule="auto"/>
        <w:jc w:val="left"/>
        <w:rPr>
          <w:rFonts w:hint="eastAsia" w:ascii="宋体" w:hAnsi="宋体"/>
          <w:b/>
          <w:color w:val="auto"/>
          <w:sz w:val="24"/>
        </w:rPr>
      </w:pPr>
    </w:p>
    <w:p w14:paraId="39CC401E">
      <w:pPr>
        <w:snapToGrid w:val="0"/>
        <w:spacing w:before="120" w:beforeLines="50" w:after="50" w:line="360" w:lineRule="auto"/>
        <w:jc w:val="left"/>
        <w:rPr>
          <w:rFonts w:hint="eastAsia" w:ascii="宋体" w:hAnsi="宋体"/>
          <w:b/>
          <w:color w:val="auto"/>
          <w:sz w:val="24"/>
        </w:rPr>
      </w:pPr>
    </w:p>
    <w:p w14:paraId="67C0759A">
      <w:pPr>
        <w:snapToGrid w:val="0"/>
        <w:spacing w:before="120" w:beforeLines="50" w:after="50" w:line="360" w:lineRule="auto"/>
        <w:jc w:val="left"/>
        <w:rPr>
          <w:rFonts w:hint="eastAsia" w:ascii="宋体" w:hAnsi="宋体"/>
          <w:b/>
          <w:color w:val="auto"/>
          <w:sz w:val="24"/>
        </w:rPr>
      </w:pPr>
    </w:p>
    <w:p w14:paraId="44F1CBB5">
      <w:pPr>
        <w:snapToGrid w:val="0"/>
        <w:spacing w:before="120" w:beforeLines="50" w:after="50" w:line="360" w:lineRule="auto"/>
        <w:jc w:val="left"/>
        <w:rPr>
          <w:rFonts w:hint="eastAsia" w:ascii="宋体" w:hAnsi="宋体"/>
          <w:b/>
          <w:color w:val="auto"/>
          <w:sz w:val="24"/>
        </w:rPr>
      </w:pPr>
    </w:p>
    <w:p w14:paraId="279616A1">
      <w:pPr>
        <w:pStyle w:val="24"/>
        <w:spacing w:line="440" w:lineRule="exact"/>
        <w:rPr>
          <w:rFonts w:hAnsi="宋体"/>
          <w:b/>
          <w:color w:val="auto"/>
          <w:sz w:val="22"/>
          <w:szCs w:val="22"/>
        </w:rPr>
      </w:pPr>
      <w:r>
        <w:rPr>
          <w:rFonts w:hint="eastAsia" w:hAnsi="宋体"/>
          <w:b/>
          <w:color w:val="auto"/>
          <w:sz w:val="24"/>
        </w:rPr>
        <w:br w:type="page"/>
      </w:r>
      <w:r>
        <w:rPr>
          <w:rFonts w:hint="eastAsia" w:hAnsi="宋体"/>
          <w:b/>
          <w:color w:val="auto"/>
          <w:sz w:val="22"/>
          <w:szCs w:val="22"/>
        </w:rPr>
        <w:t>11.项目实施方案格式</w:t>
      </w:r>
    </w:p>
    <w:p w14:paraId="54C55163">
      <w:pPr>
        <w:spacing w:line="360" w:lineRule="auto"/>
        <w:contextualSpacing/>
        <w:jc w:val="center"/>
        <w:rPr>
          <w:rFonts w:hint="eastAsia" w:ascii="宋体" w:hAnsi="宋体"/>
          <w:b/>
          <w:color w:val="auto"/>
          <w:sz w:val="28"/>
          <w:szCs w:val="28"/>
        </w:rPr>
      </w:pPr>
    </w:p>
    <w:p w14:paraId="3FD63E4B">
      <w:pPr>
        <w:spacing w:line="360" w:lineRule="auto"/>
        <w:contextualSpacing/>
        <w:jc w:val="center"/>
        <w:rPr>
          <w:rFonts w:hint="eastAsia" w:ascii="宋体" w:hAnsi="宋体"/>
          <w:b/>
          <w:color w:val="auto"/>
          <w:sz w:val="28"/>
          <w:szCs w:val="28"/>
        </w:rPr>
      </w:pPr>
      <w:r>
        <w:rPr>
          <w:rFonts w:hint="eastAsia" w:ascii="宋体" w:hAnsi="宋体"/>
          <w:b/>
          <w:color w:val="auto"/>
          <w:sz w:val="28"/>
          <w:szCs w:val="28"/>
        </w:rPr>
        <w:t>项目实施方案</w:t>
      </w:r>
    </w:p>
    <w:p w14:paraId="41E242F6">
      <w:pPr>
        <w:spacing w:line="360" w:lineRule="auto"/>
        <w:contextualSpacing/>
        <w:jc w:val="left"/>
        <w:rPr>
          <w:rFonts w:hint="eastAsia" w:ascii="宋体" w:hAnsi="宋体"/>
          <w:b/>
          <w:color w:val="auto"/>
          <w:sz w:val="24"/>
        </w:rPr>
      </w:pPr>
    </w:p>
    <w:p w14:paraId="69D3E8E0">
      <w:pPr>
        <w:spacing w:line="360" w:lineRule="auto"/>
        <w:contextualSpacing/>
        <w:jc w:val="left"/>
        <w:rPr>
          <w:rFonts w:hint="eastAsia" w:ascii="宋体" w:hAnsi="宋体"/>
          <w:b/>
          <w:color w:val="auto"/>
          <w:sz w:val="24"/>
        </w:rPr>
      </w:pPr>
      <w:r>
        <w:rPr>
          <w:rFonts w:hint="eastAsia" w:ascii="宋体" w:hAnsi="宋体"/>
          <w:b/>
          <w:color w:val="auto"/>
          <w:sz w:val="24"/>
        </w:rPr>
        <w:t>由供应商参照第二章“采购需求”及第四章“评标办法及评分标准”自行编写</w:t>
      </w:r>
    </w:p>
    <w:p w14:paraId="62970425">
      <w:pPr>
        <w:pStyle w:val="24"/>
        <w:spacing w:line="440" w:lineRule="exact"/>
        <w:rPr>
          <w:rFonts w:hint="eastAsia" w:hAnsi="宋体"/>
          <w:b/>
          <w:color w:val="auto"/>
          <w:sz w:val="22"/>
          <w:szCs w:val="22"/>
        </w:rPr>
      </w:pPr>
    </w:p>
    <w:p w14:paraId="779130F2">
      <w:pPr>
        <w:pStyle w:val="24"/>
        <w:spacing w:line="440" w:lineRule="exact"/>
        <w:rPr>
          <w:rFonts w:hint="eastAsia" w:hAnsi="宋体"/>
          <w:b/>
          <w:color w:val="auto"/>
          <w:sz w:val="22"/>
          <w:szCs w:val="22"/>
        </w:rPr>
      </w:pPr>
    </w:p>
    <w:p w14:paraId="740C7DF0">
      <w:pPr>
        <w:spacing w:line="360" w:lineRule="auto"/>
        <w:jc w:val="center"/>
        <w:rPr>
          <w:rFonts w:ascii="宋体" w:hAnsi="宋体"/>
          <w:color w:val="auto"/>
          <w:szCs w:val="21"/>
          <w:u w:val="single"/>
        </w:rPr>
      </w:pPr>
      <w:r>
        <w:rPr>
          <w:rFonts w:hint="eastAsia" w:ascii="宋体" w:hAnsi="宋体"/>
          <w:color w:val="auto"/>
          <w:szCs w:val="21"/>
        </w:rPr>
        <w:t>法定代表人或委托代理人</w:t>
      </w:r>
      <w:r>
        <w:rPr>
          <w:rFonts w:hint="eastAsia" w:ascii="宋体" w:hAnsi="宋体"/>
          <w:b/>
          <w:bCs/>
          <w:color w:val="auto"/>
          <w:szCs w:val="21"/>
        </w:rPr>
        <w:t>（签字</w:t>
      </w:r>
      <w:r>
        <w:rPr>
          <w:rFonts w:hint="eastAsia" w:ascii="宋体" w:hAnsi="宋体"/>
          <w:color w:val="auto"/>
          <w:szCs w:val="21"/>
        </w:rPr>
        <w:t>或签章</w:t>
      </w:r>
      <w:r>
        <w:rPr>
          <w:rFonts w:hint="eastAsia" w:ascii="宋体" w:hAnsi="宋体"/>
          <w:b/>
          <w:bCs/>
          <w:color w:val="auto"/>
          <w:szCs w:val="21"/>
        </w:rPr>
        <w:t>）：</w:t>
      </w:r>
    </w:p>
    <w:p w14:paraId="4016ACE5">
      <w:pPr>
        <w:spacing w:line="360" w:lineRule="auto"/>
        <w:jc w:val="center"/>
        <w:rPr>
          <w:rFonts w:ascii="宋体" w:hAnsi="宋体"/>
          <w:color w:val="auto"/>
          <w:szCs w:val="21"/>
          <w:u w:val="single"/>
        </w:rPr>
      </w:pPr>
    </w:p>
    <w:p w14:paraId="1DD247D0">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7B31511B">
      <w:pPr>
        <w:pStyle w:val="24"/>
        <w:spacing w:line="360" w:lineRule="auto"/>
        <w:rPr>
          <w:rFonts w:hAnsi="宋体"/>
          <w:color w:val="auto"/>
          <w:sz w:val="21"/>
        </w:rPr>
      </w:pPr>
    </w:p>
    <w:p w14:paraId="2BB1DF0C">
      <w:pPr>
        <w:pStyle w:val="24"/>
        <w:spacing w:line="360" w:lineRule="auto"/>
        <w:jc w:val="right"/>
        <w:rPr>
          <w:rFonts w:hAnsi="宋体"/>
          <w:b/>
          <w:color w:val="auto"/>
          <w:sz w:val="30"/>
          <w:szCs w:val="30"/>
        </w:rPr>
      </w:pPr>
      <w:r>
        <w:rPr>
          <w:rFonts w:hint="eastAsia" w:hAnsi="宋体"/>
          <w:color w:val="auto"/>
          <w:sz w:val="21"/>
        </w:rPr>
        <w:t>日期：    年   月  日</w:t>
      </w:r>
    </w:p>
    <w:p w14:paraId="52CEBED6">
      <w:pPr>
        <w:pStyle w:val="24"/>
        <w:spacing w:line="440" w:lineRule="exact"/>
        <w:rPr>
          <w:rFonts w:hint="eastAsia" w:hAnsi="宋体"/>
          <w:b/>
          <w:color w:val="auto"/>
          <w:sz w:val="22"/>
          <w:szCs w:val="22"/>
        </w:rPr>
      </w:pPr>
    </w:p>
    <w:p w14:paraId="50EBF351">
      <w:pPr>
        <w:pStyle w:val="24"/>
        <w:spacing w:line="440" w:lineRule="exact"/>
        <w:rPr>
          <w:rFonts w:hint="eastAsia" w:hAnsi="宋体"/>
          <w:b/>
          <w:color w:val="auto"/>
          <w:sz w:val="22"/>
          <w:szCs w:val="22"/>
        </w:rPr>
      </w:pPr>
    </w:p>
    <w:p w14:paraId="04488886">
      <w:pPr>
        <w:pStyle w:val="24"/>
        <w:spacing w:line="440" w:lineRule="exact"/>
        <w:rPr>
          <w:rFonts w:hint="eastAsia" w:hAnsi="宋体"/>
          <w:b/>
          <w:color w:val="auto"/>
          <w:sz w:val="22"/>
          <w:szCs w:val="22"/>
        </w:rPr>
      </w:pPr>
    </w:p>
    <w:p w14:paraId="32D1B09D">
      <w:pPr>
        <w:pStyle w:val="24"/>
        <w:spacing w:line="440" w:lineRule="exact"/>
        <w:rPr>
          <w:rFonts w:hint="eastAsia" w:hAnsi="宋体"/>
          <w:b/>
          <w:color w:val="auto"/>
          <w:sz w:val="22"/>
          <w:szCs w:val="22"/>
        </w:rPr>
      </w:pPr>
    </w:p>
    <w:p w14:paraId="5C4F7DB1">
      <w:pPr>
        <w:pStyle w:val="24"/>
        <w:spacing w:line="440" w:lineRule="exact"/>
        <w:rPr>
          <w:rFonts w:hAnsi="宋体"/>
          <w:b/>
          <w:color w:val="auto"/>
          <w:sz w:val="22"/>
          <w:szCs w:val="22"/>
        </w:rPr>
      </w:pPr>
      <w:r>
        <w:rPr>
          <w:rFonts w:hint="eastAsia" w:hAnsi="宋体"/>
          <w:b/>
          <w:color w:val="auto"/>
          <w:sz w:val="22"/>
          <w:szCs w:val="22"/>
        </w:rPr>
        <w:t>12.培训方案格式</w:t>
      </w:r>
    </w:p>
    <w:p w14:paraId="7E550BB0">
      <w:pPr>
        <w:spacing w:line="360" w:lineRule="auto"/>
        <w:contextualSpacing/>
        <w:jc w:val="center"/>
        <w:rPr>
          <w:rFonts w:hint="eastAsia" w:ascii="宋体" w:hAnsi="宋体"/>
          <w:b/>
          <w:color w:val="auto"/>
          <w:sz w:val="28"/>
          <w:szCs w:val="28"/>
        </w:rPr>
      </w:pPr>
    </w:p>
    <w:p w14:paraId="076326E6">
      <w:pPr>
        <w:spacing w:line="360" w:lineRule="auto"/>
        <w:contextualSpacing/>
        <w:jc w:val="center"/>
        <w:rPr>
          <w:rFonts w:hint="eastAsia" w:ascii="宋体" w:hAnsi="宋体"/>
          <w:b/>
          <w:color w:val="auto"/>
          <w:sz w:val="28"/>
          <w:szCs w:val="28"/>
        </w:rPr>
      </w:pPr>
      <w:r>
        <w:rPr>
          <w:rFonts w:hint="eastAsia" w:ascii="宋体" w:hAnsi="宋体"/>
          <w:b/>
          <w:color w:val="auto"/>
          <w:sz w:val="28"/>
          <w:szCs w:val="28"/>
        </w:rPr>
        <w:t>培训方案</w:t>
      </w:r>
    </w:p>
    <w:p w14:paraId="3B355A7B">
      <w:pPr>
        <w:spacing w:line="360" w:lineRule="auto"/>
        <w:contextualSpacing/>
        <w:jc w:val="left"/>
        <w:rPr>
          <w:rFonts w:hint="eastAsia" w:ascii="宋体" w:hAnsi="宋体"/>
          <w:b/>
          <w:color w:val="auto"/>
          <w:sz w:val="24"/>
        </w:rPr>
      </w:pPr>
    </w:p>
    <w:p w14:paraId="4D8AAA97">
      <w:pPr>
        <w:spacing w:line="360" w:lineRule="auto"/>
        <w:contextualSpacing/>
        <w:jc w:val="left"/>
        <w:rPr>
          <w:rFonts w:hint="eastAsia" w:ascii="宋体" w:hAnsi="宋体"/>
          <w:b/>
          <w:color w:val="auto"/>
          <w:sz w:val="24"/>
        </w:rPr>
      </w:pPr>
      <w:r>
        <w:rPr>
          <w:rFonts w:hint="eastAsia" w:ascii="宋体" w:hAnsi="宋体"/>
          <w:b/>
          <w:color w:val="auto"/>
          <w:sz w:val="24"/>
        </w:rPr>
        <w:t>由供应商参照第二章“采购需求”及第四章“评标办法及评分标准”自行编写</w:t>
      </w:r>
    </w:p>
    <w:p w14:paraId="5DBBB14C">
      <w:pPr>
        <w:spacing w:line="360" w:lineRule="auto"/>
        <w:contextualSpacing/>
        <w:jc w:val="left"/>
        <w:rPr>
          <w:rFonts w:hint="eastAsia" w:ascii="宋体" w:hAnsi="宋体"/>
          <w:b/>
          <w:color w:val="auto"/>
          <w:sz w:val="24"/>
        </w:rPr>
      </w:pPr>
    </w:p>
    <w:p w14:paraId="6A3A6596">
      <w:pPr>
        <w:snapToGrid w:val="0"/>
        <w:spacing w:before="120" w:beforeLines="50" w:line="360" w:lineRule="auto"/>
        <w:ind w:right="480"/>
        <w:jc w:val="center"/>
        <w:rPr>
          <w:rFonts w:hint="eastAsia" w:ascii="宋体" w:hAnsi="宋体"/>
          <w:color w:val="auto"/>
          <w:szCs w:val="21"/>
        </w:rPr>
      </w:pPr>
    </w:p>
    <w:p w14:paraId="35428735">
      <w:pPr>
        <w:snapToGrid w:val="0"/>
        <w:spacing w:before="120" w:beforeLines="50" w:line="360" w:lineRule="auto"/>
        <w:ind w:right="480"/>
        <w:jc w:val="center"/>
        <w:rPr>
          <w:rFonts w:hint="eastAsia" w:ascii="宋体" w:hAnsi="宋体"/>
          <w:color w:val="auto"/>
          <w:szCs w:val="21"/>
        </w:rPr>
      </w:pPr>
    </w:p>
    <w:p w14:paraId="73933F6D">
      <w:pPr>
        <w:snapToGrid w:val="0"/>
        <w:spacing w:before="120" w:beforeLines="50" w:line="360" w:lineRule="auto"/>
        <w:ind w:right="480"/>
        <w:jc w:val="center"/>
        <w:rPr>
          <w:rFonts w:hint="eastAsia" w:ascii="宋体" w:hAnsi="宋体"/>
          <w:color w:val="auto"/>
          <w:szCs w:val="21"/>
        </w:rPr>
      </w:pPr>
    </w:p>
    <w:p w14:paraId="0DCB3DC1">
      <w:pPr>
        <w:spacing w:line="360" w:lineRule="auto"/>
        <w:jc w:val="center"/>
        <w:rPr>
          <w:rFonts w:ascii="宋体" w:hAnsi="宋体"/>
          <w:color w:val="auto"/>
          <w:szCs w:val="21"/>
          <w:u w:val="single"/>
        </w:rPr>
      </w:pPr>
      <w:r>
        <w:rPr>
          <w:rFonts w:hint="eastAsia" w:ascii="宋体" w:hAnsi="宋体"/>
          <w:color w:val="auto"/>
          <w:szCs w:val="21"/>
        </w:rPr>
        <w:t xml:space="preserve">  法定代表人或委托代理人</w:t>
      </w:r>
      <w:r>
        <w:rPr>
          <w:rFonts w:hint="eastAsia" w:ascii="宋体" w:hAnsi="宋体"/>
          <w:b/>
          <w:bCs/>
          <w:color w:val="auto"/>
          <w:szCs w:val="21"/>
        </w:rPr>
        <w:t>（签字</w:t>
      </w:r>
      <w:r>
        <w:rPr>
          <w:rFonts w:hint="eastAsia" w:ascii="宋体" w:hAnsi="宋体"/>
          <w:color w:val="auto"/>
          <w:szCs w:val="21"/>
        </w:rPr>
        <w:t>或签章</w:t>
      </w:r>
      <w:r>
        <w:rPr>
          <w:rFonts w:hint="eastAsia" w:ascii="宋体" w:hAnsi="宋体"/>
          <w:b/>
          <w:bCs/>
          <w:color w:val="auto"/>
          <w:szCs w:val="21"/>
        </w:rPr>
        <w:t>）：</w:t>
      </w:r>
    </w:p>
    <w:p w14:paraId="48121256">
      <w:pPr>
        <w:spacing w:line="360" w:lineRule="auto"/>
        <w:jc w:val="center"/>
        <w:rPr>
          <w:rFonts w:ascii="宋体" w:hAnsi="宋体"/>
          <w:color w:val="auto"/>
          <w:szCs w:val="21"/>
          <w:u w:val="single"/>
        </w:rPr>
      </w:pPr>
    </w:p>
    <w:p w14:paraId="24E315B9">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0B72F1D9">
      <w:pPr>
        <w:pStyle w:val="24"/>
        <w:spacing w:line="360" w:lineRule="auto"/>
        <w:rPr>
          <w:rFonts w:hAnsi="宋体"/>
          <w:color w:val="auto"/>
          <w:sz w:val="21"/>
        </w:rPr>
      </w:pPr>
    </w:p>
    <w:p w14:paraId="72737089">
      <w:pPr>
        <w:pStyle w:val="24"/>
        <w:spacing w:line="360" w:lineRule="auto"/>
        <w:jc w:val="right"/>
        <w:rPr>
          <w:rFonts w:hAnsi="宋体"/>
          <w:b/>
          <w:color w:val="auto"/>
          <w:sz w:val="30"/>
          <w:szCs w:val="30"/>
        </w:rPr>
      </w:pPr>
      <w:r>
        <w:rPr>
          <w:rFonts w:hint="eastAsia" w:hAnsi="宋体"/>
          <w:color w:val="auto"/>
          <w:sz w:val="21"/>
        </w:rPr>
        <w:t>日期：    年   月  日</w:t>
      </w:r>
    </w:p>
    <w:p w14:paraId="3867D1A1">
      <w:pPr>
        <w:pStyle w:val="24"/>
        <w:spacing w:line="440" w:lineRule="exact"/>
        <w:rPr>
          <w:rFonts w:hint="eastAsia" w:hAnsi="宋体"/>
          <w:b/>
          <w:color w:val="auto"/>
        </w:rPr>
      </w:pPr>
      <w:r>
        <w:rPr>
          <w:rFonts w:hint="eastAsia" w:hAnsi="宋体"/>
          <w:color w:val="auto"/>
        </w:rPr>
        <w:br w:type="page"/>
      </w:r>
      <w:r>
        <w:rPr>
          <w:rFonts w:hint="eastAsia" w:hAnsi="宋体"/>
          <w:b/>
          <w:color w:val="auto"/>
          <w:sz w:val="22"/>
          <w:szCs w:val="22"/>
        </w:rPr>
        <w:t>13.售后服务方案及承诺书格式：</w:t>
      </w:r>
    </w:p>
    <w:p w14:paraId="694E5EE1">
      <w:pPr>
        <w:pStyle w:val="24"/>
        <w:spacing w:line="400" w:lineRule="exact"/>
        <w:ind w:firstLine="640"/>
        <w:jc w:val="center"/>
        <w:rPr>
          <w:rFonts w:hint="eastAsia"/>
          <w:color w:val="auto"/>
          <w:sz w:val="32"/>
          <w:szCs w:val="32"/>
        </w:rPr>
      </w:pPr>
    </w:p>
    <w:p w14:paraId="381D6DC3">
      <w:pPr>
        <w:pStyle w:val="24"/>
        <w:ind w:left="-10" w:firstLine="10" w:firstLineChars="3"/>
        <w:jc w:val="center"/>
        <w:rPr>
          <w:rFonts w:hint="eastAsia"/>
          <w:b/>
          <w:color w:val="auto"/>
          <w:sz w:val="32"/>
        </w:rPr>
      </w:pPr>
      <w:r>
        <w:rPr>
          <w:rFonts w:hint="eastAsia"/>
          <w:b/>
          <w:color w:val="auto"/>
          <w:sz w:val="32"/>
        </w:rPr>
        <w:t>售后服务方案及承诺书</w:t>
      </w:r>
    </w:p>
    <w:p w14:paraId="573341EC">
      <w:pPr>
        <w:pStyle w:val="24"/>
        <w:spacing w:line="440" w:lineRule="exact"/>
        <w:ind w:firstLine="420" w:firstLineChars="200"/>
        <w:rPr>
          <w:rFonts w:hint="eastAsia" w:hAnsi="宋体"/>
          <w:color w:val="auto"/>
          <w:sz w:val="21"/>
        </w:rPr>
      </w:pPr>
    </w:p>
    <w:p w14:paraId="0CDD2C4E">
      <w:pPr>
        <w:pStyle w:val="24"/>
        <w:spacing w:line="440" w:lineRule="exact"/>
        <w:ind w:firstLine="420" w:firstLineChars="200"/>
        <w:rPr>
          <w:rFonts w:hint="eastAsia" w:hAnsi="宋体"/>
          <w:color w:val="auto"/>
          <w:sz w:val="21"/>
        </w:rPr>
      </w:pPr>
      <w:r>
        <w:rPr>
          <w:rFonts w:hint="eastAsia" w:hAnsi="宋体"/>
          <w:color w:val="auto"/>
          <w:sz w:val="21"/>
        </w:rPr>
        <w:t>说明：由供应商参照第二章“采购需求”及第四章“评标办法及评分标准”自行编写，所作的承诺作为构成合同不可分割的部分，必须真实、诚信，如提供虚假承诺或在中标、成交后不按其承诺履行的，将依法追究违约责任，并按《中华人民共和国政府采购法》规定予以处罚。</w:t>
      </w:r>
    </w:p>
    <w:p w14:paraId="143B8B08">
      <w:pPr>
        <w:snapToGrid w:val="0"/>
        <w:spacing w:before="120" w:beforeLines="50" w:after="50" w:line="360" w:lineRule="auto"/>
        <w:ind w:right="480"/>
        <w:jc w:val="center"/>
        <w:rPr>
          <w:rFonts w:hint="eastAsia" w:ascii="宋体" w:hAnsi="宋体"/>
          <w:color w:val="auto"/>
          <w:szCs w:val="21"/>
        </w:rPr>
      </w:pPr>
    </w:p>
    <w:p w14:paraId="48953B11">
      <w:pPr>
        <w:snapToGrid w:val="0"/>
        <w:spacing w:before="120" w:beforeLines="50" w:line="360" w:lineRule="auto"/>
        <w:ind w:right="480"/>
        <w:jc w:val="center"/>
        <w:rPr>
          <w:rFonts w:hint="eastAsia" w:ascii="宋体" w:hAnsi="宋体"/>
          <w:color w:val="auto"/>
          <w:szCs w:val="21"/>
        </w:rPr>
      </w:pPr>
      <w:r>
        <w:rPr>
          <w:rFonts w:hint="eastAsia" w:ascii="宋体" w:hAnsi="宋体"/>
          <w:color w:val="auto"/>
          <w:szCs w:val="21"/>
        </w:rPr>
        <w:t xml:space="preserve"> </w:t>
      </w:r>
    </w:p>
    <w:p w14:paraId="50FEEDFD">
      <w:pPr>
        <w:snapToGrid w:val="0"/>
        <w:spacing w:before="120" w:beforeLines="50" w:line="360" w:lineRule="auto"/>
        <w:ind w:right="480"/>
        <w:jc w:val="center"/>
        <w:rPr>
          <w:rFonts w:hint="eastAsia" w:ascii="宋体" w:hAnsi="宋体"/>
          <w:color w:val="auto"/>
          <w:szCs w:val="21"/>
        </w:rPr>
      </w:pPr>
    </w:p>
    <w:p w14:paraId="5393404C">
      <w:pPr>
        <w:snapToGrid w:val="0"/>
        <w:spacing w:before="120" w:beforeLines="50" w:line="360" w:lineRule="auto"/>
        <w:ind w:right="480"/>
        <w:jc w:val="center"/>
        <w:rPr>
          <w:rFonts w:hint="eastAsia" w:ascii="宋体" w:hAnsi="宋体"/>
          <w:color w:val="auto"/>
          <w:szCs w:val="21"/>
        </w:rPr>
      </w:pPr>
    </w:p>
    <w:p w14:paraId="6ED7D2D8">
      <w:pPr>
        <w:snapToGrid w:val="0"/>
        <w:spacing w:before="120" w:beforeLines="50" w:line="360" w:lineRule="auto"/>
        <w:ind w:right="480"/>
        <w:jc w:val="center"/>
        <w:rPr>
          <w:rFonts w:hint="eastAsia" w:ascii="宋体" w:hAnsi="宋体"/>
          <w:color w:val="auto"/>
          <w:szCs w:val="21"/>
        </w:rPr>
      </w:pPr>
    </w:p>
    <w:p w14:paraId="5BEBD535">
      <w:pPr>
        <w:snapToGrid w:val="0"/>
        <w:spacing w:before="120" w:beforeLines="50" w:line="360" w:lineRule="auto"/>
        <w:ind w:right="480"/>
        <w:jc w:val="center"/>
        <w:rPr>
          <w:rFonts w:hint="eastAsia" w:ascii="宋体" w:hAnsi="宋体"/>
          <w:color w:val="auto"/>
          <w:szCs w:val="21"/>
        </w:rPr>
      </w:pPr>
    </w:p>
    <w:p w14:paraId="4E18DF0D">
      <w:pPr>
        <w:spacing w:line="360" w:lineRule="auto"/>
        <w:jc w:val="center"/>
        <w:rPr>
          <w:rFonts w:ascii="宋体" w:hAnsi="宋体"/>
          <w:color w:val="auto"/>
          <w:szCs w:val="21"/>
          <w:u w:val="single"/>
        </w:rPr>
      </w:pPr>
      <w:r>
        <w:rPr>
          <w:rFonts w:hint="eastAsia" w:ascii="宋体" w:hAnsi="宋体"/>
          <w:color w:val="auto"/>
          <w:szCs w:val="21"/>
        </w:rPr>
        <w:t xml:space="preserve">  法定代表人或委托代理人</w:t>
      </w:r>
      <w:r>
        <w:rPr>
          <w:rFonts w:hint="eastAsia" w:ascii="宋体" w:hAnsi="宋体"/>
          <w:b/>
          <w:bCs/>
          <w:color w:val="auto"/>
          <w:szCs w:val="21"/>
        </w:rPr>
        <w:t>（签字</w:t>
      </w:r>
      <w:r>
        <w:rPr>
          <w:rFonts w:hint="eastAsia" w:ascii="宋体" w:hAnsi="宋体"/>
          <w:color w:val="auto"/>
          <w:szCs w:val="21"/>
        </w:rPr>
        <w:t>或签章</w:t>
      </w:r>
      <w:r>
        <w:rPr>
          <w:rFonts w:hint="eastAsia" w:ascii="宋体" w:hAnsi="宋体"/>
          <w:b/>
          <w:bCs/>
          <w:color w:val="auto"/>
          <w:szCs w:val="21"/>
        </w:rPr>
        <w:t>）：</w:t>
      </w:r>
    </w:p>
    <w:p w14:paraId="3E12805E">
      <w:pPr>
        <w:spacing w:line="360" w:lineRule="auto"/>
        <w:jc w:val="center"/>
        <w:rPr>
          <w:rFonts w:ascii="宋体" w:hAnsi="宋体"/>
          <w:color w:val="auto"/>
          <w:szCs w:val="21"/>
          <w:u w:val="single"/>
        </w:rPr>
      </w:pPr>
    </w:p>
    <w:p w14:paraId="39F94E37">
      <w:pPr>
        <w:pStyle w:val="24"/>
        <w:spacing w:line="360" w:lineRule="auto"/>
        <w:ind w:firstLine="2730" w:firstLineChars="1300"/>
        <w:rPr>
          <w:rFonts w:hAnsi="宋体"/>
          <w:color w:val="auto"/>
          <w:sz w:val="21"/>
        </w:rPr>
      </w:pPr>
      <w:r>
        <w:rPr>
          <w:rFonts w:hint="eastAsia" w:hAnsi="宋体"/>
          <w:color w:val="auto"/>
          <w:sz w:val="21"/>
        </w:rPr>
        <w:t>供应商</w:t>
      </w:r>
      <w:r>
        <w:rPr>
          <w:rFonts w:hint="eastAsia" w:hAnsi="宋体"/>
          <w:b/>
          <w:bCs/>
          <w:color w:val="auto"/>
          <w:sz w:val="21"/>
        </w:rPr>
        <w:t>（CA电子签章）</w:t>
      </w:r>
      <w:r>
        <w:rPr>
          <w:rFonts w:hint="eastAsia" w:hAnsi="宋体"/>
          <w:color w:val="auto"/>
          <w:sz w:val="21"/>
        </w:rPr>
        <w:t>：</w:t>
      </w:r>
    </w:p>
    <w:p w14:paraId="6D05A5D0">
      <w:pPr>
        <w:pStyle w:val="24"/>
        <w:spacing w:line="360" w:lineRule="auto"/>
        <w:rPr>
          <w:rFonts w:hAnsi="宋体"/>
          <w:color w:val="auto"/>
          <w:sz w:val="21"/>
        </w:rPr>
      </w:pPr>
    </w:p>
    <w:p w14:paraId="68A10E9F">
      <w:pPr>
        <w:pStyle w:val="24"/>
        <w:spacing w:line="360" w:lineRule="auto"/>
        <w:jc w:val="right"/>
        <w:rPr>
          <w:rFonts w:hAnsi="宋体"/>
          <w:b/>
          <w:color w:val="auto"/>
          <w:sz w:val="30"/>
          <w:szCs w:val="30"/>
        </w:rPr>
      </w:pPr>
      <w:r>
        <w:rPr>
          <w:rFonts w:hint="eastAsia" w:hAnsi="宋体"/>
          <w:color w:val="auto"/>
          <w:sz w:val="21"/>
        </w:rPr>
        <w:t>日期：    年   月  日</w:t>
      </w:r>
    </w:p>
    <w:p w14:paraId="49E1E9D2">
      <w:pPr>
        <w:spacing w:line="360" w:lineRule="auto"/>
        <w:contextualSpacing/>
        <w:rPr>
          <w:rFonts w:ascii="宋体" w:hAnsi="宋体"/>
          <w:b/>
          <w:color w:val="auto"/>
          <w:sz w:val="28"/>
          <w:szCs w:val="28"/>
        </w:rPr>
      </w:pPr>
      <w:r>
        <w:rPr>
          <w:rFonts w:hint="eastAsia" w:ascii="宋体" w:hAnsi="宋体"/>
          <w:b/>
          <w:color w:val="auto"/>
          <w:sz w:val="28"/>
          <w:szCs w:val="28"/>
        </w:rPr>
        <w:br w:type="page"/>
      </w:r>
      <w:r>
        <w:rPr>
          <w:rFonts w:hint="eastAsia" w:ascii="宋体" w:hAnsi="宋体"/>
          <w:b/>
          <w:color w:val="auto"/>
          <w:sz w:val="28"/>
          <w:szCs w:val="28"/>
        </w:rPr>
        <w:t>五、其他文书、文件格式</w:t>
      </w:r>
    </w:p>
    <w:p w14:paraId="5E006EA4">
      <w:pPr>
        <w:spacing w:line="360" w:lineRule="auto"/>
        <w:jc w:val="left"/>
        <w:rPr>
          <w:rFonts w:ascii="宋体" w:hAnsi="宋体"/>
          <w:color w:val="auto"/>
          <w:sz w:val="24"/>
        </w:rPr>
      </w:pPr>
      <w:r>
        <w:rPr>
          <w:rFonts w:hint="eastAsia" w:ascii="宋体" w:hAnsi="宋体"/>
          <w:b/>
          <w:color w:val="auto"/>
          <w:sz w:val="24"/>
        </w:rPr>
        <w:t>1.质疑函格式</w:t>
      </w:r>
    </w:p>
    <w:p w14:paraId="072D39CE">
      <w:pPr>
        <w:spacing w:line="360" w:lineRule="auto"/>
        <w:jc w:val="center"/>
        <w:rPr>
          <w:rFonts w:ascii="宋体" w:hAnsi="宋体" w:cs="微软雅黑"/>
          <w:color w:val="auto"/>
          <w:sz w:val="44"/>
          <w:szCs w:val="44"/>
        </w:rPr>
      </w:pPr>
      <w:r>
        <w:rPr>
          <w:rFonts w:hint="eastAsia" w:ascii="宋体" w:hAnsi="宋体" w:cs="微软雅黑"/>
          <w:color w:val="auto"/>
          <w:sz w:val="44"/>
          <w:szCs w:val="44"/>
        </w:rPr>
        <w:t>质疑函</w:t>
      </w:r>
    </w:p>
    <w:p w14:paraId="07625C58">
      <w:pPr>
        <w:pStyle w:val="24"/>
        <w:snapToGrid w:val="0"/>
        <w:spacing w:line="360" w:lineRule="auto"/>
        <w:ind w:firstLine="422" w:firstLineChars="200"/>
        <w:rPr>
          <w:rFonts w:hAnsi="宋体"/>
          <w:b/>
          <w:bCs/>
          <w:color w:val="auto"/>
          <w:sz w:val="21"/>
        </w:rPr>
      </w:pPr>
      <w:r>
        <w:rPr>
          <w:rFonts w:hint="eastAsia" w:hAnsi="宋体"/>
          <w:b/>
          <w:bCs/>
          <w:color w:val="auto"/>
          <w:sz w:val="21"/>
        </w:rPr>
        <w:t>一、质疑供应商基本信息：</w:t>
      </w:r>
    </w:p>
    <w:p w14:paraId="769B0B61">
      <w:pPr>
        <w:pStyle w:val="24"/>
        <w:snapToGrid w:val="0"/>
        <w:spacing w:line="360" w:lineRule="auto"/>
        <w:ind w:firstLine="420" w:firstLineChars="200"/>
        <w:rPr>
          <w:rFonts w:hAnsi="宋体"/>
          <w:bCs/>
          <w:color w:val="auto"/>
          <w:sz w:val="21"/>
          <w:u w:val="single"/>
        </w:rPr>
      </w:pPr>
      <w:r>
        <w:rPr>
          <w:rFonts w:hint="eastAsia" w:hAnsi="宋体"/>
          <w:bCs/>
          <w:color w:val="auto"/>
          <w:sz w:val="21"/>
        </w:rPr>
        <w:t>质疑供应商：</w:t>
      </w:r>
    </w:p>
    <w:p w14:paraId="4CC19CA8">
      <w:pPr>
        <w:pStyle w:val="24"/>
        <w:snapToGrid w:val="0"/>
        <w:spacing w:line="360" w:lineRule="auto"/>
        <w:ind w:firstLine="420" w:firstLineChars="200"/>
        <w:rPr>
          <w:rFonts w:hAnsi="宋体"/>
          <w:bCs/>
          <w:color w:val="auto"/>
          <w:sz w:val="21"/>
        </w:rPr>
      </w:pPr>
      <w:r>
        <w:rPr>
          <w:rFonts w:hAnsi="宋体"/>
          <w:bCs/>
          <w:color w:val="auto"/>
          <w:sz w:val="21"/>
        </w:rPr>
        <w:t>地址</w:t>
      </w:r>
      <w:r>
        <w:rPr>
          <w:rFonts w:hint="eastAsia" w:hAnsi="宋体"/>
          <w:bCs/>
          <w:color w:val="auto"/>
          <w:sz w:val="21"/>
        </w:rPr>
        <w:t>：</w:t>
      </w:r>
      <w:r>
        <w:rPr>
          <w:rFonts w:hint="eastAsia" w:hAnsi="宋体"/>
          <w:bCs/>
          <w:color w:val="auto"/>
          <w:sz w:val="21"/>
          <w:lang w:val="en-US" w:eastAsia="zh-CN"/>
        </w:rPr>
        <w:t xml:space="preserve">           </w:t>
      </w:r>
      <w:r>
        <w:rPr>
          <w:rFonts w:hAnsi="宋体"/>
          <w:bCs/>
          <w:color w:val="auto"/>
          <w:sz w:val="21"/>
        </w:rPr>
        <w:t>邮编</w:t>
      </w:r>
      <w:r>
        <w:rPr>
          <w:rFonts w:hint="eastAsia" w:hAnsi="宋体"/>
          <w:bCs/>
          <w:color w:val="auto"/>
          <w:sz w:val="21"/>
        </w:rPr>
        <w:t>：</w:t>
      </w:r>
    </w:p>
    <w:p w14:paraId="5379F7F0">
      <w:pPr>
        <w:pStyle w:val="24"/>
        <w:snapToGrid w:val="0"/>
        <w:spacing w:line="360" w:lineRule="auto"/>
        <w:ind w:firstLine="420" w:firstLineChars="200"/>
        <w:rPr>
          <w:rFonts w:hAnsi="宋体"/>
          <w:bCs/>
          <w:color w:val="auto"/>
          <w:sz w:val="21"/>
        </w:rPr>
      </w:pPr>
      <w:r>
        <w:rPr>
          <w:rFonts w:hAnsi="宋体"/>
          <w:bCs/>
          <w:color w:val="auto"/>
          <w:sz w:val="21"/>
        </w:rPr>
        <w:t>联系人</w:t>
      </w:r>
      <w:r>
        <w:rPr>
          <w:rFonts w:hint="eastAsia" w:hAnsi="宋体"/>
          <w:bCs/>
          <w:color w:val="auto"/>
          <w:sz w:val="21"/>
        </w:rPr>
        <w:t>：</w:t>
      </w:r>
      <w:r>
        <w:rPr>
          <w:rFonts w:hint="eastAsia" w:hAnsi="宋体"/>
          <w:bCs/>
          <w:color w:val="auto"/>
          <w:sz w:val="21"/>
          <w:lang w:val="en-US" w:eastAsia="zh-CN"/>
        </w:rPr>
        <w:t xml:space="preserve">         </w:t>
      </w:r>
      <w:r>
        <w:rPr>
          <w:rFonts w:hAnsi="宋体"/>
          <w:bCs/>
          <w:color w:val="auto"/>
          <w:sz w:val="21"/>
        </w:rPr>
        <w:t>联系电话</w:t>
      </w:r>
      <w:r>
        <w:rPr>
          <w:rFonts w:hint="eastAsia" w:hAnsi="宋体"/>
          <w:bCs/>
          <w:color w:val="auto"/>
          <w:sz w:val="21"/>
        </w:rPr>
        <w:t>：</w:t>
      </w:r>
    </w:p>
    <w:p w14:paraId="19583355">
      <w:pPr>
        <w:pStyle w:val="24"/>
        <w:snapToGrid w:val="0"/>
        <w:spacing w:line="360" w:lineRule="auto"/>
        <w:ind w:firstLine="420" w:firstLineChars="200"/>
        <w:rPr>
          <w:rFonts w:hAnsi="宋体"/>
          <w:bCs/>
          <w:color w:val="auto"/>
          <w:sz w:val="21"/>
        </w:rPr>
      </w:pPr>
      <w:r>
        <w:rPr>
          <w:rFonts w:hint="eastAsia" w:hAnsi="宋体"/>
          <w:bCs/>
          <w:color w:val="auto"/>
          <w:sz w:val="21"/>
        </w:rPr>
        <w:t>授权代表：</w:t>
      </w:r>
    </w:p>
    <w:p w14:paraId="16DC1746">
      <w:pPr>
        <w:pStyle w:val="24"/>
        <w:snapToGrid w:val="0"/>
        <w:spacing w:line="360" w:lineRule="auto"/>
        <w:ind w:firstLine="420" w:firstLineChars="200"/>
        <w:rPr>
          <w:rFonts w:hAnsi="宋体"/>
          <w:bCs/>
          <w:color w:val="auto"/>
          <w:sz w:val="21"/>
          <w:u w:val="single"/>
        </w:rPr>
      </w:pPr>
      <w:r>
        <w:rPr>
          <w:rFonts w:hAnsi="宋体"/>
          <w:bCs/>
          <w:color w:val="auto"/>
          <w:sz w:val="21"/>
        </w:rPr>
        <w:t>联系</w:t>
      </w:r>
      <w:r>
        <w:rPr>
          <w:rFonts w:hint="eastAsia" w:hAnsi="宋体"/>
          <w:bCs/>
          <w:color w:val="auto"/>
          <w:sz w:val="21"/>
        </w:rPr>
        <w:t>电话：</w:t>
      </w:r>
    </w:p>
    <w:p w14:paraId="5167473E">
      <w:pPr>
        <w:pStyle w:val="24"/>
        <w:snapToGrid w:val="0"/>
        <w:spacing w:line="360" w:lineRule="auto"/>
        <w:ind w:firstLine="420" w:firstLineChars="200"/>
        <w:rPr>
          <w:rFonts w:hAnsi="宋体"/>
          <w:bCs/>
          <w:color w:val="auto"/>
          <w:sz w:val="21"/>
        </w:rPr>
      </w:pPr>
      <w:r>
        <w:rPr>
          <w:rFonts w:hAnsi="宋体"/>
          <w:bCs/>
          <w:color w:val="auto"/>
          <w:sz w:val="21"/>
        </w:rPr>
        <w:t>地址</w:t>
      </w:r>
      <w:r>
        <w:rPr>
          <w:rFonts w:hint="eastAsia" w:hAnsi="宋体"/>
          <w:bCs/>
          <w:color w:val="auto"/>
          <w:sz w:val="21"/>
        </w:rPr>
        <w:t>：</w:t>
      </w:r>
      <w:r>
        <w:rPr>
          <w:rFonts w:hAnsi="宋体"/>
          <w:bCs/>
          <w:color w:val="auto"/>
          <w:sz w:val="21"/>
        </w:rPr>
        <w:t>邮编</w:t>
      </w:r>
      <w:r>
        <w:rPr>
          <w:rFonts w:hint="eastAsia" w:hAnsi="宋体"/>
          <w:bCs/>
          <w:color w:val="auto"/>
          <w:sz w:val="21"/>
        </w:rPr>
        <w:t>：</w:t>
      </w:r>
    </w:p>
    <w:p w14:paraId="53FD2184">
      <w:pPr>
        <w:pStyle w:val="24"/>
        <w:snapToGrid w:val="0"/>
        <w:spacing w:line="360" w:lineRule="auto"/>
        <w:ind w:firstLine="422" w:firstLineChars="200"/>
        <w:rPr>
          <w:rFonts w:hAnsi="宋体"/>
          <w:b/>
          <w:bCs/>
          <w:color w:val="auto"/>
          <w:sz w:val="21"/>
        </w:rPr>
      </w:pPr>
      <w:r>
        <w:rPr>
          <w:rFonts w:hint="eastAsia" w:hAnsi="宋体"/>
          <w:b/>
          <w:bCs/>
          <w:color w:val="auto"/>
          <w:sz w:val="21"/>
        </w:rPr>
        <w:t>二、质疑项目基本情况：</w:t>
      </w:r>
    </w:p>
    <w:p w14:paraId="37890AEC">
      <w:pPr>
        <w:pStyle w:val="24"/>
        <w:spacing w:line="360" w:lineRule="auto"/>
        <w:ind w:left="25" w:leftChars="12" w:firstLine="413" w:firstLineChars="197"/>
        <w:rPr>
          <w:rFonts w:hAnsi="宋体"/>
          <w:color w:val="auto"/>
          <w:sz w:val="21"/>
        </w:rPr>
      </w:pPr>
      <w:r>
        <w:rPr>
          <w:rFonts w:hint="eastAsia" w:hAnsi="宋体"/>
          <w:bCs/>
          <w:color w:val="auto"/>
          <w:sz w:val="21"/>
        </w:rPr>
        <w:t>质疑</w:t>
      </w:r>
      <w:r>
        <w:rPr>
          <w:rFonts w:hint="eastAsia" w:hAnsi="宋体"/>
          <w:color w:val="auto"/>
          <w:sz w:val="21"/>
        </w:rPr>
        <w:t>项目的名称：</w:t>
      </w:r>
    </w:p>
    <w:p w14:paraId="5AF53E21">
      <w:pPr>
        <w:pStyle w:val="24"/>
        <w:spacing w:line="360" w:lineRule="auto"/>
        <w:ind w:left="25" w:leftChars="12" w:firstLine="413" w:firstLineChars="197"/>
        <w:rPr>
          <w:rFonts w:hAnsi="宋体"/>
          <w:color w:val="auto"/>
          <w:sz w:val="21"/>
        </w:rPr>
      </w:pPr>
      <w:r>
        <w:rPr>
          <w:rFonts w:hint="eastAsia" w:hAnsi="宋体"/>
          <w:bCs/>
          <w:color w:val="auto"/>
          <w:sz w:val="21"/>
        </w:rPr>
        <w:t>质疑</w:t>
      </w:r>
      <w:r>
        <w:rPr>
          <w:rFonts w:hint="eastAsia" w:hAnsi="宋体"/>
          <w:color w:val="auto"/>
          <w:sz w:val="21"/>
        </w:rPr>
        <w:t>项目的编号：</w:t>
      </w:r>
    </w:p>
    <w:p w14:paraId="41C69503">
      <w:pPr>
        <w:pStyle w:val="24"/>
        <w:spacing w:line="360" w:lineRule="auto"/>
        <w:ind w:left="25" w:leftChars="12" w:firstLine="413" w:firstLineChars="197"/>
        <w:rPr>
          <w:rFonts w:hAnsi="宋体"/>
          <w:color w:val="auto"/>
          <w:sz w:val="21"/>
        </w:rPr>
      </w:pPr>
      <w:r>
        <w:rPr>
          <w:rFonts w:hint="eastAsia" w:hAnsi="宋体"/>
          <w:color w:val="auto"/>
          <w:sz w:val="21"/>
        </w:rPr>
        <w:t>采购人名称：</w:t>
      </w:r>
    </w:p>
    <w:p w14:paraId="4ED6B2EB">
      <w:pPr>
        <w:pStyle w:val="24"/>
        <w:spacing w:line="360" w:lineRule="auto"/>
        <w:ind w:left="25" w:leftChars="12" w:firstLine="413" w:firstLineChars="197"/>
        <w:rPr>
          <w:rFonts w:hAnsi="宋体"/>
          <w:color w:val="auto"/>
          <w:sz w:val="21"/>
        </w:rPr>
      </w:pPr>
      <w:r>
        <w:rPr>
          <w:rFonts w:hint="eastAsia" w:hAnsi="宋体"/>
          <w:color w:val="auto"/>
          <w:sz w:val="21"/>
        </w:rPr>
        <w:t>质疑事项：</w:t>
      </w:r>
    </w:p>
    <w:p w14:paraId="72F7F48E">
      <w:pPr>
        <w:pStyle w:val="24"/>
        <w:spacing w:line="360" w:lineRule="auto"/>
        <w:ind w:left="25" w:leftChars="12" w:firstLine="308" w:firstLineChars="147"/>
        <w:rPr>
          <w:rFonts w:hAnsi="宋体"/>
          <w:color w:val="auto"/>
          <w:sz w:val="21"/>
        </w:rPr>
      </w:pPr>
      <w:r>
        <w:rPr>
          <w:rFonts w:hint="eastAsia" w:hAnsi="宋体"/>
          <w:color w:val="auto"/>
          <w:sz w:val="21"/>
        </w:rPr>
        <w:t>□招标文件   招标文件获取日期：</w:t>
      </w:r>
    </w:p>
    <w:p w14:paraId="447E671C">
      <w:pPr>
        <w:pStyle w:val="24"/>
        <w:spacing w:line="360" w:lineRule="auto"/>
        <w:ind w:left="25" w:leftChars="12" w:firstLine="308" w:firstLineChars="147"/>
        <w:rPr>
          <w:rFonts w:hAnsi="宋体"/>
          <w:color w:val="auto"/>
          <w:sz w:val="21"/>
        </w:rPr>
      </w:pPr>
      <w:r>
        <w:rPr>
          <w:rFonts w:hint="eastAsia" w:hAnsi="宋体"/>
          <w:color w:val="auto"/>
          <w:sz w:val="21"/>
        </w:rPr>
        <w:t xml:space="preserve">□采购过程   </w:t>
      </w:r>
    </w:p>
    <w:p w14:paraId="085A8CBC">
      <w:pPr>
        <w:pStyle w:val="24"/>
        <w:spacing w:line="360" w:lineRule="auto"/>
        <w:ind w:left="25" w:leftChars="12" w:firstLine="308" w:firstLineChars="147"/>
        <w:rPr>
          <w:rFonts w:hAnsi="宋体"/>
          <w:bCs/>
          <w:color w:val="auto"/>
          <w:sz w:val="21"/>
          <w:u w:val="single"/>
        </w:rPr>
      </w:pPr>
      <w:r>
        <w:rPr>
          <w:rFonts w:hint="eastAsia" w:hAnsi="宋体"/>
          <w:color w:val="auto"/>
          <w:sz w:val="21"/>
        </w:rPr>
        <w:t xml:space="preserve">□中标结果   </w:t>
      </w:r>
    </w:p>
    <w:p w14:paraId="1F90A39A">
      <w:pPr>
        <w:pStyle w:val="24"/>
        <w:spacing w:line="360" w:lineRule="auto"/>
        <w:ind w:left="25" w:leftChars="12" w:firstLine="413" w:firstLineChars="196"/>
        <w:rPr>
          <w:rFonts w:hAnsi="宋体"/>
          <w:b/>
          <w:color w:val="auto"/>
          <w:sz w:val="21"/>
        </w:rPr>
      </w:pPr>
      <w:r>
        <w:rPr>
          <w:rFonts w:hint="eastAsia" w:hAnsi="宋体"/>
          <w:b/>
          <w:color w:val="auto"/>
          <w:sz w:val="21"/>
        </w:rPr>
        <w:t>三、质疑事项具体内容</w:t>
      </w:r>
    </w:p>
    <w:p w14:paraId="1798A177">
      <w:pPr>
        <w:pStyle w:val="24"/>
        <w:spacing w:line="360" w:lineRule="auto"/>
        <w:ind w:left="25" w:leftChars="12" w:firstLine="413" w:firstLineChars="197"/>
        <w:rPr>
          <w:rFonts w:hAnsi="宋体"/>
          <w:color w:val="auto"/>
          <w:sz w:val="21"/>
        </w:rPr>
      </w:pPr>
      <w:r>
        <w:rPr>
          <w:rFonts w:hint="eastAsia" w:hAnsi="宋体"/>
          <w:color w:val="auto"/>
          <w:sz w:val="21"/>
        </w:rPr>
        <w:t>质疑事项1：</w:t>
      </w:r>
    </w:p>
    <w:p w14:paraId="7A4E0B5D">
      <w:pPr>
        <w:pStyle w:val="24"/>
        <w:spacing w:line="360" w:lineRule="auto"/>
        <w:ind w:left="25" w:leftChars="12" w:firstLine="413" w:firstLineChars="197"/>
        <w:rPr>
          <w:rFonts w:hAnsi="宋体"/>
          <w:color w:val="auto"/>
          <w:sz w:val="21"/>
        </w:rPr>
      </w:pPr>
      <w:r>
        <w:rPr>
          <w:rFonts w:hint="eastAsia" w:hAnsi="宋体"/>
          <w:color w:val="auto"/>
          <w:sz w:val="21"/>
        </w:rPr>
        <w:t>事实依据：</w:t>
      </w:r>
    </w:p>
    <w:p w14:paraId="0310FD6C">
      <w:pPr>
        <w:pStyle w:val="24"/>
        <w:spacing w:line="360" w:lineRule="auto"/>
        <w:ind w:left="25" w:leftChars="12" w:firstLine="413" w:firstLineChars="197"/>
        <w:rPr>
          <w:rFonts w:hAnsi="宋体"/>
          <w:color w:val="auto"/>
          <w:sz w:val="21"/>
        </w:rPr>
      </w:pPr>
      <w:r>
        <w:rPr>
          <w:rFonts w:hint="eastAsia" w:hAnsi="宋体"/>
          <w:color w:val="auto"/>
          <w:sz w:val="21"/>
        </w:rPr>
        <w:t>法律依据：</w:t>
      </w:r>
    </w:p>
    <w:p w14:paraId="2A61C949">
      <w:pPr>
        <w:pStyle w:val="24"/>
        <w:spacing w:line="360" w:lineRule="auto"/>
        <w:ind w:left="25" w:leftChars="12" w:firstLine="413" w:firstLineChars="197"/>
        <w:rPr>
          <w:rFonts w:hAnsi="宋体"/>
          <w:color w:val="auto"/>
          <w:sz w:val="21"/>
        </w:rPr>
      </w:pPr>
      <w:r>
        <w:rPr>
          <w:rFonts w:hint="eastAsia" w:hAnsi="宋体"/>
          <w:color w:val="auto"/>
          <w:sz w:val="21"/>
        </w:rPr>
        <w:t>质疑事项2</w:t>
      </w:r>
    </w:p>
    <w:p w14:paraId="394AB8B3">
      <w:pPr>
        <w:pStyle w:val="24"/>
        <w:spacing w:line="360" w:lineRule="auto"/>
        <w:ind w:left="25" w:leftChars="12" w:firstLine="413" w:firstLineChars="197"/>
        <w:rPr>
          <w:rFonts w:hAnsi="宋体"/>
          <w:color w:val="auto"/>
          <w:sz w:val="21"/>
        </w:rPr>
      </w:pPr>
      <w:r>
        <w:rPr>
          <w:rFonts w:hAnsi="宋体"/>
          <w:color w:val="auto"/>
          <w:sz w:val="21"/>
        </w:rPr>
        <w:t>……</w:t>
      </w:r>
    </w:p>
    <w:p w14:paraId="76F953FF">
      <w:pPr>
        <w:pStyle w:val="24"/>
        <w:spacing w:line="360" w:lineRule="auto"/>
        <w:ind w:left="25" w:leftChars="12" w:firstLine="413" w:firstLineChars="197"/>
        <w:rPr>
          <w:rFonts w:hAnsi="宋体"/>
          <w:color w:val="auto"/>
          <w:sz w:val="21"/>
        </w:rPr>
      </w:pPr>
      <w:r>
        <w:rPr>
          <w:rFonts w:hint="eastAsia" w:hAnsi="宋体"/>
          <w:color w:val="auto"/>
          <w:sz w:val="21"/>
        </w:rPr>
        <w:t>四、与质疑事项相关的质疑请求：</w:t>
      </w:r>
    </w:p>
    <w:p w14:paraId="38D80A35">
      <w:pPr>
        <w:pStyle w:val="24"/>
        <w:spacing w:line="360" w:lineRule="auto"/>
        <w:ind w:left="25" w:leftChars="12" w:firstLine="413" w:firstLineChars="197"/>
        <w:rPr>
          <w:rFonts w:hAnsi="宋体"/>
          <w:color w:val="auto"/>
          <w:sz w:val="21"/>
        </w:rPr>
      </w:pPr>
      <w:r>
        <w:rPr>
          <w:rFonts w:hint="eastAsia" w:hAnsi="宋体"/>
          <w:color w:val="auto"/>
          <w:sz w:val="21"/>
        </w:rPr>
        <w:t>请求：</w:t>
      </w:r>
    </w:p>
    <w:p w14:paraId="1CB3AEC5">
      <w:pPr>
        <w:pStyle w:val="24"/>
        <w:spacing w:line="360" w:lineRule="auto"/>
        <w:ind w:left="25" w:leftChars="12" w:firstLine="308" w:firstLineChars="147"/>
        <w:rPr>
          <w:rFonts w:hAnsi="宋体"/>
          <w:color w:val="auto"/>
          <w:sz w:val="21"/>
        </w:rPr>
      </w:pPr>
    </w:p>
    <w:p w14:paraId="4EE8043B">
      <w:pPr>
        <w:pStyle w:val="24"/>
        <w:spacing w:line="360" w:lineRule="auto"/>
        <w:ind w:left="25" w:leftChars="12" w:firstLine="413" w:firstLineChars="197"/>
        <w:rPr>
          <w:rFonts w:hAnsi="宋体"/>
          <w:color w:val="auto"/>
          <w:sz w:val="21"/>
        </w:rPr>
      </w:pPr>
      <w:r>
        <w:rPr>
          <w:rFonts w:hint="eastAsia" w:hAnsi="宋体"/>
          <w:color w:val="auto"/>
          <w:sz w:val="21"/>
        </w:rPr>
        <w:t>签字（签章）：                                       公章：</w:t>
      </w:r>
    </w:p>
    <w:p w14:paraId="6C19EB0C">
      <w:pPr>
        <w:pStyle w:val="24"/>
        <w:spacing w:line="360" w:lineRule="auto"/>
        <w:ind w:left="25" w:leftChars="12" w:firstLine="352" w:firstLineChars="147"/>
        <w:rPr>
          <w:rFonts w:hAnsi="宋体"/>
          <w:color w:val="auto"/>
          <w:sz w:val="24"/>
          <w:szCs w:val="24"/>
        </w:rPr>
      </w:pPr>
    </w:p>
    <w:p w14:paraId="16211A8C">
      <w:pPr>
        <w:pStyle w:val="24"/>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59003CEC">
      <w:pPr>
        <w:pStyle w:val="24"/>
        <w:snapToGrid w:val="0"/>
        <w:spacing w:line="360" w:lineRule="auto"/>
        <w:rPr>
          <w:rFonts w:hAnsi="宋体"/>
          <w:b/>
          <w:color w:val="auto"/>
          <w:sz w:val="24"/>
          <w:szCs w:val="24"/>
        </w:rPr>
      </w:pPr>
    </w:p>
    <w:p w14:paraId="542EF178">
      <w:pPr>
        <w:pStyle w:val="24"/>
        <w:snapToGrid w:val="0"/>
        <w:spacing w:line="360" w:lineRule="auto"/>
        <w:rPr>
          <w:rFonts w:hint="eastAsia" w:hAnsi="宋体"/>
          <w:b/>
          <w:color w:val="auto"/>
          <w:sz w:val="21"/>
        </w:rPr>
      </w:pPr>
    </w:p>
    <w:p w14:paraId="35FEF13F">
      <w:pPr>
        <w:pStyle w:val="24"/>
        <w:snapToGrid w:val="0"/>
        <w:spacing w:line="360" w:lineRule="auto"/>
        <w:rPr>
          <w:rFonts w:hAnsi="宋体"/>
          <w:b/>
          <w:color w:val="auto"/>
          <w:sz w:val="21"/>
        </w:rPr>
      </w:pPr>
      <w:r>
        <w:rPr>
          <w:rFonts w:hint="eastAsia" w:hAnsi="宋体"/>
          <w:b/>
          <w:color w:val="auto"/>
          <w:sz w:val="21"/>
        </w:rPr>
        <w:t>说明：</w:t>
      </w:r>
    </w:p>
    <w:p w14:paraId="14A7A430">
      <w:pPr>
        <w:pStyle w:val="24"/>
        <w:spacing w:line="360" w:lineRule="auto"/>
        <w:ind w:left="25" w:leftChars="12" w:firstLine="310" w:firstLineChars="147"/>
        <w:rPr>
          <w:rFonts w:hAnsi="宋体"/>
          <w:b/>
          <w:bCs/>
          <w:color w:val="auto"/>
          <w:sz w:val="21"/>
        </w:rPr>
      </w:pPr>
      <w:r>
        <w:rPr>
          <w:rFonts w:hint="eastAsia" w:hAnsi="宋体"/>
          <w:b/>
          <w:color w:val="auto"/>
          <w:sz w:val="21"/>
        </w:rPr>
        <w:t>1.供应商提出质疑时，应提交质疑函和必要的证明材料</w:t>
      </w:r>
      <w:r>
        <w:rPr>
          <w:rFonts w:hint="eastAsia" w:hAnsi="宋体"/>
          <w:b/>
          <w:bCs/>
          <w:color w:val="auto"/>
          <w:sz w:val="21"/>
        </w:rPr>
        <w:t>。</w:t>
      </w:r>
    </w:p>
    <w:p w14:paraId="64D8D519">
      <w:pPr>
        <w:pStyle w:val="24"/>
        <w:spacing w:line="360" w:lineRule="auto"/>
        <w:ind w:left="25" w:leftChars="12" w:firstLine="310" w:firstLineChars="147"/>
        <w:rPr>
          <w:rFonts w:hAnsi="宋体"/>
          <w:b/>
          <w:color w:val="auto"/>
          <w:sz w:val="21"/>
        </w:rPr>
      </w:pPr>
      <w:r>
        <w:rPr>
          <w:rFonts w:hint="eastAsia" w:hAnsi="宋体"/>
          <w:b/>
          <w:color w:val="auto"/>
          <w:sz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32EED32">
      <w:pPr>
        <w:pStyle w:val="24"/>
        <w:spacing w:line="360" w:lineRule="auto"/>
        <w:ind w:left="25" w:leftChars="12" w:firstLine="310" w:firstLineChars="147"/>
        <w:rPr>
          <w:rFonts w:hAnsi="宋体"/>
          <w:b/>
          <w:color w:val="auto"/>
          <w:sz w:val="21"/>
        </w:rPr>
      </w:pPr>
      <w:r>
        <w:rPr>
          <w:rFonts w:hint="eastAsia" w:hAnsi="宋体"/>
          <w:b/>
          <w:color w:val="auto"/>
          <w:sz w:val="21"/>
        </w:rPr>
        <w:t>3.质疑函的质疑事项应具体、明确，并有必要的事实依据和法律依据。</w:t>
      </w:r>
    </w:p>
    <w:p w14:paraId="316DF402">
      <w:pPr>
        <w:pStyle w:val="24"/>
        <w:spacing w:line="360" w:lineRule="auto"/>
        <w:ind w:left="25" w:leftChars="12" w:firstLine="310" w:firstLineChars="147"/>
        <w:rPr>
          <w:rFonts w:hAnsi="宋体"/>
          <w:b/>
          <w:color w:val="auto"/>
          <w:sz w:val="21"/>
        </w:rPr>
      </w:pPr>
      <w:r>
        <w:rPr>
          <w:rFonts w:hint="eastAsia" w:hAnsi="宋体"/>
          <w:b/>
          <w:color w:val="auto"/>
          <w:sz w:val="21"/>
        </w:rPr>
        <w:t>4.质疑函的质疑请求应与质疑事项相关。</w:t>
      </w:r>
    </w:p>
    <w:p w14:paraId="32869227">
      <w:pPr>
        <w:pStyle w:val="24"/>
        <w:spacing w:line="360" w:lineRule="auto"/>
        <w:ind w:left="25" w:leftChars="12" w:firstLine="310" w:firstLineChars="147"/>
        <w:rPr>
          <w:rFonts w:hAnsi="宋体"/>
          <w:b/>
          <w:color w:val="auto"/>
          <w:sz w:val="21"/>
        </w:rPr>
      </w:pPr>
      <w:r>
        <w:rPr>
          <w:rFonts w:hint="eastAsia" w:hAnsi="宋体"/>
          <w:b/>
          <w:color w:val="auto"/>
          <w:sz w:val="21"/>
        </w:rPr>
        <w:t>5.质疑供应商为法人或者其他组织的，质疑函应由法定代表人、主要负责人，或者其授权代表签字或者盖章，并加盖公章。</w:t>
      </w:r>
    </w:p>
    <w:p w14:paraId="1D2A7D3D">
      <w:pPr>
        <w:pStyle w:val="24"/>
        <w:snapToGrid w:val="0"/>
        <w:spacing w:line="360" w:lineRule="auto"/>
        <w:rPr>
          <w:rFonts w:hAnsi="宋体"/>
          <w:b/>
          <w:color w:val="auto"/>
          <w:sz w:val="24"/>
          <w:szCs w:val="24"/>
        </w:rPr>
      </w:pPr>
    </w:p>
    <w:p w14:paraId="2245838B">
      <w:pPr>
        <w:spacing w:line="360" w:lineRule="auto"/>
        <w:jc w:val="left"/>
        <w:rPr>
          <w:rFonts w:ascii="宋体" w:hAnsi="宋体"/>
          <w:b/>
          <w:bCs/>
          <w:color w:val="auto"/>
          <w:sz w:val="32"/>
          <w:szCs w:val="32"/>
        </w:rPr>
      </w:pPr>
      <w:r>
        <w:rPr>
          <w:rFonts w:ascii="宋体" w:hAnsi="宋体"/>
          <w:color w:val="auto"/>
          <w:sz w:val="44"/>
        </w:rPr>
        <w:br w:type="page"/>
      </w:r>
      <w:r>
        <w:rPr>
          <w:rFonts w:hint="eastAsia" w:ascii="宋体" w:hAnsi="宋体"/>
          <w:b/>
          <w:color w:val="auto"/>
          <w:sz w:val="24"/>
        </w:rPr>
        <w:t>2.投诉书格式</w:t>
      </w:r>
    </w:p>
    <w:p w14:paraId="3062DD47">
      <w:pPr>
        <w:spacing w:line="360" w:lineRule="auto"/>
        <w:jc w:val="center"/>
        <w:rPr>
          <w:rFonts w:ascii="宋体" w:hAnsi="宋体" w:cs="微软雅黑"/>
          <w:color w:val="auto"/>
          <w:sz w:val="44"/>
          <w:szCs w:val="44"/>
        </w:rPr>
      </w:pPr>
      <w:r>
        <w:rPr>
          <w:rFonts w:hint="eastAsia" w:ascii="宋体" w:hAnsi="宋体" w:cs="微软雅黑"/>
          <w:color w:val="auto"/>
          <w:sz w:val="44"/>
          <w:szCs w:val="44"/>
        </w:rPr>
        <w:t>投诉书</w:t>
      </w:r>
    </w:p>
    <w:p w14:paraId="7635710C">
      <w:pPr>
        <w:pStyle w:val="24"/>
        <w:snapToGrid w:val="0"/>
        <w:spacing w:line="360" w:lineRule="auto"/>
        <w:ind w:firstLine="482" w:firstLineChars="200"/>
        <w:rPr>
          <w:rFonts w:hAnsi="宋体"/>
          <w:b/>
          <w:bCs/>
          <w:color w:val="auto"/>
          <w:sz w:val="24"/>
          <w:szCs w:val="24"/>
        </w:rPr>
      </w:pPr>
    </w:p>
    <w:p w14:paraId="5FDD2824">
      <w:pPr>
        <w:pStyle w:val="24"/>
        <w:snapToGrid w:val="0"/>
        <w:spacing w:line="360" w:lineRule="auto"/>
        <w:ind w:firstLine="422" w:firstLineChars="200"/>
        <w:rPr>
          <w:rFonts w:hAnsi="宋体"/>
          <w:b/>
          <w:bCs/>
          <w:color w:val="auto"/>
          <w:sz w:val="21"/>
        </w:rPr>
      </w:pPr>
      <w:r>
        <w:rPr>
          <w:rFonts w:hint="eastAsia" w:hAnsi="宋体"/>
          <w:b/>
          <w:bCs/>
          <w:color w:val="auto"/>
          <w:sz w:val="21"/>
        </w:rPr>
        <w:t>一、投诉相关主体基本情况：</w:t>
      </w:r>
    </w:p>
    <w:p w14:paraId="153B7527">
      <w:pPr>
        <w:pStyle w:val="24"/>
        <w:snapToGrid w:val="0"/>
        <w:spacing w:line="360" w:lineRule="auto"/>
        <w:ind w:firstLine="420" w:firstLineChars="200"/>
        <w:jc w:val="left"/>
        <w:rPr>
          <w:rFonts w:hAnsi="宋体"/>
          <w:bCs/>
          <w:color w:val="auto"/>
          <w:sz w:val="21"/>
          <w:u w:val="single"/>
        </w:rPr>
      </w:pPr>
      <w:r>
        <w:rPr>
          <w:rFonts w:hint="eastAsia" w:hAnsi="宋体"/>
          <w:bCs/>
          <w:color w:val="auto"/>
          <w:sz w:val="21"/>
        </w:rPr>
        <w:t>供应商：</w:t>
      </w:r>
    </w:p>
    <w:p w14:paraId="0FAAA623">
      <w:pPr>
        <w:pStyle w:val="24"/>
        <w:snapToGrid w:val="0"/>
        <w:spacing w:line="360" w:lineRule="auto"/>
        <w:ind w:firstLine="420" w:firstLineChars="200"/>
        <w:jc w:val="left"/>
        <w:rPr>
          <w:rFonts w:hAnsi="宋体"/>
          <w:bCs/>
          <w:color w:val="auto"/>
          <w:sz w:val="21"/>
        </w:rPr>
      </w:pPr>
      <w:r>
        <w:rPr>
          <w:rFonts w:hAnsi="宋体"/>
          <w:bCs/>
          <w:color w:val="auto"/>
          <w:sz w:val="21"/>
        </w:rPr>
        <w:t>地址</w:t>
      </w:r>
      <w:r>
        <w:rPr>
          <w:rFonts w:hint="eastAsia" w:hAnsi="宋体"/>
          <w:bCs/>
          <w:color w:val="auto"/>
          <w:sz w:val="21"/>
        </w:rPr>
        <w:t>：</w:t>
      </w:r>
      <w:r>
        <w:rPr>
          <w:rFonts w:hint="eastAsia" w:hAnsi="宋体"/>
          <w:bCs/>
          <w:color w:val="auto"/>
          <w:sz w:val="21"/>
          <w:lang w:val="en-US" w:eastAsia="zh-CN"/>
        </w:rPr>
        <w:t xml:space="preserve">           </w:t>
      </w:r>
      <w:r>
        <w:rPr>
          <w:rFonts w:hAnsi="宋体"/>
          <w:bCs/>
          <w:color w:val="auto"/>
          <w:sz w:val="21"/>
        </w:rPr>
        <w:t>邮编</w:t>
      </w:r>
      <w:r>
        <w:rPr>
          <w:rFonts w:hint="eastAsia" w:hAnsi="宋体"/>
          <w:bCs/>
          <w:color w:val="auto"/>
          <w:sz w:val="21"/>
        </w:rPr>
        <w:t>：</w:t>
      </w:r>
    </w:p>
    <w:p w14:paraId="6A42E13B">
      <w:pPr>
        <w:pStyle w:val="24"/>
        <w:snapToGrid w:val="0"/>
        <w:spacing w:line="360" w:lineRule="auto"/>
        <w:ind w:firstLine="420" w:firstLineChars="200"/>
        <w:jc w:val="left"/>
        <w:rPr>
          <w:rFonts w:hAnsi="宋体"/>
          <w:bCs/>
          <w:color w:val="auto"/>
          <w:sz w:val="21"/>
          <w:u w:val="single"/>
        </w:rPr>
      </w:pPr>
      <w:r>
        <w:rPr>
          <w:rFonts w:hint="eastAsia" w:hAnsi="宋体"/>
          <w:bCs/>
          <w:color w:val="auto"/>
          <w:sz w:val="21"/>
        </w:rPr>
        <w:t>法定代表人/主要负责人：</w:t>
      </w:r>
    </w:p>
    <w:p w14:paraId="7A538129">
      <w:pPr>
        <w:pStyle w:val="24"/>
        <w:snapToGrid w:val="0"/>
        <w:spacing w:line="360" w:lineRule="auto"/>
        <w:ind w:firstLine="420" w:firstLineChars="200"/>
        <w:jc w:val="left"/>
        <w:rPr>
          <w:rFonts w:hAnsi="宋体"/>
          <w:bCs/>
          <w:color w:val="auto"/>
          <w:sz w:val="21"/>
        </w:rPr>
      </w:pPr>
      <w:r>
        <w:rPr>
          <w:rFonts w:hAnsi="宋体"/>
          <w:bCs/>
          <w:color w:val="auto"/>
          <w:sz w:val="21"/>
        </w:rPr>
        <w:t>联系电话</w:t>
      </w:r>
      <w:r>
        <w:rPr>
          <w:rFonts w:hint="eastAsia" w:hAnsi="宋体"/>
          <w:bCs/>
          <w:color w:val="auto"/>
          <w:sz w:val="21"/>
        </w:rPr>
        <w:t>：</w:t>
      </w:r>
    </w:p>
    <w:p w14:paraId="76C7051E">
      <w:pPr>
        <w:pStyle w:val="24"/>
        <w:snapToGrid w:val="0"/>
        <w:spacing w:line="360" w:lineRule="auto"/>
        <w:ind w:firstLine="420" w:firstLineChars="200"/>
        <w:jc w:val="left"/>
        <w:rPr>
          <w:rFonts w:hAnsi="宋体"/>
          <w:bCs/>
          <w:color w:val="auto"/>
          <w:sz w:val="21"/>
          <w:u w:val="single"/>
        </w:rPr>
      </w:pPr>
      <w:r>
        <w:rPr>
          <w:rFonts w:hint="eastAsia" w:hAnsi="宋体"/>
          <w:bCs/>
          <w:color w:val="auto"/>
          <w:sz w:val="21"/>
        </w:rPr>
        <w:t>授权代表：</w:t>
      </w:r>
      <w:r>
        <w:rPr>
          <w:rFonts w:hint="eastAsia" w:hAnsi="宋体"/>
          <w:bCs/>
          <w:color w:val="auto"/>
          <w:sz w:val="21"/>
          <w:lang w:val="en-US" w:eastAsia="zh-CN"/>
        </w:rPr>
        <w:t xml:space="preserve">       </w:t>
      </w:r>
      <w:r>
        <w:rPr>
          <w:rFonts w:hAnsi="宋体"/>
          <w:bCs/>
          <w:color w:val="auto"/>
          <w:sz w:val="21"/>
        </w:rPr>
        <w:t>联系</w:t>
      </w:r>
      <w:r>
        <w:rPr>
          <w:rFonts w:hint="eastAsia" w:hAnsi="宋体"/>
          <w:bCs/>
          <w:color w:val="auto"/>
          <w:sz w:val="21"/>
        </w:rPr>
        <w:t>电话：</w:t>
      </w:r>
    </w:p>
    <w:p w14:paraId="3B9E401D">
      <w:pPr>
        <w:pStyle w:val="24"/>
        <w:snapToGrid w:val="0"/>
        <w:spacing w:line="360" w:lineRule="auto"/>
        <w:ind w:firstLine="420" w:firstLineChars="200"/>
        <w:jc w:val="left"/>
        <w:rPr>
          <w:rFonts w:hAnsi="宋体"/>
          <w:bCs/>
          <w:color w:val="auto"/>
          <w:sz w:val="21"/>
          <w:u w:val="single"/>
        </w:rPr>
      </w:pPr>
      <w:r>
        <w:rPr>
          <w:rFonts w:hAnsi="宋体"/>
          <w:bCs/>
          <w:color w:val="auto"/>
          <w:sz w:val="21"/>
        </w:rPr>
        <w:t>地址</w:t>
      </w:r>
      <w:r>
        <w:rPr>
          <w:rFonts w:hint="eastAsia" w:hAnsi="宋体"/>
          <w:bCs/>
          <w:color w:val="auto"/>
          <w:sz w:val="21"/>
        </w:rPr>
        <w:t>：</w:t>
      </w:r>
    </w:p>
    <w:p w14:paraId="0052B8B9">
      <w:pPr>
        <w:pStyle w:val="24"/>
        <w:snapToGrid w:val="0"/>
        <w:spacing w:line="360" w:lineRule="auto"/>
        <w:ind w:firstLine="420" w:firstLineChars="200"/>
        <w:jc w:val="left"/>
        <w:rPr>
          <w:rFonts w:hAnsi="宋体"/>
          <w:bCs/>
          <w:color w:val="auto"/>
          <w:sz w:val="21"/>
        </w:rPr>
      </w:pPr>
      <w:r>
        <w:rPr>
          <w:rFonts w:hAnsi="宋体"/>
          <w:bCs/>
          <w:color w:val="auto"/>
          <w:sz w:val="21"/>
        </w:rPr>
        <w:t>邮编</w:t>
      </w:r>
      <w:r>
        <w:rPr>
          <w:rFonts w:hint="eastAsia" w:hAnsi="宋体"/>
          <w:bCs/>
          <w:color w:val="auto"/>
          <w:sz w:val="21"/>
        </w:rPr>
        <w:t>：</w:t>
      </w:r>
    </w:p>
    <w:p w14:paraId="46A77609">
      <w:pPr>
        <w:pStyle w:val="24"/>
        <w:snapToGrid w:val="0"/>
        <w:spacing w:line="360" w:lineRule="auto"/>
        <w:ind w:firstLine="420" w:firstLineChars="200"/>
        <w:jc w:val="left"/>
        <w:rPr>
          <w:rFonts w:hAnsi="宋体"/>
          <w:bCs/>
          <w:color w:val="auto"/>
          <w:sz w:val="21"/>
        </w:rPr>
      </w:pPr>
      <w:r>
        <w:rPr>
          <w:rFonts w:hint="eastAsia" w:hAnsi="宋体"/>
          <w:bCs/>
          <w:color w:val="auto"/>
          <w:sz w:val="21"/>
        </w:rPr>
        <w:t>被投诉人1：</w:t>
      </w:r>
    </w:p>
    <w:p w14:paraId="3EA40D4B">
      <w:pPr>
        <w:pStyle w:val="24"/>
        <w:snapToGrid w:val="0"/>
        <w:spacing w:line="360" w:lineRule="auto"/>
        <w:ind w:firstLine="420" w:firstLineChars="200"/>
        <w:jc w:val="left"/>
        <w:rPr>
          <w:rFonts w:hAnsi="宋体"/>
          <w:bCs/>
          <w:color w:val="auto"/>
          <w:sz w:val="21"/>
          <w:u w:val="single"/>
        </w:rPr>
      </w:pPr>
      <w:r>
        <w:rPr>
          <w:rFonts w:hint="eastAsia" w:hAnsi="宋体"/>
          <w:bCs/>
          <w:color w:val="auto"/>
          <w:sz w:val="21"/>
        </w:rPr>
        <w:t>地址：</w:t>
      </w:r>
    </w:p>
    <w:p w14:paraId="13762641">
      <w:pPr>
        <w:pStyle w:val="24"/>
        <w:snapToGrid w:val="0"/>
        <w:spacing w:line="360" w:lineRule="auto"/>
        <w:ind w:firstLine="420" w:firstLineChars="200"/>
        <w:jc w:val="left"/>
        <w:rPr>
          <w:rFonts w:hAnsi="宋体"/>
          <w:bCs/>
          <w:color w:val="auto"/>
          <w:sz w:val="21"/>
        </w:rPr>
      </w:pPr>
      <w:r>
        <w:rPr>
          <w:rFonts w:hAnsi="宋体"/>
          <w:bCs/>
          <w:color w:val="auto"/>
          <w:sz w:val="21"/>
        </w:rPr>
        <w:t>邮编</w:t>
      </w:r>
      <w:r>
        <w:rPr>
          <w:rFonts w:hint="eastAsia" w:hAnsi="宋体"/>
          <w:bCs/>
          <w:color w:val="auto"/>
          <w:sz w:val="21"/>
        </w:rPr>
        <w:t>：</w:t>
      </w:r>
    </w:p>
    <w:p w14:paraId="51EE3C30">
      <w:pPr>
        <w:pStyle w:val="24"/>
        <w:snapToGrid w:val="0"/>
        <w:spacing w:line="360" w:lineRule="auto"/>
        <w:ind w:firstLine="420" w:firstLineChars="200"/>
        <w:jc w:val="left"/>
        <w:rPr>
          <w:rFonts w:hAnsi="宋体"/>
          <w:bCs/>
          <w:color w:val="auto"/>
          <w:sz w:val="21"/>
          <w:u w:val="single"/>
        </w:rPr>
      </w:pPr>
      <w:r>
        <w:rPr>
          <w:rFonts w:hint="eastAsia" w:hAnsi="宋体"/>
          <w:bCs/>
          <w:color w:val="auto"/>
          <w:sz w:val="21"/>
        </w:rPr>
        <w:t>联系人：</w:t>
      </w:r>
      <w:r>
        <w:rPr>
          <w:rFonts w:hAnsi="宋体"/>
          <w:bCs/>
          <w:color w:val="auto"/>
          <w:sz w:val="21"/>
        </w:rPr>
        <w:t>联系</w:t>
      </w:r>
      <w:r>
        <w:rPr>
          <w:rFonts w:hint="eastAsia" w:hAnsi="宋体"/>
          <w:bCs/>
          <w:color w:val="auto"/>
          <w:sz w:val="21"/>
        </w:rPr>
        <w:t>电话：</w:t>
      </w:r>
    </w:p>
    <w:p w14:paraId="0137C760">
      <w:pPr>
        <w:pStyle w:val="24"/>
        <w:snapToGrid w:val="0"/>
        <w:spacing w:line="360" w:lineRule="auto"/>
        <w:ind w:firstLine="420" w:firstLineChars="200"/>
        <w:jc w:val="left"/>
        <w:rPr>
          <w:rFonts w:hAnsi="宋体"/>
          <w:bCs/>
          <w:color w:val="auto"/>
          <w:sz w:val="21"/>
        </w:rPr>
      </w:pPr>
      <w:r>
        <w:rPr>
          <w:rFonts w:hint="eastAsia" w:hAnsi="宋体"/>
          <w:bCs/>
          <w:color w:val="auto"/>
          <w:sz w:val="21"/>
        </w:rPr>
        <w:t>被投诉人2：</w:t>
      </w:r>
    </w:p>
    <w:p w14:paraId="03CAC64A">
      <w:pPr>
        <w:pStyle w:val="24"/>
        <w:snapToGrid w:val="0"/>
        <w:spacing w:line="360" w:lineRule="auto"/>
        <w:ind w:firstLine="420" w:firstLineChars="200"/>
        <w:jc w:val="left"/>
        <w:rPr>
          <w:rFonts w:hAnsi="宋体"/>
          <w:bCs/>
          <w:color w:val="auto"/>
          <w:sz w:val="21"/>
        </w:rPr>
      </w:pPr>
      <w:r>
        <w:rPr>
          <w:rFonts w:hAnsi="宋体"/>
          <w:bCs/>
          <w:color w:val="auto"/>
          <w:sz w:val="21"/>
        </w:rPr>
        <w:t>……</w:t>
      </w:r>
    </w:p>
    <w:p w14:paraId="7B2D4A5C">
      <w:pPr>
        <w:pStyle w:val="24"/>
        <w:snapToGrid w:val="0"/>
        <w:spacing w:line="360" w:lineRule="auto"/>
        <w:ind w:firstLine="420" w:firstLineChars="200"/>
        <w:jc w:val="left"/>
        <w:rPr>
          <w:rFonts w:hAnsi="宋体"/>
          <w:bCs/>
          <w:color w:val="auto"/>
          <w:sz w:val="21"/>
          <w:u w:val="single"/>
        </w:rPr>
      </w:pPr>
      <w:r>
        <w:rPr>
          <w:rFonts w:hint="eastAsia" w:hAnsi="宋体"/>
          <w:bCs/>
          <w:color w:val="auto"/>
          <w:sz w:val="21"/>
        </w:rPr>
        <w:t>相关供应商：</w:t>
      </w:r>
    </w:p>
    <w:p w14:paraId="2072F2D5">
      <w:pPr>
        <w:pStyle w:val="24"/>
        <w:snapToGrid w:val="0"/>
        <w:spacing w:line="360" w:lineRule="auto"/>
        <w:ind w:firstLine="420" w:firstLineChars="200"/>
        <w:jc w:val="left"/>
        <w:rPr>
          <w:rFonts w:hAnsi="宋体"/>
          <w:bCs/>
          <w:color w:val="auto"/>
          <w:sz w:val="21"/>
          <w:u w:val="single"/>
        </w:rPr>
      </w:pPr>
      <w:r>
        <w:rPr>
          <w:rFonts w:hAnsi="宋体"/>
          <w:bCs/>
          <w:color w:val="auto"/>
          <w:sz w:val="21"/>
        </w:rPr>
        <w:t>地址</w:t>
      </w:r>
      <w:r>
        <w:rPr>
          <w:rFonts w:hint="eastAsia" w:hAnsi="宋体"/>
          <w:bCs/>
          <w:color w:val="auto"/>
          <w:sz w:val="21"/>
        </w:rPr>
        <w:t>：</w:t>
      </w:r>
      <w:r>
        <w:rPr>
          <w:rFonts w:hint="eastAsia" w:hAnsi="宋体"/>
          <w:bCs/>
          <w:color w:val="auto"/>
          <w:sz w:val="21"/>
          <w:lang w:val="en-US" w:eastAsia="zh-CN"/>
        </w:rPr>
        <w:t xml:space="preserve">          </w:t>
      </w:r>
      <w:r>
        <w:rPr>
          <w:rFonts w:hAnsi="宋体"/>
          <w:bCs/>
          <w:color w:val="auto"/>
          <w:sz w:val="21"/>
        </w:rPr>
        <w:t>邮编</w:t>
      </w:r>
      <w:r>
        <w:rPr>
          <w:rFonts w:hint="eastAsia" w:hAnsi="宋体"/>
          <w:bCs/>
          <w:color w:val="auto"/>
          <w:sz w:val="21"/>
        </w:rPr>
        <w:t>：</w:t>
      </w:r>
    </w:p>
    <w:p w14:paraId="5E79FB83">
      <w:pPr>
        <w:pStyle w:val="24"/>
        <w:snapToGrid w:val="0"/>
        <w:spacing w:line="360" w:lineRule="auto"/>
        <w:ind w:firstLine="420" w:firstLineChars="200"/>
        <w:jc w:val="left"/>
        <w:rPr>
          <w:rFonts w:hAnsi="宋体"/>
          <w:bCs/>
          <w:color w:val="auto"/>
          <w:sz w:val="21"/>
        </w:rPr>
      </w:pPr>
      <w:r>
        <w:rPr>
          <w:rFonts w:hint="eastAsia" w:hAnsi="宋体"/>
          <w:bCs/>
          <w:color w:val="auto"/>
          <w:sz w:val="21"/>
        </w:rPr>
        <w:t>联系人：</w:t>
      </w:r>
      <w:r>
        <w:rPr>
          <w:rFonts w:hint="eastAsia" w:hAnsi="宋体"/>
          <w:bCs/>
          <w:color w:val="auto"/>
          <w:sz w:val="21"/>
          <w:lang w:val="en-US" w:eastAsia="zh-CN"/>
        </w:rPr>
        <w:t xml:space="preserve">        </w:t>
      </w:r>
      <w:r>
        <w:rPr>
          <w:rFonts w:hAnsi="宋体"/>
          <w:bCs/>
          <w:color w:val="auto"/>
          <w:sz w:val="21"/>
        </w:rPr>
        <w:t>联系</w:t>
      </w:r>
      <w:r>
        <w:rPr>
          <w:rFonts w:hint="eastAsia" w:hAnsi="宋体"/>
          <w:bCs/>
          <w:color w:val="auto"/>
          <w:sz w:val="21"/>
        </w:rPr>
        <w:t>电话：</w:t>
      </w:r>
    </w:p>
    <w:p w14:paraId="69B59156">
      <w:pPr>
        <w:pStyle w:val="24"/>
        <w:snapToGrid w:val="0"/>
        <w:spacing w:line="360" w:lineRule="auto"/>
        <w:ind w:firstLine="422" w:firstLineChars="200"/>
        <w:rPr>
          <w:rFonts w:hAnsi="宋体"/>
          <w:b/>
          <w:bCs/>
          <w:color w:val="auto"/>
          <w:sz w:val="21"/>
        </w:rPr>
      </w:pPr>
      <w:r>
        <w:rPr>
          <w:rFonts w:hint="eastAsia" w:hAnsi="宋体"/>
          <w:b/>
          <w:bCs/>
          <w:color w:val="auto"/>
          <w:sz w:val="21"/>
        </w:rPr>
        <w:t>二、投诉项目基本情况：</w:t>
      </w:r>
    </w:p>
    <w:p w14:paraId="2FBED74C">
      <w:pPr>
        <w:pStyle w:val="24"/>
        <w:spacing w:line="360" w:lineRule="auto"/>
        <w:ind w:left="25" w:leftChars="12" w:firstLine="413" w:firstLineChars="197"/>
        <w:rPr>
          <w:rFonts w:hAnsi="宋体"/>
          <w:color w:val="auto"/>
          <w:sz w:val="21"/>
        </w:rPr>
      </w:pPr>
      <w:r>
        <w:rPr>
          <w:rFonts w:hint="eastAsia" w:hAnsi="宋体"/>
          <w:bCs/>
          <w:color w:val="auto"/>
          <w:sz w:val="21"/>
        </w:rPr>
        <w:t>采购</w:t>
      </w:r>
      <w:r>
        <w:rPr>
          <w:rFonts w:hint="eastAsia" w:hAnsi="宋体"/>
          <w:color w:val="auto"/>
          <w:sz w:val="21"/>
        </w:rPr>
        <w:t>项目的名称：</w:t>
      </w:r>
    </w:p>
    <w:p w14:paraId="6E428685">
      <w:pPr>
        <w:pStyle w:val="24"/>
        <w:spacing w:line="360" w:lineRule="auto"/>
        <w:ind w:left="25" w:leftChars="12" w:firstLine="413" w:firstLineChars="197"/>
        <w:rPr>
          <w:rFonts w:hAnsi="宋体"/>
          <w:color w:val="auto"/>
          <w:sz w:val="21"/>
        </w:rPr>
      </w:pPr>
      <w:r>
        <w:rPr>
          <w:rFonts w:hint="eastAsia" w:hAnsi="宋体"/>
          <w:bCs/>
          <w:color w:val="auto"/>
          <w:sz w:val="21"/>
        </w:rPr>
        <w:t>采购</w:t>
      </w:r>
      <w:r>
        <w:rPr>
          <w:rFonts w:hint="eastAsia" w:hAnsi="宋体"/>
          <w:color w:val="auto"/>
          <w:sz w:val="21"/>
        </w:rPr>
        <w:t>项目的编号：</w:t>
      </w:r>
    </w:p>
    <w:p w14:paraId="146FDEA9">
      <w:pPr>
        <w:pStyle w:val="24"/>
        <w:spacing w:line="360" w:lineRule="auto"/>
        <w:ind w:left="25" w:leftChars="12" w:firstLine="413" w:firstLineChars="197"/>
        <w:rPr>
          <w:rFonts w:hAnsi="宋体"/>
          <w:bCs/>
          <w:color w:val="auto"/>
          <w:sz w:val="21"/>
          <w:u w:val="single"/>
        </w:rPr>
      </w:pPr>
      <w:r>
        <w:rPr>
          <w:rFonts w:hint="eastAsia" w:hAnsi="宋体"/>
          <w:color w:val="auto"/>
          <w:sz w:val="21"/>
        </w:rPr>
        <w:t>采购人名称：</w:t>
      </w:r>
    </w:p>
    <w:p w14:paraId="174BAB50">
      <w:pPr>
        <w:pStyle w:val="24"/>
        <w:spacing w:line="360" w:lineRule="auto"/>
        <w:ind w:left="25" w:leftChars="12" w:firstLine="413" w:firstLineChars="197"/>
        <w:rPr>
          <w:rFonts w:hAnsi="宋体"/>
          <w:bCs/>
          <w:color w:val="auto"/>
          <w:sz w:val="21"/>
          <w:u w:val="single"/>
        </w:rPr>
      </w:pPr>
      <w:r>
        <w:rPr>
          <w:rFonts w:hint="eastAsia" w:hAnsi="宋体"/>
          <w:color w:val="auto"/>
          <w:sz w:val="21"/>
        </w:rPr>
        <w:t>代理机构名称：</w:t>
      </w:r>
    </w:p>
    <w:p w14:paraId="7DE3E099">
      <w:pPr>
        <w:pStyle w:val="24"/>
        <w:spacing w:line="360" w:lineRule="auto"/>
        <w:ind w:left="25" w:leftChars="12" w:firstLine="413" w:firstLineChars="197"/>
        <w:rPr>
          <w:rFonts w:hAnsi="宋体"/>
          <w:bCs/>
          <w:color w:val="auto"/>
          <w:sz w:val="21"/>
          <w:u w:val="single"/>
        </w:rPr>
      </w:pPr>
      <w:r>
        <w:rPr>
          <w:rFonts w:hint="eastAsia" w:hAnsi="宋体"/>
          <w:bCs/>
          <w:color w:val="auto"/>
          <w:sz w:val="21"/>
        </w:rPr>
        <w:t>招标文件公告：</w:t>
      </w:r>
      <w:r>
        <w:rPr>
          <w:rFonts w:hint="eastAsia" w:hAnsi="宋体"/>
          <w:bCs/>
          <w:color w:val="auto"/>
          <w:sz w:val="21"/>
          <w:u w:val="single"/>
        </w:rPr>
        <w:t>是/否</w:t>
      </w:r>
      <w:r>
        <w:rPr>
          <w:rFonts w:hint="eastAsia" w:hAnsi="宋体"/>
          <w:bCs/>
          <w:color w:val="auto"/>
          <w:sz w:val="21"/>
        </w:rPr>
        <w:t>公告期限：</w:t>
      </w:r>
    </w:p>
    <w:p w14:paraId="51738430">
      <w:pPr>
        <w:pStyle w:val="24"/>
        <w:spacing w:line="360" w:lineRule="auto"/>
        <w:ind w:left="25" w:leftChars="12" w:firstLine="413" w:firstLineChars="197"/>
        <w:rPr>
          <w:rFonts w:hAnsi="宋体"/>
          <w:b/>
          <w:color w:val="auto"/>
          <w:sz w:val="21"/>
        </w:rPr>
      </w:pPr>
      <w:r>
        <w:rPr>
          <w:rFonts w:hint="eastAsia" w:hAnsi="宋体"/>
          <w:bCs/>
          <w:color w:val="auto"/>
          <w:sz w:val="21"/>
        </w:rPr>
        <w:t>采购结果公告：</w:t>
      </w:r>
      <w:r>
        <w:rPr>
          <w:rFonts w:hint="eastAsia" w:hAnsi="宋体"/>
          <w:bCs/>
          <w:color w:val="auto"/>
          <w:sz w:val="21"/>
          <w:u w:val="single"/>
        </w:rPr>
        <w:t>是/否</w:t>
      </w:r>
      <w:r>
        <w:rPr>
          <w:rFonts w:hint="eastAsia" w:hAnsi="宋体"/>
          <w:bCs/>
          <w:color w:val="auto"/>
          <w:sz w:val="21"/>
        </w:rPr>
        <w:t>公告期限：</w:t>
      </w:r>
    </w:p>
    <w:p w14:paraId="07CA0529">
      <w:pPr>
        <w:pStyle w:val="24"/>
        <w:spacing w:line="360" w:lineRule="auto"/>
        <w:ind w:left="25" w:leftChars="12" w:firstLine="413" w:firstLineChars="196"/>
        <w:rPr>
          <w:rFonts w:hAnsi="宋体"/>
          <w:b/>
          <w:color w:val="auto"/>
          <w:sz w:val="21"/>
        </w:rPr>
      </w:pPr>
      <w:r>
        <w:rPr>
          <w:rFonts w:hint="eastAsia" w:hAnsi="宋体"/>
          <w:b/>
          <w:color w:val="auto"/>
          <w:sz w:val="21"/>
        </w:rPr>
        <w:t>三、质疑基本情况</w:t>
      </w:r>
    </w:p>
    <w:p w14:paraId="35381096">
      <w:pPr>
        <w:pStyle w:val="24"/>
        <w:spacing w:line="360" w:lineRule="auto"/>
        <w:ind w:left="25" w:leftChars="12" w:firstLine="420" w:firstLineChars="200"/>
        <w:rPr>
          <w:rFonts w:hAnsi="宋体"/>
          <w:color w:val="auto"/>
          <w:sz w:val="21"/>
        </w:rPr>
      </w:pPr>
      <w:r>
        <w:rPr>
          <w:rFonts w:hint="eastAsia" w:hAnsi="宋体"/>
          <w:color w:val="auto"/>
          <w:sz w:val="21"/>
        </w:rPr>
        <w:t>投诉人于年月日，向提出质疑，质疑事项为：</w:t>
      </w:r>
    </w:p>
    <w:p w14:paraId="3EDDB304">
      <w:pPr>
        <w:pStyle w:val="24"/>
        <w:spacing w:line="360" w:lineRule="auto"/>
        <w:ind w:firstLine="241"/>
        <w:rPr>
          <w:rFonts w:hAnsi="宋体"/>
          <w:bCs/>
          <w:color w:val="auto"/>
          <w:sz w:val="21"/>
          <w:u w:val="single"/>
        </w:rPr>
      </w:pPr>
    </w:p>
    <w:p w14:paraId="7E3E69FA">
      <w:pPr>
        <w:pStyle w:val="24"/>
        <w:spacing w:line="360" w:lineRule="auto"/>
        <w:ind w:firstLine="241"/>
        <w:rPr>
          <w:rFonts w:hAnsi="宋体"/>
          <w:bCs/>
          <w:color w:val="auto"/>
          <w:sz w:val="21"/>
          <w:u w:val="single"/>
        </w:rPr>
      </w:pPr>
    </w:p>
    <w:p w14:paraId="653B4F5A">
      <w:pPr>
        <w:pStyle w:val="24"/>
        <w:spacing w:line="360" w:lineRule="auto"/>
        <w:ind w:firstLine="420" w:firstLineChars="200"/>
        <w:rPr>
          <w:rFonts w:hAnsi="宋体"/>
          <w:color w:val="auto"/>
          <w:sz w:val="21"/>
        </w:rPr>
      </w:pPr>
      <w:r>
        <w:rPr>
          <w:rFonts w:hint="eastAsia" w:hAnsi="宋体"/>
          <w:bCs/>
          <w:color w:val="auto"/>
          <w:sz w:val="21"/>
          <w:u w:val="single"/>
        </w:rPr>
        <w:t>采购人/代理机构</w:t>
      </w:r>
      <w:r>
        <w:rPr>
          <w:rFonts w:hint="eastAsia" w:hAnsi="宋体"/>
          <w:bCs/>
          <w:color w:val="auto"/>
          <w:sz w:val="21"/>
        </w:rPr>
        <w:t>于</w:t>
      </w:r>
      <w:r>
        <w:rPr>
          <w:rFonts w:hint="eastAsia" w:hAnsi="宋体"/>
          <w:color w:val="auto"/>
          <w:sz w:val="21"/>
        </w:rPr>
        <w:t>年月日，</w:t>
      </w:r>
      <w:r>
        <w:rPr>
          <w:rFonts w:hint="eastAsia" w:hAnsi="宋体"/>
          <w:bCs/>
          <w:color w:val="auto"/>
          <w:sz w:val="21"/>
        </w:rPr>
        <w:t xml:space="preserve">就质疑事项作出了答复/没有在法定期限内作出答复。                                                                                             </w:t>
      </w:r>
    </w:p>
    <w:p w14:paraId="53DAA60D">
      <w:pPr>
        <w:pStyle w:val="24"/>
        <w:spacing w:line="360" w:lineRule="auto"/>
        <w:ind w:left="25" w:leftChars="12" w:firstLine="413" w:firstLineChars="196"/>
        <w:rPr>
          <w:rFonts w:hAnsi="宋体"/>
          <w:b/>
          <w:color w:val="auto"/>
          <w:sz w:val="21"/>
        </w:rPr>
      </w:pPr>
      <w:r>
        <w:rPr>
          <w:rFonts w:hint="eastAsia" w:hAnsi="宋体"/>
          <w:b/>
          <w:color w:val="auto"/>
          <w:sz w:val="21"/>
        </w:rPr>
        <w:t>四、投诉事项具体内容</w:t>
      </w:r>
    </w:p>
    <w:p w14:paraId="159BC094">
      <w:pPr>
        <w:pStyle w:val="24"/>
        <w:spacing w:line="360" w:lineRule="auto"/>
        <w:ind w:left="25" w:leftChars="12" w:firstLine="413" w:firstLineChars="197"/>
        <w:rPr>
          <w:rFonts w:hAnsi="宋体"/>
          <w:bCs/>
          <w:color w:val="auto"/>
          <w:sz w:val="21"/>
          <w:u w:val="single"/>
        </w:rPr>
      </w:pPr>
      <w:r>
        <w:rPr>
          <w:rFonts w:hint="eastAsia" w:hAnsi="宋体"/>
          <w:color w:val="auto"/>
          <w:sz w:val="21"/>
        </w:rPr>
        <w:t>投诉事项1：</w:t>
      </w:r>
    </w:p>
    <w:p w14:paraId="269C2ED0">
      <w:pPr>
        <w:pStyle w:val="24"/>
        <w:spacing w:line="360" w:lineRule="auto"/>
        <w:ind w:firstLine="420" w:firstLineChars="200"/>
        <w:rPr>
          <w:rFonts w:hAnsi="宋体"/>
          <w:bCs/>
          <w:color w:val="auto"/>
          <w:sz w:val="21"/>
          <w:u w:val="single"/>
        </w:rPr>
      </w:pPr>
      <w:r>
        <w:rPr>
          <w:rFonts w:hint="eastAsia" w:hAnsi="宋体"/>
          <w:bCs/>
          <w:color w:val="auto"/>
          <w:sz w:val="21"/>
        </w:rPr>
        <w:t>事实依据：</w:t>
      </w:r>
    </w:p>
    <w:p w14:paraId="1D8552FD">
      <w:pPr>
        <w:pStyle w:val="24"/>
        <w:spacing w:line="360" w:lineRule="auto"/>
        <w:ind w:left="25" w:leftChars="12" w:firstLine="413" w:firstLineChars="197"/>
        <w:rPr>
          <w:rFonts w:hAnsi="宋体"/>
          <w:color w:val="auto"/>
          <w:sz w:val="21"/>
        </w:rPr>
      </w:pPr>
    </w:p>
    <w:p w14:paraId="452B0839">
      <w:pPr>
        <w:pStyle w:val="24"/>
        <w:spacing w:line="360" w:lineRule="auto"/>
        <w:ind w:firstLine="420" w:firstLineChars="200"/>
        <w:rPr>
          <w:rFonts w:hAnsi="宋体"/>
          <w:bCs/>
          <w:color w:val="auto"/>
          <w:sz w:val="21"/>
          <w:u w:val="single"/>
        </w:rPr>
      </w:pPr>
      <w:r>
        <w:rPr>
          <w:rFonts w:hint="eastAsia" w:hAnsi="宋体"/>
          <w:bCs/>
          <w:color w:val="auto"/>
          <w:sz w:val="21"/>
        </w:rPr>
        <w:t>法律依据：</w:t>
      </w:r>
    </w:p>
    <w:p w14:paraId="4562DFC2">
      <w:pPr>
        <w:pStyle w:val="24"/>
        <w:spacing w:line="360" w:lineRule="auto"/>
        <w:ind w:left="25" w:leftChars="12" w:firstLine="308" w:firstLineChars="147"/>
        <w:rPr>
          <w:rFonts w:hAnsi="宋体"/>
          <w:bCs/>
          <w:color w:val="auto"/>
          <w:sz w:val="21"/>
          <w:u w:val="single"/>
        </w:rPr>
      </w:pPr>
    </w:p>
    <w:p w14:paraId="4787D4B6">
      <w:pPr>
        <w:pStyle w:val="24"/>
        <w:spacing w:line="360" w:lineRule="auto"/>
        <w:ind w:left="25" w:leftChars="12" w:firstLine="413" w:firstLineChars="197"/>
        <w:rPr>
          <w:rFonts w:hAnsi="宋体"/>
          <w:bCs/>
          <w:color w:val="auto"/>
          <w:sz w:val="21"/>
        </w:rPr>
      </w:pPr>
      <w:r>
        <w:rPr>
          <w:rFonts w:hint="eastAsia" w:hAnsi="宋体"/>
          <w:color w:val="auto"/>
          <w:sz w:val="21"/>
        </w:rPr>
        <w:t xml:space="preserve">投诉事项2  </w:t>
      </w:r>
    </w:p>
    <w:p w14:paraId="5993E48F">
      <w:pPr>
        <w:pStyle w:val="24"/>
        <w:spacing w:line="360" w:lineRule="auto"/>
        <w:ind w:left="25" w:leftChars="12" w:firstLine="413" w:firstLineChars="197"/>
        <w:rPr>
          <w:rFonts w:hAnsi="宋体"/>
          <w:bCs/>
          <w:color w:val="auto"/>
          <w:sz w:val="21"/>
        </w:rPr>
      </w:pPr>
      <w:r>
        <w:rPr>
          <w:rFonts w:hAnsi="宋体"/>
          <w:bCs/>
          <w:color w:val="auto"/>
          <w:sz w:val="21"/>
        </w:rPr>
        <w:t>……</w:t>
      </w:r>
    </w:p>
    <w:p w14:paraId="5B51C497">
      <w:pPr>
        <w:pStyle w:val="24"/>
        <w:spacing w:line="360" w:lineRule="auto"/>
        <w:ind w:left="25" w:leftChars="12" w:firstLine="413" w:firstLineChars="196"/>
        <w:rPr>
          <w:rFonts w:hAnsi="宋体"/>
          <w:b/>
          <w:color w:val="auto"/>
          <w:sz w:val="21"/>
        </w:rPr>
      </w:pPr>
      <w:r>
        <w:rPr>
          <w:rFonts w:hint="eastAsia" w:hAnsi="宋体"/>
          <w:b/>
          <w:color w:val="auto"/>
          <w:sz w:val="21"/>
        </w:rPr>
        <w:t>五、与投诉事项相关的投诉请求：</w:t>
      </w:r>
    </w:p>
    <w:p w14:paraId="3FE362A9">
      <w:pPr>
        <w:pStyle w:val="24"/>
        <w:spacing w:line="360" w:lineRule="auto"/>
        <w:ind w:left="25" w:leftChars="12" w:firstLine="413" w:firstLineChars="197"/>
        <w:rPr>
          <w:rFonts w:hAnsi="宋体"/>
          <w:color w:val="auto"/>
          <w:sz w:val="21"/>
        </w:rPr>
      </w:pPr>
      <w:r>
        <w:rPr>
          <w:rFonts w:hint="eastAsia" w:hAnsi="宋体"/>
          <w:color w:val="auto"/>
          <w:sz w:val="21"/>
        </w:rPr>
        <w:t>请求：</w:t>
      </w:r>
    </w:p>
    <w:p w14:paraId="4EFF3D3C">
      <w:pPr>
        <w:pStyle w:val="24"/>
        <w:spacing w:line="360" w:lineRule="auto"/>
        <w:ind w:left="25" w:leftChars="12" w:firstLine="308" w:firstLineChars="147"/>
        <w:rPr>
          <w:rFonts w:hAnsi="宋体"/>
          <w:color w:val="auto"/>
          <w:sz w:val="21"/>
        </w:rPr>
      </w:pPr>
    </w:p>
    <w:p w14:paraId="70C360C7">
      <w:pPr>
        <w:pStyle w:val="24"/>
        <w:spacing w:line="360" w:lineRule="auto"/>
        <w:ind w:left="25" w:leftChars="12" w:firstLine="413" w:firstLineChars="197"/>
        <w:rPr>
          <w:rFonts w:hAnsi="宋体"/>
          <w:color w:val="auto"/>
          <w:sz w:val="21"/>
        </w:rPr>
      </w:pPr>
      <w:r>
        <w:rPr>
          <w:rFonts w:hint="eastAsia" w:hAnsi="宋体"/>
          <w:color w:val="auto"/>
          <w:sz w:val="21"/>
        </w:rPr>
        <w:t>签字（签章）：                                       公章：</w:t>
      </w:r>
    </w:p>
    <w:p w14:paraId="513F38C2">
      <w:pPr>
        <w:pStyle w:val="24"/>
        <w:spacing w:line="360" w:lineRule="auto"/>
        <w:ind w:left="25" w:leftChars="12" w:firstLine="308" w:firstLineChars="147"/>
        <w:rPr>
          <w:rFonts w:hAnsi="宋体"/>
          <w:color w:val="auto"/>
          <w:sz w:val="21"/>
        </w:rPr>
      </w:pPr>
    </w:p>
    <w:p w14:paraId="1073A4E4">
      <w:pPr>
        <w:pStyle w:val="24"/>
        <w:spacing w:line="360" w:lineRule="auto"/>
        <w:ind w:left="25" w:leftChars="12" w:firstLine="413" w:firstLineChars="197"/>
        <w:rPr>
          <w:rFonts w:hAnsi="宋体"/>
          <w:color w:val="auto"/>
          <w:sz w:val="21"/>
        </w:rPr>
      </w:pPr>
      <w:r>
        <w:rPr>
          <w:rFonts w:hint="eastAsia" w:hAnsi="宋体"/>
          <w:color w:val="auto"/>
          <w:sz w:val="21"/>
        </w:rPr>
        <w:t>日期：</w:t>
      </w:r>
    </w:p>
    <w:p w14:paraId="790867F4">
      <w:pPr>
        <w:pStyle w:val="24"/>
        <w:spacing w:line="360" w:lineRule="auto"/>
        <w:ind w:left="25" w:leftChars="12" w:firstLine="413" w:firstLineChars="197"/>
        <w:rPr>
          <w:rFonts w:hAnsi="宋体"/>
          <w:color w:val="auto"/>
          <w:sz w:val="21"/>
        </w:rPr>
      </w:pPr>
    </w:p>
    <w:p w14:paraId="7EFE096A">
      <w:pPr>
        <w:pStyle w:val="24"/>
        <w:snapToGrid w:val="0"/>
        <w:spacing w:line="360" w:lineRule="auto"/>
        <w:rPr>
          <w:rFonts w:hAnsi="宋体"/>
          <w:b/>
          <w:color w:val="auto"/>
          <w:sz w:val="21"/>
        </w:rPr>
      </w:pPr>
      <w:r>
        <w:rPr>
          <w:rFonts w:hint="eastAsia" w:hAnsi="宋体"/>
          <w:b/>
          <w:color w:val="auto"/>
          <w:sz w:val="21"/>
        </w:rPr>
        <w:t>说明：</w:t>
      </w:r>
    </w:p>
    <w:p w14:paraId="460F01C5">
      <w:pPr>
        <w:pStyle w:val="24"/>
        <w:spacing w:line="360" w:lineRule="auto"/>
        <w:ind w:left="25" w:leftChars="12" w:firstLine="310" w:firstLineChars="147"/>
        <w:rPr>
          <w:rFonts w:hAnsi="宋体"/>
          <w:b/>
          <w:bCs/>
          <w:color w:val="auto"/>
          <w:sz w:val="21"/>
        </w:rPr>
      </w:pPr>
      <w:r>
        <w:rPr>
          <w:rFonts w:hint="eastAsia" w:hAnsi="宋体"/>
          <w:b/>
          <w:color w:val="auto"/>
          <w:sz w:val="21"/>
        </w:rPr>
        <w:t>1.投诉人提起投诉时，应当提交投诉书和必要的证明材料，并按照被投诉人和与投诉事项有关的供应商数量提供投诉书副本</w:t>
      </w:r>
      <w:r>
        <w:rPr>
          <w:rFonts w:hint="eastAsia" w:hAnsi="宋体"/>
          <w:b/>
          <w:bCs/>
          <w:color w:val="auto"/>
          <w:sz w:val="21"/>
        </w:rPr>
        <w:t>。</w:t>
      </w:r>
    </w:p>
    <w:p w14:paraId="42E43799">
      <w:pPr>
        <w:pStyle w:val="24"/>
        <w:spacing w:line="360" w:lineRule="auto"/>
        <w:ind w:left="25" w:leftChars="12" w:firstLine="310" w:firstLineChars="147"/>
        <w:rPr>
          <w:rFonts w:hAnsi="宋体"/>
          <w:b/>
          <w:color w:val="auto"/>
          <w:sz w:val="21"/>
        </w:rPr>
      </w:pPr>
      <w:r>
        <w:rPr>
          <w:rFonts w:hint="eastAsia" w:hAnsi="宋体"/>
          <w:b/>
          <w:color w:val="auto"/>
          <w:sz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4781570">
      <w:pPr>
        <w:pStyle w:val="24"/>
        <w:spacing w:line="360" w:lineRule="auto"/>
        <w:ind w:left="25" w:leftChars="12" w:firstLine="310" w:firstLineChars="147"/>
        <w:rPr>
          <w:rFonts w:hAnsi="宋体"/>
          <w:b/>
          <w:color w:val="auto"/>
          <w:sz w:val="21"/>
        </w:rPr>
      </w:pPr>
      <w:r>
        <w:rPr>
          <w:rFonts w:hint="eastAsia" w:hAnsi="宋体"/>
          <w:b/>
          <w:color w:val="auto"/>
          <w:sz w:val="21"/>
        </w:rPr>
        <w:t>3.投诉书应简要列明质疑事项，质疑函、质疑答复等作为附件材料提供。</w:t>
      </w:r>
    </w:p>
    <w:p w14:paraId="2EEAE0BE">
      <w:pPr>
        <w:pStyle w:val="24"/>
        <w:spacing w:line="360" w:lineRule="auto"/>
        <w:ind w:left="25" w:leftChars="12" w:firstLine="310" w:firstLineChars="147"/>
        <w:rPr>
          <w:rFonts w:hAnsi="宋体"/>
          <w:b/>
          <w:color w:val="auto"/>
          <w:sz w:val="21"/>
        </w:rPr>
      </w:pPr>
      <w:r>
        <w:rPr>
          <w:rFonts w:hint="eastAsia" w:hAnsi="宋体"/>
          <w:b/>
          <w:color w:val="auto"/>
          <w:sz w:val="21"/>
        </w:rPr>
        <w:t>4.投诉书的投诉事项应具体、明确，并有必要的事实依据和法律依据。</w:t>
      </w:r>
    </w:p>
    <w:p w14:paraId="65409208">
      <w:pPr>
        <w:pStyle w:val="24"/>
        <w:spacing w:line="360" w:lineRule="auto"/>
        <w:ind w:left="25" w:leftChars="12" w:firstLine="310" w:firstLineChars="147"/>
        <w:rPr>
          <w:rFonts w:hAnsi="宋体"/>
          <w:b/>
          <w:color w:val="auto"/>
          <w:sz w:val="21"/>
        </w:rPr>
      </w:pPr>
      <w:r>
        <w:rPr>
          <w:rFonts w:hint="eastAsia" w:hAnsi="宋体"/>
          <w:b/>
          <w:color w:val="auto"/>
          <w:sz w:val="21"/>
        </w:rPr>
        <w:t>5.投诉书的投诉请求应与投诉事项相关。</w:t>
      </w:r>
    </w:p>
    <w:p w14:paraId="10F2BFD4">
      <w:pPr>
        <w:pStyle w:val="24"/>
        <w:spacing w:line="360" w:lineRule="auto"/>
        <w:ind w:left="25" w:leftChars="12" w:firstLine="310" w:firstLineChars="147"/>
        <w:rPr>
          <w:rFonts w:hAnsi="宋体"/>
          <w:color w:val="auto"/>
          <w:sz w:val="21"/>
        </w:rPr>
      </w:pPr>
      <w:r>
        <w:rPr>
          <w:rFonts w:hint="eastAsia" w:hAnsi="宋体"/>
          <w:b/>
          <w:color w:val="auto"/>
          <w:sz w:val="21"/>
        </w:rPr>
        <w:t>6.投诉人为法人或者其他组织的，投诉书应由法定代表人、主要负责人，或者其授权代表签字或者盖章，并加盖公章。</w:t>
      </w:r>
    </w:p>
    <w:sectPr>
      <w:footerReference r:id="rId11" w:type="first"/>
      <w:headerReference r:id="rId8" w:type="default"/>
      <w:footerReference r:id="rId9" w:type="default"/>
      <w:footerReference r:id="rId10" w:type="even"/>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A41E1C7-034D-43D3-B6B1-13A30E148691}"/>
  </w:font>
  <w:font w:name="Arial">
    <w:panose1 w:val="020B0604020202020204"/>
    <w:charset w:val="01"/>
    <w:family w:val="swiss"/>
    <w:pitch w:val="default"/>
    <w:sig w:usb0="E0002EFF" w:usb1="C000785B" w:usb2="00000009" w:usb3="00000000" w:csb0="400001FF" w:csb1="FFFF0000"/>
    <w:embedRegular r:id="rId2" w:fontKey="{03A28294-21AB-47B2-8EC5-88B5AB5F692F}"/>
  </w:font>
  <w:font w:name="黑体">
    <w:panose1 w:val="02010609060101010101"/>
    <w:charset w:val="86"/>
    <w:family w:val="auto"/>
    <w:pitch w:val="default"/>
    <w:sig w:usb0="800002BF" w:usb1="38CF7CFA" w:usb2="00000016" w:usb3="00000000" w:csb0="00040001" w:csb1="00000000"/>
    <w:embedRegular r:id="rId3" w:fontKey="{ED3253B7-FC92-4ABC-9D92-BFFB8C8397D7}"/>
  </w:font>
  <w:font w:name="Courier New">
    <w:panose1 w:val="02070309020205020404"/>
    <w:charset w:val="01"/>
    <w:family w:val="modern"/>
    <w:pitch w:val="default"/>
    <w:sig w:usb0="E0002EFF" w:usb1="C0007843" w:usb2="00000009" w:usb3="00000000" w:csb0="400001FF" w:csb1="FFFF0000"/>
    <w:embedRegular r:id="rId4" w:fontKey="{AA8416EA-5132-4A65-BF90-DF3D29F0F7E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1C1AF803-AA37-4CFB-9BFF-432234E8636E}"/>
  </w:font>
  <w:font w:name="仿宋_GB2312">
    <w:panose1 w:val="02010609030101010101"/>
    <w:charset w:val="86"/>
    <w:family w:val="modern"/>
    <w:pitch w:val="default"/>
    <w:sig w:usb0="00000001" w:usb1="080E0000" w:usb2="00000000" w:usb3="00000000" w:csb0="00040000" w:csb1="00000000"/>
    <w:embedRegular r:id="rId6" w:fontKey="{392BDD6B-F504-475A-B9A9-4CF8BD3F3654}"/>
  </w:font>
  <w:font w:name="Cambria">
    <w:panose1 w:val="02040503050406030204"/>
    <w:charset w:val="00"/>
    <w:family w:val="roman"/>
    <w:pitch w:val="default"/>
    <w:sig w:usb0="E00006FF" w:usb1="420024FF" w:usb2="02000000" w:usb3="00000000" w:csb0="2000019F" w:csb1="00000000"/>
  </w:font>
  <w:font w:name="Perpetua">
    <w:altName w:val="PMingLiU-ExtB"/>
    <w:panose1 w:val="02020502060401020303"/>
    <w:charset w:val="00"/>
    <w:family w:val="roman"/>
    <w:pitch w:val="default"/>
    <w:sig w:usb0="00000000"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roman"/>
    <w:pitch w:val="default"/>
    <w:sig w:usb0="00000000" w:usb1="00000000" w:usb2="0000003F" w:usb3="00000000" w:csb0="603F01FF" w:csb1="FFFF0000"/>
    <w:embedRegular r:id="rId7" w:fontKey="{B22BAF32-81FE-4968-8589-1A1A208DF6A9}"/>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8" w:fontKey="{AD056000-15D2-4375-99FA-679E6BF6A043}"/>
  </w:font>
  <w:font w:name="方正小标宋简体">
    <w:panose1 w:val="02000000000000000000"/>
    <w:charset w:val="86"/>
    <w:family w:val="auto"/>
    <w:pitch w:val="default"/>
    <w:sig w:usb0="00000001" w:usb1="08000000" w:usb2="00000000" w:usb3="00000000" w:csb0="00040000" w:csb1="00000000"/>
    <w:embedRegular r:id="rId9" w:fontKey="{89737A2B-A8FE-4B1A-9947-BE9C84DA51DE}"/>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CBF6F">
    <w:pPr>
      <w:pStyle w:val="30"/>
      <w:framePr w:wrap="around" w:vAnchor="text" w:hAnchor="margin" w:xAlign="center" w:y="1"/>
      <w:rPr>
        <w:rStyle w:val="52"/>
      </w:rPr>
    </w:pPr>
    <w:r>
      <w:fldChar w:fldCharType="begin"/>
    </w:r>
    <w:r>
      <w:rPr>
        <w:rStyle w:val="52"/>
      </w:rPr>
      <w:instrText xml:space="preserve">PAGE  </w:instrText>
    </w:r>
    <w:r>
      <w:fldChar w:fldCharType="end"/>
    </w:r>
  </w:p>
  <w:p w14:paraId="47915A46">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3CC5A">
    <w:pPr>
      <w:pStyle w:val="30"/>
      <w:jc w:val="center"/>
    </w:pPr>
  </w:p>
  <w:p w14:paraId="6FC9B6FE">
    <w:pPr>
      <w:pStyle w:val="30"/>
      <w:ind w:right="36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7856">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41CC03">
                          <w:pPr>
                            <w:pStyle w:val="30"/>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7Qo4M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tCjgyQEAAJkDAAAOAAAAAAAAAAEAIAAAAB4BAABkcnMvZTJvRG9j&#10;LnhtbFBLBQYAAAAABgAGAFkBAABZBQAAAAA=&#10;">
              <v:fill on="f" focussize="0,0"/>
              <v:stroke on="f"/>
              <v:imagedata o:title=""/>
              <o:lock v:ext="edit" aspectratio="f"/>
              <v:textbox inset="0mm,0mm,0mm,0mm" style="mso-fit-shape-to-text:t;">
                <w:txbxContent>
                  <w:p w14:paraId="2F41CC03">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08F97">
    <w:pPr>
      <w:pStyle w:val="3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BC0891">
                          <w:pPr>
                            <w:pStyle w:val="3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rHPckBAACZ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VGsc9yQEAAJkDAAAOAAAAAAAAAAEAIAAAAB4BAABkcnMvZTJvRG9j&#10;LnhtbFBLBQYAAAAABgAGAFkBAABZBQAAAAA=&#10;">
              <v:fill on="f" focussize="0,0"/>
              <v:stroke on="f"/>
              <v:imagedata o:title=""/>
              <o:lock v:ext="edit" aspectratio="f"/>
              <v:textbox inset="0mm,0mm,0mm,0mm" style="mso-fit-shape-to-text:t;">
                <w:txbxContent>
                  <w:p w14:paraId="76BC0891">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19A671AD">
    <w:pPr>
      <w:pStyle w:val="30"/>
      <w:ind w:right="36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785D5">
    <w:pPr>
      <w:pStyle w:val="3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DD1A97">
                          <w:pPr>
                            <w:pStyle w:val="30"/>
                          </w:pPr>
                          <w:r>
                            <w:fldChar w:fldCharType="begin"/>
                          </w:r>
                          <w:r>
                            <w:instrText xml:space="preserve"> PAGE  \* MERGEFORMAT </w:instrText>
                          </w:r>
                          <w:r>
                            <w:fldChar w:fldCharType="separate"/>
                          </w:r>
                          <w:r>
                            <w:t>69</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bWPMkBAACZAwAADgAAAGRycy9lMm9Eb2MueG1srVPNjtMwEL4j8Q6W&#10;79TZSqy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n9tY8yQEAAJkDAAAOAAAAAAAAAAEAIAAAAB4BAABkcnMvZTJvRG9j&#10;LnhtbFBLBQYAAAAABgAGAFkBAABZBQAAAAA=&#10;">
              <v:fill on="f" focussize="0,0"/>
              <v:stroke on="f"/>
              <v:imagedata o:title=""/>
              <o:lock v:ext="edit" aspectratio="f"/>
              <v:textbox inset="0mm,0mm,0mm,0mm" style="mso-fit-shape-to-text:t;">
                <w:txbxContent>
                  <w:p w14:paraId="58DD1A97">
                    <w:pPr>
                      <w:pStyle w:val="30"/>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5A153">
    <w:pPr>
      <w:pStyle w:val="30"/>
      <w:framePr w:wrap="around" w:vAnchor="text" w:hAnchor="margin" w:xAlign="center" w:y="1"/>
      <w:rPr>
        <w:rStyle w:val="52"/>
      </w:rPr>
    </w:pPr>
    <w:r>
      <w:fldChar w:fldCharType="begin"/>
    </w:r>
    <w:r>
      <w:rPr>
        <w:rStyle w:val="52"/>
      </w:rPr>
      <w:instrText xml:space="preserve">PAGE  </w:instrText>
    </w:r>
    <w:r>
      <w:fldChar w:fldCharType="end"/>
    </w:r>
  </w:p>
  <w:p w14:paraId="52A34CB4">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9BE48">
    <w:pPr>
      <w:pStyle w:val="30"/>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DDC08">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75568">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1752E0"/>
    <w:multiLevelType w:val="singleLevel"/>
    <w:tmpl w:val="A61752E0"/>
    <w:lvl w:ilvl="0" w:tentative="0">
      <w:start w:val="2"/>
      <w:numFmt w:val="decimal"/>
      <w:suff w:val="nothing"/>
      <w:lvlText w:val="%1、"/>
      <w:lvlJc w:val="left"/>
    </w:lvl>
  </w:abstractNum>
  <w:abstractNum w:abstractNumId="1">
    <w:nsid w:val="F887826A"/>
    <w:multiLevelType w:val="singleLevel"/>
    <w:tmpl w:val="F887826A"/>
    <w:lvl w:ilvl="0" w:tentative="0">
      <w:start w:val="7"/>
      <w:numFmt w:val="decimal"/>
      <w:lvlText w:val="%1."/>
      <w:lvlJc w:val="left"/>
      <w:pPr>
        <w:tabs>
          <w:tab w:val="left" w:pos="312"/>
        </w:tabs>
      </w:pPr>
    </w:lvl>
  </w:abstractNum>
  <w:abstractNum w:abstractNumId="2">
    <w:nsid w:val="FFFFFF7E"/>
    <w:multiLevelType w:val="singleLevel"/>
    <w:tmpl w:val="FFFFFF7E"/>
    <w:lvl w:ilvl="0" w:tentative="0">
      <w:start w:val="1"/>
      <w:numFmt w:val="decimal"/>
      <w:pStyle w:val="20"/>
      <w:lvlText w:val="%1."/>
      <w:lvlJc w:val="left"/>
      <w:pPr>
        <w:tabs>
          <w:tab w:val="left" w:pos="1200"/>
        </w:tabs>
        <w:ind w:left="1200" w:hanging="360"/>
      </w:pPr>
    </w:lvl>
  </w:abstractNum>
  <w:abstractNum w:abstractNumId="3">
    <w:nsid w:val="17B812B3"/>
    <w:multiLevelType w:val="multilevel"/>
    <w:tmpl w:val="17B812B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5">
    <w:nsid w:val="4C601917"/>
    <w:multiLevelType w:val="singleLevel"/>
    <w:tmpl w:val="4C601917"/>
    <w:lvl w:ilvl="0" w:tentative="0">
      <w:start w:val="1"/>
      <w:numFmt w:val="decimal"/>
      <w:suff w:val="nothing"/>
      <w:lvlText w:val="（%1）"/>
      <w:lvlJc w:val="left"/>
      <w:pPr>
        <w:ind w:left="-2"/>
      </w:pPr>
    </w:lvl>
  </w:abstractNum>
  <w:abstractNum w:abstractNumId="6">
    <w:nsid w:val="5FABD14B"/>
    <w:multiLevelType w:val="singleLevel"/>
    <w:tmpl w:val="5FABD14B"/>
    <w:lvl w:ilvl="0" w:tentative="0">
      <w:start w:val="1"/>
      <w:numFmt w:val="decimal"/>
      <w:suff w:val="nothing"/>
      <w:lvlText w:val="（%1）"/>
      <w:lvlJc w:val="left"/>
    </w:lvl>
  </w:abstractNum>
  <w:num w:numId="1">
    <w:abstractNumId w:val="4"/>
  </w:num>
  <w:num w:numId="2">
    <w:abstractNumId w:val="2"/>
  </w:num>
  <w:num w:numId="3">
    <w:abstractNumId w:val="0"/>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xNTA3ZDkyNTZmZWMyZWI0ODczNTIyNGFlOGQ4ODAifQ=="/>
  </w:docVars>
  <w:rsids>
    <w:rsidRoot w:val="00DC118D"/>
    <w:rsid w:val="00003EC4"/>
    <w:rsid w:val="00005C06"/>
    <w:rsid w:val="000067EF"/>
    <w:rsid w:val="00006F6F"/>
    <w:rsid w:val="00007961"/>
    <w:rsid w:val="00007F0A"/>
    <w:rsid w:val="0001025B"/>
    <w:rsid w:val="000128EA"/>
    <w:rsid w:val="000148DD"/>
    <w:rsid w:val="0001511C"/>
    <w:rsid w:val="00015A12"/>
    <w:rsid w:val="0002206F"/>
    <w:rsid w:val="00023CD7"/>
    <w:rsid w:val="000303BC"/>
    <w:rsid w:val="00030D41"/>
    <w:rsid w:val="00031F2A"/>
    <w:rsid w:val="00037161"/>
    <w:rsid w:val="00037C33"/>
    <w:rsid w:val="00042382"/>
    <w:rsid w:val="00050420"/>
    <w:rsid w:val="0005304A"/>
    <w:rsid w:val="000577A3"/>
    <w:rsid w:val="00062A8E"/>
    <w:rsid w:val="000661DE"/>
    <w:rsid w:val="00066B4C"/>
    <w:rsid w:val="00070A5F"/>
    <w:rsid w:val="000724E0"/>
    <w:rsid w:val="00074FF7"/>
    <w:rsid w:val="000771A7"/>
    <w:rsid w:val="00081763"/>
    <w:rsid w:val="00081F0B"/>
    <w:rsid w:val="0008237F"/>
    <w:rsid w:val="00083CDE"/>
    <w:rsid w:val="00087794"/>
    <w:rsid w:val="00091D47"/>
    <w:rsid w:val="000938F3"/>
    <w:rsid w:val="00094956"/>
    <w:rsid w:val="00095039"/>
    <w:rsid w:val="00096434"/>
    <w:rsid w:val="00096738"/>
    <w:rsid w:val="000974AE"/>
    <w:rsid w:val="000A0750"/>
    <w:rsid w:val="000A4C01"/>
    <w:rsid w:val="000A591A"/>
    <w:rsid w:val="000B1EDC"/>
    <w:rsid w:val="000B3C6B"/>
    <w:rsid w:val="000B5DE3"/>
    <w:rsid w:val="000B6281"/>
    <w:rsid w:val="000B7DA4"/>
    <w:rsid w:val="000C186C"/>
    <w:rsid w:val="000C3FAA"/>
    <w:rsid w:val="000C7CE9"/>
    <w:rsid w:val="000D087D"/>
    <w:rsid w:val="000D0FB5"/>
    <w:rsid w:val="000D1D3C"/>
    <w:rsid w:val="000D25BD"/>
    <w:rsid w:val="000D4068"/>
    <w:rsid w:val="000D529A"/>
    <w:rsid w:val="000D56E5"/>
    <w:rsid w:val="000E2489"/>
    <w:rsid w:val="000E6105"/>
    <w:rsid w:val="000F290C"/>
    <w:rsid w:val="000F3901"/>
    <w:rsid w:val="000F71C3"/>
    <w:rsid w:val="000F78B9"/>
    <w:rsid w:val="00100286"/>
    <w:rsid w:val="001006A3"/>
    <w:rsid w:val="00100C61"/>
    <w:rsid w:val="00101756"/>
    <w:rsid w:val="001028EF"/>
    <w:rsid w:val="0011258B"/>
    <w:rsid w:val="00113D92"/>
    <w:rsid w:val="00120040"/>
    <w:rsid w:val="00120DAF"/>
    <w:rsid w:val="00124299"/>
    <w:rsid w:val="00131A42"/>
    <w:rsid w:val="00135F68"/>
    <w:rsid w:val="001363B8"/>
    <w:rsid w:val="00153B01"/>
    <w:rsid w:val="00154AE9"/>
    <w:rsid w:val="00157D68"/>
    <w:rsid w:val="001603C5"/>
    <w:rsid w:val="00165104"/>
    <w:rsid w:val="00166949"/>
    <w:rsid w:val="00167B70"/>
    <w:rsid w:val="00171CB1"/>
    <w:rsid w:val="00173D97"/>
    <w:rsid w:val="00175178"/>
    <w:rsid w:val="00175351"/>
    <w:rsid w:val="00175411"/>
    <w:rsid w:val="00177DF2"/>
    <w:rsid w:val="00180891"/>
    <w:rsid w:val="00183C9D"/>
    <w:rsid w:val="00184D2C"/>
    <w:rsid w:val="0019152B"/>
    <w:rsid w:val="0019159F"/>
    <w:rsid w:val="00192EC4"/>
    <w:rsid w:val="0019425C"/>
    <w:rsid w:val="001A3406"/>
    <w:rsid w:val="001B076A"/>
    <w:rsid w:val="001B4F41"/>
    <w:rsid w:val="001B51A1"/>
    <w:rsid w:val="001C0087"/>
    <w:rsid w:val="001C7A9C"/>
    <w:rsid w:val="001D17FB"/>
    <w:rsid w:val="001D4038"/>
    <w:rsid w:val="001D53D3"/>
    <w:rsid w:val="001E0B83"/>
    <w:rsid w:val="001E2AB1"/>
    <w:rsid w:val="001E3C2B"/>
    <w:rsid w:val="001E455A"/>
    <w:rsid w:val="001E53D3"/>
    <w:rsid w:val="001E5D75"/>
    <w:rsid w:val="001F0483"/>
    <w:rsid w:val="001F0EE7"/>
    <w:rsid w:val="001F0F08"/>
    <w:rsid w:val="001F2978"/>
    <w:rsid w:val="001F32EA"/>
    <w:rsid w:val="001F3783"/>
    <w:rsid w:val="001F4BBC"/>
    <w:rsid w:val="001F74A6"/>
    <w:rsid w:val="00206EED"/>
    <w:rsid w:val="002110F3"/>
    <w:rsid w:val="002117E0"/>
    <w:rsid w:val="00213C6C"/>
    <w:rsid w:val="00214407"/>
    <w:rsid w:val="00215FF8"/>
    <w:rsid w:val="0021607B"/>
    <w:rsid w:val="0021775E"/>
    <w:rsid w:val="00217C4D"/>
    <w:rsid w:val="00217DED"/>
    <w:rsid w:val="00221423"/>
    <w:rsid w:val="00221EDF"/>
    <w:rsid w:val="002267FF"/>
    <w:rsid w:val="00233F2F"/>
    <w:rsid w:val="0023734B"/>
    <w:rsid w:val="00242B83"/>
    <w:rsid w:val="00244ED7"/>
    <w:rsid w:val="00246397"/>
    <w:rsid w:val="00253746"/>
    <w:rsid w:val="002549FE"/>
    <w:rsid w:val="0025617D"/>
    <w:rsid w:val="00257F51"/>
    <w:rsid w:val="0026064F"/>
    <w:rsid w:val="00262543"/>
    <w:rsid w:val="00263C7E"/>
    <w:rsid w:val="00266CCA"/>
    <w:rsid w:val="002728D5"/>
    <w:rsid w:val="002772F8"/>
    <w:rsid w:val="00282812"/>
    <w:rsid w:val="00282FED"/>
    <w:rsid w:val="002836FF"/>
    <w:rsid w:val="0028474B"/>
    <w:rsid w:val="00284A0E"/>
    <w:rsid w:val="002855AC"/>
    <w:rsid w:val="00287B0E"/>
    <w:rsid w:val="00287D3F"/>
    <w:rsid w:val="00291723"/>
    <w:rsid w:val="002935BD"/>
    <w:rsid w:val="00293A5A"/>
    <w:rsid w:val="002B30E3"/>
    <w:rsid w:val="002C04B7"/>
    <w:rsid w:val="002C172E"/>
    <w:rsid w:val="002C1947"/>
    <w:rsid w:val="002C45B3"/>
    <w:rsid w:val="002D283A"/>
    <w:rsid w:val="002D2A88"/>
    <w:rsid w:val="002E5FB7"/>
    <w:rsid w:val="002F4372"/>
    <w:rsid w:val="002F43DF"/>
    <w:rsid w:val="002F5A80"/>
    <w:rsid w:val="00303749"/>
    <w:rsid w:val="00304FA3"/>
    <w:rsid w:val="00306B67"/>
    <w:rsid w:val="0031326E"/>
    <w:rsid w:val="00316A03"/>
    <w:rsid w:val="00317EA2"/>
    <w:rsid w:val="00323515"/>
    <w:rsid w:val="00324F04"/>
    <w:rsid w:val="00325B8A"/>
    <w:rsid w:val="00337A18"/>
    <w:rsid w:val="00340DF3"/>
    <w:rsid w:val="00343BD1"/>
    <w:rsid w:val="00343F00"/>
    <w:rsid w:val="003510B8"/>
    <w:rsid w:val="00351A8D"/>
    <w:rsid w:val="0035405D"/>
    <w:rsid w:val="0036425C"/>
    <w:rsid w:val="00375396"/>
    <w:rsid w:val="00380EE0"/>
    <w:rsid w:val="00393592"/>
    <w:rsid w:val="003A04C0"/>
    <w:rsid w:val="003A1F17"/>
    <w:rsid w:val="003A50EF"/>
    <w:rsid w:val="003B65D6"/>
    <w:rsid w:val="003D298E"/>
    <w:rsid w:val="003D69ED"/>
    <w:rsid w:val="003D7086"/>
    <w:rsid w:val="003E341B"/>
    <w:rsid w:val="003E4E22"/>
    <w:rsid w:val="003F13AF"/>
    <w:rsid w:val="003F4BFE"/>
    <w:rsid w:val="003F7D84"/>
    <w:rsid w:val="0040196C"/>
    <w:rsid w:val="00405C3D"/>
    <w:rsid w:val="0040752B"/>
    <w:rsid w:val="0041205F"/>
    <w:rsid w:val="00412FDC"/>
    <w:rsid w:val="004210B8"/>
    <w:rsid w:val="00421A85"/>
    <w:rsid w:val="00421C62"/>
    <w:rsid w:val="00423264"/>
    <w:rsid w:val="00424FED"/>
    <w:rsid w:val="004258DA"/>
    <w:rsid w:val="0042791F"/>
    <w:rsid w:val="004353FC"/>
    <w:rsid w:val="00435AF2"/>
    <w:rsid w:val="00440489"/>
    <w:rsid w:val="0044173B"/>
    <w:rsid w:val="00450B82"/>
    <w:rsid w:val="004562CA"/>
    <w:rsid w:val="0046375D"/>
    <w:rsid w:val="00464B18"/>
    <w:rsid w:val="00470718"/>
    <w:rsid w:val="0048191A"/>
    <w:rsid w:val="0048318B"/>
    <w:rsid w:val="0048562F"/>
    <w:rsid w:val="004867E6"/>
    <w:rsid w:val="0048718A"/>
    <w:rsid w:val="0049059E"/>
    <w:rsid w:val="00493DBB"/>
    <w:rsid w:val="00495512"/>
    <w:rsid w:val="00495BB6"/>
    <w:rsid w:val="004A157C"/>
    <w:rsid w:val="004A319E"/>
    <w:rsid w:val="004A3227"/>
    <w:rsid w:val="004A4941"/>
    <w:rsid w:val="004B1730"/>
    <w:rsid w:val="004B349F"/>
    <w:rsid w:val="004B3FBC"/>
    <w:rsid w:val="004B46A8"/>
    <w:rsid w:val="004B48C2"/>
    <w:rsid w:val="004B56C6"/>
    <w:rsid w:val="004B6C92"/>
    <w:rsid w:val="004C321A"/>
    <w:rsid w:val="004D0581"/>
    <w:rsid w:val="004D222E"/>
    <w:rsid w:val="004D25AA"/>
    <w:rsid w:val="004D620B"/>
    <w:rsid w:val="004E0306"/>
    <w:rsid w:val="004E15AC"/>
    <w:rsid w:val="004E1C0C"/>
    <w:rsid w:val="004E3710"/>
    <w:rsid w:val="004E3FB8"/>
    <w:rsid w:val="004E6F70"/>
    <w:rsid w:val="004F7367"/>
    <w:rsid w:val="0051034F"/>
    <w:rsid w:val="0051064B"/>
    <w:rsid w:val="005123F8"/>
    <w:rsid w:val="00515032"/>
    <w:rsid w:val="005164BE"/>
    <w:rsid w:val="00516ED9"/>
    <w:rsid w:val="00517DBD"/>
    <w:rsid w:val="00520940"/>
    <w:rsid w:val="005226DB"/>
    <w:rsid w:val="00522EFF"/>
    <w:rsid w:val="0052650B"/>
    <w:rsid w:val="00526A58"/>
    <w:rsid w:val="00534B70"/>
    <w:rsid w:val="00535594"/>
    <w:rsid w:val="00535F02"/>
    <w:rsid w:val="00535FCC"/>
    <w:rsid w:val="00541060"/>
    <w:rsid w:val="00544075"/>
    <w:rsid w:val="00546DEF"/>
    <w:rsid w:val="00556AC3"/>
    <w:rsid w:val="00556C61"/>
    <w:rsid w:val="00557267"/>
    <w:rsid w:val="00562994"/>
    <w:rsid w:val="0057172E"/>
    <w:rsid w:val="005720ED"/>
    <w:rsid w:val="00572D38"/>
    <w:rsid w:val="00572FBC"/>
    <w:rsid w:val="0057340E"/>
    <w:rsid w:val="00576584"/>
    <w:rsid w:val="00580EE7"/>
    <w:rsid w:val="00583F15"/>
    <w:rsid w:val="0058436B"/>
    <w:rsid w:val="0059107B"/>
    <w:rsid w:val="00595AC3"/>
    <w:rsid w:val="00596447"/>
    <w:rsid w:val="005A158F"/>
    <w:rsid w:val="005A1BC1"/>
    <w:rsid w:val="005A2D64"/>
    <w:rsid w:val="005B2198"/>
    <w:rsid w:val="005B2C4F"/>
    <w:rsid w:val="005B51CE"/>
    <w:rsid w:val="005B56C4"/>
    <w:rsid w:val="005C2701"/>
    <w:rsid w:val="005C5055"/>
    <w:rsid w:val="005C53E3"/>
    <w:rsid w:val="005D3558"/>
    <w:rsid w:val="005D5598"/>
    <w:rsid w:val="005D7A10"/>
    <w:rsid w:val="005E202A"/>
    <w:rsid w:val="005E48FA"/>
    <w:rsid w:val="005E4FB8"/>
    <w:rsid w:val="005F3651"/>
    <w:rsid w:val="005F42D2"/>
    <w:rsid w:val="005F6B5B"/>
    <w:rsid w:val="00602DF7"/>
    <w:rsid w:val="00604F21"/>
    <w:rsid w:val="00606089"/>
    <w:rsid w:val="0061291C"/>
    <w:rsid w:val="00614DE2"/>
    <w:rsid w:val="00616FAA"/>
    <w:rsid w:val="006220BC"/>
    <w:rsid w:val="00623361"/>
    <w:rsid w:val="006240A9"/>
    <w:rsid w:val="00633281"/>
    <w:rsid w:val="00634224"/>
    <w:rsid w:val="00636083"/>
    <w:rsid w:val="00636F66"/>
    <w:rsid w:val="00637EC1"/>
    <w:rsid w:val="00642D74"/>
    <w:rsid w:val="00642DC5"/>
    <w:rsid w:val="00642E67"/>
    <w:rsid w:val="006441FA"/>
    <w:rsid w:val="00644D4A"/>
    <w:rsid w:val="0064647B"/>
    <w:rsid w:val="00650EA9"/>
    <w:rsid w:val="006521E0"/>
    <w:rsid w:val="00653021"/>
    <w:rsid w:val="00653C30"/>
    <w:rsid w:val="00656020"/>
    <w:rsid w:val="00663532"/>
    <w:rsid w:val="006649A3"/>
    <w:rsid w:val="00674BE4"/>
    <w:rsid w:val="006752E8"/>
    <w:rsid w:val="0067656B"/>
    <w:rsid w:val="00680D5A"/>
    <w:rsid w:val="00682459"/>
    <w:rsid w:val="00687A83"/>
    <w:rsid w:val="0069076B"/>
    <w:rsid w:val="00693630"/>
    <w:rsid w:val="00697817"/>
    <w:rsid w:val="006A0483"/>
    <w:rsid w:val="006A12B6"/>
    <w:rsid w:val="006A3230"/>
    <w:rsid w:val="006A69C6"/>
    <w:rsid w:val="006B086A"/>
    <w:rsid w:val="006B391C"/>
    <w:rsid w:val="006B5AD0"/>
    <w:rsid w:val="006C271E"/>
    <w:rsid w:val="006C4238"/>
    <w:rsid w:val="006C608C"/>
    <w:rsid w:val="006C6DA2"/>
    <w:rsid w:val="006D22A0"/>
    <w:rsid w:val="006D33AE"/>
    <w:rsid w:val="006D5499"/>
    <w:rsid w:val="006D5944"/>
    <w:rsid w:val="006D5D79"/>
    <w:rsid w:val="006D5EB7"/>
    <w:rsid w:val="006E2E2A"/>
    <w:rsid w:val="006E3EA3"/>
    <w:rsid w:val="006F33AE"/>
    <w:rsid w:val="006F40BF"/>
    <w:rsid w:val="006F6DB9"/>
    <w:rsid w:val="00702A4D"/>
    <w:rsid w:val="0070401A"/>
    <w:rsid w:val="0071000A"/>
    <w:rsid w:val="00712F1B"/>
    <w:rsid w:val="00715947"/>
    <w:rsid w:val="00717332"/>
    <w:rsid w:val="0071771D"/>
    <w:rsid w:val="00721236"/>
    <w:rsid w:val="00726383"/>
    <w:rsid w:val="007304B1"/>
    <w:rsid w:val="00731752"/>
    <w:rsid w:val="00735B49"/>
    <w:rsid w:val="00740BFC"/>
    <w:rsid w:val="00742C3E"/>
    <w:rsid w:val="0074511F"/>
    <w:rsid w:val="00752B95"/>
    <w:rsid w:val="007546C6"/>
    <w:rsid w:val="0075471D"/>
    <w:rsid w:val="00754828"/>
    <w:rsid w:val="00760DD0"/>
    <w:rsid w:val="00762329"/>
    <w:rsid w:val="007652D5"/>
    <w:rsid w:val="007659E3"/>
    <w:rsid w:val="00765AA8"/>
    <w:rsid w:val="00765C1B"/>
    <w:rsid w:val="00772513"/>
    <w:rsid w:val="00772A94"/>
    <w:rsid w:val="007738D9"/>
    <w:rsid w:val="007755B6"/>
    <w:rsid w:val="00777DA9"/>
    <w:rsid w:val="007811A3"/>
    <w:rsid w:val="007826DF"/>
    <w:rsid w:val="00785392"/>
    <w:rsid w:val="00785699"/>
    <w:rsid w:val="007875E3"/>
    <w:rsid w:val="00790C54"/>
    <w:rsid w:val="00794632"/>
    <w:rsid w:val="0079615A"/>
    <w:rsid w:val="00796739"/>
    <w:rsid w:val="0079715C"/>
    <w:rsid w:val="007A0267"/>
    <w:rsid w:val="007A04E2"/>
    <w:rsid w:val="007A2A22"/>
    <w:rsid w:val="007C0CC0"/>
    <w:rsid w:val="007C1B91"/>
    <w:rsid w:val="007C5DA6"/>
    <w:rsid w:val="007C692B"/>
    <w:rsid w:val="007D20B4"/>
    <w:rsid w:val="007D2885"/>
    <w:rsid w:val="007D7FC4"/>
    <w:rsid w:val="007E6543"/>
    <w:rsid w:val="007F184A"/>
    <w:rsid w:val="007F5090"/>
    <w:rsid w:val="008014A0"/>
    <w:rsid w:val="00801C31"/>
    <w:rsid w:val="00801C6C"/>
    <w:rsid w:val="008031FE"/>
    <w:rsid w:val="00806CE6"/>
    <w:rsid w:val="00811653"/>
    <w:rsid w:val="00821C9D"/>
    <w:rsid w:val="00822E51"/>
    <w:rsid w:val="00823898"/>
    <w:rsid w:val="00832149"/>
    <w:rsid w:val="0083509F"/>
    <w:rsid w:val="00840C03"/>
    <w:rsid w:val="008501D7"/>
    <w:rsid w:val="00850713"/>
    <w:rsid w:val="00851ECE"/>
    <w:rsid w:val="008530D3"/>
    <w:rsid w:val="008536ED"/>
    <w:rsid w:val="0085556E"/>
    <w:rsid w:val="0085729B"/>
    <w:rsid w:val="008613F2"/>
    <w:rsid w:val="00861CB6"/>
    <w:rsid w:val="00862238"/>
    <w:rsid w:val="00866AFC"/>
    <w:rsid w:val="00870329"/>
    <w:rsid w:val="008722D1"/>
    <w:rsid w:val="0087318F"/>
    <w:rsid w:val="008735A1"/>
    <w:rsid w:val="008736F0"/>
    <w:rsid w:val="0087377E"/>
    <w:rsid w:val="008767BC"/>
    <w:rsid w:val="008773FA"/>
    <w:rsid w:val="00877EFF"/>
    <w:rsid w:val="008814F8"/>
    <w:rsid w:val="00882ADC"/>
    <w:rsid w:val="008869AF"/>
    <w:rsid w:val="0088731D"/>
    <w:rsid w:val="00890D55"/>
    <w:rsid w:val="008914C1"/>
    <w:rsid w:val="0089195F"/>
    <w:rsid w:val="008A23F4"/>
    <w:rsid w:val="008A299C"/>
    <w:rsid w:val="008A50F4"/>
    <w:rsid w:val="008B1DCC"/>
    <w:rsid w:val="008B240E"/>
    <w:rsid w:val="008B296A"/>
    <w:rsid w:val="008B5BB5"/>
    <w:rsid w:val="008C0C05"/>
    <w:rsid w:val="008C3972"/>
    <w:rsid w:val="008C7010"/>
    <w:rsid w:val="008C7A83"/>
    <w:rsid w:val="008D000D"/>
    <w:rsid w:val="008D218C"/>
    <w:rsid w:val="008D4CB3"/>
    <w:rsid w:val="008D5A78"/>
    <w:rsid w:val="008D5E98"/>
    <w:rsid w:val="008D65C6"/>
    <w:rsid w:val="008D7B57"/>
    <w:rsid w:val="008E01E7"/>
    <w:rsid w:val="008E5AD7"/>
    <w:rsid w:val="008E73B8"/>
    <w:rsid w:val="008F0641"/>
    <w:rsid w:val="008F3182"/>
    <w:rsid w:val="009005C0"/>
    <w:rsid w:val="00903B3A"/>
    <w:rsid w:val="0090478A"/>
    <w:rsid w:val="00905ABA"/>
    <w:rsid w:val="00906670"/>
    <w:rsid w:val="0091117E"/>
    <w:rsid w:val="00911416"/>
    <w:rsid w:val="009174A1"/>
    <w:rsid w:val="00921DB5"/>
    <w:rsid w:val="00926AE9"/>
    <w:rsid w:val="009271F0"/>
    <w:rsid w:val="00931789"/>
    <w:rsid w:val="00931E5A"/>
    <w:rsid w:val="00936BE5"/>
    <w:rsid w:val="00937C38"/>
    <w:rsid w:val="00940093"/>
    <w:rsid w:val="009450CE"/>
    <w:rsid w:val="0095605E"/>
    <w:rsid w:val="0096343C"/>
    <w:rsid w:val="009674BD"/>
    <w:rsid w:val="0097088B"/>
    <w:rsid w:val="00970AD4"/>
    <w:rsid w:val="009760ED"/>
    <w:rsid w:val="009771A3"/>
    <w:rsid w:val="00982BD8"/>
    <w:rsid w:val="009857F9"/>
    <w:rsid w:val="009A0518"/>
    <w:rsid w:val="009A24E4"/>
    <w:rsid w:val="009A64CA"/>
    <w:rsid w:val="009B0974"/>
    <w:rsid w:val="009B0B59"/>
    <w:rsid w:val="009B6B90"/>
    <w:rsid w:val="009C027A"/>
    <w:rsid w:val="009C128B"/>
    <w:rsid w:val="009C2D2B"/>
    <w:rsid w:val="009C2FCC"/>
    <w:rsid w:val="009C337D"/>
    <w:rsid w:val="009D2C81"/>
    <w:rsid w:val="009D35C0"/>
    <w:rsid w:val="009D52F1"/>
    <w:rsid w:val="009D53B0"/>
    <w:rsid w:val="009E4A42"/>
    <w:rsid w:val="009E4C00"/>
    <w:rsid w:val="009E4FE0"/>
    <w:rsid w:val="009F335B"/>
    <w:rsid w:val="009F6543"/>
    <w:rsid w:val="00A00C6D"/>
    <w:rsid w:val="00A028BF"/>
    <w:rsid w:val="00A02EAD"/>
    <w:rsid w:val="00A02EC8"/>
    <w:rsid w:val="00A05A08"/>
    <w:rsid w:val="00A0617A"/>
    <w:rsid w:val="00A1179D"/>
    <w:rsid w:val="00A12C5F"/>
    <w:rsid w:val="00A13A8B"/>
    <w:rsid w:val="00A13B4A"/>
    <w:rsid w:val="00A1700D"/>
    <w:rsid w:val="00A17440"/>
    <w:rsid w:val="00A205FF"/>
    <w:rsid w:val="00A207BB"/>
    <w:rsid w:val="00A20AE0"/>
    <w:rsid w:val="00A21EA8"/>
    <w:rsid w:val="00A2294A"/>
    <w:rsid w:val="00A23F0C"/>
    <w:rsid w:val="00A30878"/>
    <w:rsid w:val="00A310AA"/>
    <w:rsid w:val="00A366F9"/>
    <w:rsid w:val="00A3702F"/>
    <w:rsid w:val="00A3769C"/>
    <w:rsid w:val="00A40951"/>
    <w:rsid w:val="00A40B4A"/>
    <w:rsid w:val="00A41DC4"/>
    <w:rsid w:val="00A461D5"/>
    <w:rsid w:val="00A466A9"/>
    <w:rsid w:val="00A479AE"/>
    <w:rsid w:val="00A5172B"/>
    <w:rsid w:val="00A52ED1"/>
    <w:rsid w:val="00A56D39"/>
    <w:rsid w:val="00A60B1C"/>
    <w:rsid w:val="00A60FB0"/>
    <w:rsid w:val="00A650A4"/>
    <w:rsid w:val="00A65857"/>
    <w:rsid w:val="00A71FAB"/>
    <w:rsid w:val="00A736E5"/>
    <w:rsid w:val="00A75810"/>
    <w:rsid w:val="00A77082"/>
    <w:rsid w:val="00A77DD2"/>
    <w:rsid w:val="00A801A7"/>
    <w:rsid w:val="00A8110B"/>
    <w:rsid w:val="00A81DA2"/>
    <w:rsid w:val="00A83053"/>
    <w:rsid w:val="00A84A21"/>
    <w:rsid w:val="00A86502"/>
    <w:rsid w:val="00A86519"/>
    <w:rsid w:val="00A86EA5"/>
    <w:rsid w:val="00A903D8"/>
    <w:rsid w:val="00A90790"/>
    <w:rsid w:val="00A91A7B"/>
    <w:rsid w:val="00A92E1F"/>
    <w:rsid w:val="00A94458"/>
    <w:rsid w:val="00A949A1"/>
    <w:rsid w:val="00AA0EC7"/>
    <w:rsid w:val="00AA14BA"/>
    <w:rsid w:val="00AA1827"/>
    <w:rsid w:val="00AA1C91"/>
    <w:rsid w:val="00AA4B39"/>
    <w:rsid w:val="00AA6CF0"/>
    <w:rsid w:val="00AB0805"/>
    <w:rsid w:val="00AB331C"/>
    <w:rsid w:val="00AB5101"/>
    <w:rsid w:val="00AB5DD3"/>
    <w:rsid w:val="00AC00F5"/>
    <w:rsid w:val="00AC15E5"/>
    <w:rsid w:val="00AC4A75"/>
    <w:rsid w:val="00AC6AB4"/>
    <w:rsid w:val="00AD02EB"/>
    <w:rsid w:val="00AD3741"/>
    <w:rsid w:val="00AD4504"/>
    <w:rsid w:val="00AD6A65"/>
    <w:rsid w:val="00AF119C"/>
    <w:rsid w:val="00AF50B0"/>
    <w:rsid w:val="00B01BF5"/>
    <w:rsid w:val="00B02BF9"/>
    <w:rsid w:val="00B03FC5"/>
    <w:rsid w:val="00B07819"/>
    <w:rsid w:val="00B10F05"/>
    <w:rsid w:val="00B119B6"/>
    <w:rsid w:val="00B15DEC"/>
    <w:rsid w:val="00B17F0C"/>
    <w:rsid w:val="00B245DB"/>
    <w:rsid w:val="00B260FC"/>
    <w:rsid w:val="00B27A85"/>
    <w:rsid w:val="00B30AAB"/>
    <w:rsid w:val="00B31E07"/>
    <w:rsid w:val="00B33457"/>
    <w:rsid w:val="00B34BCE"/>
    <w:rsid w:val="00B40709"/>
    <w:rsid w:val="00B420D6"/>
    <w:rsid w:val="00B426A6"/>
    <w:rsid w:val="00B42F05"/>
    <w:rsid w:val="00B45CA9"/>
    <w:rsid w:val="00B4676C"/>
    <w:rsid w:val="00B46D05"/>
    <w:rsid w:val="00B4791B"/>
    <w:rsid w:val="00B50EDF"/>
    <w:rsid w:val="00B55E74"/>
    <w:rsid w:val="00B57338"/>
    <w:rsid w:val="00B629E8"/>
    <w:rsid w:val="00B71184"/>
    <w:rsid w:val="00B74408"/>
    <w:rsid w:val="00B80D0C"/>
    <w:rsid w:val="00B81884"/>
    <w:rsid w:val="00B868C5"/>
    <w:rsid w:val="00B91F27"/>
    <w:rsid w:val="00B93CD6"/>
    <w:rsid w:val="00B951DA"/>
    <w:rsid w:val="00B9642D"/>
    <w:rsid w:val="00BA2074"/>
    <w:rsid w:val="00BB0A7B"/>
    <w:rsid w:val="00BC3358"/>
    <w:rsid w:val="00BC39DC"/>
    <w:rsid w:val="00BC5121"/>
    <w:rsid w:val="00BC5B8A"/>
    <w:rsid w:val="00BC663C"/>
    <w:rsid w:val="00BC69F5"/>
    <w:rsid w:val="00BC701C"/>
    <w:rsid w:val="00BD15FE"/>
    <w:rsid w:val="00BD2586"/>
    <w:rsid w:val="00BD51B1"/>
    <w:rsid w:val="00BE36B5"/>
    <w:rsid w:val="00BE7E7C"/>
    <w:rsid w:val="00C11256"/>
    <w:rsid w:val="00C156BB"/>
    <w:rsid w:val="00C203FA"/>
    <w:rsid w:val="00C21E67"/>
    <w:rsid w:val="00C226F4"/>
    <w:rsid w:val="00C23281"/>
    <w:rsid w:val="00C254C2"/>
    <w:rsid w:val="00C26276"/>
    <w:rsid w:val="00C33431"/>
    <w:rsid w:val="00C36322"/>
    <w:rsid w:val="00C42101"/>
    <w:rsid w:val="00C4533A"/>
    <w:rsid w:val="00C50215"/>
    <w:rsid w:val="00C53B4A"/>
    <w:rsid w:val="00C54D64"/>
    <w:rsid w:val="00C55B73"/>
    <w:rsid w:val="00C70480"/>
    <w:rsid w:val="00C71E2F"/>
    <w:rsid w:val="00C73C2E"/>
    <w:rsid w:val="00C74AE2"/>
    <w:rsid w:val="00C82956"/>
    <w:rsid w:val="00C83249"/>
    <w:rsid w:val="00C96BFC"/>
    <w:rsid w:val="00CB0476"/>
    <w:rsid w:val="00CC0539"/>
    <w:rsid w:val="00CC63AB"/>
    <w:rsid w:val="00CC6DFC"/>
    <w:rsid w:val="00CD0B3B"/>
    <w:rsid w:val="00CD1548"/>
    <w:rsid w:val="00CD33BF"/>
    <w:rsid w:val="00CD3DA3"/>
    <w:rsid w:val="00CD4DAA"/>
    <w:rsid w:val="00CD5B0F"/>
    <w:rsid w:val="00CD7525"/>
    <w:rsid w:val="00CE006B"/>
    <w:rsid w:val="00CE19E0"/>
    <w:rsid w:val="00CE5CAE"/>
    <w:rsid w:val="00CF28CC"/>
    <w:rsid w:val="00CF70CE"/>
    <w:rsid w:val="00CF75DD"/>
    <w:rsid w:val="00CF7F4E"/>
    <w:rsid w:val="00D019C2"/>
    <w:rsid w:val="00D02BF2"/>
    <w:rsid w:val="00D02DA4"/>
    <w:rsid w:val="00D0494D"/>
    <w:rsid w:val="00D058FB"/>
    <w:rsid w:val="00D06768"/>
    <w:rsid w:val="00D12B65"/>
    <w:rsid w:val="00D133A2"/>
    <w:rsid w:val="00D13E2D"/>
    <w:rsid w:val="00D14345"/>
    <w:rsid w:val="00D159CF"/>
    <w:rsid w:val="00D2351C"/>
    <w:rsid w:val="00D25118"/>
    <w:rsid w:val="00D25533"/>
    <w:rsid w:val="00D2662C"/>
    <w:rsid w:val="00D266C1"/>
    <w:rsid w:val="00D3183F"/>
    <w:rsid w:val="00D34E1A"/>
    <w:rsid w:val="00D35697"/>
    <w:rsid w:val="00D35D7C"/>
    <w:rsid w:val="00D400F0"/>
    <w:rsid w:val="00D40BAF"/>
    <w:rsid w:val="00D431F6"/>
    <w:rsid w:val="00D451DB"/>
    <w:rsid w:val="00D60293"/>
    <w:rsid w:val="00D66E1A"/>
    <w:rsid w:val="00D7173F"/>
    <w:rsid w:val="00D71A2F"/>
    <w:rsid w:val="00D736AB"/>
    <w:rsid w:val="00D73FAF"/>
    <w:rsid w:val="00D76CEE"/>
    <w:rsid w:val="00D77253"/>
    <w:rsid w:val="00D8122E"/>
    <w:rsid w:val="00D81CED"/>
    <w:rsid w:val="00D849F4"/>
    <w:rsid w:val="00D85A23"/>
    <w:rsid w:val="00D85FBB"/>
    <w:rsid w:val="00D860E5"/>
    <w:rsid w:val="00D86DC0"/>
    <w:rsid w:val="00D900A3"/>
    <w:rsid w:val="00D906F1"/>
    <w:rsid w:val="00D90DB2"/>
    <w:rsid w:val="00D93732"/>
    <w:rsid w:val="00D946F2"/>
    <w:rsid w:val="00D9632F"/>
    <w:rsid w:val="00D9671A"/>
    <w:rsid w:val="00DA02FB"/>
    <w:rsid w:val="00DA4208"/>
    <w:rsid w:val="00DA7058"/>
    <w:rsid w:val="00DA7802"/>
    <w:rsid w:val="00DB0881"/>
    <w:rsid w:val="00DB1FB9"/>
    <w:rsid w:val="00DB24AB"/>
    <w:rsid w:val="00DB5522"/>
    <w:rsid w:val="00DC118D"/>
    <w:rsid w:val="00DC1AA2"/>
    <w:rsid w:val="00DC2478"/>
    <w:rsid w:val="00DC36E2"/>
    <w:rsid w:val="00DC5EB9"/>
    <w:rsid w:val="00DC729D"/>
    <w:rsid w:val="00DD67BF"/>
    <w:rsid w:val="00DE3F87"/>
    <w:rsid w:val="00DE5D71"/>
    <w:rsid w:val="00DF1106"/>
    <w:rsid w:val="00DF6D77"/>
    <w:rsid w:val="00E02620"/>
    <w:rsid w:val="00E02FB6"/>
    <w:rsid w:val="00E04711"/>
    <w:rsid w:val="00E12F6D"/>
    <w:rsid w:val="00E13800"/>
    <w:rsid w:val="00E148E3"/>
    <w:rsid w:val="00E14B19"/>
    <w:rsid w:val="00E15F72"/>
    <w:rsid w:val="00E160E9"/>
    <w:rsid w:val="00E211BC"/>
    <w:rsid w:val="00E22039"/>
    <w:rsid w:val="00E265D2"/>
    <w:rsid w:val="00E27A8C"/>
    <w:rsid w:val="00E27B54"/>
    <w:rsid w:val="00E3421A"/>
    <w:rsid w:val="00E355A0"/>
    <w:rsid w:val="00E35890"/>
    <w:rsid w:val="00E35A02"/>
    <w:rsid w:val="00E371C2"/>
    <w:rsid w:val="00E371FE"/>
    <w:rsid w:val="00E3780E"/>
    <w:rsid w:val="00E46568"/>
    <w:rsid w:val="00E466C0"/>
    <w:rsid w:val="00E4677C"/>
    <w:rsid w:val="00E47854"/>
    <w:rsid w:val="00E50482"/>
    <w:rsid w:val="00E52FFC"/>
    <w:rsid w:val="00E54498"/>
    <w:rsid w:val="00E55DD5"/>
    <w:rsid w:val="00E56B5B"/>
    <w:rsid w:val="00E6087C"/>
    <w:rsid w:val="00E64B68"/>
    <w:rsid w:val="00E71105"/>
    <w:rsid w:val="00E718EB"/>
    <w:rsid w:val="00E7353B"/>
    <w:rsid w:val="00E73955"/>
    <w:rsid w:val="00E74F12"/>
    <w:rsid w:val="00E775CB"/>
    <w:rsid w:val="00E776EC"/>
    <w:rsid w:val="00E81925"/>
    <w:rsid w:val="00E8214E"/>
    <w:rsid w:val="00E822C7"/>
    <w:rsid w:val="00E829E6"/>
    <w:rsid w:val="00E82DBE"/>
    <w:rsid w:val="00E84DCF"/>
    <w:rsid w:val="00E8525A"/>
    <w:rsid w:val="00E862E4"/>
    <w:rsid w:val="00E906B7"/>
    <w:rsid w:val="00E9139F"/>
    <w:rsid w:val="00E91BE3"/>
    <w:rsid w:val="00E95390"/>
    <w:rsid w:val="00EA23D3"/>
    <w:rsid w:val="00EA6ECA"/>
    <w:rsid w:val="00EB2C79"/>
    <w:rsid w:val="00EB6991"/>
    <w:rsid w:val="00EB7FF2"/>
    <w:rsid w:val="00EC1AFB"/>
    <w:rsid w:val="00EC39F2"/>
    <w:rsid w:val="00EC4CE7"/>
    <w:rsid w:val="00ED2897"/>
    <w:rsid w:val="00ED2D3C"/>
    <w:rsid w:val="00EE3B0D"/>
    <w:rsid w:val="00EE7338"/>
    <w:rsid w:val="00EF0E55"/>
    <w:rsid w:val="00EF4637"/>
    <w:rsid w:val="00F00359"/>
    <w:rsid w:val="00F0112A"/>
    <w:rsid w:val="00F01A5F"/>
    <w:rsid w:val="00F04652"/>
    <w:rsid w:val="00F15DFD"/>
    <w:rsid w:val="00F16A6D"/>
    <w:rsid w:val="00F177E9"/>
    <w:rsid w:val="00F21E86"/>
    <w:rsid w:val="00F2256E"/>
    <w:rsid w:val="00F2314E"/>
    <w:rsid w:val="00F24E02"/>
    <w:rsid w:val="00F25A3F"/>
    <w:rsid w:val="00F25C32"/>
    <w:rsid w:val="00F261E3"/>
    <w:rsid w:val="00F35C56"/>
    <w:rsid w:val="00F37DB2"/>
    <w:rsid w:val="00F41AFB"/>
    <w:rsid w:val="00F441CE"/>
    <w:rsid w:val="00F44B35"/>
    <w:rsid w:val="00F44BE2"/>
    <w:rsid w:val="00F452AA"/>
    <w:rsid w:val="00F5049B"/>
    <w:rsid w:val="00F50E7D"/>
    <w:rsid w:val="00F54135"/>
    <w:rsid w:val="00F54A50"/>
    <w:rsid w:val="00F5616D"/>
    <w:rsid w:val="00F62519"/>
    <w:rsid w:val="00F64D4D"/>
    <w:rsid w:val="00F67C07"/>
    <w:rsid w:val="00F705B3"/>
    <w:rsid w:val="00F728E0"/>
    <w:rsid w:val="00F745E5"/>
    <w:rsid w:val="00F75F01"/>
    <w:rsid w:val="00F76906"/>
    <w:rsid w:val="00F7694C"/>
    <w:rsid w:val="00F8251D"/>
    <w:rsid w:val="00F83625"/>
    <w:rsid w:val="00F85232"/>
    <w:rsid w:val="00F85FDE"/>
    <w:rsid w:val="00F872D3"/>
    <w:rsid w:val="00F94124"/>
    <w:rsid w:val="00F966C2"/>
    <w:rsid w:val="00FA0D6D"/>
    <w:rsid w:val="00FA0ED0"/>
    <w:rsid w:val="00FB66DE"/>
    <w:rsid w:val="00FC0358"/>
    <w:rsid w:val="00FC28AF"/>
    <w:rsid w:val="00FC77CD"/>
    <w:rsid w:val="00FD62C4"/>
    <w:rsid w:val="00FE0858"/>
    <w:rsid w:val="00FE22B3"/>
    <w:rsid w:val="00FE50F7"/>
    <w:rsid w:val="00FE69DB"/>
    <w:rsid w:val="00FF3F22"/>
    <w:rsid w:val="01056931"/>
    <w:rsid w:val="013C06BC"/>
    <w:rsid w:val="01446392"/>
    <w:rsid w:val="01763BE0"/>
    <w:rsid w:val="018E53BB"/>
    <w:rsid w:val="019B5745"/>
    <w:rsid w:val="019D73AC"/>
    <w:rsid w:val="01CC1A40"/>
    <w:rsid w:val="01D152A8"/>
    <w:rsid w:val="01D3701D"/>
    <w:rsid w:val="020C6921"/>
    <w:rsid w:val="021A6D05"/>
    <w:rsid w:val="021D04ED"/>
    <w:rsid w:val="0235210E"/>
    <w:rsid w:val="024A6C57"/>
    <w:rsid w:val="0254033B"/>
    <w:rsid w:val="02DE7C7D"/>
    <w:rsid w:val="02E42DB9"/>
    <w:rsid w:val="03165668"/>
    <w:rsid w:val="0321400D"/>
    <w:rsid w:val="032B765D"/>
    <w:rsid w:val="034321D6"/>
    <w:rsid w:val="034F3D21"/>
    <w:rsid w:val="03730F74"/>
    <w:rsid w:val="03824AAC"/>
    <w:rsid w:val="039539C1"/>
    <w:rsid w:val="03A7568E"/>
    <w:rsid w:val="03E312C3"/>
    <w:rsid w:val="0400181C"/>
    <w:rsid w:val="04321F07"/>
    <w:rsid w:val="045F6B9B"/>
    <w:rsid w:val="04871DE8"/>
    <w:rsid w:val="049627E2"/>
    <w:rsid w:val="04973A37"/>
    <w:rsid w:val="04A22F2C"/>
    <w:rsid w:val="04D1736D"/>
    <w:rsid w:val="04D17DA5"/>
    <w:rsid w:val="05047743"/>
    <w:rsid w:val="050857DF"/>
    <w:rsid w:val="050A3DF0"/>
    <w:rsid w:val="051060E7"/>
    <w:rsid w:val="051A6F66"/>
    <w:rsid w:val="05610C3D"/>
    <w:rsid w:val="05A0746B"/>
    <w:rsid w:val="05A707CD"/>
    <w:rsid w:val="05BC60E5"/>
    <w:rsid w:val="05C573F1"/>
    <w:rsid w:val="05DB77AB"/>
    <w:rsid w:val="05E80E12"/>
    <w:rsid w:val="06045C92"/>
    <w:rsid w:val="06224324"/>
    <w:rsid w:val="0624329A"/>
    <w:rsid w:val="062F07EF"/>
    <w:rsid w:val="063302DF"/>
    <w:rsid w:val="06344057"/>
    <w:rsid w:val="067D59FE"/>
    <w:rsid w:val="0680104B"/>
    <w:rsid w:val="06852E59"/>
    <w:rsid w:val="06BD5DFB"/>
    <w:rsid w:val="06D804E7"/>
    <w:rsid w:val="06DD6751"/>
    <w:rsid w:val="06F51A39"/>
    <w:rsid w:val="071917FB"/>
    <w:rsid w:val="076530A1"/>
    <w:rsid w:val="079B059E"/>
    <w:rsid w:val="079C1EB4"/>
    <w:rsid w:val="07CC09EB"/>
    <w:rsid w:val="07D94EB6"/>
    <w:rsid w:val="07E979D3"/>
    <w:rsid w:val="07ED022E"/>
    <w:rsid w:val="08095664"/>
    <w:rsid w:val="08470072"/>
    <w:rsid w:val="08A2799E"/>
    <w:rsid w:val="08BA6A96"/>
    <w:rsid w:val="08CE2541"/>
    <w:rsid w:val="08D12032"/>
    <w:rsid w:val="08FF26FB"/>
    <w:rsid w:val="09082B79"/>
    <w:rsid w:val="090D2CD0"/>
    <w:rsid w:val="091202E2"/>
    <w:rsid w:val="092B7994"/>
    <w:rsid w:val="093C7535"/>
    <w:rsid w:val="09502C7A"/>
    <w:rsid w:val="09644C54"/>
    <w:rsid w:val="09AF2373"/>
    <w:rsid w:val="09DF6362"/>
    <w:rsid w:val="09F9091A"/>
    <w:rsid w:val="0A0A1357"/>
    <w:rsid w:val="0A5413B2"/>
    <w:rsid w:val="0A6B2C15"/>
    <w:rsid w:val="0A9926DB"/>
    <w:rsid w:val="0AAA45F5"/>
    <w:rsid w:val="0ACE4D85"/>
    <w:rsid w:val="0AD361B4"/>
    <w:rsid w:val="0AD8682D"/>
    <w:rsid w:val="0AE06688"/>
    <w:rsid w:val="0B4D5DA6"/>
    <w:rsid w:val="0B5C1719"/>
    <w:rsid w:val="0B786794"/>
    <w:rsid w:val="0B9E754D"/>
    <w:rsid w:val="0BAD53FC"/>
    <w:rsid w:val="0BBD42C7"/>
    <w:rsid w:val="0BF108EC"/>
    <w:rsid w:val="0C0A65C7"/>
    <w:rsid w:val="0C191D25"/>
    <w:rsid w:val="0C2D57D1"/>
    <w:rsid w:val="0C394176"/>
    <w:rsid w:val="0C4274CE"/>
    <w:rsid w:val="0C637445"/>
    <w:rsid w:val="0C654B67"/>
    <w:rsid w:val="0CAE6912"/>
    <w:rsid w:val="0CCD7881"/>
    <w:rsid w:val="0D29243C"/>
    <w:rsid w:val="0D2D70DC"/>
    <w:rsid w:val="0D2E700C"/>
    <w:rsid w:val="0D3B3F1D"/>
    <w:rsid w:val="0D6945E7"/>
    <w:rsid w:val="0D9E40A6"/>
    <w:rsid w:val="0DBA00BE"/>
    <w:rsid w:val="0DC21D39"/>
    <w:rsid w:val="0DC47816"/>
    <w:rsid w:val="0DC70935"/>
    <w:rsid w:val="0DE95727"/>
    <w:rsid w:val="0DF5231E"/>
    <w:rsid w:val="0E0047EE"/>
    <w:rsid w:val="0E6F3C6F"/>
    <w:rsid w:val="0E9F6C34"/>
    <w:rsid w:val="0EBB6348"/>
    <w:rsid w:val="0EDB32C2"/>
    <w:rsid w:val="0EE1140A"/>
    <w:rsid w:val="0F0767AD"/>
    <w:rsid w:val="0F101F13"/>
    <w:rsid w:val="0F1F58A5"/>
    <w:rsid w:val="0F38100B"/>
    <w:rsid w:val="0F403A6D"/>
    <w:rsid w:val="0F5642C7"/>
    <w:rsid w:val="0F672DA8"/>
    <w:rsid w:val="0F7A57B1"/>
    <w:rsid w:val="0F8B118C"/>
    <w:rsid w:val="0F8C0A60"/>
    <w:rsid w:val="0F8E1BFB"/>
    <w:rsid w:val="0FA364D6"/>
    <w:rsid w:val="0FB0474F"/>
    <w:rsid w:val="0FC621C4"/>
    <w:rsid w:val="0FEE34C9"/>
    <w:rsid w:val="100920B1"/>
    <w:rsid w:val="101822F4"/>
    <w:rsid w:val="109C3BA5"/>
    <w:rsid w:val="10A03D05"/>
    <w:rsid w:val="10A36062"/>
    <w:rsid w:val="10AA73F0"/>
    <w:rsid w:val="10C04E65"/>
    <w:rsid w:val="10C81F6C"/>
    <w:rsid w:val="10E435AF"/>
    <w:rsid w:val="10E741A0"/>
    <w:rsid w:val="10EE1DD4"/>
    <w:rsid w:val="10F1501F"/>
    <w:rsid w:val="10F44B0F"/>
    <w:rsid w:val="11074842"/>
    <w:rsid w:val="11130997"/>
    <w:rsid w:val="112A581B"/>
    <w:rsid w:val="112E79F5"/>
    <w:rsid w:val="11301FEB"/>
    <w:rsid w:val="11592BC4"/>
    <w:rsid w:val="11603F53"/>
    <w:rsid w:val="117143B2"/>
    <w:rsid w:val="1182442A"/>
    <w:rsid w:val="119D6F55"/>
    <w:rsid w:val="11B04EDA"/>
    <w:rsid w:val="11B45853"/>
    <w:rsid w:val="11D3348B"/>
    <w:rsid w:val="12011A2D"/>
    <w:rsid w:val="12080923"/>
    <w:rsid w:val="120C7C36"/>
    <w:rsid w:val="1213766E"/>
    <w:rsid w:val="12492E52"/>
    <w:rsid w:val="12693806"/>
    <w:rsid w:val="12957C2C"/>
    <w:rsid w:val="12B207DE"/>
    <w:rsid w:val="12C61FDA"/>
    <w:rsid w:val="12E54A13"/>
    <w:rsid w:val="131B45D5"/>
    <w:rsid w:val="13545AC0"/>
    <w:rsid w:val="139E2979"/>
    <w:rsid w:val="13C133A7"/>
    <w:rsid w:val="13DC57A5"/>
    <w:rsid w:val="13E63808"/>
    <w:rsid w:val="14045069"/>
    <w:rsid w:val="141554C8"/>
    <w:rsid w:val="141D25CF"/>
    <w:rsid w:val="142439F7"/>
    <w:rsid w:val="144051E2"/>
    <w:rsid w:val="146B0F01"/>
    <w:rsid w:val="14A405FA"/>
    <w:rsid w:val="14BA1BCC"/>
    <w:rsid w:val="14D26F15"/>
    <w:rsid w:val="14F96B98"/>
    <w:rsid w:val="150371C0"/>
    <w:rsid w:val="15336528"/>
    <w:rsid w:val="15415E49"/>
    <w:rsid w:val="155D1345"/>
    <w:rsid w:val="15647C4C"/>
    <w:rsid w:val="15746899"/>
    <w:rsid w:val="15793835"/>
    <w:rsid w:val="1597660A"/>
    <w:rsid w:val="15B42ABF"/>
    <w:rsid w:val="15BC3411"/>
    <w:rsid w:val="16116019"/>
    <w:rsid w:val="1663076D"/>
    <w:rsid w:val="16807876"/>
    <w:rsid w:val="16983ABF"/>
    <w:rsid w:val="16D80CB0"/>
    <w:rsid w:val="172B0B5F"/>
    <w:rsid w:val="173D7AB9"/>
    <w:rsid w:val="1751790F"/>
    <w:rsid w:val="17604B01"/>
    <w:rsid w:val="176C3651"/>
    <w:rsid w:val="17793FC0"/>
    <w:rsid w:val="177A2EF0"/>
    <w:rsid w:val="17AF3EE5"/>
    <w:rsid w:val="17BC06F1"/>
    <w:rsid w:val="17BC3B5B"/>
    <w:rsid w:val="17C1306F"/>
    <w:rsid w:val="17C30C21"/>
    <w:rsid w:val="1824217E"/>
    <w:rsid w:val="183A374F"/>
    <w:rsid w:val="18433AC1"/>
    <w:rsid w:val="18553D10"/>
    <w:rsid w:val="185925F3"/>
    <w:rsid w:val="187C3D68"/>
    <w:rsid w:val="1890511D"/>
    <w:rsid w:val="18975246"/>
    <w:rsid w:val="18D314AE"/>
    <w:rsid w:val="18D53478"/>
    <w:rsid w:val="18D55226"/>
    <w:rsid w:val="18E21401"/>
    <w:rsid w:val="18F02060"/>
    <w:rsid w:val="19151AC7"/>
    <w:rsid w:val="19232435"/>
    <w:rsid w:val="19616ABA"/>
    <w:rsid w:val="19763D08"/>
    <w:rsid w:val="19AF3CC9"/>
    <w:rsid w:val="19B04F0E"/>
    <w:rsid w:val="19B67973"/>
    <w:rsid w:val="19D50F1F"/>
    <w:rsid w:val="19D84FCE"/>
    <w:rsid w:val="1A09162B"/>
    <w:rsid w:val="1A0C0677"/>
    <w:rsid w:val="1A197394"/>
    <w:rsid w:val="1A1E58C0"/>
    <w:rsid w:val="1A295829"/>
    <w:rsid w:val="1A3366A8"/>
    <w:rsid w:val="1A4245C3"/>
    <w:rsid w:val="1A446950"/>
    <w:rsid w:val="1A564145"/>
    <w:rsid w:val="1A5D3725"/>
    <w:rsid w:val="1A704049"/>
    <w:rsid w:val="1A836B12"/>
    <w:rsid w:val="1A8707A2"/>
    <w:rsid w:val="1A8D53BC"/>
    <w:rsid w:val="1A903AFB"/>
    <w:rsid w:val="1AA834A5"/>
    <w:rsid w:val="1AB64BE3"/>
    <w:rsid w:val="1AB93C94"/>
    <w:rsid w:val="1AE536E9"/>
    <w:rsid w:val="1B363FB3"/>
    <w:rsid w:val="1B3A6D8D"/>
    <w:rsid w:val="1B490381"/>
    <w:rsid w:val="1B634D6B"/>
    <w:rsid w:val="1B6B1B3D"/>
    <w:rsid w:val="1B996517"/>
    <w:rsid w:val="1BC671C3"/>
    <w:rsid w:val="1BD46DDD"/>
    <w:rsid w:val="1BD84A5D"/>
    <w:rsid w:val="1BEC6B0F"/>
    <w:rsid w:val="1C202C5C"/>
    <w:rsid w:val="1C654B13"/>
    <w:rsid w:val="1C8036FB"/>
    <w:rsid w:val="1C810F0D"/>
    <w:rsid w:val="1CA16954"/>
    <w:rsid w:val="1CA92C52"/>
    <w:rsid w:val="1CEE4B08"/>
    <w:rsid w:val="1D0460DA"/>
    <w:rsid w:val="1D1F04FD"/>
    <w:rsid w:val="1D350989"/>
    <w:rsid w:val="1D3C3AC6"/>
    <w:rsid w:val="1D5424EE"/>
    <w:rsid w:val="1D5B2352"/>
    <w:rsid w:val="1D6B6159"/>
    <w:rsid w:val="1D7274E7"/>
    <w:rsid w:val="1D82221C"/>
    <w:rsid w:val="1D9E652E"/>
    <w:rsid w:val="1DAB7ABB"/>
    <w:rsid w:val="1DB47E68"/>
    <w:rsid w:val="1DC85359"/>
    <w:rsid w:val="1DD71A40"/>
    <w:rsid w:val="1DFC553C"/>
    <w:rsid w:val="1E011917"/>
    <w:rsid w:val="1E161F2C"/>
    <w:rsid w:val="1E181AED"/>
    <w:rsid w:val="1E206812"/>
    <w:rsid w:val="1E310498"/>
    <w:rsid w:val="1E480DAA"/>
    <w:rsid w:val="1E4A3FC0"/>
    <w:rsid w:val="1E754EC4"/>
    <w:rsid w:val="1EBC2ABE"/>
    <w:rsid w:val="1F073C5F"/>
    <w:rsid w:val="1F130856"/>
    <w:rsid w:val="1F2E743E"/>
    <w:rsid w:val="1F351A54"/>
    <w:rsid w:val="1F5F1E04"/>
    <w:rsid w:val="1F5F5356"/>
    <w:rsid w:val="1F811C64"/>
    <w:rsid w:val="1FAC3986"/>
    <w:rsid w:val="1FC87893"/>
    <w:rsid w:val="1FCF2E62"/>
    <w:rsid w:val="1FF33BA1"/>
    <w:rsid w:val="1FF468DA"/>
    <w:rsid w:val="20185777"/>
    <w:rsid w:val="2026550C"/>
    <w:rsid w:val="20505730"/>
    <w:rsid w:val="20B135CD"/>
    <w:rsid w:val="20D00A81"/>
    <w:rsid w:val="20E26732"/>
    <w:rsid w:val="2123032F"/>
    <w:rsid w:val="212925B3"/>
    <w:rsid w:val="21463165"/>
    <w:rsid w:val="217A68B6"/>
    <w:rsid w:val="21DB1153"/>
    <w:rsid w:val="21F52495"/>
    <w:rsid w:val="222517C2"/>
    <w:rsid w:val="224156DA"/>
    <w:rsid w:val="22583ADC"/>
    <w:rsid w:val="225B43C0"/>
    <w:rsid w:val="225D0D0F"/>
    <w:rsid w:val="22804455"/>
    <w:rsid w:val="229972C4"/>
    <w:rsid w:val="22DF4B68"/>
    <w:rsid w:val="22FA7814"/>
    <w:rsid w:val="23035EF7"/>
    <w:rsid w:val="2309269C"/>
    <w:rsid w:val="23451120"/>
    <w:rsid w:val="239301B8"/>
    <w:rsid w:val="239B4273"/>
    <w:rsid w:val="239F74FE"/>
    <w:rsid w:val="23C3001F"/>
    <w:rsid w:val="23E40A13"/>
    <w:rsid w:val="23E9602A"/>
    <w:rsid w:val="2435126F"/>
    <w:rsid w:val="24424696"/>
    <w:rsid w:val="246C5161"/>
    <w:rsid w:val="24A87C93"/>
    <w:rsid w:val="24B71305"/>
    <w:rsid w:val="24B714CA"/>
    <w:rsid w:val="24B77ED6"/>
    <w:rsid w:val="24C0322E"/>
    <w:rsid w:val="24D740D4"/>
    <w:rsid w:val="25494FD2"/>
    <w:rsid w:val="256B319A"/>
    <w:rsid w:val="25875AFA"/>
    <w:rsid w:val="25920290"/>
    <w:rsid w:val="259301BB"/>
    <w:rsid w:val="25DA0320"/>
    <w:rsid w:val="2604539D"/>
    <w:rsid w:val="262A5457"/>
    <w:rsid w:val="262B73C4"/>
    <w:rsid w:val="263F63D5"/>
    <w:rsid w:val="265579A6"/>
    <w:rsid w:val="266F0149"/>
    <w:rsid w:val="269B185D"/>
    <w:rsid w:val="26C768FB"/>
    <w:rsid w:val="271E5E5A"/>
    <w:rsid w:val="27836A1B"/>
    <w:rsid w:val="278D0BD3"/>
    <w:rsid w:val="278E43D4"/>
    <w:rsid w:val="27A14592"/>
    <w:rsid w:val="27B626C7"/>
    <w:rsid w:val="27BB5B1F"/>
    <w:rsid w:val="27BB7CDD"/>
    <w:rsid w:val="27CC7C82"/>
    <w:rsid w:val="27DE48C0"/>
    <w:rsid w:val="27F06FED"/>
    <w:rsid w:val="282615FA"/>
    <w:rsid w:val="28373B6D"/>
    <w:rsid w:val="28465425"/>
    <w:rsid w:val="285005C8"/>
    <w:rsid w:val="285048C9"/>
    <w:rsid w:val="28705D25"/>
    <w:rsid w:val="287B7B98"/>
    <w:rsid w:val="28904D0A"/>
    <w:rsid w:val="28A37470"/>
    <w:rsid w:val="28B05368"/>
    <w:rsid w:val="28B10C06"/>
    <w:rsid w:val="28B9421C"/>
    <w:rsid w:val="28C23DF0"/>
    <w:rsid w:val="28C57065"/>
    <w:rsid w:val="28F82606"/>
    <w:rsid w:val="29015BC3"/>
    <w:rsid w:val="290A0F1C"/>
    <w:rsid w:val="290D304F"/>
    <w:rsid w:val="290D4568"/>
    <w:rsid w:val="296524EE"/>
    <w:rsid w:val="29D357B2"/>
    <w:rsid w:val="2A1F4553"/>
    <w:rsid w:val="2A377AEF"/>
    <w:rsid w:val="2A465F84"/>
    <w:rsid w:val="2A872BBE"/>
    <w:rsid w:val="2AD2707D"/>
    <w:rsid w:val="2B116592"/>
    <w:rsid w:val="2B294065"/>
    <w:rsid w:val="2B4E3843"/>
    <w:rsid w:val="2B5711AB"/>
    <w:rsid w:val="2B5D17D7"/>
    <w:rsid w:val="2B642979"/>
    <w:rsid w:val="2B6D12EE"/>
    <w:rsid w:val="2B715282"/>
    <w:rsid w:val="2B7B3A0B"/>
    <w:rsid w:val="2B8B00CB"/>
    <w:rsid w:val="2B8E3883"/>
    <w:rsid w:val="2BA2543C"/>
    <w:rsid w:val="2BBD04C8"/>
    <w:rsid w:val="2BC730F4"/>
    <w:rsid w:val="2BD8670E"/>
    <w:rsid w:val="2BDB26FC"/>
    <w:rsid w:val="2BF051A9"/>
    <w:rsid w:val="2BF437BD"/>
    <w:rsid w:val="2BFE6AE3"/>
    <w:rsid w:val="2C305ABF"/>
    <w:rsid w:val="2C5A3F68"/>
    <w:rsid w:val="2C9E20A7"/>
    <w:rsid w:val="2CBC5A39"/>
    <w:rsid w:val="2CC802D7"/>
    <w:rsid w:val="2CD46C9D"/>
    <w:rsid w:val="2CD71115"/>
    <w:rsid w:val="2CDD77DA"/>
    <w:rsid w:val="2CF27CFD"/>
    <w:rsid w:val="2D2D35B0"/>
    <w:rsid w:val="2D391DD0"/>
    <w:rsid w:val="2D962D7E"/>
    <w:rsid w:val="2DD6761F"/>
    <w:rsid w:val="2E9404CB"/>
    <w:rsid w:val="2EA65E15"/>
    <w:rsid w:val="2ED40B3A"/>
    <w:rsid w:val="2ED55B28"/>
    <w:rsid w:val="2F056A7A"/>
    <w:rsid w:val="2F285C58"/>
    <w:rsid w:val="2F366690"/>
    <w:rsid w:val="2F3C7955"/>
    <w:rsid w:val="2F471F46"/>
    <w:rsid w:val="2F477220"/>
    <w:rsid w:val="2F7B66D0"/>
    <w:rsid w:val="2FA2566F"/>
    <w:rsid w:val="2FA554FB"/>
    <w:rsid w:val="2FC23887"/>
    <w:rsid w:val="2FF63FA8"/>
    <w:rsid w:val="301663F8"/>
    <w:rsid w:val="30537CF9"/>
    <w:rsid w:val="30C331B8"/>
    <w:rsid w:val="30C95219"/>
    <w:rsid w:val="310C1E3D"/>
    <w:rsid w:val="316A07AA"/>
    <w:rsid w:val="31741628"/>
    <w:rsid w:val="317503B0"/>
    <w:rsid w:val="31B159B3"/>
    <w:rsid w:val="32621022"/>
    <w:rsid w:val="328533C1"/>
    <w:rsid w:val="32AC4DF2"/>
    <w:rsid w:val="32C71C2C"/>
    <w:rsid w:val="32CE3C45"/>
    <w:rsid w:val="32FA4592"/>
    <w:rsid w:val="334F4944"/>
    <w:rsid w:val="336C3F8B"/>
    <w:rsid w:val="33875BA8"/>
    <w:rsid w:val="33892401"/>
    <w:rsid w:val="33CA19D4"/>
    <w:rsid w:val="33DE547F"/>
    <w:rsid w:val="33F36098"/>
    <w:rsid w:val="345F64E7"/>
    <w:rsid w:val="346A286F"/>
    <w:rsid w:val="346E22CB"/>
    <w:rsid w:val="34A42225"/>
    <w:rsid w:val="34A57D4B"/>
    <w:rsid w:val="34AB37F8"/>
    <w:rsid w:val="34C5219B"/>
    <w:rsid w:val="34D414DF"/>
    <w:rsid w:val="34DD1EA7"/>
    <w:rsid w:val="34E6283D"/>
    <w:rsid w:val="351D5B33"/>
    <w:rsid w:val="35613C72"/>
    <w:rsid w:val="3599165E"/>
    <w:rsid w:val="35AB75E3"/>
    <w:rsid w:val="35EB3E83"/>
    <w:rsid w:val="35F9034E"/>
    <w:rsid w:val="36032AAE"/>
    <w:rsid w:val="367C3F90"/>
    <w:rsid w:val="36CC2373"/>
    <w:rsid w:val="36FA25EF"/>
    <w:rsid w:val="36FB71FF"/>
    <w:rsid w:val="36FD5C1C"/>
    <w:rsid w:val="37351991"/>
    <w:rsid w:val="375D490D"/>
    <w:rsid w:val="37615642"/>
    <w:rsid w:val="37757331"/>
    <w:rsid w:val="37E64902"/>
    <w:rsid w:val="37EE16F8"/>
    <w:rsid w:val="37F30DCD"/>
    <w:rsid w:val="37FF5139"/>
    <w:rsid w:val="384D772E"/>
    <w:rsid w:val="38776640"/>
    <w:rsid w:val="38936834"/>
    <w:rsid w:val="38AF73EA"/>
    <w:rsid w:val="38F87BB5"/>
    <w:rsid w:val="39412E64"/>
    <w:rsid w:val="394713D0"/>
    <w:rsid w:val="395739AE"/>
    <w:rsid w:val="395C0B70"/>
    <w:rsid w:val="3971456B"/>
    <w:rsid w:val="399D7D96"/>
    <w:rsid w:val="39BF365D"/>
    <w:rsid w:val="39E921A3"/>
    <w:rsid w:val="39F57EC3"/>
    <w:rsid w:val="39FF1CAB"/>
    <w:rsid w:val="3A357DA5"/>
    <w:rsid w:val="3A5C6F8F"/>
    <w:rsid w:val="3A730C76"/>
    <w:rsid w:val="3A8262C9"/>
    <w:rsid w:val="3AAF36D1"/>
    <w:rsid w:val="3AC32CD9"/>
    <w:rsid w:val="3AE35129"/>
    <w:rsid w:val="3AE65C79"/>
    <w:rsid w:val="3AFB39A2"/>
    <w:rsid w:val="3B90297D"/>
    <w:rsid w:val="3B950189"/>
    <w:rsid w:val="3BA26D92"/>
    <w:rsid w:val="3BC60CD2"/>
    <w:rsid w:val="3C3814A4"/>
    <w:rsid w:val="3C4A5BA0"/>
    <w:rsid w:val="3C4E2A76"/>
    <w:rsid w:val="3C5E53AF"/>
    <w:rsid w:val="3C6F136A"/>
    <w:rsid w:val="3C741465"/>
    <w:rsid w:val="3C9012E0"/>
    <w:rsid w:val="3C942658"/>
    <w:rsid w:val="3CB1740B"/>
    <w:rsid w:val="3CBD7BAB"/>
    <w:rsid w:val="3CDE029E"/>
    <w:rsid w:val="3CE358B4"/>
    <w:rsid w:val="3CE72E57"/>
    <w:rsid w:val="3CF63839"/>
    <w:rsid w:val="3CF63ACD"/>
    <w:rsid w:val="3CF9211B"/>
    <w:rsid w:val="3D2E202B"/>
    <w:rsid w:val="3D6C2A26"/>
    <w:rsid w:val="3D864BBD"/>
    <w:rsid w:val="3D8B6052"/>
    <w:rsid w:val="3D8E75CE"/>
    <w:rsid w:val="3D9646D4"/>
    <w:rsid w:val="3DCC00F6"/>
    <w:rsid w:val="3E381132"/>
    <w:rsid w:val="3E6853CB"/>
    <w:rsid w:val="3E8F1850"/>
    <w:rsid w:val="3EA51073"/>
    <w:rsid w:val="3EBE4AC0"/>
    <w:rsid w:val="3ED731F7"/>
    <w:rsid w:val="3ED951C1"/>
    <w:rsid w:val="3EDE08CD"/>
    <w:rsid w:val="3EF514A1"/>
    <w:rsid w:val="3F060EA7"/>
    <w:rsid w:val="3F0B792A"/>
    <w:rsid w:val="3F6A5E19"/>
    <w:rsid w:val="3FF76027"/>
    <w:rsid w:val="4004626D"/>
    <w:rsid w:val="40580367"/>
    <w:rsid w:val="406960D0"/>
    <w:rsid w:val="41195D48"/>
    <w:rsid w:val="415F3F89"/>
    <w:rsid w:val="41614FF9"/>
    <w:rsid w:val="41636FC4"/>
    <w:rsid w:val="419529D3"/>
    <w:rsid w:val="419D24F4"/>
    <w:rsid w:val="41D63C39"/>
    <w:rsid w:val="41E40104"/>
    <w:rsid w:val="41EF37D2"/>
    <w:rsid w:val="42057B3D"/>
    <w:rsid w:val="42176E65"/>
    <w:rsid w:val="423F358D"/>
    <w:rsid w:val="4249440B"/>
    <w:rsid w:val="424C5CAA"/>
    <w:rsid w:val="42763F33"/>
    <w:rsid w:val="428B67D2"/>
    <w:rsid w:val="434268E8"/>
    <w:rsid w:val="4349165F"/>
    <w:rsid w:val="434B660C"/>
    <w:rsid w:val="43A87F24"/>
    <w:rsid w:val="43AB357E"/>
    <w:rsid w:val="43C25AB3"/>
    <w:rsid w:val="43D1290A"/>
    <w:rsid w:val="43EF2D90"/>
    <w:rsid w:val="44095809"/>
    <w:rsid w:val="441D78FE"/>
    <w:rsid w:val="441F5424"/>
    <w:rsid w:val="44240CBC"/>
    <w:rsid w:val="44324F7D"/>
    <w:rsid w:val="44531571"/>
    <w:rsid w:val="44AA3B64"/>
    <w:rsid w:val="44B738AE"/>
    <w:rsid w:val="44D426B2"/>
    <w:rsid w:val="45040775"/>
    <w:rsid w:val="450F6280"/>
    <w:rsid w:val="452E7127"/>
    <w:rsid w:val="457479F1"/>
    <w:rsid w:val="457C3BD5"/>
    <w:rsid w:val="4605689B"/>
    <w:rsid w:val="46102606"/>
    <w:rsid w:val="46130617"/>
    <w:rsid w:val="461A3021"/>
    <w:rsid w:val="46274A64"/>
    <w:rsid w:val="46437B13"/>
    <w:rsid w:val="466111D7"/>
    <w:rsid w:val="4685178A"/>
    <w:rsid w:val="46AC4F69"/>
    <w:rsid w:val="46C93FC7"/>
    <w:rsid w:val="46D77D77"/>
    <w:rsid w:val="46EE732F"/>
    <w:rsid w:val="46FB7C44"/>
    <w:rsid w:val="470716F0"/>
    <w:rsid w:val="470C47B2"/>
    <w:rsid w:val="47146CF3"/>
    <w:rsid w:val="478174A1"/>
    <w:rsid w:val="47857C94"/>
    <w:rsid w:val="47E26E94"/>
    <w:rsid w:val="47EE35C9"/>
    <w:rsid w:val="48022BEC"/>
    <w:rsid w:val="48495712"/>
    <w:rsid w:val="484D62D8"/>
    <w:rsid w:val="486A50DB"/>
    <w:rsid w:val="48802209"/>
    <w:rsid w:val="48956CB1"/>
    <w:rsid w:val="48A57460"/>
    <w:rsid w:val="48C16FA8"/>
    <w:rsid w:val="49047305"/>
    <w:rsid w:val="4961203A"/>
    <w:rsid w:val="496833C9"/>
    <w:rsid w:val="4994019E"/>
    <w:rsid w:val="49E669E4"/>
    <w:rsid w:val="4A0155CC"/>
    <w:rsid w:val="4A0604A5"/>
    <w:rsid w:val="4A0C644A"/>
    <w:rsid w:val="4A162E25"/>
    <w:rsid w:val="4A250A0A"/>
    <w:rsid w:val="4A4D25BF"/>
    <w:rsid w:val="4A664928"/>
    <w:rsid w:val="4A69389D"/>
    <w:rsid w:val="4A6A63BE"/>
    <w:rsid w:val="4A714A31"/>
    <w:rsid w:val="4A7A334A"/>
    <w:rsid w:val="4A871F75"/>
    <w:rsid w:val="4AAC19DB"/>
    <w:rsid w:val="4AB37CD1"/>
    <w:rsid w:val="4AB412A5"/>
    <w:rsid w:val="4AD93E52"/>
    <w:rsid w:val="4AE24C98"/>
    <w:rsid w:val="4B0215FB"/>
    <w:rsid w:val="4B0233A9"/>
    <w:rsid w:val="4B045373"/>
    <w:rsid w:val="4B06056F"/>
    <w:rsid w:val="4B0B0076"/>
    <w:rsid w:val="4B1C2DF8"/>
    <w:rsid w:val="4B321EE0"/>
    <w:rsid w:val="4B6126C1"/>
    <w:rsid w:val="4B7818BD"/>
    <w:rsid w:val="4BA85191"/>
    <w:rsid w:val="4BB072A9"/>
    <w:rsid w:val="4BD061D0"/>
    <w:rsid w:val="4C4A14AC"/>
    <w:rsid w:val="4C6D0CF6"/>
    <w:rsid w:val="4C8C6F39"/>
    <w:rsid w:val="4C9D5A7F"/>
    <w:rsid w:val="4CA561A7"/>
    <w:rsid w:val="4CA961D2"/>
    <w:rsid w:val="4CB669DF"/>
    <w:rsid w:val="4CC64F4E"/>
    <w:rsid w:val="4CC70EEE"/>
    <w:rsid w:val="4CD26859"/>
    <w:rsid w:val="4CD62D3F"/>
    <w:rsid w:val="4CEA0599"/>
    <w:rsid w:val="4D027691"/>
    <w:rsid w:val="4D1D271C"/>
    <w:rsid w:val="4D2B308B"/>
    <w:rsid w:val="4D36558C"/>
    <w:rsid w:val="4D400B63"/>
    <w:rsid w:val="4D4218D9"/>
    <w:rsid w:val="4D487E30"/>
    <w:rsid w:val="4D5325E2"/>
    <w:rsid w:val="4D550108"/>
    <w:rsid w:val="4D631408"/>
    <w:rsid w:val="4D6C5ECB"/>
    <w:rsid w:val="4D896004"/>
    <w:rsid w:val="4D9C69F8"/>
    <w:rsid w:val="4DA60964"/>
    <w:rsid w:val="4DA678B7"/>
    <w:rsid w:val="4DA94358"/>
    <w:rsid w:val="4DBD36F7"/>
    <w:rsid w:val="4DF55153"/>
    <w:rsid w:val="4E331CB3"/>
    <w:rsid w:val="4E353311"/>
    <w:rsid w:val="4E66332D"/>
    <w:rsid w:val="4E7E439C"/>
    <w:rsid w:val="4E8F31A6"/>
    <w:rsid w:val="4EAA7FE0"/>
    <w:rsid w:val="4EBD41B7"/>
    <w:rsid w:val="4EBD5295"/>
    <w:rsid w:val="4ED65279"/>
    <w:rsid w:val="4EEA00C3"/>
    <w:rsid w:val="4F244236"/>
    <w:rsid w:val="4F311AFC"/>
    <w:rsid w:val="4F5A7C58"/>
    <w:rsid w:val="4F607E62"/>
    <w:rsid w:val="4F672375"/>
    <w:rsid w:val="4F7F321A"/>
    <w:rsid w:val="4FB07878"/>
    <w:rsid w:val="4FC307B2"/>
    <w:rsid w:val="4FCD667C"/>
    <w:rsid w:val="4FDA2B47"/>
    <w:rsid w:val="4FE90FDC"/>
    <w:rsid w:val="50055E16"/>
    <w:rsid w:val="50760AC1"/>
    <w:rsid w:val="50901457"/>
    <w:rsid w:val="50B16844"/>
    <w:rsid w:val="50BE7D72"/>
    <w:rsid w:val="50DC3581"/>
    <w:rsid w:val="50DE6667"/>
    <w:rsid w:val="50EF617E"/>
    <w:rsid w:val="50FB0450"/>
    <w:rsid w:val="51165E00"/>
    <w:rsid w:val="51273B6A"/>
    <w:rsid w:val="519C2C65"/>
    <w:rsid w:val="51DC7E5B"/>
    <w:rsid w:val="5257047F"/>
    <w:rsid w:val="5268268C"/>
    <w:rsid w:val="52750905"/>
    <w:rsid w:val="527F446B"/>
    <w:rsid w:val="52837C41"/>
    <w:rsid w:val="52B458D1"/>
    <w:rsid w:val="52BE04FE"/>
    <w:rsid w:val="52C97523"/>
    <w:rsid w:val="52DF776B"/>
    <w:rsid w:val="53000B16"/>
    <w:rsid w:val="530A68BB"/>
    <w:rsid w:val="535A6478"/>
    <w:rsid w:val="53656C8B"/>
    <w:rsid w:val="537137C2"/>
    <w:rsid w:val="53715570"/>
    <w:rsid w:val="53B31CBC"/>
    <w:rsid w:val="53FC12DE"/>
    <w:rsid w:val="540C27A0"/>
    <w:rsid w:val="540E3B7C"/>
    <w:rsid w:val="54330A77"/>
    <w:rsid w:val="5438608E"/>
    <w:rsid w:val="54554ACB"/>
    <w:rsid w:val="545F6282"/>
    <w:rsid w:val="549C486F"/>
    <w:rsid w:val="54C22F5A"/>
    <w:rsid w:val="54CD4A28"/>
    <w:rsid w:val="550B5550"/>
    <w:rsid w:val="550F3292"/>
    <w:rsid w:val="550F5041"/>
    <w:rsid w:val="553904C1"/>
    <w:rsid w:val="55767A90"/>
    <w:rsid w:val="55AE2AAB"/>
    <w:rsid w:val="55D63DB0"/>
    <w:rsid w:val="55E77D6B"/>
    <w:rsid w:val="56004989"/>
    <w:rsid w:val="561A5A4B"/>
    <w:rsid w:val="561F417C"/>
    <w:rsid w:val="56482AD7"/>
    <w:rsid w:val="5651427D"/>
    <w:rsid w:val="5651542C"/>
    <w:rsid w:val="56551179"/>
    <w:rsid w:val="566D0271"/>
    <w:rsid w:val="569A430A"/>
    <w:rsid w:val="56A40A81"/>
    <w:rsid w:val="56F91B04"/>
    <w:rsid w:val="57154464"/>
    <w:rsid w:val="57341327"/>
    <w:rsid w:val="57392849"/>
    <w:rsid w:val="57445F6B"/>
    <w:rsid w:val="57660E0B"/>
    <w:rsid w:val="577C2529"/>
    <w:rsid w:val="57810BA9"/>
    <w:rsid w:val="578C2978"/>
    <w:rsid w:val="57A06424"/>
    <w:rsid w:val="57C97AD8"/>
    <w:rsid w:val="57DC068A"/>
    <w:rsid w:val="57E84F5E"/>
    <w:rsid w:val="58005424"/>
    <w:rsid w:val="58020E8D"/>
    <w:rsid w:val="58520A55"/>
    <w:rsid w:val="58715146"/>
    <w:rsid w:val="58DF2F7C"/>
    <w:rsid w:val="59032204"/>
    <w:rsid w:val="59154BEF"/>
    <w:rsid w:val="596516D3"/>
    <w:rsid w:val="597C6AB8"/>
    <w:rsid w:val="59B014EA"/>
    <w:rsid w:val="59B166C6"/>
    <w:rsid w:val="59BF2681"/>
    <w:rsid w:val="59CA4332"/>
    <w:rsid w:val="59EF5441"/>
    <w:rsid w:val="59F02E1D"/>
    <w:rsid w:val="5A266B28"/>
    <w:rsid w:val="5A2A7A23"/>
    <w:rsid w:val="5A2C091C"/>
    <w:rsid w:val="5A414B29"/>
    <w:rsid w:val="5A643739"/>
    <w:rsid w:val="5A7432E6"/>
    <w:rsid w:val="5AD3092A"/>
    <w:rsid w:val="5AE95A56"/>
    <w:rsid w:val="5AF812E0"/>
    <w:rsid w:val="5B2D72F9"/>
    <w:rsid w:val="5B3A093D"/>
    <w:rsid w:val="5B525C87"/>
    <w:rsid w:val="5B547255"/>
    <w:rsid w:val="5B5C6B06"/>
    <w:rsid w:val="5B6065F6"/>
    <w:rsid w:val="5B636542"/>
    <w:rsid w:val="5B733D7D"/>
    <w:rsid w:val="5B790CEE"/>
    <w:rsid w:val="5B8223BD"/>
    <w:rsid w:val="5BDB4DDD"/>
    <w:rsid w:val="5BEA4111"/>
    <w:rsid w:val="5C050F4B"/>
    <w:rsid w:val="5C052CF9"/>
    <w:rsid w:val="5C0A0310"/>
    <w:rsid w:val="5C0D18D4"/>
    <w:rsid w:val="5C0E3314"/>
    <w:rsid w:val="5CBD6F6C"/>
    <w:rsid w:val="5CD03307"/>
    <w:rsid w:val="5CF111DE"/>
    <w:rsid w:val="5CF214D0"/>
    <w:rsid w:val="5CFA4828"/>
    <w:rsid w:val="5D171598"/>
    <w:rsid w:val="5D1D4B6D"/>
    <w:rsid w:val="5D212C90"/>
    <w:rsid w:val="5D30024A"/>
    <w:rsid w:val="5D8629FD"/>
    <w:rsid w:val="5D973E25"/>
    <w:rsid w:val="5DA14CA4"/>
    <w:rsid w:val="5DB24514"/>
    <w:rsid w:val="5DFD718F"/>
    <w:rsid w:val="5DFE20F6"/>
    <w:rsid w:val="5E2A6858"/>
    <w:rsid w:val="5E397C91"/>
    <w:rsid w:val="5E965158"/>
    <w:rsid w:val="5EB01642"/>
    <w:rsid w:val="5F2B4CB9"/>
    <w:rsid w:val="5F6441DB"/>
    <w:rsid w:val="5F6D308F"/>
    <w:rsid w:val="5F77717F"/>
    <w:rsid w:val="5F884D39"/>
    <w:rsid w:val="5F9A5E4E"/>
    <w:rsid w:val="5FA34D03"/>
    <w:rsid w:val="5FB82DF5"/>
    <w:rsid w:val="5FBC2927"/>
    <w:rsid w:val="5FC74ED0"/>
    <w:rsid w:val="5FDF6F07"/>
    <w:rsid w:val="5FE01AB3"/>
    <w:rsid w:val="5FE30866"/>
    <w:rsid w:val="604069F6"/>
    <w:rsid w:val="60413E54"/>
    <w:rsid w:val="607400D3"/>
    <w:rsid w:val="609321B6"/>
    <w:rsid w:val="60A54AAB"/>
    <w:rsid w:val="60BB42CE"/>
    <w:rsid w:val="60C50148"/>
    <w:rsid w:val="60CD423A"/>
    <w:rsid w:val="60E41760"/>
    <w:rsid w:val="60E5134B"/>
    <w:rsid w:val="61100B57"/>
    <w:rsid w:val="6142054C"/>
    <w:rsid w:val="61A65E7F"/>
    <w:rsid w:val="61B8226F"/>
    <w:rsid w:val="61BF394A"/>
    <w:rsid w:val="61EC7E6A"/>
    <w:rsid w:val="620852F1"/>
    <w:rsid w:val="621E4888"/>
    <w:rsid w:val="6227067E"/>
    <w:rsid w:val="6229260F"/>
    <w:rsid w:val="622B0259"/>
    <w:rsid w:val="62406DA2"/>
    <w:rsid w:val="624F4CCE"/>
    <w:rsid w:val="625D4F66"/>
    <w:rsid w:val="62730837"/>
    <w:rsid w:val="62917C0D"/>
    <w:rsid w:val="62E0001C"/>
    <w:rsid w:val="62F27F47"/>
    <w:rsid w:val="62F43EBB"/>
    <w:rsid w:val="62FD297C"/>
    <w:rsid w:val="632779F9"/>
    <w:rsid w:val="63440380"/>
    <w:rsid w:val="63892462"/>
    <w:rsid w:val="639F01FD"/>
    <w:rsid w:val="63BC45E5"/>
    <w:rsid w:val="63FA2E95"/>
    <w:rsid w:val="6457743C"/>
    <w:rsid w:val="64591E34"/>
    <w:rsid w:val="646E3BF9"/>
    <w:rsid w:val="64754C8D"/>
    <w:rsid w:val="647924D6"/>
    <w:rsid w:val="6481138B"/>
    <w:rsid w:val="64BD6867"/>
    <w:rsid w:val="64BE65E8"/>
    <w:rsid w:val="64CB7B8C"/>
    <w:rsid w:val="64CD45D0"/>
    <w:rsid w:val="64D2799C"/>
    <w:rsid w:val="650C50F9"/>
    <w:rsid w:val="65165F77"/>
    <w:rsid w:val="652561BA"/>
    <w:rsid w:val="65297023"/>
    <w:rsid w:val="652A2965"/>
    <w:rsid w:val="65332685"/>
    <w:rsid w:val="65534AD5"/>
    <w:rsid w:val="65641412"/>
    <w:rsid w:val="65815AE7"/>
    <w:rsid w:val="65A6554D"/>
    <w:rsid w:val="65AC6993"/>
    <w:rsid w:val="65C23461"/>
    <w:rsid w:val="65F067C8"/>
    <w:rsid w:val="66092F1E"/>
    <w:rsid w:val="66154481"/>
    <w:rsid w:val="66171FA7"/>
    <w:rsid w:val="661C136B"/>
    <w:rsid w:val="66245681"/>
    <w:rsid w:val="664803B2"/>
    <w:rsid w:val="66602679"/>
    <w:rsid w:val="66630D48"/>
    <w:rsid w:val="66666A8A"/>
    <w:rsid w:val="667967BE"/>
    <w:rsid w:val="668817F4"/>
    <w:rsid w:val="669058B5"/>
    <w:rsid w:val="669860AA"/>
    <w:rsid w:val="66CC2D91"/>
    <w:rsid w:val="66DD4F9F"/>
    <w:rsid w:val="67054A6C"/>
    <w:rsid w:val="671C58CC"/>
    <w:rsid w:val="67242BCD"/>
    <w:rsid w:val="67340937"/>
    <w:rsid w:val="67982FB2"/>
    <w:rsid w:val="67B37A94"/>
    <w:rsid w:val="67BF6452"/>
    <w:rsid w:val="67C65A33"/>
    <w:rsid w:val="67D55C76"/>
    <w:rsid w:val="67F26828"/>
    <w:rsid w:val="67F3029A"/>
    <w:rsid w:val="686C5843"/>
    <w:rsid w:val="687C1827"/>
    <w:rsid w:val="688F22C8"/>
    <w:rsid w:val="689241BA"/>
    <w:rsid w:val="68C55CEA"/>
    <w:rsid w:val="68C77CB4"/>
    <w:rsid w:val="68C83A2C"/>
    <w:rsid w:val="68FE2FAA"/>
    <w:rsid w:val="69096D76"/>
    <w:rsid w:val="69164798"/>
    <w:rsid w:val="69201173"/>
    <w:rsid w:val="694B0C16"/>
    <w:rsid w:val="6958114E"/>
    <w:rsid w:val="69887333"/>
    <w:rsid w:val="698C2FE5"/>
    <w:rsid w:val="699356C4"/>
    <w:rsid w:val="69A963DD"/>
    <w:rsid w:val="69B67D29"/>
    <w:rsid w:val="6A0942FC"/>
    <w:rsid w:val="6A505B3F"/>
    <w:rsid w:val="6A615EE7"/>
    <w:rsid w:val="6A6908F7"/>
    <w:rsid w:val="6A7A68BC"/>
    <w:rsid w:val="6A8F3B8F"/>
    <w:rsid w:val="6A9F4D00"/>
    <w:rsid w:val="6ACC5A8E"/>
    <w:rsid w:val="6AE3587A"/>
    <w:rsid w:val="6AEB57B0"/>
    <w:rsid w:val="6AF9469B"/>
    <w:rsid w:val="6B387400"/>
    <w:rsid w:val="6B496546"/>
    <w:rsid w:val="6BAE70A7"/>
    <w:rsid w:val="6BB205B2"/>
    <w:rsid w:val="6BBF06B5"/>
    <w:rsid w:val="6BBF2EC5"/>
    <w:rsid w:val="6BC5524D"/>
    <w:rsid w:val="6C0C3C30"/>
    <w:rsid w:val="6C1D408F"/>
    <w:rsid w:val="6C3222EB"/>
    <w:rsid w:val="6C373D2F"/>
    <w:rsid w:val="6C701AB7"/>
    <w:rsid w:val="6C830396"/>
    <w:rsid w:val="6C8A5201"/>
    <w:rsid w:val="6C986F43"/>
    <w:rsid w:val="6CD87B7F"/>
    <w:rsid w:val="6CE34991"/>
    <w:rsid w:val="6CFF5543"/>
    <w:rsid w:val="6D2629AD"/>
    <w:rsid w:val="6D284A9A"/>
    <w:rsid w:val="6D3E4E45"/>
    <w:rsid w:val="6D4455C5"/>
    <w:rsid w:val="6D84325D"/>
    <w:rsid w:val="6D9410D2"/>
    <w:rsid w:val="6DA106DD"/>
    <w:rsid w:val="6DC900B2"/>
    <w:rsid w:val="6DDB1B0C"/>
    <w:rsid w:val="6DF20E03"/>
    <w:rsid w:val="6DFE57FA"/>
    <w:rsid w:val="6E03691D"/>
    <w:rsid w:val="6E1119D2"/>
    <w:rsid w:val="6E1D791F"/>
    <w:rsid w:val="6E201511"/>
    <w:rsid w:val="6E31797E"/>
    <w:rsid w:val="6E481967"/>
    <w:rsid w:val="6E5D4C17"/>
    <w:rsid w:val="6E625D89"/>
    <w:rsid w:val="6E8E55A1"/>
    <w:rsid w:val="6EC66B31"/>
    <w:rsid w:val="6EC9405A"/>
    <w:rsid w:val="6EED5F9B"/>
    <w:rsid w:val="6EEF1D13"/>
    <w:rsid w:val="6F286FD3"/>
    <w:rsid w:val="6F2F0361"/>
    <w:rsid w:val="6F2F3271"/>
    <w:rsid w:val="6F575190"/>
    <w:rsid w:val="6F6158D4"/>
    <w:rsid w:val="6F832B0F"/>
    <w:rsid w:val="6F871F4B"/>
    <w:rsid w:val="6FA83C70"/>
    <w:rsid w:val="6FAD1EDF"/>
    <w:rsid w:val="6FC72361"/>
    <w:rsid w:val="6FCF56A0"/>
    <w:rsid w:val="6FDA037D"/>
    <w:rsid w:val="6FE253D4"/>
    <w:rsid w:val="6FF402AC"/>
    <w:rsid w:val="700A3A9A"/>
    <w:rsid w:val="7021552C"/>
    <w:rsid w:val="70390991"/>
    <w:rsid w:val="70457711"/>
    <w:rsid w:val="705F58E7"/>
    <w:rsid w:val="7069505C"/>
    <w:rsid w:val="707324D0"/>
    <w:rsid w:val="707B75D6"/>
    <w:rsid w:val="707F70C6"/>
    <w:rsid w:val="708C17E3"/>
    <w:rsid w:val="70A621D4"/>
    <w:rsid w:val="70BE20D4"/>
    <w:rsid w:val="70EB371D"/>
    <w:rsid w:val="71031AA6"/>
    <w:rsid w:val="71177576"/>
    <w:rsid w:val="71597917"/>
    <w:rsid w:val="71681C3D"/>
    <w:rsid w:val="719C362F"/>
    <w:rsid w:val="71B7273F"/>
    <w:rsid w:val="71D310CC"/>
    <w:rsid w:val="71DC3B70"/>
    <w:rsid w:val="71DC40A5"/>
    <w:rsid w:val="720158B9"/>
    <w:rsid w:val="72404633"/>
    <w:rsid w:val="724203AC"/>
    <w:rsid w:val="72497C52"/>
    <w:rsid w:val="72712A3F"/>
    <w:rsid w:val="72840E99"/>
    <w:rsid w:val="728704B4"/>
    <w:rsid w:val="72A7258E"/>
    <w:rsid w:val="72B56393"/>
    <w:rsid w:val="72E90827"/>
    <w:rsid w:val="732201EB"/>
    <w:rsid w:val="73310FF5"/>
    <w:rsid w:val="73375A36"/>
    <w:rsid w:val="7349576A"/>
    <w:rsid w:val="738844E4"/>
    <w:rsid w:val="739A19C8"/>
    <w:rsid w:val="73B928EF"/>
    <w:rsid w:val="73D43285"/>
    <w:rsid w:val="73E11371"/>
    <w:rsid w:val="73E831D5"/>
    <w:rsid w:val="742A6A01"/>
    <w:rsid w:val="744E76B7"/>
    <w:rsid w:val="745B7503"/>
    <w:rsid w:val="747D1B6F"/>
    <w:rsid w:val="74C96B62"/>
    <w:rsid w:val="74CE23CA"/>
    <w:rsid w:val="74D8515F"/>
    <w:rsid w:val="74DF0F70"/>
    <w:rsid w:val="75011A28"/>
    <w:rsid w:val="7501454E"/>
    <w:rsid w:val="75094D5F"/>
    <w:rsid w:val="75BA7E8C"/>
    <w:rsid w:val="75E83B00"/>
    <w:rsid w:val="75F44CA0"/>
    <w:rsid w:val="75F53987"/>
    <w:rsid w:val="761A2632"/>
    <w:rsid w:val="764C7A4B"/>
    <w:rsid w:val="766D6B53"/>
    <w:rsid w:val="7695262A"/>
    <w:rsid w:val="76B46A62"/>
    <w:rsid w:val="76B86E8E"/>
    <w:rsid w:val="76BB664D"/>
    <w:rsid w:val="76D82F1D"/>
    <w:rsid w:val="77286DE9"/>
    <w:rsid w:val="775070C7"/>
    <w:rsid w:val="777208E7"/>
    <w:rsid w:val="777A0F54"/>
    <w:rsid w:val="777D391A"/>
    <w:rsid w:val="77AA0F4D"/>
    <w:rsid w:val="77AA4396"/>
    <w:rsid w:val="77D250F8"/>
    <w:rsid w:val="77D870BC"/>
    <w:rsid w:val="77D93560"/>
    <w:rsid w:val="77F63D5E"/>
    <w:rsid w:val="77F70657"/>
    <w:rsid w:val="781223C7"/>
    <w:rsid w:val="783F1BEE"/>
    <w:rsid w:val="785B5D23"/>
    <w:rsid w:val="786848E4"/>
    <w:rsid w:val="78A91184"/>
    <w:rsid w:val="78DE36D5"/>
    <w:rsid w:val="790740FD"/>
    <w:rsid w:val="792070AB"/>
    <w:rsid w:val="79420C91"/>
    <w:rsid w:val="794B223C"/>
    <w:rsid w:val="794E5623"/>
    <w:rsid w:val="79607369"/>
    <w:rsid w:val="799F3F59"/>
    <w:rsid w:val="79F226B7"/>
    <w:rsid w:val="7A1C14E2"/>
    <w:rsid w:val="7A1F7792"/>
    <w:rsid w:val="7A2C61E7"/>
    <w:rsid w:val="7A45598C"/>
    <w:rsid w:val="7A692E60"/>
    <w:rsid w:val="7A721A4A"/>
    <w:rsid w:val="7A805F15"/>
    <w:rsid w:val="7A8D2D1A"/>
    <w:rsid w:val="7A9814B1"/>
    <w:rsid w:val="7AAF2356"/>
    <w:rsid w:val="7AB21792"/>
    <w:rsid w:val="7AD579F5"/>
    <w:rsid w:val="7AE75F94"/>
    <w:rsid w:val="7AED10D1"/>
    <w:rsid w:val="7B226E0F"/>
    <w:rsid w:val="7B591D55"/>
    <w:rsid w:val="7B6770D5"/>
    <w:rsid w:val="7B762E74"/>
    <w:rsid w:val="7B94234C"/>
    <w:rsid w:val="7B95573E"/>
    <w:rsid w:val="7BAD2EC7"/>
    <w:rsid w:val="7BC72719"/>
    <w:rsid w:val="7BCA7773"/>
    <w:rsid w:val="7BD1454E"/>
    <w:rsid w:val="7BDC361F"/>
    <w:rsid w:val="7BDC717B"/>
    <w:rsid w:val="7C15268D"/>
    <w:rsid w:val="7C1725D7"/>
    <w:rsid w:val="7C252547"/>
    <w:rsid w:val="7CC84DBF"/>
    <w:rsid w:val="7CCC3693"/>
    <w:rsid w:val="7CF25DDF"/>
    <w:rsid w:val="7CFE5817"/>
    <w:rsid w:val="7D0D7125"/>
    <w:rsid w:val="7D4E458F"/>
    <w:rsid w:val="7D513B99"/>
    <w:rsid w:val="7D853449"/>
    <w:rsid w:val="7DA102C1"/>
    <w:rsid w:val="7DB36601"/>
    <w:rsid w:val="7DCC0473"/>
    <w:rsid w:val="7DE85D9A"/>
    <w:rsid w:val="7DEE3196"/>
    <w:rsid w:val="7DF06F0E"/>
    <w:rsid w:val="7E044956"/>
    <w:rsid w:val="7E0E3838"/>
    <w:rsid w:val="7E386B07"/>
    <w:rsid w:val="7E41588A"/>
    <w:rsid w:val="7EB20667"/>
    <w:rsid w:val="7EBB7543"/>
    <w:rsid w:val="7EBF106A"/>
    <w:rsid w:val="7ECE0130"/>
    <w:rsid w:val="7F1060A5"/>
    <w:rsid w:val="7F15557D"/>
    <w:rsid w:val="7F1C0333"/>
    <w:rsid w:val="7F1D6013"/>
    <w:rsid w:val="7F27742A"/>
    <w:rsid w:val="7F444BE7"/>
    <w:rsid w:val="7F5E3780"/>
    <w:rsid w:val="7FAE7080"/>
    <w:rsid w:val="7FD6482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qFormat="1" w:uiPriority="99"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6"/>
    <w:qFormat/>
    <w:uiPriority w:val="0"/>
    <w:pPr>
      <w:keepNext/>
      <w:keepLines/>
      <w:spacing w:before="340" w:after="330" w:line="578" w:lineRule="auto"/>
      <w:jc w:val="center"/>
      <w:outlineLvl w:val="0"/>
    </w:pPr>
    <w:rPr>
      <w:rFonts w:ascii="Times New Roman" w:hAnsi="Times New Roman" w:eastAsia="宋体"/>
      <w:b/>
      <w:bCs/>
      <w:kern w:val="44"/>
      <w:sz w:val="44"/>
      <w:szCs w:val="44"/>
    </w:rPr>
  </w:style>
  <w:style w:type="paragraph" w:styleId="3">
    <w:name w:val="heading 2"/>
    <w:basedOn w:val="1"/>
    <w:next w:val="1"/>
    <w:link w:val="65"/>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67"/>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0"/>
    <w:pPr>
      <w:keepNext/>
      <w:keepLines/>
      <w:tabs>
        <w:tab w:val="left" w:pos="945"/>
      </w:tabs>
      <w:spacing w:before="280" w:after="290" w:line="376" w:lineRule="auto"/>
      <w:outlineLvl w:val="3"/>
    </w:pPr>
    <w:rPr>
      <w:rFonts w:ascii="Arial" w:hAnsi="Arial" w:eastAsia="黑体"/>
      <w:b/>
      <w:bCs/>
      <w:sz w:val="28"/>
      <w:szCs w:val="28"/>
    </w:rPr>
  </w:style>
  <w:style w:type="paragraph" w:styleId="6">
    <w:name w:val="heading 5"/>
    <w:basedOn w:val="1"/>
    <w:next w:val="7"/>
    <w:link w:val="68"/>
    <w:qFormat/>
    <w:uiPriority w:val="0"/>
    <w:pPr>
      <w:keepNext/>
      <w:keepLines/>
      <w:numPr>
        <w:ilvl w:val="4"/>
        <w:numId w:val="1"/>
      </w:numPr>
      <w:spacing w:before="280" w:after="290" w:line="376" w:lineRule="auto"/>
      <w:outlineLvl w:val="4"/>
    </w:pPr>
    <w:rPr>
      <w:b/>
      <w:kern w:val="0"/>
      <w:sz w:val="28"/>
    </w:rPr>
  </w:style>
  <w:style w:type="paragraph" w:styleId="8">
    <w:name w:val="heading 6"/>
    <w:basedOn w:val="1"/>
    <w:next w:val="7"/>
    <w:link w:val="69"/>
    <w:qFormat/>
    <w:uiPriority w:val="0"/>
    <w:pPr>
      <w:keepNext/>
      <w:keepLines/>
      <w:numPr>
        <w:ilvl w:val="5"/>
        <w:numId w:val="1"/>
      </w:numPr>
      <w:spacing w:before="240" w:after="64" w:line="320" w:lineRule="auto"/>
      <w:outlineLvl w:val="5"/>
    </w:pPr>
    <w:rPr>
      <w:rFonts w:ascii="Arial" w:hAnsi="Arial" w:eastAsia="黑体"/>
      <w:b/>
      <w:kern w:val="0"/>
      <w:sz w:val="24"/>
    </w:rPr>
  </w:style>
  <w:style w:type="paragraph" w:styleId="9">
    <w:name w:val="heading 7"/>
    <w:basedOn w:val="1"/>
    <w:next w:val="7"/>
    <w:link w:val="70"/>
    <w:qFormat/>
    <w:uiPriority w:val="0"/>
    <w:pPr>
      <w:keepNext/>
      <w:keepLines/>
      <w:numPr>
        <w:ilvl w:val="6"/>
        <w:numId w:val="1"/>
      </w:numPr>
      <w:spacing w:before="240" w:after="64" w:line="320" w:lineRule="auto"/>
      <w:outlineLvl w:val="6"/>
    </w:pPr>
    <w:rPr>
      <w:b/>
      <w:kern w:val="0"/>
      <w:sz w:val="24"/>
    </w:rPr>
  </w:style>
  <w:style w:type="paragraph" w:styleId="10">
    <w:name w:val="heading 8"/>
    <w:basedOn w:val="1"/>
    <w:next w:val="7"/>
    <w:link w:val="71"/>
    <w:qFormat/>
    <w:uiPriority w:val="0"/>
    <w:pPr>
      <w:keepNext/>
      <w:keepLines/>
      <w:numPr>
        <w:ilvl w:val="7"/>
        <w:numId w:val="1"/>
      </w:numPr>
      <w:spacing w:before="240" w:after="64" w:line="320" w:lineRule="auto"/>
      <w:outlineLvl w:val="7"/>
    </w:pPr>
    <w:rPr>
      <w:rFonts w:ascii="Arial" w:hAnsi="Arial" w:eastAsia="黑体"/>
      <w:kern w:val="0"/>
      <w:sz w:val="24"/>
    </w:rPr>
  </w:style>
  <w:style w:type="paragraph" w:styleId="11">
    <w:name w:val="heading 9"/>
    <w:basedOn w:val="1"/>
    <w:next w:val="7"/>
    <w:link w:val="72"/>
    <w:qFormat/>
    <w:uiPriority w:val="0"/>
    <w:pPr>
      <w:keepNext/>
      <w:keepLines/>
      <w:numPr>
        <w:ilvl w:val="8"/>
        <w:numId w:val="1"/>
      </w:numPr>
      <w:spacing w:before="240" w:after="64" w:line="320" w:lineRule="auto"/>
      <w:outlineLvl w:val="8"/>
    </w:pPr>
    <w:rPr>
      <w:rFonts w:ascii="Arial" w:hAnsi="Arial" w:eastAsia="黑体"/>
      <w:kern w:val="0"/>
      <w:sz w:val="20"/>
    </w:rPr>
  </w:style>
  <w:style w:type="character" w:default="1" w:styleId="49">
    <w:name w:val="Default Paragraph Font"/>
    <w:unhideWhenUsed/>
    <w:qFormat/>
    <w:uiPriority w:val="1"/>
  </w:style>
  <w:style w:type="table" w:default="1" w:styleId="47">
    <w:name w:val="Normal Table"/>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link w:val="73"/>
    <w:unhideWhenUsed/>
    <w:qFormat/>
    <w:uiPriority w:val="0"/>
    <w:pPr>
      <w:shd w:val="clear" w:color="auto" w:fill="000080"/>
    </w:pPr>
    <w:rPr>
      <w:rFonts w:ascii="宋体" w:hAnsi="宋体"/>
      <w:kern w:val="0"/>
      <w:sz w:val="20"/>
      <w:szCs w:val="20"/>
    </w:rPr>
  </w:style>
  <w:style w:type="paragraph" w:styleId="16">
    <w:name w:val="annotation text"/>
    <w:basedOn w:val="1"/>
    <w:link w:val="74"/>
    <w:unhideWhenUsed/>
    <w:qFormat/>
    <w:uiPriority w:val="0"/>
    <w:pPr>
      <w:jc w:val="left"/>
    </w:pPr>
    <w:rPr>
      <w:kern w:val="0"/>
      <w:sz w:val="20"/>
    </w:rPr>
  </w:style>
  <w:style w:type="paragraph" w:styleId="17">
    <w:name w:val="Body Text 3"/>
    <w:basedOn w:val="1"/>
    <w:link w:val="75"/>
    <w:qFormat/>
    <w:uiPriority w:val="0"/>
    <w:pPr>
      <w:spacing w:line="500" w:lineRule="exact"/>
    </w:pPr>
    <w:rPr>
      <w:b/>
      <w:bCs/>
      <w:kern w:val="0"/>
      <w:sz w:val="24"/>
    </w:rPr>
  </w:style>
  <w:style w:type="paragraph" w:styleId="18">
    <w:name w:val="Body Text"/>
    <w:basedOn w:val="1"/>
    <w:link w:val="76"/>
    <w:qFormat/>
    <w:uiPriority w:val="99"/>
    <w:pPr>
      <w:spacing w:line="380" w:lineRule="exact"/>
    </w:pPr>
    <w:rPr>
      <w:kern w:val="0"/>
      <w:sz w:val="24"/>
    </w:rPr>
  </w:style>
  <w:style w:type="paragraph" w:styleId="19">
    <w:name w:val="Body Text Indent"/>
    <w:basedOn w:val="1"/>
    <w:link w:val="77"/>
    <w:qFormat/>
    <w:uiPriority w:val="0"/>
    <w:pPr>
      <w:ind w:firstLine="830" w:firstLineChars="352"/>
    </w:pPr>
    <w:rPr>
      <w:rFonts w:ascii="仿宋_GB2312" w:eastAsia="仿宋_GB2312"/>
      <w:kern w:val="0"/>
      <w:sz w:val="32"/>
      <w:szCs w:val="20"/>
    </w:rPr>
  </w:style>
  <w:style w:type="paragraph" w:styleId="20">
    <w:name w:val="List Number 3"/>
    <w:basedOn w:val="1"/>
    <w:qFormat/>
    <w:uiPriority w:val="0"/>
    <w:pPr>
      <w:numPr>
        <w:ilvl w:val="0"/>
        <w:numId w:val="2"/>
      </w:numPr>
    </w:pPr>
  </w:style>
  <w:style w:type="paragraph" w:styleId="21">
    <w:name w:val="List 2"/>
    <w:basedOn w:val="1"/>
    <w:qFormat/>
    <w:uiPriority w:val="0"/>
    <w:pPr>
      <w:ind w:left="100" w:leftChars="200" w:hanging="200" w:hangingChars="200"/>
    </w:pPr>
    <w:rPr>
      <w:sz w:val="28"/>
    </w:rPr>
  </w:style>
  <w:style w:type="paragraph" w:styleId="22">
    <w:name w:val="toc 5"/>
    <w:basedOn w:val="1"/>
    <w:next w:val="1"/>
    <w:unhideWhenUsed/>
    <w:qFormat/>
    <w:uiPriority w:val="39"/>
    <w:pPr>
      <w:ind w:left="1680" w:leftChars="800"/>
    </w:pPr>
    <w:rPr>
      <w:rFonts w:ascii="Calibri" w:hAnsi="Calibri"/>
      <w:szCs w:val="22"/>
    </w:rPr>
  </w:style>
  <w:style w:type="paragraph" w:styleId="23">
    <w:name w:val="toc 3"/>
    <w:basedOn w:val="1"/>
    <w:next w:val="1"/>
    <w:unhideWhenUsed/>
    <w:qFormat/>
    <w:uiPriority w:val="39"/>
    <w:pPr>
      <w:ind w:left="840" w:leftChars="400"/>
    </w:pPr>
    <w:rPr>
      <w:rFonts w:ascii="Calibri" w:hAnsi="Calibri"/>
      <w:szCs w:val="22"/>
    </w:rPr>
  </w:style>
  <w:style w:type="paragraph" w:styleId="24">
    <w:name w:val="Plain Text"/>
    <w:basedOn w:val="1"/>
    <w:link w:val="78"/>
    <w:qFormat/>
    <w:uiPriority w:val="0"/>
    <w:rPr>
      <w:rFonts w:ascii="宋体" w:hAnsi="Courier New"/>
      <w:kern w:val="0"/>
      <w:sz w:val="20"/>
      <w:szCs w:val="21"/>
    </w:rPr>
  </w:style>
  <w:style w:type="paragraph" w:styleId="25">
    <w:name w:val="toc 8"/>
    <w:basedOn w:val="1"/>
    <w:next w:val="1"/>
    <w:unhideWhenUsed/>
    <w:qFormat/>
    <w:uiPriority w:val="39"/>
    <w:pPr>
      <w:ind w:left="2940" w:leftChars="1400"/>
    </w:pPr>
    <w:rPr>
      <w:rFonts w:ascii="Calibri" w:hAnsi="Calibri"/>
      <w:szCs w:val="22"/>
    </w:rPr>
  </w:style>
  <w:style w:type="paragraph" w:styleId="26">
    <w:name w:val="Date"/>
    <w:basedOn w:val="1"/>
    <w:next w:val="1"/>
    <w:link w:val="79"/>
    <w:qFormat/>
    <w:uiPriority w:val="0"/>
    <w:pPr>
      <w:ind w:left="100" w:leftChars="2500"/>
    </w:pPr>
    <w:rPr>
      <w:rFonts w:ascii="宋体" w:hAnsi="Courier New"/>
      <w:kern w:val="0"/>
      <w:sz w:val="20"/>
      <w:szCs w:val="21"/>
    </w:rPr>
  </w:style>
  <w:style w:type="paragraph" w:styleId="27">
    <w:name w:val="Body Text Indent 2"/>
    <w:basedOn w:val="1"/>
    <w:link w:val="80"/>
    <w:qFormat/>
    <w:uiPriority w:val="0"/>
    <w:pPr>
      <w:ind w:firstLine="630"/>
    </w:pPr>
    <w:rPr>
      <w:kern w:val="0"/>
      <w:sz w:val="32"/>
      <w:szCs w:val="20"/>
    </w:rPr>
  </w:style>
  <w:style w:type="paragraph" w:styleId="28">
    <w:name w:val="endnote text"/>
    <w:basedOn w:val="1"/>
    <w:link w:val="81"/>
    <w:unhideWhenUsed/>
    <w:qFormat/>
    <w:uiPriority w:val="99"/>
    <w:pPr>
      <w:snapToGrid w:val="0"/>
      <w:jc w:val="left"/>
    </w:pPr>
    <w:rPr>
      <w:kern w:val="0"/>
      <w:sz w:val="20"/>
    </w:rPr>
  </w:style>
  <w:style w:type="paragraph" w:styleId="29">
    <w:name w:val="Balloon Text"/>
    <w:basedOn w:val="1"/>
    <w:link w:val="82"/>
    <w:semiHidden/>
    <w:qFormat/>
    <w:uiPriority w:val="0"/>
    <w:rPr>
      <w:kern w:val="0"/>
      <w:sz w:val="18"/>
      <w:szCs w:val="18"/>
    </w:rPr>
  </w:style>
  <w:style w:type="paragraph" w:styleId="30">
    <w:name w:val="footer"/>
    <w:basedOn w:val="1"/>
    <w:link w:val="83"/>
    <w:unhideWhenUsed/>
    <w:qFormat/>
    <w:uiPriority w:val="99"/>
    <w:pPr>
      <w:tabs>
        <w:tab w:val="center" w:pos="4153"/>
        <w:tab w:val="right" w:pos="8306"/>
      </w:tabs>
      <w:snapToGrid w:val="0"/>
      <w:jc w:val="left"/>
    </w:pPr>
    <w:rPr>
      <w:kern w:val="0"/>
      <w:sz w:val="18"/>
      <w:szCs w:val="18"/>
    </w:rPr>
  </w:style>
  <w:style w:type="paragraph" w:styleId="31">
    <w:name w:val="header"/>
    <w:basedOn w:val="1"/>
    <w:link w:val="84"/>
    <w:unhideWhenUsed/>
    <w:qFormat/>
    <w:uiPriority w:val="99"/>
    <w:pPr>
      <w:pBdr>
        <w:bottom w:val="single" w:color="auto" w:sz="6" w:space="1"/>
      </w:pBdr>
      <w:tabs>
        <w:tab w:val="center" w:pos="0"/>
        <w:tab w:val="left" w:pos="8306"/>
      </w:tabs>
      <w:snapToGrid w:val="0"/>
      <w:jc w:val="center"/>
    </w:pPr>
    <w:rPr>
      <w:kern w:val="0"/>
      <w:sz w:val="18"/>
      <w:szCs w:val="18"/>
    </w:rPr>
  </w:style>
  <w:style w:type="paragraph" w:styleId="32">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3">
    <w:name w:val="toc 4"/>
    <w:basedOn w:val="1"/>
    <w:next w:val="1"/>
    <w:unhideWhenUsed/>
    <w:qFormat/>
    <w:uiPriority w:val="39"/>
    <w:pPr>
      <w:ind w:left="1260" w:leftChars="600"/>
    </w:pPr>
    <w:rPr>
      <w:rFonts w:ascii="Calibri" w:hAnsi="Calibri"/>
      <w:szCs w:val="22"/>
    </w:rPr>
  </w:style>
  <w:style w:type="paragraph" w:styleId="34">
    <w:name w:val="List"/>
    <w:basedOn w:val="1"/>
    <w:qFormat/>
    <w:uiPriority w:val="0"/>
    <w:pPr>
      <w:ind w:left="200" w:hanging="200" w:hangingChars="200"/>
    </w:pPr>
    <w:rPr>
      <w:sz w:val="28"/>
    </w:rPr>
  </w:style>
  <w:style w:type="paragraph" w:styleId="35">
    <w:name w:val="footnote text"/>
    <w:basedOn w:val="1"/>
    <w:link w:val="85"/>
    <w:unhideWhenUsed/>
    <w:qFormat/>
    <w:uiPriority w:val="99"/>
    <w:pPr>
      <w:snapToGrid w:val="0"/>
      <w:jc w:val="left"/>
    </w:pPr>
    <w:rPr>
      <w:kern w:val="0"/>
      <w:sz w:val="18"/>
      <w:szCs w:val="18"/>
    </w:rPr>
  </w:style>
  <w:style w:type="paragraph" w:styleId="36">
    <w:name w:val="toc 6"/>
    <w:basedOn w:val="1"/>
    <w:next w:val="1"/>
    <w:unhideWhenUsed/>
    <w:qFormat/>
    <w:uiPriority w:val="39"/>
    <w:pPr>
      <w:ind w:left="2100" w:leftChars="1000"/>
    </w:pPr>
    <w:rPr>
      <w:rFonts w:ascii="Calibri" w:hAnsi="Calibri"/>
      <w:szCs w:val="22"/>
    </w:rPr>
  </w:style>
  <w:style w:type="paragraph" w:styleId="37">
    <w:name w:val="Body Text Indent 3"/>
    <w:basedOn w:val="1"/>
    <w:link w:val="86"/>
    <w:qFormat/>
    <w:uiPriority w:val="0"/>
    <w:pPr>
      <w:spacing w:after="120"/>
      <w:ind w:left="420" w:leftChars="200"/>
    </w:pPr>
    <w:rPr>
      <w:kern w:val="0"/>
      <w:sz w:val="16"/>
      <w:szCs w:val="16"/>
    </w:rPr>
  </w:style>
  <w:style w:type="paragraph" w:styleId="38">
    <w:name w:val="toc 2"/>
    <w:basedOn w:val="1"/>
    <w:next w:val="1"/>
    <w:unhideWhenUsed/>
    <w:qFormat/>
    <w:uiPriority w:val="39"/>
    <w:pPr>
      <w:ind w:left="420" w:leftChars="200"/>
    </w:pPr>
  </w:style>
  <w:style w:type="paragraph" w:styleId="39">
    <w:name w:val="toc 9"/>
    <w:basedOn w:val="1"/>
    <w:next w:val="1"/>
    <w:unhideWhenUsed/>
    <w:qFormat/>
    <w:uiPriority w:val="39"/>
    <w:pPr>
      <w:ind w:left="3360" w:leftChars="1600"/>
    </w:pPr>
    <w:rPr>
      <w:rFonts w:ascii="Calibri" w:hAnsi="Calibri"/>
      <w:szCs w:val="22"/>
    </w:rPr>
  </w:style>
  <w:style w:type="paragraph" w:styleId="40">
    <w:name w:val="Body Text 2"/>
    <w:basedOn w:val="1"/>
    <w:link w:val="87"/>
    <w:qFormat/>
    <w:uiPriority w:val="0"/>
    <w:pPr>
      <w:spacing w:after="120" w:line="480" w:lineRule="auto"/>
    </w:pPr>
    <w:rPr>
      <w:kern w:val="0"/>
      <w:sz w:val="20"/>
    </w:rPr>
  </w:style>
  <w:style w:type="paragraph" w:styleId="41">
    <w:name w:val="Normal (Web)"/>
    <w:basedOn w:val="1"/>
    <w:qFormat/>
    <w:uiPriority w:val="0"/>
    <w:pPr>
      <w:widowControl/>
      <w:spacing w:before="100" w:beforeAutospacing="1" w:after="100" w:afterAutospacing="1"/>
      <w:jc w:val="left"/>
    </w:pPr>
    <w:rPr>
      <w:rFonts w:ascii="宋体" w:hAnsi="宋体"/>
      <w:kern w:val="0"/>
      <w:sz w:val="24"/>
    </w:rPr>
  </w:style>
  <w:style w:type="paragraph" w:styleId="42">
    <w:name w:val="index 1"/>
    <w:basedOn w:val="1"/>
    <w:next w:val="1"/>
    <w:semiHidden/>
    <w:qFormat/>
    <w:uiPriority w:val="0"/>
    <w:pPr>
      <w:spacing w:line="400" w:lineRule="exact"/>
      <w:ind w:firstLine="420" w:firstLineChars="200"/>
    </w:pPr>
    <w:rPr>
      <w:rFonts w:ascii="宋体" w:hAnsi="Courier New"/>
      <w:b/>
      <w:szCs w:val="20"/>
    </w:rPr>
  </w:style>
  <w:style w:type="paragraph" w:styleId="43">
    <w:name w:val="Title"/>
    <w:basedOn w:val="1"/>
    <w:next w:val="1"/>
    <w:link w:val="88"/>
    <w:qFormat/>
    <w:uiPriority w:val="10"/>
    <w:pPr>
      <w:spacing w:before="240" w:after="60"/>
      <w:jc w:val="center"/>
      <w:outlineLvl w:val="0"/>
    </w:pPr>
    <w:rPr>
      <w:rFonts w:ascii="Cambria" w:hAnsi="Cambria"/>
      <w:b/>
      <w:bCs/>
      <w:kern w:val="0"/>
      <w:sz w:val="32"/>
      <w:szCs w:val="32"/>
    </w:rPr>
  </w:style>
  <w:style w:type="paragraph" w:styleId="44">
    <w:name w:val="annotation subject"/>
    <w:basedOn w:val="16"/>
    <w:next w:val="16"/>
    <w:link w:val="89"/>
    <w:unhideWhenUsed/>
    <w:qFormat/>
    <w:uiPriority w:val="99"/>
    <w:rPr>
      <w:b/>
      <w:bCs/>
    </w:rPr>
  </w:style>
  <w:style w:type="paragraph" w:styleId="45">
    <w:name w:val="Body Text First Indent"/>
    <w:basedOn w:val="18"/>
    <w:qFormat/>
    <w:uiPriority w:val="99"/>
    <w:pPr>
      <w:spacing w:line="400" w:lineRule="atLeast"/>
      <w:ind w:firstLine="426"/>
    </w:pPr>
    <w:rPr>
      <w:szCs w:val="20"/>
    </w:rPr>
  </w:style>
  <w:style w:type="paragraph" w:styleId="46">
    <w:name w:val="Body Text First Indent 2"/>
    <w:basedOn w:val="19"/>
    <w:link w:val="90"/>
    <w:unhideWhenUsed/>
    <w:qFormat/>
    <w:uiPriority w:val="99"/>
    <w:pPr>
      <w:spacing w:after="120"/>
      <w:ind w:left="420" w:leftChars="200" w:firstLine="420" w:firstLineChars="200"/>
    </w:pPr>
    <w:rPr>
      <w:rFonts w:ascii="Times New Roman" w:eastAsia="宋体"/>
      <w:kern w:val="2"/>
      <w:sz w:val="21"/>
      <w:szCs w:val="24"/>
    </w:rPr>
  </w:style>
  <w:style w:type="table" w:styleId="48">
    <w:name w:val="Table Grid"/>
    <w:basedOn w:val="4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22"/>
    <w:rPr>
      <w:b/>
      <w:bCs/>
    </w:rPr>
  </w:style>
  <w:style w:type="character" w:styleId="51">
    <w:name w:val="endnote reference"/>
    <w:unhideWhenUsed/>
    <w:qFormat/>
    <w:uiPriority w:val="99"/>
    <w:rPr>
      <w:vertAlign w:val="superscript"/>
    </w:rPr>
  </w:style>
  <w:style w:type="character" w:styleId="52">
    <w:name w:val="page number"/>
    <w:qFormat/>
    <w:uiPriority w:val="0"/>
  </w:style>
  <w:style w:type="character" w:styleId="53">
    <w:name w:val="FollowedHyperlink"/>
    <w:qFormat/>
    <w:uiPriority w:val="0"/>
    <w:rPr>
      <w:color w:val="000000"/>
      <w:u w:val="none"/>
    </w:rPr>
  </w:style>
  <w:style w:type="character" w:styleId="54">
    <w:name w:val="Emphasis"/>
    <w:qFormat/>
    <w:uiPriority w:val="20"/>
    <w:rPr>
      <w:color w:val="F73131"/>
    </w:rPr>
  </w:style>
  <w:style w:type="character" w:styleId="55">
    <w:name w:val="HTML Definition"/>
    <w:unhideWhenUsed/>
    <w:qFormat/>
    <w:uiPriority w:val="99"/>
  </w:style>
  <w:style w:type="character" w:styleId="56">
    <w:name w:val="HTML Acronym"/>
    <w:unhideWhenUsed/>
    <w:qFormat/>
    <w:uiPriority w:val="99"/>
  </w:style>
  <w:style w:type="character" w:styleId="57">
    <w:name w:val="HTML Variable"/>
    <w:unhideWhenUsed/>
    <w:qFormat/>
    <w:uiPriority w:val="99"/>
  </w:style>
  <w:style w:type="character" w:styleId="58">
    <w:name w:val="Hyperlink"/>
    <w:qFormat/>
    <w:uiPriority w:val="99"/>
    <w:rPr>
      <w:color w:val="000000"/>
      <w:u w:val="none"/>
    </w:rPr>
  </w:style>
  <w:style w:type="character" w:styleId="59">
    <w:name w:val="HTML Code"/>
    <w:unhideWhenUsed/>
    <w:qFormat/>
    <w:uiPriority w:val="99"/>
    <w:rPr>
      <w:rFonts w:hint="default" w:ascii="Arial" w:hAnsi="Arial" w:cs="Arial"/>
      <w:sz w:val="20"/>
    </w:rPr>
  </w:style>
  <w:style w:type="character" w:styleId="60">
    <w:name w:val="annotation reference"/>
    <w:unhideWhenUsed/>
    <w:qFormat/>
    <w:uiPriority w:val="0"/>
    <w:rPr>
      <w:sz w:val="21"/>
      <w:szCs w:val="21"/>
    </w:rPr>
  </w:style>
  <w:style w:type="character" w:styleId="61">
    <w:name w:val="HTML Cite"/>
    <w:unhideWhenUsed/>
    <w:qFormat/>
    <w:uiPriority w:val="99"/>
    <w:rPr>
      <w:color w:val="008000"/>
    </w:rPr>
  </w:style>
  <w:style w:type="character" w:styleId="62">
    <w:name w:val="footnote reference"/>
    <w:unhideWhenUsed/>
    <w:qFormat/>
    <w:uiPriority w:val="99"/>
    <w:rPr>
      <w:vertAlign w:val="superscript"/>
    </w:rPr>
  </w:style>
  <w:style w:type="character" w:styleId="63">
    <w:name w:val="HTML Keyboard"/>
    <w:unhideWhenUsed/>
    <w:qFormat/>
    <w:uiPriority w:val="99"/>
    <w:rPr>
      <w:rFonts w:hint="eastAsia" w:ascii="Arial" w:hAnsi="Arial" w:cs="Arial"/>
      <w:sz w:val="20"/>
    </w:rPr>
  </w:style>
  <w:style w:type="character" w:styleId="64">
    <w:name w:val="HTML Sample"/>
    <w:unhideWhenUsed/>
    <w:qFormat/>
    <w:uiPriority w:val="99"/>
    <w:rPr>
      <w:rFonts w:hint="default" w:ascii="Arial" w:hAnsi="Arial" w:cs="Arial"/>
    </w:rPr>
  </w:style>
  <w:style w:type="character" w:customStyle="1" w:styleId="65">
    <w:name w:val="标题 2 字符"/>
    <w:link w:val="3"/>
    <w:qFormat/>
    <w:uiPriority w:val="0"/>
    <w:rPr>
      <w:rFonts w:ascii="Arial" w:hAnsi="Arial" w:eastAsia="黑体" w:cs="Times New Roman"/>
      <w:b/>
      <w:bCs/>
      <w:kern w:val="0"/>
      <w:sz w:val="32"/>
      <w:szCs w:val="32"/>
    </w:rPr>
  </w:style>
  <w:style w:type="character" w:customStyle="1" w:styleId="66">
    <w:name w:val="标题 1 字符1"/>
    <w:link w:val="2"/>
    <w:qFormat/>
    <w:uiPriority w:val="0"/>
    <w:rPr>
      <w:rFonts w:ascii="Times New Roman" w:hAnsi="Times New Roman" w:eastAsia="宋体" w:cs="Times New Roman"/>
      <w:b/>
      <w:bCs/>
      <w:kern w:val="44"/>
      <w:sz w:val="44"/>
      <w:szCs w:val="44"/>
    </w:rPr>
  </w:style>
  <w:style w:type="character" w:customStyle="1" w:styleId="67">
    <w:name w:val="标题 3 字符"/>
    <w:link w:val="4"/>
    <w:qFormat/>
    <w:uiPriority w:val="0"/>
    <w:rPr>
      <w:rFonts w:ascii="Times New Roman" w:hAnsi="Times New Roman" w:eastAsia="宋体" w:cs="Times New Roman"/>
      <w:b/>
      <w:bCs/>
      <w:kern w:val="0"/>
      <w:sz w:val="32"/>
      <w:szCs w:val="32"/>
    </w:rPr>
  </w:style>
  <w:style w:type="character" w:customStyle="1" w:styleId="68">
    <w:name w:val="标题 5 字符"/>
    <w:link w:val="6"/>
    <w:qFormat/>
    <w:uiPriority w:val="0"/>
    <w:rPr>
      <w:rFonts w:ascii="Times New Roman" w:hAnsi="Times New Roman" w:eastAsia="宋体" w:cs="Times New Roman"/>
      <w:b/>
      <w:sz w:val="28"/>
      <w:szCs w:val="24"/>
    </w:rPr>
  </w:style>
  <w:style w:type="character" w:customStyle="1" w:styleId="69">
    <w:name w:val="标题 6 字符"/>
    <w:link w:val="8"/>
    <w:qFormat/>
    <w:uiPriority w:val="0"/>
    <w:rPr>
      <w:rFonts w:ascii="Arial" w:hAnsi="Arial" w:eastAsia="黑体" w:cs="Times New Roman"/>
      <w:b/>
      <w:sz w:val="24"/>
      <w:szCs w:val="24"/>
    </w:rPr>
  </w:style>
  <w:style w:type="character" w:customStyle="1" w:styleId="70">
    <w:name w:val="标题 7 字符"/>
    <w:link w:val="9"/>
    <w:qFormat/>
    <w:uiPriority w:val="0"/>
    <w:rPr>
      <w:rFonts w:ascii="Times New Roman" w:hAnsi="Times New Roman" w:eastAsia="宋体" w:cs="Times New Roman"/>
      <w:b/>
      <w:sz w:val="24"/>
      <w:szCs w:val="24"/>
    </w:rPr>
  </w:style>
  <w:style w:type="character" w:customStyle="1" w:styleId="71">
    <w:name w:val="标题 8 字符"/>
    <w:link w:val="10"/>
    <w:qFormat/>
    <w:uiPriority w:val="0"/>
    <w:rPr>
      <w:rFonts w:ascii="Arial" w:hAnsi="Arial" w:eastAsia="黑体" w:cs="Times New Roman"/>
      <w:sz w:val="24"/>
      <w:szCs w:val="24"/>
    </w:rPr>
  </w:style>
  <w:style w:type="character" w:customStyle="1" w:styleId="72">
    <w:name w:val="标题 9 字符"/>
    <w:link w:val="11"/>
    <w:qFormat/>
    <w:uiPriority w:val="0"/>
    <w:rPr>
      <w:rFonts w:ascii="Arial" w:hAnsi="Arial" w:eastAsia="黑体" w:cs="Times New Roman"/>
      <w:szCs w:val="24"/>
    </w:rPr>
  </w:style>
  <w:style w:type="character" w:customStyle="1" w:styleId="73">
    <w:name w:val="文档结构图 字符"/>
    <w:link w:val="15"/>
    <w:qFormat/>
    <w:uiPriority w:val="0"/>
    <w:rPr>
      <w:rFonts w:ascii="宋体" w:hAnsi="宋体" w:eastAsia="宋体" w:cs="Times New Roman"/>
      <w:kern w:val="0"/>
      <w:sz w:val="20"/>
      <w:szCs w:val="20"/>
      <w:shd w:val="clear" w:color="auto" w:fill="000080"/>
    </w:rPr>
  </w:style>
  <w:style w:type="character" w:customStyle="1" w:styleId="74">
    <w:name w:val="批注文字 字符2"/>
    <w:link w:val="16"/>
    <w:qFormat/>
    <w:uiPriority w:val="0"/>
    <w:rPr>
      <w:rFonts w:ascii="Times New Roman" w:hAnsi="Times New Roman" w:eastAsia="宋体" w:cs="Times New Roman"/>
      <w:szCs w:val="24"/>
    </w:rPr>
  </w:style>
  <w:style w:type="character" w:customStyle="1" w:styleId="75">
    <w:name w:val="正文文本 3 字符"/>
    <w:link w:val="17"/>
    <w:qFormat/>
    <w:uiPriority w:val="0"/>
    <w:rPr>
      <w:rFonts w:ascii="Times New Roman" w:hAnsi="Times New Roman" w:eastAsia="宋体" w:cs="Times New Roman"/>
      <w:b/>
      <w:bCs/>
      <w:kern w:val="0"/>
      <w:sz w:val="24"/>
      <w:szCs w:val="24"/>
    </w:rPr>
  </w:style>
  <w:style w:type="character" w:customStyle="1" w:styleId="76">
    <w:name w:val="正文文本 字符1"/>
    <w:link w:val="18"/>
    <w:qFormat/>
    <w:uiPriority w:val="99"/>
    <w:rPr>
      <w:rFonts w:ascii="Times New Roman" w:hAnsi="Times New Roman" w:eastAsia="宋体" w:cs="Times New Roman"/>
      <w:kern w:val="0"/>
      <w:sz w:val="24"/>
      <w:szCs w:val="24"/>
    </w:rPr>
  </w:style>
  <w:style w:type="character" w:customStyle="1" w:styleId="77">
    <w:name w:val="正文文本缩进 字符1"/>
    <w:link w:val="19"/>
    <w:qFormat/>
    <w:uiPriority w:val="0"/>
    <w:rPr>
      <w:rFonts w:ascii="仿宋_GB2312" w:hAnsi="Times New Roman" w:eastAsia="仿宋_GB2312" w:cs="Times New Roman"/>
      <w:kern w:val="0"/>
      <w:sz w:val="32"/>
      <w:szCs w:val="20"/>
    </w:rPr>
  </w:style>
  <w:style w:type="character" w:customStyle="1" w:styleId="78">
    <w:name w:val="纯文本 字符2"/>
    <w:link w:val="24"/>
    <w:qFormat/>
    <w:uiPriority w:val="0"/>
    <w:rPr>
      <w:rFonts w:ascii="宋体" w:hAnsi="Courier New" w:eastAsia="宋体" w:cs="Times New Roman"/>
      <w:kern w:val="0"/>
      <w:sz w:val="20"/>
      <w:szCs w:val="21"/>
    </w:rPr>
  </w:style>
  <w:style w:type="character" w:customStyle="1" w:styleId="79">
    <w:name w:val="日期 字符"/>
    <w:link w:val="26"/>
    <w:qFormat/>
    <w:uiPriority w:val="0"/>
    <w:rPr>
      <w:rFonts w:ascii="宋体" w:hAnsi="Courier New" w:eastAsia="宋体" w:cs="Times New Roman"/>
      <w:kern w:val="0"/>
      <w:sz w:val="20"/>
      <w:szCs w:val="21"/>
    </w:rPr>
  </w:style>
  <w:style w:type="character" w:customStyle="1" w:styleId="80">
    <w:name w:val="正文文本缩进 2 字符"/>
    <w:link w:val="27"/>
    <w:qFormat/>
    <w:uiPriority w:val="0"/>
    <w:rPr>
      <w:rFonts w:ascii="Times New Roman" w:hAnsi="Times New Roman" w:eastAsia="宋体" w:cs="Times New Roman"/>
      <w:kern w:val="0"/>
      <w:sz w:val="32"/>
      <w:szCs w:val="20"/>
    </w:rPr>
  </w:style>
  <w:style w:type="character" w:customStyle="1" w:styleId="81">
    <w:name w:val="尾注文本 字符"/>
    <w:link w:val="28"/>
    <w:qFormat/>
    <w:uiPriority w:val="99"/>
    <w:rPr>
      <w:rFonts w:ascii="Times New Roman" w:hAnsi="Times New Roman" w:eastAsia="宋体" w:cs="Times New Roman"/>
      <w:szCs w:val="24"/>
    </w:rPr>
  </w:style>
  <w:style w:type="character" w:customStyle="1" w:styleId="82">
    <w:name w:val="批注框文本 字符"/>
    <w:link w:val="29"/>
    <w:semiHidden/>
    <w:qFormat/>
    <w:uiPriority w:val="0"/>
    <w:rPr>
      <w:rFonts w:ascii="Times New Roman" w:hAnsi="Times New Roman" w:eastAsia="宋体" w:cs="Times New Roman"/>
      <w:kern w:val="0"/>
      <w:sz w:val="18"/>
      <w:szCs w:val="18"/>
    </w:rPr>
  </w:style>
  <w:style w:type="character" w:customStyle="1" w:styleId="83">
    <w:name w:val="页脚 字符1"/>
    <w:link w:val="30"/>
    <w:qFormat/>
    <w:uiPriority w:val="99"/>
    <w:rPr>
      <w:rFonts w:ascii="Times New Roman" w:hAnsi="Times New Roman" w:eastAsia="宋体" w:cs="Times New Roman"/>
      <w:kern w:val="0"/>
      <w:sz w:val="18"/>
      <w:szCs w:val="18"/>
    </w:rPr>
  </w:style>
  <w:style w:type="character" w:customStyle="1" w:styleId="84">
    <w:name w:val="页眉 字符"/>
    <w:link w:val="31"/>
    <w:qFormat/>
    <w:uiPriority w:val="99"/>
    <w:rPr>
      <w:rFonts w:ascii="Times New Roman" w:hAnsi="Times New Roman" w:eastAsia="宋体" w:cs="Times New Roman"/>
      <w:sz w:val="18"/>
      <w:szCs w:val="18"/>
    </w:rPr>
  </w:style>
  <w:style w:type="character" w:customStyle="1" w:styleId="85">
    <w:name w:val="脚注文本 字符"/>
    <w:link w:val="35"/>
    <w:qFormat/>
    <w:uiPriority w:val="99"/>
    <w:rPr>
      <w:rFonts w:ascii="Times New Roman" w:hAnsi="Times New Roman" w:eastAsia="宋体" w:cs="Times New Roman"/>
      <w:sz w:val="18"/>
      <w:szCs w:val="18"/>
    </w:rPr>
  </w:style>
  <w:style w:type="character" w:customStyle="1" w:styleId="86">
    <w:name w:val="正文文本缩进 3 字符"/>
    <w:link w:val="37"/>
    <w:qFormat/>
    <w:uiPriority w:val="0"/>
    <w:rPr>
      <w:rFonts w:ascii="Times New Roman" w:hAnsi="Times New Roman" w:eastAsia="宋体" w:cs="Times New Roman"/>
      <w:kern w:val="0"/>
      <w:sz w:val="16"/>
      <w:szCs w:val="16"/>
    </w:rPr>
  </w:style>
  <w:style w:type="character" w:customStyle="1" w:styleId="87">
    <w:name w:val="正文文本 2 字符"/>
    <w:link w:val="40"/>
    <w:qFormat/>
    <w:uiPriority w:val="0"/>
    <w:rPr>
      <w:rFonts w:ascii="Times New Roman" w:hAnsi="Times New Roman" w:eastAsia="宋体" w:cs="Times New Roman"/>
      <w:kern w:val="0"/>
      <w:sz w:val="20"/>
      <w:szCs w:val="24"/>
    </w:rPr>
  </w:style>
  <w:style w:type="character" w:customStyle="1" w:styleId="88">
    <w:name w:val="标题 字符"/>
    <w:link w:val="43"/>
    <w:qFormat/>
    <w:uiPriority w:val="10"/>
    <w:rPr>
      <w:rFonts w:ascii="Cambria" w:hAnsi="Cambria" w:eastAsia="宋体" w:cs="Times New Roman"/>
      <w:b/>
      <w:bCs/>
      <w:sz w:val="32"/>
      <w:szCs w:val="32"/>
    </w:rPr>
  </w:style>
  <w:style w:type="character" w:customStyle="1" w:styleId="89">
    <w:name w:val="批注主题 字符"/>
    <w:link w:val="44"/>
    <w:qFormat/>
    <w:uiPriority w:val="99"/>
    <w:rPr>
      <w:rFonts w:ascii="Times New Roman" w:hAnsi="Times New Roman" w:eastAsia="宋体" w:cs="Times New Roman"/>
      <w:b/>
      <w:bCs/>
      <w:szCs w:val="24"/>
    </w:rPr>
  </w:style>
  <w:style w:type="character" w:customStyle="1" w:styleId="90">
    <w:name w:val="正文文本首行缩进 2 字符"/>
    <w:link w:val="46"/>
    <w:semiHidden/>
    <w:qFormat/>
    <w:uiPriority w:val="99"/>
    <w:rPr>
      <w:rFonts w:ascii="Times New Roman" w:hAnsi="Times New Roman" w:eastAsia="宋体" w:cs="Times New Roman"/>
      <w:kern w:val="2"/>
      <w:sz w:val="21"/>
      <w:szCs w:val="24"/>
    </w:rPr>
  </w:style>
  <w:style w:type="paragraph" w:customStyle="1" w:styleId="91">
    <w:name w:val="Default"/>
    <w:next w:val="1"/>
    <w:qFormat/>
    <w:uiPriority w:val="0"/>
    <w:pPr>
      <w:widowControl w:val="0"/>
      <w:autoSpaceDE w:val="0"/>
      <w:autoSpaceDN w:val="0"/>
      <w:adjustRightInd w:val="0"/>
    </w:pPr>
    <w:rPr>
      <w:rFonts w:ascii="宋体" w:hAnsi="Perpetua" w:eastAsia="宋体" w:cs="宋体"/>
      <w:color w:val="000000"/>
      <w:sz w:val="24"/>
      <w:szCs w:val="24"/>
      <w:lang w:val="en-US" w:eastAsia="zh-CN" w:bidi="ar-SA"/>
    </w:rPr>
  </w:style>
  <w:style w:type="paragraph" w:customStyle="1" w:styleId="9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93">
    <w:name w:val="标题 1 字符"/>
    <w:qFormat/>
    <w:uiPriority w:val="9"/>
    <w:rPr>
      <w:rFonts w:ascii="Times New Roman" w:hAnsi="Times New Roman" w:eastAsia="宋体" w:cs="Times New Roman"/>
      <w:b/>
      <w:bCs/>
      <w:kern w:val="44"/>
      <w:sz w:val="44"/>
      <w:szCs w:val="44"/>
    </w:rPr>
  </w:style>
  <w:style w:type="character" w:customStyle="1" w:styleId="94">
    <w:name w:val="批注文字 字符"/>
    <w:qFormat/>
    <w:uiPriority w:val="0"/>
    <w:rPr>
      <w:rFonts w:ascii="Times New Roman" w:hAnsi="Times New Roman" w:eastAsia="宋体" w:cs="Times New Roman"/>
      <w:szCs w:val="24"/>
    </w:rPr>
  </w:style>
  <w:style w:type="character" w:customStyle="1" w:styleId="95">
    <w:name w:val="正文文本缩进 字符"/>
    <w:qFormat/>
    <w:uiPriority w:val="0"/>
    <w:rPr>
      <w:rFonts w:ascii="Times New Roman" w:hAnsi="Times New Roman" w:eastAsia="宋体" w:cs="Times New Roman"/>
      <w:szCs w:val="24"/>
    </w:rPr>
  </w:style>
  <w:style w:type="character" w:customStyle="1" w:styleId="96">
    <w:name w:val="纯文本 字符"/>
    <w:qFormat/>
    <w:uiPriority w:val="0"/>
    <w:rPr>
      <w:rFonts w:ascii="等线" w:hAnsi="Courier New" w:cs="Courier New"/>
      <w:szCs w:val="24"/>
    </w:rPr>
  </w:style>
  <w:style w:type="character" w:customStyle="1" w:styleId="97">
    <w:name w:val="页脚 字符"/>
    <w:qFormat/>
    <w:uiPriority w:val="99"/>
    <w:rPr>
      <w:rFonts w:ascii="Times New Roman" w:hAnsi="Times New Roman" w:eastAsia="宋体" w:cs="Times New Roman"/>
      <w:sz w:val="18"/>
      <w:szCs w:val="18"/>
    </w:rPr>
  </w:style>
  <w:style w:type="character" w:customStyle="1" w:styleId="98">
    <w:name w:val="批注文字 Char1"/>
    <w:qFormat/>
    <w:locked/>
    <w:uiPriority w:val="0"/>
    <w:rPr>
      <w:rFonts w:ascii="Times New Roman" w:hAnsi="Times New Roman"/>
      <w:kern w:val="2"/>
      <w:sz w:val="21"/>
      <w:szCs w:val="24"/>
    </w:rPr>
  </w:style>
  <w:style w:type="character" w:customStyle="1" w:styleId="99">
    <w:name w:val="case31"/>
    <w:qFormat/>
    <w:uiPriority w:val="0"/>
    <w:rPr>
      <w:rFonts w:hint="default"/>
      <w:sz w:val="21"/>
      <w:szCs w:val="21"/>
    </w:rPr>
  </w:style>
  <w:style w:type="character" w:customStyle="1" w:styleId="100">
    <w:name w:val="批注文字 Char"/>
    <w:qFormat/>
    <w:uiPriority w:val="0"/>
    <w:rPr>
      <w:rFonts w:ascii="Times New Roman" w:hAnsi="Times New Roman"/>
      <w:kern w:val="2"/>
      <w:sz w:val="21"/>
      <w:szCs w:val="24"/>
    </w:rPr>
  </w:style>
  <w:style w:type="character" w:customStyle="1" w:styleId="101">
    <w:name w:val="纯文本 Char"/>
    <w:qFormat/>
    <w:uiPriority w:val="99"/>
    <w:rPr>
      <w:rFonts w:ascii="宋体" w:hAnsi="Courier New" w:eastAsia="宋体"/>
      <w:kern w:val="2"/>
      <w:sz w:val="21"/>
      <w:lang w:val="en-US" w:eastAsia="zh-CN" w:bidi="ar-SA"/>
    </w:rPr>
  </w:style>
  <w:style w:type="character" w:customStyle="1" w:styleId="102">
    <w:name w:val="纯文本 字符1"/>
    <w:qFormat/>
    <w:uiPriority w:val="0"/>
    <w:rPr>
      <w:rFonts w:ascii="宋体" w:hAnsi="Courier New"/>
    </w:rPr>
  </w:style>
  <w:style w:type="character" w:customStyle="1" w:styleId="103">
    <w:name w:val="批注文字 字符1"/>
    <w:qFormat/>
    <w:uiPriority w:val="0"/>
    <w:rPr>
      <w:rFonts w:ascii="Times New Roman" w:hAnsi="Times New Roman"/>
      <w:kern w:val="2"/>
      <w:sz w:val="21"/>
      <w:szCs w:val="24"/>
    </w:rPr>
  </w:style>
  <w:style w:type="character" w:customStyle="1" w:styleId="104">
    <w:name w:val="正文文本 Char1"/>
    <w:semiHidden/>
    <w:qFormat/>
    <w:locked/>
    <w:uiPriority w:val="99"/>
    <w:rPr>
      <w:sz w:val="24"/>
      <w:szCs w:val="24"/>
    </w:rPr>
  </w:style>
  <w:style w:type="character" w:customStyle="1" w:styleId="105">
    <w:name w:val="apple-style-span"/>
    <w:qFormat/>
    <w:uiPriority w:val="0"/>
  </w:style>
  <w:style w:type="character" w:customStyle="1" w:styleId="106">
    <w:name w:val="textcontents"/>
    <w:qFormat/>
    <w:uiPriority w:val="0"/>
  </w:style>
  <w:style w:type="character" w:customStyle="1" w:styleId="107">
    <w:name w:val="普通文字 Char Char2"/>
    <w:qFormat/>
    <w:uiPriority w:val="0"/>
    <w:rPr>
      <w:rFonts w:ascii="宋体" w:hAnsi="Courier New" w:eastAsia="宋体"/>
      <w:kern w:val="2"/>
      <w:sz w:val="21"/>
      <w:lang w:val="en-US" w:eastAsia="zh-CN" w:bidi="ar-SA"/>
    </w:rPr>
  </w:style>
  <w:style w:type="character" w:customStyle="1" w:styleId="108">
    <w:name w:val="标题 5 Char"/>
    <w:qFormat/>
    <w:uiPriority w:val="9"/>
    <w:rPr>
      <w:b/>
      <w:kern w:val="2"/>
      <w:sz w:val="28"/>
      <w:szCs w:val="24"/>
    </w:rPr>
  </w:style>
  <w:style w:type="character" w:customStyle="1" w:styleId="109">
    <w:name w:val="headline-content4"/>
    <w:qFormat/>
    <w:uiPriority w:val="0"/>
  </w:style>
  <w:style w:type="character" w:customStyle="1" w:styleId="110">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111">
    <w:name w:val="Char1"/>
    <w:basedOn w:val="1"/>
    <w:qFormat/>
    <w:uiPriority w:val="0"/>
    <w:rPr>
      <w:szCs w:val="21"/>
    </w:rPr>
  </w:style>
  <w:style w:type="paragraph" w:styleId="112">
    <w:name w:val="List Paragraph"/>
    <w:basedOn w:val="1"/>
    <w:qFormat/>
    <w:uiPriority w:val="0"/>
    <w:pPr>
      <w:ind w:firstLine="420" w:firstLineChars="200"/>
    </w:pPr>
  </w:style>
  <w:style w:type="paragraph" w:customStyle="1" w:styleId="113">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14">
    <w:name w:val="默认段落字体 Para Char Char Char Char Char Char Char Char Char1 Char Char Char Char"/>
    <w:basedOn w:val="1"/>
    <w:qFormat/>
    <w:uiPriority w:val="0"/>
    <w:rPr>
      <w:rFonts w:ascii="Tahoma" w:hAnsi="Tahoma"/>
      <w:sz w:val="24"/>
      <w:szCs w:val="20"/>
    </w:rPr>
  </w:style>
  <w:style w:type="paragraph" w:customStyle="1" w:styleId="115">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16">
    <w:name w:val="纯文本1"/>
    <w:basedOn w:val="1"/>
    <w:qFormat/>
    <w:uiPriority w:val="0"/>
    <w:rPr>
      <w:rFonts w:ascii="宋体" w:hAnsi="Courier New" w:cs="Century"/>
      <w:szCs w:val="21"/>
    </w:rPr>
  </w:style>
  <w:style w:type="paragraph" w:customStyle="1" w:styleId="117">
    <w:name w:val="Table Paragraph"/>
    <w:basedOn w:val="1"/>
    <w:qFormat/>
    <w:uiPriority w:val="1"/>
    <w:pPr>
      <w:jc w:val="left"/>
    </w:pPr>
    <w:rPr>
      <w:rFonts w:ascii="Calibri" w:hAnsi="Calibri"/>
      <w:kern w:val="0"/>
      <w:sz w:val="22"/>
      <w:szCs w:val="22"/>
      <w:lang w:eastAsia="en-US"/>
    </w:rPr>
  </w:style>
  <w:style w:type="paragraph" w:customStyle="1" w:styleId="118">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19">
    <w:name w:val="表格"/>
    <w:basedOn w:val="1"/>
    <w:link w:val="120"/>
    <w:qFormat/>
    <w:uiPriority w:val="0"/>
    <w:pPr>
      <w:spacing w:line="400" w:lineRule="exact"/>
    </w:pPr>
    <w:rPr>
      <w:sz w:val="24"/>
    </w:rPr>
  </w:style>
  <w:style w:type="character" w:customStyle="1" w:styleId="120">
    <w:name w:val="表格 字符"/>
    <w:link w:val="119"/>
    <w:qFormat/>
    <w:locked/>
    <w:uiPriority w:val="0"/>
    <w:rPr>
      <w:kern w:val="2"/>
      <w:sz w:val="24"/>
      <w:szCs w:val="24"/>
    </w:rPr>
  </w:style>
  <w:style w:type="paragraph" w:customStyle="1" w:styleId="121">
    <w:name w:val="样式 首行缩进:  2 字符"/>
    <w:basedOn w:val="1"/>
    <w:qFormat/>
    <w:uiPriority w:val="0"/>
    <w:pPr>
      <w:spacing w:line="400" w:lineRule="exact"/>
      <w:ind w:firstLine="200" w:firstLineChars="200"/>
    </w:pPr>
    <w:rPr>
      <w:rFonts w:cs="宋体"/>
      <w:sz w:val="24"/>
    </w:rPr>
  </w:style>
  <w:style w:type="paragraph" w:customStyle="1" w:styleId="122">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2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24">
    <w:name w:val="正文首行缩进两字符"/>
    <w:basedOn w:val="1"/>
    <w:qFormat/>
    <w:uiPriority w:val="0"/>
    <w:pPr>
      <w:spacing w:line="360" w:lineRule="auto"/>
      <w:ind w:firstLine="200" w:firstLineChars="200"/>
    </w:pPr>
  </w:style>
  <w:style w:type="paragraph" w:customStyle="1" w:styleId="125">
    <w:name w:val="正文段"/>
    <w:basedOn w:val="1"/>
    <w:qFormat/>
    <w:uiPriority w:val="0"/>
    <w:pPr>
      <w:widowControl/>
      <w:snapToGrid w:val="0"/>
      <w:spacing w:afterLines="50"/>
      <w:ind w:firstLine="200" w:firstLineChars="200"/>
    </w:pPr>
    <w:rPr>
      <w:kern w:val="0"/>
      <w:sz w:val="24"/>
      <w:szCs w:val="20"/>
    </w:rPr>
  </w:style>
  <w:style w:type="table" w:customStyle="1" w:styleId="126">
    <w:name w:val="Table Normal"/>
    <w:semiHidden/>
    <w:qFormat/>
    <w:uiPriority w:val="2"/>
    <w:pPr>
      <w:widowControl w:val="0"/>
    </w:pPr>
    <w:rPr>
      <w:rFonts w:ascii="Calibri" w:hAnsi="Calibri" w:eastAsia="Times New Roman"/>
      <w:sz w:val="22"/>
      <w:szCs w:val="22"/>
      <w:lang w:val="en-US" w:eastAsia="en-US" w:bidi="ar-SA"/>
    </w:rPr>
    <w:tblPr>
      <w:tblCellMar>
        <w:top w:w="0" w:type="dxa"/>
        <w:left w:w="0" w:type="dxa"/>
        <w:bottom w:w="0" w:type="dxa"/>
        <w:right w:w="0" w:type="dxa"/>
      </w:tblCellMar>
    </w:tblPr>
  </w:style>
  <w:style w:type="character" w:customStyle="1" w:styleId="127">
    <w:name w:val="标题 1 Char1"/>
    <w:qFormat/>
    <w:uiPriority w:val="0"/>
    <w:rPr>
      <w:rFonts w:eastAsia="宋体"/>
      <w:b/>
      <w:bCs/>
      <w:kern w:val="44"/>
      <w:sz w:val="44"/>
      <w:szCs w:val="44"/>
      <w:lang w:val="en-US" w:eastAsia="zh-CN" w:bidi="ar-SA"/>
    </w:rPr>
  </w:style>
  <w:style w:type="character" w:customStyle="1" w:styleId="128">
    <w:name w:val="纯文本 Char2"/>
    <w:qFormat/>
    <w:uiPriority w:val="0"/>
    <w:rPr>
      <w:rFonts w:ascii="宋体" w:hAnsi="Courier New" w:eastAsia="宋体" w:cs="Courier New"/>
      <w:szCs w:val="21"/>
    </w:rPr>
  </w:style>
  <w:style w:type="character" w:customStyle="1" w:styleId="129">
    <w:name w:val="NormalCharacter"/>
    <w:qFormat/>
    <w:uiPriority w:val="0"/>
  </w:style>
  <w:style w:type="character" w:customStyle="1" w:styleId="130">
    <w:name w:val="UserStyle_16"/>
    <w:link w:val="131"/>
    <w:qFormat/>
    <w:uiPriority w:val="0"/>
    <w:rPr>
      <w:rFonts w:ascii="宋体" w:hAnsi="Courier New"/>
      <w:szCs w:val="21"/>
    </w:rPr>
  </w:style>
  <w:style w:type="paragraph" w:customStyle="1" w:styleId="131">
    <w:name w:val="PlainText"/>
    <w:basedOn w:val="1"/>
    <w:link w:val="130"/>
    <w:qFormat/>
    <w:uiPriority w:val="0"/>
    <w:pPr>
      <w:widowControl/>
      <w:textAlignment w:val="baseline"/>
    </w:pPr>
    <w:rPr>
      <w:rFonts w:ascii="宋体" w:hAnsi="Courier New"/>
      <w:kern w:val="0"/>
      <w:sz w:val="20"/>
      <w:szCs w:val="21"/>
    </w:rPr>
  </w:style>
  <w:style w:type="paragraph" w:customStyle="1" w:styleId="132">
    <w:name w:val="Style1"/>
    <w:basedOn w:val="1"/>
    <w:qFormat/>
    <w:uiPriority w:val="0"/>
    <w:pPr>
      <w:widowControl/>
      <w:jc w:val="left"/>
    </w:pPr>
    <w:rPr>
      <w:spacing w:val="-3"/>
      <w:kern w:val="0"/>
      <w:sz w:val="24"/>
    </w:rPr>
  </w:style>
  <w:style w:type="character" w:customStyle="1" w:styleId="133">
    <w:name w:val="font21"/>
    <w:qFormat/>
    <w:uiPriority w:val="0"/>
    <w:rPr>
      <w:rFonts w:hint="default" w:ascii="Times New Roman" w:hAnsi="Times New Roman" w:cs="Times New Roman"/>
      <w:color w:val="000000"/>
      <w:sz w:val="20"/>
      <w:szCs w:val="20"/>
      <w:u w:val="none"/>
    </w:rPr>
  </w:style>
  <w:style w:type="paragraph" w:customStyle="1" w:styleId="134">
    <w:name w:val="p0"/>
    <w:basedOn w:val="1"/>
    <w:qFormat/>
    <w:uiPriority w:val="0"/>
    <w:pPr>
      <w:widowControl/>
    </w:pPr>
    <w:rPr>
      <w:kern w:val="0"/>
      <w:szCs w:val="21"/>
    </w:rPr>
  </w:style>
  <w:style w:type="character" w:customStyle="1" w:styleId="135">
    <w:name w:val="正文文本 Char"/>
    <w:qFormat/>
    <w:uiPriority w:val="99"/>
    <w:rPr>
      <w:rFonts w:ascii="Times New Roman" w:hAnsi="Times New Roman" w:eastAsia="宋体" w:cs="Times New Roman"/>
      <w:kern w:val="0"/>
      <w:sz w:val="24"/>
      <w:szCs w:val="24"/>
    </w:rPr>
  </w:style>
  <w:style w:type="character" w:customStyle="1" w:styleId="136">
    <w:name w:val="正文文本 字符"/>
    <w:qFormat/>
    <w:uiPriority w:val="99"/>
    <w:rPr>
      <w:rFonts w:ascii="Times New Roman" w:hAnsi="Times New Roman" w:eastAsia="宋体" w:cs="Times New Roman"/>
      <w:kern w:val="0"/>
      <w:sz w:val="24"/>
      <w:szCs w:val="24"/>
    </w:rPr>
  </w:style>
  <w:style w:type="paragraph" w:customStyle="1" w:styleId="137">
    <w:name w:val="_Style 136"/>
    <w:unhideWhenUsed/>
    <w:qFormat/>
    <w:uiPriority w:val="99"/>
    <w:rPr>
      <w:rFonts w:ascii="Times New Roman" w:hAnsi="Times New Roman" w:eastAsia="宋体" w:cs="Times New Roman"/>
      <w:kern w:val="2"/>
      <w:sz w:val="21"/>
      <w:szCs w:val="24"/>
      <w:lang w:val="en-US" w:eastAsia="zh-CN" w:bidi="ar-SA"/>
    </w:rPr>
  </w:style>
  <w:style w:type="paragraph" w:customStyle="1" w:styleId="138">
    <w:name w:val="引言二级条标题"/>
    <w:basedOn w:val="139"/>
    <w:next w:val="140"/>
    <w:qFormat/>
    <w:uiPriority w:val="0"/>
    <w:pPr>
      <w:widowControl/>
      <w:spacing w:before="100" w:beforeAutospacing="1" w:after="100" w:afterAutospacing="1"/>
    </w:pPr>
    <w:rPr>
      <w:b w:val="0"/>
      <w:bCs w:val="0"/>
      <w:szCs w:val="24"/>
    </w:rPr>
  </w:style>
  <w:style w:type="paragraph" w:customStyle="1" w:styleId="139">
    <w:name w:val="引言一级条标题"/>
    <w:basedOn w:val="1"/>
    <w:next w:val="140"/>
    <w:qFormat/>
    <w:uiPriority w:val="0"/>
    <w:pPr>
      <w:widowControl/>
      <w:spacing w:before="100" w:beforeAutospacing="1" w:after="100" w:afterAutospacing="1"/>
      <w:ind w:left="900" w:hanging="900"/>
    </w:pPr>
    <w:rPr>
      <w:rFonts w:ascii="Times New Roman" w:hAnsi="Times New Roman" w:eastAsia="黑体" w:cs="Times New Roman"/>
      <w:b/>
      <w:bCs/>
    </w:rPr>
  </w:style>
  <w:style w:type="paragraph" w:customStyle="1" w:styleId="140">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character" w:customStyle="1" w:styleId="141">
    <w:name w:val="font11"/>
    <w:qFormat/>
    <w:uiPriority w:val="0"/>
    <w:rPr>
      <w:rFonts w:hint="eastAsia" w:ascii="宋体" w:hAnsi="宋体" w:eastAsia="宋体" w:cs="宋体"/>
      <w:color w:val="000000"/>
      <w:sz w:val="21"/>
      <w:szCs w:val="21"/>
      <w:u w:val="none"/>
    </w:rPr>
  </w:style>
  <w:style w:type="paragraph" w:customStyle="1" w:styleId="142">
    <w:name w:val="正文1"/>
    <w:basedOn w:val="1"/>
    <w:qFormat/>
    <w:uiPriority w:val="0"/>
    <w:pPr>
      <w:spacing w:line="360" w:lineRule="auto"/>
      <w:ind w:firstLine="480" w:firstLineChars="200"/>
    </w:pPr>
    <w:rPr>
      <w:sz w:val="24"/>
    </w:rPr>
  </w:style>
  <w:style w:type="paragraph" w:customStyle="1" w:styleId="143">
    <w:name w:val="TB"/>
    <w:qFormat/>
    <w:uiPriority w:val="0"/>
    <w:pPr>
      <w:jc w:val="both"/>
    </w:pPr>
    <w:rPr>
      <w:rFonts w:ascii="仿宋" w:hAnsi="仿宋" w:eastAsia="仿宋" w:cs="宋体"/>
      <w:sz w:val="22"/>
      <w:szCs w:val="22"/>
      <w:lang w:val="en-US" w:eastAsia="zh-CN" w:bidi="ar-SA"/>
    </w:rPr>
  </w:style>
  <w:style w:type="character" w:customStyle="1" w:styleId="144">
    <w:name w:val="c-icon"/>
    <w:qFormat/>
    <w:uiPriority w:val="0"/>
  </w:style>
  <w:style w:type="character" w:customStyle="1" w:styleId="145">
    <w:name w:val="hover24"/>
    <w:qFormat/>
    <w:uiPriority w:val="0"/>
  </w:style>
  <w:style w:type="character" w:customStyle="1" w:styleId="146">
    <w:name w:val="hover25"/>
    <w:qFormat/>
    <w:uiPriority w:val="0"/>
    <w:rPr>
      <w:color w:val="315EFB"/>
    </w:rPr>
  </w:style>
  <w:style w:type="character" w:customStyle="1" w:styleId="147">
    <w:name w:val="hover26"/>
    <w:qFormat/>
    <w:uiPriority w:val="0"/>
    <w:rPr>
      <w:color w:val="335BFF"/>
    </w:rPr>
  </w:style>
  <w:style w:type="character" w:customStyle="1" w:styleId="148">
    <w:name w:val="hover27"/>
    <w:qFormat/>
    <w:uiPriority w:val="0"/>
  </w:style>
  <w:style w:type="character" w:customStyle="1" w:styleId="149">
    <w:name w:val="hover28"/>
    <w:qFormat/>
    <w:uiPriority w:val="0"/>
    <w:rPr>
      <w:color w:val="315EFB"/>
    </w:rPr>
  </w:style>
  <w:style w:type="character" w:customStyle="1" w:styleId="150">
    <w:name w:val="hover"/>
    <w:qFormat/>
    <w:uiPriority w:val="0"/>
    <w:rPr>
      <w:color w:val="315EFB"/>
    </w:rPr>
  </w:style>
  <w:style w:type="character" w:customStyle="1" w:styleId="151">
    <w:name w:val="hover1"/>
    <w:qFormat/>
    <w:uiPriority w:val="0"/>
  </w:style>
  <w:style w:type="character" w:customStyle="1" w:styleId="152">
    <w:name w:val="hover2"/>
    <w:qFormat/>
    <w:uiPriority w:val="0"/>
    <w:rPr>
      <w:color w:val="335BFF"/>
    </w:rPr>
  </w:style>
  <w:style w:type="character" w:customStyle="1" w:styleId="153">
    <w:name w:val="hover3"/>
    <w:qFormat/>
    <w:uiPriority w:val="0"/>
  </w:style>
  <w:style w:type="character" w:customStyle="1" w:styleId="154">
    <w:name w:val="hover4"/>
    <w:qFormat/>
    <w:uiPriority w:val="0"/>
    <w:rPr>
      <w:color w:val="315EFB"/>
    </w:rPr>
  </w:style>
  <w:style w:type="character" w:customStyle="1" w:styleId="155">
    <w:name w:val="c-icon28"/>
    <w:qFormat/>
    <w:uiPriority w:val="0"/>
  </w:style>
  <w:style w:type="character" w:customStyle="1" w:styleId="156">
    <w:name w:val="c-icon32"/>
    <w:qFormat/>
    <w:uiPriority w:val="0"/>
  </w:style>
  <w:style w:type="character" w:customStyle="1" w:styleId="157">
    <w:name w:val="hover34"/>
    <w:qFormat/>
    <w:uiPriority w:val="0"/>
    <w:rPr>
      <w:color w:val="315EFB"/>
    </w:rPr>
  </w:style>
  <w:style w:type="character" w:customStyle="1" w:styleId="158">
    <w:name w:val="hover35"/>
    <w:qFormat/>
    <w:uiPriority w:val="0"/>
    <w:rPr>
      <w:color w:val="335BFF"/>
    </w:rPr>
  </w:style>
  <w:style w:type="character" w:customStyle="1" w:styleId="159">
    <w:name w:val="hover36"/>
    <w:qFormat/>
    <w:uiPriority w:val="0"/>
  </w:style>
  <w:style w:type="character" w:customStyle="1" w:styleId="160">
    <w:name w:val="hover37"/>
    <w:qFormat/>
    <w:uiPriority w:val="0"/>
  </w:style>
  <w:style w:type="character" w:customStyle="1" w:styleId="161">
    <w:name w:val="hover38"/>
    <w:qFormat/>
    <w:uiPriority w:val="0"/>
    <w:rPr>
      <w:color w:val="315EFB"/>
    </w:rPr>
  </w:style>
  <w:style w:type="character" w:customStyle="1" w:styleId="162">
    <w:name w:val="ec_d20_recomm_link3"/>
    <w:qFormat/>
    <w:uiPriority w:val="0"/>
  </w:style>
  <w:style w:type="character" w:customStyle="1" w:styleId="163">
    <w:name w:val="ec_d20_recomm_link2"/>
    <w:qFormat/>
    <w:uiPriority w:val="0"/>
  </w:style>
  <w:style w:type="character" w:customStyle="1" w:styleId="164">
    <w:name w:val="hover31"/>
    <w:qFormat/>
    <w:uiPriority w:val="0"/>
  </w:style>
  <w:style w:type="character" w:customStyle="1" w:styleId="165">
    <w:name w:val="hover32"/>
    <w:qFormat/>
    <w:uiPriority w:val="0"/>
    <w:rPr>
      <w:color w:val="315EFB"/>
    </w:rPr>
  </w:style>
  <w:style w:type="character" w:customStyle="1" w:styleId="166">
    <w:name w:val="hover33"/>
    <w:qFormat/>
    <w:uiPriority w:val="0"/>
    <w:rPr>
      <w:color w:val="335BFF"/>
    </w:rPr>
  </w:style>
  <w:style w:type="character" w:customStyle="1" w:styleId="167">
    <w:name w:val="qxdate"/>
    <w:qFormat/>
    <w:uiPriority w:val="0"/>
    <w:rPr>
      <w:color w:val="333333"/>
      <w:sz w:val="18"/>
      <w:szCs w:val="18"/>
    </w:rPr>
  </w:style>
  <w:style w:type="character" w:customStyle="1" w:styleId="168">
    <w:name w:val="cfdate"/>
    <w:qFormat/>
    <w:uiPriority w:val="0"/>
    <w:rPr>
      <w:color w:val="333333"/>
      <w:sz w:val="18"/>
      <w:szCs w:val="18"/>
    </w:rPr>
  </w:style>
  <w:style w:type="character" w:customStyle="1" w:styleId="169">
    <w:name w:val="prev2"/>
    <w:qFormat/>
    <w:uiPriority w:val="0"/>
    <w:rPr>
      <w:color w:val="888888"/>
    </w:rPr>
  </w:style>
  <w:style w:type="character" w:customStyle="1" w:styleId="170">
    <w:name w:val="prev3"/>
    <w:qFormat/>
    <w:uiPriority w:val="0"/>
    <w:rPr>
      <w:rFonts w:ascii="微软雅黑" w:hAnsi="微软雅黑" w:eastAsia="微软雅黑" w:cs="微软雅黑"/>
      <w:sz w:val="21"/>
      <w:szCs w:val="21"/>
    </w:rPr>
  </w:style>
  <w:style w:type="character" w:customStyle="1" w:styleId="171">
    <w:name w:val="next2"/>
    <w:qFormat/>
    <w:uiPriority w:val="0"/>
    <w:rPr>
      <w:color w:val="888888"/>
    </w:rPr>
  </w:style>
  <w:style w:type="character" w:customStyle="1" w:styleId="172">
    <w:name w:val="next3"/>
    <w:qFormat/>
    <w:uiPriority w:val="0"/>
    <w:rPr>
      <w:rFonts w:hint="eastAsia" w:ascii="微软雅黑" w:hAnsi="微软雅黑" w:eastAsia="微软雅黑" w:cs="微软雅黑"/>
      <w:sz w:val="21"/>
      <w:szCs w:val="21"/>
    </w:rPr>
  </w:style>
  <w:style w:type="character" w:customStyle="1" w:styleId="173">
    <w:name w:val="displayarti"/>
    <w:qFormat/>
    <w:uiPriority w:val="0"/>
    <w:rPr>
      <w:color w:val="FFFFFF"/>
      <w:shd w:val="clear" w:color="auto" w:fill="A00000"/>
    </w:rPr>
  </w:style>
  <w:style w:type="character" w:customStyle="1" w:styleId="174">
    <w:name w:val="redfilenumber"/>
    <w:qFormat/>
    <w:uiPriority w:val="0"/>
    <w:rPr>
      <w:color w:val="BA2636"/>
      <w:sz w:val="18"/>
      <w:szCs w:val="18"/>
    </w:rPr>
  </w:style>
  <w:style w:type="character" w:customStyle="1" w:styleId="175">
    <w:name w:val="gjfg"/>
    <w:qFormat/>
    <w:uiPriority w:val="0"/>
  </w:style>
  <w:style w:type="character" w:customStyle="1" w:styleId="176">
    <w:name w:val="redfilefwwh"/>
    <w:qFormat/>
    <w:uiPriority w:val="0"/>
    <w:rPr>
      <w:color w:val="BA2636"/>
      <w:sz w:val="18"/>
      <w:szCs w:val="18"/>
    </w:rPr>
  </w:style>
  <w:style w:type="character" w:customStyle="1" w:styleId="177">
    <w:name w:val="next"/>
    <w:qFormat/>
    <w:uiPriority w:val="0"/>
    <w:rPr>
      <w:rFonts w:ascii="微软雅黑" w:hAnsi="微软雅黑" w:eastAsia="微软雅黑" w:cs="微软雅黑"/>
      <w:sz w:val="21"/>
      <w:szCs w:val="21"/>
    </w:rPr>
  </w:style>
  <w:style w:type="character" w:customStyle="1" w:styleId="178">
    <w:name w:val="next1"/>
    <w:qFormat/>
    <w:uiPriority w:val="0"/>
    <w:rPr>
      <w:color w:val="888888"/>
    </w:rPr>
  </w:style>
  <w:style w:type="character" w:customStyle="1" w:styleId="179">
    <w:name w:val="prev"/>
    <w:qFormat/>
    <w:uiPriority w:val="0"/>
    <w:rPr>
      <w:rFonts w:hint="eastAsia" w:ascii="微软雅黑" w:hAnsi="微软雅黑" w:eastAsia="微软雅黑" w:cs="微软雅黑"/>
      <w:sz w:val="21"/>
      <w:szCs w:val="21"/>
    </w:rPr>
  </w:style>
  <w:style w:type="character" w:customStyle="1" w:styleId="180">
    <w:name w:val="prev1"/>
    <w:qFormat/>
    <w:uiPriority w:val="0"/>
    <w:rPr>
      <w:color w:val="888888"/>
    </w:rPr>
  </w:style>
  <w:style w:type="character" w:customStyle="1" w:styleId="181">
    <w:name w:val="a-desc"/>
    <w:qFormat/>
    <w:uiPriority w:val="0"/>
    <w:rPr>
      <w:color w:val="315EFB"/>
    </w:rPr>
  </w:style>
  <w:style w:type="character" w:customStyle="1" w:styleId="182">
    <w:name w:val="new-icon"/>
    <w:qFormat/>
    <w:uiPriority w:val="0"/>
  </w:style>
  <w:style w:type="character" w:customStyle="1" w:styleId="183">
    <w:name w:val="new-icon1"/>
    <w:qFormat/>
    <w:uiPriority w:val="0"/>
  </w:style>
  <w:style w:type="character" w:customStyle="1" w:styleId="184">
    <w:name w:val="num"/>
    <w:qFormat/>
    <w:uiPriority w:val="0"/>
    <w:rPr>
      <w:b/>
      <w:bCs/>
      <w:color w:val="FF7800"/>
    </w:rPr>
  </w:style>
  <w:style w:type="character" w:customStyle="1" w:styleId="185">
    <w:name w:val="new-icon2"/>
    <w:qFormat/>
    <w:uiPriority w:val="0"/>
  </w:style>
  <w:style w:type="character" w:customStyle="1" w:styleId="186">
    <w:name w:val="new-icon3"/>
    <w:qFormat/>
    <w:uiPriority w:val="0"/>
  </w:style>
  <w:style w:type="character" w:customStyle="1" w:styleId="187">
    <w:name w:val="datetime"/>
    <w:qFormat/>
    <w:uiPriority w:val="0"/>
    <w:rPr>
      <w:color w:val="999999"/>
      <w:sz w:val="21"/>
      <w:szCs w:val="21"/>
    </w:rPr>
  </w:style>
  <w:style w:type="character" w:customStyle="1" w:styleId="188">
    <w:name w:val="msg-box"/>
    <w:qFormat/>
    <w:uiPriority w:val="0"/>
  </w:style>
  <w:style w:type="character" w:customStyle="1" w:styleId="189">
    <w:name w:val="c2"/>
    <w:qFormat/>
    <w:uiPriority w:val="0"/>
  </w:style>
  <w:style w:type="character" w:customStyle="1" w:styleId="190">
    <w:name w:val="c1"/>
    <w:qFormat/>
    <w:uiPriority w:val="0"/>
  </w:style>
  <w:style w:type="character" w:customStyle="1" w:styleId="191">
    <w:name w:val="c3"/>
    <w:qFormat/>
    <w:uiPriority w:val="0"/>
  </w:style>
  <w:style w:type="character" w:customStyle="1" w:styleId="192">
    <w:name w:val="msg-box16"/>
    <w:qFormat/>
    <w:uiPriority w:val="0"/>
  </w:style>
  <w:style w:type="character" w:customStyle="1" w:styleId="193">
    <w:name w:val="ban-dy"/>
    <w:qFormat/>
    <w:uiPriority w:val="0"/>
    <w:rPr>
      <w:sz w:val="27"/>
      <w:szCs w:val="27"/>
    </w:rPr>
  </w:style>
  <w:style w:type="character" w:customStyle="1" w:styleId="194">
    <w:name w:val="am-datepicker-hour"/>
    <w:qFormat/>
    <w:uiPriority w:val="0"/>
  </w:style>
  <w:style w:type="character" w:customStyle="1" w:styleId="195">
    <w:name w:val="cur2"/>
    <w:qFormat/>
    <w:uiPriority w:val="0"/>
    <w:rPr>
      <w:shd w:val="clear" w:color="auto" w:fill="3678D8"/>
    </w:rPr>
  </w:style>
  <w:style w:type="character" w:customStyle="1" w:styleId="196">
    <w:name w:val="cur3"/>
    <w:qFormat/>
    <w:uiPriority w:val="0"/>
    <w:rPr>
      <w:color w:val="3678D8"/>
    </w:rPr>
  </w:style>
  <w:style w:type="character" w:customStyle="1" w:styleId="197">
    <w:name w:val="am-active17"/>
    <w:qFormat/>
    <w:uiPriority w:val="0"/>
    <w:rPr>
      <w:color w:val="0084C7"/>
      <w:shd w:val="clear" w:color="auto" w:fill="F0F0F0"/>
    </w:rPr>
  </w:style>
  <w:style w:type="character" w:customStyle="1" w:styleId="198">
    <w:name w:val="am-active18"/>
    <w:qFormat/>
    <w:uiPriority w:val="0"/>
    <w:rPr>
      <w:color w:val="1B961B"/>
    </w:rPr>
  </w:style>
  <w:style w:type="character" w:customStyle="1" w:styleId="199">
    <w:name w:val="am-active19"/>
    <w:qFormat/>
    <w:uiPriority w:val="0"/>
    <w:rPr>
      <w:color w:val="C10802"/>
    </w:rPr>
  </w:style>
  <w:style w:type="character" w:customStyle="1" w:styleId="200">
    <w:name w:val="am-active20"/>
    <w:qFormat/>
    <w:uiPriority w:val="0"/>
    <w:rPr>
      <w:color w:val="AA4B00"/>
    </w:rPr>
  </w:style>
  <w:style w:type="character" w:customStyle="1" w:styleId="201">
    <w:name w:val="am-disabled16"/>
    <w:qFormat/>
    <w:uiPriority w:val="0"/>
    <w:rPr>
      <w:color w:val="999999"/>
      <w:shd w:val="clear" w:color="auto" w:fill="FAFAFA"/>
    </w:rPr>
  </w:style>
  <w:style w:type="character" w:customStyle="1" w:styleId="202">
    <w:name w:val="am-datepicker-old"/>
    <w:qFormat/>
    <w:uiPriority w:val="0"/>
    <w:rPr>
      <w:color w:val="89D7FF"/>
    </w:rPr>
  </w:style>
  <w:style w:type="character" w:customStyle="1" w:styleId="203">
    <w:name w:val="am-datepicker-old1"/>
    <w:qFormat/>
    <w:uiPriority w:val="0"/>
    <w:rPr>
      <w:color w:val="94DF94"/>
    </w:rPr>
  </w:style>
  <w:style w:type="character" w:customStyle="1" w:styleId="204">
    <w:name w:val="am-datepicker-old2"/>
    <w:qFormat/>
    <w:uiPriority w:val="0"/>
    <w:rPr>
      <w:color w:val="F59490"/>
    </w:rPr>
  </w:style>
  <w:style w:type="character" w:customStyle="1" w:styleId="205">
    <w:name w:val="am-datepicker-old3"/>
    <w:qFormat/>
    <w:uiPriority w:val="0"/>
    <w:rPr>
      <w:color w:val="FFAD6D"/>
    </w:rPr>
  </w:style>
  <w:style w:type="character" w:customStyle="1" w:styleId="206">
    <w:name w:val="am-active1"/>
    <w:qFormat/>
    <w:uiPriority w:val="0"/>
    <w:rPr>
      <w:color w:val="C10802"/>
    </w:rPr>
  </w:style>
  <w:style w:type="character" w:customStyle="1" w:styleId="207">
    <w:name w:val="am-active2"/>
    <w:qFormat/>
    <w:uiPriority w:val="0"/>
    <w:rPr>
      <w:color w:val="0084C7"/>
      <w:shd w:val="clear" w:color="auto" w:fill="F0F0F0"/>
    </w:rPr>
  </w:style>
  <w:style w:type="character" w:customStyle="1" w:styleId="208">
    <w:name w:val="am-active3"/>
    <w:qFormat/>
    <w:uiPriority w:val="0"/>
    <w:rPr>
      <w:color w:val="1B961B"/>
    </w:rPr>
  </w:style>
  <w:style w:type="character" w:customStyle="1" w:styleId="209">
    <w:name w:val="am-active4"/>
    <w:qFormat/>
    <w:uiPriority w:val="0"/>
    <w:rPr>
      <w:color w:val="AA4B00"/>
    </w:rPr>
  </w:style>
  <w:style w:type="paragraph" w:customStyle="1" w:styleId="210">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snapToGrid w:val="0"/>
      <w:color w:val="000000"/>
      <w:kern w:val="0"/>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82</Pages>
  <Words>28319</Words>
  <Characters>30291</Characters>
  <Lines>402</Lines>
  <Paragraphs>113</Paragraphs>
  <TotalTime>87</TotalTime>
  <ScaleCrop>false</ScaleCrop>
  <LinksUpToDate>false</LinksUpToDate>
  <CharactersWithSpaces>30703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2024-12-09T01:33:00Z</dcterms:created>
  <dc:creator>a</dc:creator>
  <cp:lastModifiedBy>圆滚滚</cp:lastModifiedBy>
  <dcterms:modified xsi:type="dcterms:W3CDTF">2026-09-17T09:22:14Z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A0F15310E71E47DD9C7718682E00BFD1_13</vt:lpwstr>
  </property>
  <property fmtid="{D5CDD505-2E9C-101B-9397-08002B2CF9AE}" pid="4" name="KSOTemplateDocerSaveRecord">
    <vt:lpwstr>eyJoZGlkIjoiNDcyOWJmYjBhYmE4ZjhhMmE3YmRiN2U4MWFkNGQxYTQiLCJ1c2VySWQiOiI0MjQ3MDExMzUifQ==</vt:lpwstr>
  </property>
</Properties>
</file>