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B5CC4">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rPr>
      </w:pPr>
      <w:r>
        <w:rPr>
          <w:rFonts w:hint="eastAsia" w:ascii="宋体" w:hAnsi="宋体"/>
          <w:szCs w:val="21"/>
        </w:rPr>
        <w:t>云之龙咨询集团有限公司“超长期特别国债”支持特种设备检验检测仪器更新采购</w:t>
      </w:r>
      <w:r>
        <w:rPr>
          <w:rFonts w:hint="eastAsia" w:ascii="宋体" w:hAnsi="宋体"/>
          <w:szCs w:val="21"/>
          <w:lang w:eastAsia="zh-CN"/>
        </w:rPr>
        <w:t>（</w:t>
      </w:r>
      <w:r>
        <w:rPr>
          <w:rFonts w:hint="eastAsia" w:ascii="宋体" w:hAnsi="宋体"/>
          <w:szCs w:val="21"/>
        </w:rPr>
        <w:t>GXZC2026-G1-002615-YZLZ</w:t>
      </w:r>
      <w:bookmarkStart w:id="35" w:name="_GoBack"/>
      <w:bookmarkEnd w:id="35"/>
      <w:r>
        <w:rPr>
          <w:rFonts w:hint="eastAsia" w:ascii="宋体" w:hAnsi="宋体"/>
          <w:szCs w:val="21"/>
          <w:lang w:eastAsia="zh-CN"/>
        </w:rPr>
        <w:t>）</w:t>
      </w:r>
      <w:r>
        <w:rPr>
          <w:rFonts w:hint="eastAsia"/>
        </w:rPr>
        <w:t>招标公告</w:t>
      </w:r>
    </w:p>
    <w:p w14:paraId="0BFE733E">
      <w:pPr>
        <w:spacing w:line="360" w:lineRule="auto"/>
        <w:rPr>
          <w:rFonts w:ascii="宋体" w:hAnsi="宋体"/>
          <w:szCs w:val="21"/>
        </w:rPr>
      </w:pPr>
    </w:p>
    <w:p w14:paraId="36409CAA">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rPr>
        <w:t>项目概况</w:t>
      </w:r>
    </w:p>
    <w:p w14:paraId="458981A2">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u w:val="single"/>
        </w:rPr>
        <w:t>“超长期特别国债”支持特种设备检验检测仪器更新采购</w:t>
      </w:r>
      <w:r>
        <w:rPr>
          <w:rFonts w:hint="eastAsia" w:ascii="宋体" w:hAnsi="宋体"/>
          <w:szCs w:val="21"/>
        </w:rPr>
        <w:t>项目的潜在投标人应在广西政府采购云平台（</w:t>
      </w:r>
      <w:r>
        <w:rPr>
          <w:rFonts w:hint="eastAsia" w:ascii="宋体" w:hAnsi="宋体"/>
          <w:bCs/>
          <w:szCs w:val="21"/>
        </w:rPr>
        <w:t>https://www.gcy.zfcg.gxzf.gov.cn/</w:t>
      </w:r>
      <w:r>
        <w:rPr>
          <w:rFonts w:hint="eastAsia" w:ascii="宋体" w:hAnsi="宋体"/>
          <w:szCs w:val="21"/>
        </w:rPr>
        <w:t>）获取（下载）招标文件，并于</w:t>
      </w:r>
      <w:r>
        <w:rPr>
          <w:rFonts w:hint="eastAsia" w:ascii="宋体" w:hAnsi="宋体"/>
          <w:szCs w:val="21"/>
          <w:u w:val="single"/>
        </w:rPr>
        <w:t>2026</w:t>
      </w:r>
      <w:r>
        <w:rPr>
          <w:rFonts w:hint="eastAsia" w:ascii="宋体" w:hAnsi="宋体"/>
          <w:bCs/>
          <w:szCs w:val="21"/>
          <w:u w:val="single"/>
        </w:rPr>
        <w:t>年</w:t>
      </w:r>
      <w:r>
        <w:rPr>
          <w:rFonts w:hint="eastAsia" w:ascii="宋体" w:hAnsi="宋体"/>
          <w:bCs/>
          <w:szCs w:val="21"/>
          <w:u w:val="single"/>
          <w:lang w:val="en-US" w:eastAsia="zh-CN"/>
        </w:rPr>
        <w:t>9</w:t>
      </w:r>
      <w:r>
        <w:rPr>
          <w:rFonts w:hint="eastAsia" w:ascii="宋体" w:hAnsi="宋体"/>
          <w:bCs/>
          <w:szCs w:val="21"/>
          <w:u w:val="single"/>
        </w:rPr>
        <w:t>月</w:t>
      </w:r>
      <w:r>
        <w:rPr>
          <w:rFonts w:hint="eastAsia" w:ascii="宋体" w:hAnsi="宋体"/>
          <w:bCs/>
          <w:szCs w:val="21"/>
          <w:u w:val="single"/>
          <w:lang w:val="en-US" w:eastAsia="zh-CN"/>
        </w:rPr>
        <w:t>7</w:t>
      </w:r>
      <w:r>
        <w:rPr>
          <w:rFonts w:hint="eastAsia" w:ascii="宋体" w:hAnsi="宋体"/>
          <w:bCs/>
          <w:szCs w:val="21"/>
          <w:u w:val="single"/>
        </w:rPr>
        <w:t>日9 时30分（</w:t>
      </w:r>
      <w:r>
        <w:rPr>
          <w:rFonts w:hint="eastAsia" w:ascii="宋体" w:hAnsi="宋体"/>
          <w:bCs/>
          <w:szCs w:val="21"/>
        </w:rPr>
        <w:t>北京时间）前按要求递交（上传）投标</w:t>
      </w:r>
      <w:r>
        <w:rPr>
          <w:rFonts w:ascii="宋体" w:hAnsi="宋体"/>
          <w:bCs/>
          <w:szCs w:val="21"/>
        </w:rPr>
        <w:t>文件</w:t>
      </w:r>
      <w:r>
        <w:rPr>
          <w:rFonts w:hint="eastAsia" w:ascii="宋体" w:hAnsi="宋体"/>
          <w:szCs w:val="21"/>
        </w:rPr>
        <w:t>。</w:t>
      </w:r>
    </w:p>
    <w:p w14:paraId="5182BE15">
      <w:pPr>
        <w:spacing w:line="360" w:lineRule="auto"/>
        <w:rPr>
          <w:rFonts w:ascii="宋体" w:hAnsi="宋体"/>
          <w:szCs w:val="21"/>
        </w:rPr>
      </w:pPr>
    </w:p>
    <w:p w14:paraId="65AFE7AD">
      <w:pPr>
        <w:spacing w:line="360" w:lineRule="auto"/>
        <w:rPr>
          <w:rFonts w:ascii="黑体" w:hAnsi="黑体" w:eastAsia="黑体"/>
          <w:b/>
          <w:bCs/>
          <w:sz w:val="24"/>
        </w:rPr>
      </w:pPr>
      <w:bookmarkStart w:id="0" w:name="_Toc28359002"/>
      <w:bookmarkStart w:id="1" w:name="_Toc28359079"/>
      <w:bookmarkStart w:id="2" w:name="_Toc35393790"/>
      <w:bookmarkStart w:id="3" w:name="_Toc35393621"/>
      <w:bookmarkStart w:id="4" w:name="_Hlk24379207"/>
      <w:r>
        <w:rPr>
          <w:rFonts w:hint="eastAsia" w:ascii="黑体" w:hAnsi="黑体" w:eastAsia="黑体"/>
          <w:b/>
          <w:bCs/>
          <w:sz w:val="24"/>
        </w:rPr>
        <w:t>一、项目基本情况</w:t>
      </w:r>
      <w:bookmarkEnd w:id="0"/>
      <w:bookmarkEnd w:id="1"/>
      <w:bookmarkEnd w:id="2"/>
      <w:bookmarkEnd w:id="3"/>
    </w:p>
    <w:p w14:paraId="2C8F7464">
      <w:pPr>
        <w:spacing w:line="360" w:lineRule="auto"/>
        <w:ind w:firstLine="420" w:firstLineChars="200"/>
        <w:rPr>
          <w:rFonts w:hint="eastAsia" w:ascii="宋体" w:hAnsi="宋体"/>
          <w:szCs w:val="21"/>
        </w:rPr>
      </w:pPr>
      <w:r>
        <w:rPr>
          <w:rFonts w:hint="eastAsia" w:ascii="宋体" w:hAnsi="宋体"/>
          <w:szCs w:val="21"/>
        </w:rPr>
        <w:t>项目编号：GXZC2026-G1-002615-YZLZ（采购计划文号：广西政采[2026]17061号）</w:t>
      </w:r>
    </w:p>
    <w:p w14:paraId="66DD7A01">
      <w:pPr>
        <w:spacing w:line="360" w:lineRule="auto"/>
        <w:ind w:firstLine="420" w:firstLineChars="200"/>
        <w:rPr>
          <w:rFonts w:ascii="宋体" w:hAnsi="宋体"/>
          <w:szCs w:val="21"/>
        </w:rPr>
      </w:pPr>
      <w:r>
        <w:rPr>
          <w:rFonts w:hint="eastAsia" w:ascii="宋体" w:hAnsi="宋体"/>
          <w:szCs w:val="21"/>
        </w:rPr>
        <w:t>项目名称：“超长期特别国债”支持特种设备检验检测仪器更新采购</w:t>
      </w:r>
    </w:p>
    <w:bookmarkEnd w:id="4"/>
    <w:p w14:paraId="57491549">
      <w:pPr>
        <w:spacing w:line="360" w:lineRule="auto"/>
        <w:ind w:firstLine="420" w:firstLineChars="200"/>
        <w:rPr>
          <w:rFonts w:ascii="宋体" w:hAnsi="宋体"/>
          <w:szCs w:val="21"/>
          <w:u w:val="single"/>
        </w:rPr>
      </w:pPr>
      <w:r>
        <w:rPr>
          <w:rFonts w:hint="eastAsia"/>
        </w:rPr>
        <w:t>预算总金额</w:t>
      </w:r>
      <w:r>
        <w:rPr>
          <w:rFonts w:hint="eastAsia" w:ascii="宋体" w:hAnsi="宋体"/>
          <w:szCs w:val="21"/>
        </w:rPr>
        <w:t>：1970.18万元；其中分标1：982.38万元；分标2：987.80万元</w:t>
      </w:r>
    </w:p>
    <w:p w14:paraId="3E4E75B2">
      <w:pPr>
        <w:spacing w:line="360" w:lineRule="auto"/>
        <w:ind w:firstLine="420" w:firstLineChars="200"/>
        <w:rPr>
          <w:rFonts w:hint="eastAsia" w:ascii="宋体" w:hAnsi="宋体" w:eastAsia="宋体"/>
          <w:szCs w:val="21"/>
          <w:lang w:eastAsia="zh-CN"/>
        </w:rPr>
      </w:pPr>
      <w:r>
        <w:rPr>
          <w:rFonts w:hint="eastAsia" w:ascii="宋体" w:hAnsi="宋体"/>
          <w:szCs w:val="21"/>
        </w:rPr>
        <w:t>最高限价（如有）：同预算总金额</w:t>
      </w:r>
      <w:r>
        <w:rPr>
          <w:rFonts w:hint="eastAsia" w:ascii="宋体" w:hAnsi="宋体"/>
          <w:szCs w:val="21"/>
          <w:lang w:eastAsia="zh-CN"/>
        </w:rPr>
        <w:t>。</w:t>
      </w:r>
    </w:p>
    <w:p w14:paraId="0BA4ECF1">
      <w:pPr>
        <w:spacing w:line="360" w:lineRule="auto"/>
        <w:ind w:firstLine="420" w:firstLineChars="200"/>
        <w:rPr>
          <w:rFonts w:ascii="宋体" w:hAnsi="宋体"/>
          <w:szCs w:val="21"/>
        </w:rPr>
      </w:pPr>
      <w:r>
        <w:rPr>
          <w:rFonts w:hint="eastAsia" w:ascii="宋体" w:hAnsi="宋体"/>
          <w:szCs w:val="21"/>
        </w:rPr>
        <w:t>采购需求：</w:t>
      </w:r>
      <w:r>
        <w:rPr>
          <w:rFonts w:ascii="宋体" w:hAnsi="宋体"/>
          <w:szCs w:val="21"/>
        </w:rPr>
        <w:t xml:space="preserve"> </w:t>
      </w:r>
    </w:p>
    <w:tbl>
      <w:tblPr>
        <w:tblStyle w:val="5"/>
        <w:tblW w:w="5440" w:type="pct"/>
        <w:tblInd w:w="-497" w:type="dxa"/>
        <w:tblLayout w:type="autofit"/>
        <w:tblCellMar>
          <w:top w:w="0" w:type="dxa"/>
          <w:left w:w="108" w:type="dxa"/>
          <w:bottom w:w="0" w:type="dxa"/>
          <w:right w:w="108" w:type="dxa"/>
        </w:tblCellMar>
      </w:tblPr>
      <w:tblGrid>
        <w:gridCol w:w="677"/>
        <w:gridCol w:w="1402"/>
        <w:gridCol w:w="816"/>
        <w:gridCol w:w="1001"/>
        <w:gridCol w:w="5376"/>
      </w:tblGrid>
      <w:tr w14:paraId="37577637">
        <w:tblPrEx>
          <w:tblCellMar>
            <w:top w:w="0" w:type="dxa"/>
            <w:left w:w="108" w:type="dxa"/>
            <w:bottom w:w="0" w:type="dxa"/>
            <w:right w:w="108" w:type="dxa"/>
          </w:tblCellMar>
        </w:tblPrEx>
        <w:trPr>
          <w:trHeight w:val="567" w:hRule="atLeast"/>
        </w:trPr>
        <w:tc>
          <w:tcPr>
            <w:tcW w:w="5000" w:type="pct"/>
            <w:gridSpan w:val="5"/>
            <w:tcBorders>
              <w:top w:val="single" w:color="000000" w:sz="4" w:space="0"/>
              <w:left w:val="single" w:color="000000" w:sz="4" w:space="0"/>
              <w:bottom w:val="single" w:color="000000" w:sz="4" w:space="0"/>
              <w:right w:val="single" w:color="000000" w:sz="4" w:space="0"/>
            </w:tcBorders>
            <w:noWrap w:val="0"/>
            <w:vAlign w:val="center"/>
          </w:tcPr>
          <w:p w14:paraId="4CB472B6">
            <w:pPr>
              <w:widowControl/>
              <w:jc w:val="both"/>
              <w:textAlignment w:val="center"/>
              <w:rPr>
                <w:rFonts w:hint="eastAsia" w:ascii="宋体" w:hAnsi="宋体" w:cs="宋体"/>
                <w:b/>
                <w:bCs/>
                <w:szCs w:val="21"/>
              </w:rPr>
            </w:pPr>
            <w:r>
              <w:rPr>
                <w:rFonts w:hint="eastAsia" w:ascii="宋体" w:hAnsi="宋体"/>
                <w:b/>
                <w:bCs/>
                <w:szCs w:val="21"/>
              </w:rPr>
              <w:t>分标1   预算金额：982.38万元</w:t>
            </w:r>
          </w:p>
        </w:tc>
      </w:tr>
      <w:tr w14:paraId="5762C1BE">
        <w:tblPrEx>
          <w:tblCellMar>
            <w:top w:w="0" w:type="dxa"/>
            <w:left w:w="108" w:type="dxa"/>
            <w:bottom w:w="0" w:type="dxa"/>
            <w:right w:w="108" w:type="dxa"/>
          </w:tblCellMar>
        </w:tblPrEx>
        <w:trPr>
          <w:trHeight w:val="567" w:hRule="atLeast"/>
        </w:trPr>
        <w:tc>
          <w:tcPr>
            <w:tcW w:w="365" w:type="pct"/>
            <w:tcBorders>
              <w:top w:val="single" w:color="000000" w:sz="4" w:space="0"/>
              <w:left w:val="single" w:color="000000" w:sz="4" w:space="0"/>
              <w:bottom w:val="single" w:color="000000" w:sz="4" w:space="0"/>
              <w:right w:val="single" w:color="000000" w:sz="4" w:space="0"/>
            </w:tcBorders>
            <w:noWrap w:val="0"/>
            <w:vAlign w:val="center"/>
          </w:tcPr>
          <w:p w14:paraId="39BA128A">
            <w:pPr>
              <w:widowControl/>
              <w:jc w:val="center"/>
              <w:textAlignment w:val="center"/>
              <w:rPr>
                <w:rFonts w:hint="eastAsia" w:ascii="宋体" w:hAnsi="宋体" w:cs="宋体"/>
                <w:b w:val="0"/>
                <w:bCs w:val="0"/>
                <w:kern w:val="0"/>
                <w:szCs w:val="21"/>
                <w:lang w:bidi="ar"/>
              </w:rPr>
            </w:pPr>
            <w:r>
              <w:rPr>
                <w:rFonts w:hint="eastAsia" w:ascii="宋体" w:hAnsi="宋体" w:cs="宋体"/>
                <w:b w:val="0"/>
                <w:bCs w:val="0"/>
                <w:kern w:val="0"/>
                <w:szCs w:val="21"/>
                <w:lang w:bidi="ar"/>
              </w:rPr>
              <w:t>序号</w:t>
            </w:r>
          </w:p>
        </w:tc>
        <w:tc>
          <w:tcPr>
            <w:tcW w:w="756" w:type="pct"/>
            <w:tcBorders>
              <w:top w:val="single" w:color="000000" w:sz="4" w:space="0"/>
              <w:left w:val="single" w:color="000000" w:sz="4" w:space="0"/>
              <w:bottom w:val="single" w:color="000000" w:sz="4" w:space="0"/>
              <w:right w:val="single" w:color="000000" w:sz="4" w:space="0"/>
            </w:tcBorders>
            <w:noWrap w:val="0"/>
            <w:vAlign w:val="center"/>
          </w:tcPr>
          <w:p w14:paraId="335C1186">
            <w:pPr>
              <w:widowControl/>
              <w:jc w:val="center"/>
              <w:textAlignment w:val="center"/>
              <w:rPr>
                <w:rFonts w:hint="eastAsia" w:ascii="宋体" w:hAnsi="宋体" w:cs="宋体"/>
                <w:b w:val="0"/>
                <w:bCs w:val="0"/>
                <w:kern w:val="0"/>
                <w:szCs w:val="21"/>
                <w:lang w:bidi="ar"/>
              </w:rPr>
            </w:pPr>
            <w:r>
              <w:rPr>
                <w:rFonts w:hint="eastAsia" w:ascii="宋体" w:hAnsi="宋体" w:cs="宋体"/>
                <w:b w:val="0"/>
                <w:bCs w:val="0"/>
                <w:kern w:val="0"/>
                <w:szCs w:val="21"/>
                <w:lang w:bidi="ar"/>
              </w:rPr>
              <w:t>设备名称</w:t>
            </w:r>
          </w:p>
        </w:tc>
        <w:tc>
          <w:tcPr>
            <w:tcW w:w="440" w:type="pct"/>
            <w:tcBorders>
              <w:top w:val="single" w:color="000000" w:sz="4" w:space="0"/>
              <w:left w:val="single" w:color="000000" w:sz="4" w:space="0"/>
              <w:bottom w:val="single" w:color="000000" w:sz="4" w:space="0"/>
              <w:right w:val="single" w:color="000000" w:sz="4" w:space="0"/>
            </w:tcBorders>
            <w:noWrap w:val="0"/>
            <w:vAlign w:val="center"/>
          </w:tcPr>
          <w:p w14:paraId="0C7483A6">
            <w:pPr>
              <w:widowControl/>
              <w:jc w:val="center"/>
              <w:textAlignment w:val="center"/>
              <w:rPr>
                <w:rFonts w:hint="eastAsia" w:ascii="宋体" w:hAnsi="宋体" w:cs="宋体"/>
                <w:b w:val="0"/>
                <w:bCs w:val="0"/>
                <w:kern w:val="0"/>
                <w:szCs w:val="21"/>
                <w:lang w:bidi="ar"/>
              </w:rPr>
            </w:pPr>
            <w:r>
              <w:rPr>
                <w:rFonts w:hint="eastAsia" w:ascii="宋体" w:hAnsi="宋体" w:cs="宋体"/>
                <w:b w:val="0"/>
                <w:bCs w:val="0"/>
                <w:kern w:val="0"/>
                <w:szCs w:val="21"/>
                <w:lang w:bidi="ar"/>
              </w:rPr>
              <w:t xml:space="preserve">数量           </w:t>
            </w:r>
          </w:p>
        </w:tc>
        <w:tc>
          <w:tcPr>
            <w:tcW w:w="540" w:type="pct"/>
            <w:tcBorders>
              <w:top w:val="single" w:color="000000" w:sz="4" w:space="0"/>
              <w:left w:val="single" w:color="000000" w:sz="4" w:space="0"/>
              <w:bottom w:val="single" w:color="000000" w:sz="4" w:space="0"/>
              <w:right w:val="single" w:color="000000" w:sz="4" w:space="0"/>
            </w:tcBorders>
            <w:noWrap w:val="0"/>
            <w:vAlign w:val="center"/>
          </w:tcPr>
          <w:p w14:paraId="484D38AA">
            <w:pPr>
              <w:widowControl/>
              <w:jc w:val="center"/>
              <w:textAlignment w:val="center"/>
              <w:rPr>
                <w:rFonts w:hint="eastAsia" w:ascii="宋体" w:hAnsi="宋体" w:cs="宋体"/>
                <w:b w:val="0"/>
                <w:bCs w:val="0"/>
                <w:kern w:val="0"/>
                <w:szCs w:val="21"/>
                <w:lang w:bidi="ar"/>
              </w:rPr>
            </w:pPr>
            <w:r>
              <w:rPr>
                <w:rFonts w:hint="eastAsia" w:ascii="宋体" w:hAnsi="宋体" w:cs="宋体"/>
                <w:b w:val="0"/>
                <w:bCs w:val="0"/>
                <w:kern w:val="0"/>
                <w:szCs w:val="21"/>
                <w:lang w:bidi="ar"/>
              </w:rPr>
              <w:t>单位</w:t>
            </w:r>
          </w:p>
        </w:tc>
        <w:tc>
          <w:tcPr>
            <w:tcW w:w="2897" w:type="pct"/>
            <w:tcBorders>
              <w:top w:val="single" w:color="000000" w:sz="4" w:space="0"/>
              <w:left w:val="single" w:color="000000" w:sz="4" w:space="0"/>
              <w:bottom w:val="single" w:color="000000" w:sz="4" w:space="0"/>
              <w:right w:val="single" w:color="000000" w:sz="4" w:space="0"/>
            </w:tcBorders>
            <w:noWrap w:val="0"/>
            <w:vAlign w:val="center"/>
          </w:tcPr>
          <w:p w14:paraId="43000B3A">
            <w:pPr>
              <w:widowControl/>
              <w:jc w:val="center"/>
              <w:textAlignment w:val="center"/>
              <w:rPr>
                <w:rFonts w:hint="eastAsia" w:ascii="宋体" w:hAnsi="宋体"/>
                <w:b w:val="0"/>
                <w:bCs w:val="0"/>
                <w:szCs w:val="21"/>
              </w:rPr>
            </w:pPr>
            <w:r>
              <w:rPr>
                <w:rFonts w:hint="eastAsia" w:ascii="宋体" w:hAnsi="宋体"/>
                <w:b w:val="0"/>
                <w:bCs w:val="0"/>
                <w:szCs w:val="21"/>
              </w:rPr>
              <w:t>简要技术需求或者服务要求</w:t>
            </w:r>
          </w:p>
        </w:tc>
      </w:tr>
      <w:tr w14:paraId="01F4A0A7">
        <w:tblPrEx>
          <w:tblCellMar>
            <w:top w:w="0" w:type="dxa"/>
            <w:left w:w="108" w:type="dxa"/>
            <w:bottom w:w="0" w:type="dxa"/>
            <w:right w:w="108" w:type="dxa"/>
          </w:tblCellMar>
        </w:tblPrEx>
        <w:trPr>
          <w:trHeight w:val="567" w:hRule="atLeast"/>
        </w:trPr>
        <w:tc>
          <w:tcPr>
            <w:tcW w:w="365" w:type="pct"/>
            <w:tcBorders>
              <w:top w:val="single" w:color="000000" w:sz="4" w:space="0"/>
              <w:left w:val="single" w:color="000000" w:sz="4" w:space="0"/>
              <w:bottom w:val="single" w:color="000000" w:sz="4" w:space="0"/>
              <w:right w:val="single" w:color="000000" w:sz="4" w:space="0"/>
            </w:tcBorders>
            <w:noWrap w:val="0"/>
            <w:vAlign w:val="center"/>
          </w:tcPr>
          <w:p w14:paraId="36B25B5F">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756" w:type="pct"/>
            <w:tcBorders>
              <w:top w:val="single" w:color="000000" w:sz="4" w:space="0"/>
              <w:left w:val="single" w:color="000000" w:sz="4" w:space="0"/>
              <w:bottom w:val="single" w:color="000000" w:sz="4" w:space="0"/>
              <w:right w:val="single" w:color="000000" w:sz="4" w:space="0"/>
            </w:tcBorders>
            <w:noWrap w:val="0"/>
            <w:vAlign w:val="center"/>
          </w:tcPr>
          <w:p w14:paraId="6EECF1E3">
            <w:pPr>
              <w:widowControl/>
              <w:jc w:val="left"/>
              <w:textAlignment w:val="center"/>
              <w:rPr>
                <w:rFonts w:hint="eastAsia" w:ascii="宋体" w:hAnsi="宋体" w:cs="宋体"/>
                <w:szCs w:val="21"/>
              </w:rPr>
            </w:pPr>
            <w:r>
              <w:rPr>
                <w:rFonts w:hint="eastAsia" w:ascii="宋体" w:hAnsi="宋体" w:cs="宋体"/>
                <w:color w:val="000000"/>
                <w:kern w:val="0"/>
                <w:szCs w:val="21"/>
                <w:lang w:bidi="ar"/>
              </w:rPr>
              <w:t>厂车制动性能检测仪</w:t>
            </w:r>
          </w:p>
        </w:tc>
        <w:tc>
          <w:tcPr>
            <w:tcW w:w="440" w:type="pct"/>
            <w:tcBorders>
              <w:top w:val="single" w:color="000000" w:sz="4" w:space="0"/>
              <w:left w:val="single" w:color="000000" w:sz="4" w:space="0"/>
              <w:bottom w:val="single" w:color="000000" w:sz="4" w:space="0"/>
              <w:right w:val="single" w:color="000000" w:sz="4" w:space="0"/>
            </w:tcBorders>
            <w:noWrap w:val="0"/>
            <w:vAlign w:val="center"/>
          </w:tcPr>
          <w:p w14:paraId="675B5DB2">
            <w:pPr>
              <w:widowControl/>
              <w:jc w:val="center"/>
              <w:textAlignment w:val="center"/>
              <w:rPr>
                <w:rFonts w:hint="eastAsia" w:ascii="宋体" w:hAnsi="宋体" w:cs="宋体"/>
                <w:szCs w:val="21"/>
              </w:rPr>
            </w:pPr>
            <w:r>
              <w:rPr>
                <w:rFonts w:hint="eastAsia" w:ascii="宋体" w:hAnsi="宋体" w:cs="宋体"/>
                <w:color w:val="000000"/>
                <w:kern w:val="0"/>
                <w:szCs w:val="21"/>
                <w:lang w:bidi="ar"/>
              </w:rPr>
              <w:t>10</w:t>
            </w:r>
          </w:p>
        </w:tc>
        <w:tc>
          <w:tcPr>
            <w:tcW w:w="540" w:type="pct"/>
            <w:tcBorders>
              <w:top w:val="single" w:color="000000" w:sz="4" w:space="0"/>
              <w:left w:val="single" w:color="000000" w:sz="4" w:space="0"/>
              <w:bottom w:val="single" w:color="000000" w:sz="4" w:space="0"/>
              <w:right w:val="single" w:color="000000" w:sz="4" w:space="0"/>
            </w:tcBorders>
            <w:noWrap w:val="0"/>
            <w:vAlign w:val="center"/>
          </w:tcPr>
          <w:p w14:paraId="6BE4970F">
            <w:pPr>
              <w:widowControl/>
              <w:jc w:val="center"/>
              <w:textAlignment w:val="center"/>
              <w:rPr>
                <w:rFonts w:hint="eastAsia" w:ascii="宋体" w:hAnsi="宋体" w:eastAsia="宋体" w:cs="宋体"/>
                <w:kern w:val="0"/>
                <w:szCs w:val="21"/>
                <w:lang w:val="en-US" w:eastAsia="zh-CN" w:bidi="ar"/>
              </w:rPr>
            </w:pPr>
            <w:r>
              <w:rPr>
                <w:rFonts w:hint="eastAsia"/>
                <w:lang w:val="en-US" w:eastAsia="zh-CN"/>
              </w:rPr>
              <w:t>套</w:t>
            </w:r>
          </w:p>
        </w:tc>
        <w:tc>
          <w:tcPr>
            <w:tcW w:w="2897" w:type="pct"/>
            <w:tcBorders>
              <w:top w:val="single" w:color="000000" w:sz="4" w:space="0"/>
              <w:left w:val="single" w:color="000000" w:sz="4" w:space="0"/>
              <w:bottom w:val="single" w:color="000000" w:sz="4" w:space="0"/>
              <w:right w:val="single" w:color="000000" w:sz="4" w:space="0"/>
            </w:tcBorders>
            <w:noWrap w:val="0"/>
            <w:vAlign w:val="center"/>
          </w:tcPr>
          <w:p w14:paraId="4B886038">
            <w:pPr>
              <w:widowControl/>
              <w:jc w:val="left"/>
              <w:textAlignment w:val="center"/>
              <w:rPr>
                <w:rFonts w:hint="default" w:ascii="宋体" w:hAnsi="宋体" w:eastAsia="宋体" w:cs="宋体"/>
                <w:szCs w:val="21"/>
                <w:lang w:val="en-US" w:eastAsia="zh-CN"/>
              </w:rPr>
            </w:pPr>
            <w:r>
              <w:rPr>
                <w:rFonts w:hint="eastAsia" w:ascii="宋体" w:hAnsi="宋体" w:cs="宋体"/>
                <w:color w:val="000000"/>
                <w:kern w:val="0"/>
                <w:szCs w:val="21"/>
                <w:lang w:bidi="ar"/>
              </w:rPr>
              <w:t>一、技术参数：</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▲1.制动距离：0-100m ，精度：±0.1m；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2.速度：0-50km/h ，精度：±0.02 km/h；</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3.加减速度：0-2 g，精度：±0.02m/s²；</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▲4.踏板力：0-1000N，精度：±0.1N；</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5.手刹力：0-700N， 精度：±0.1N；</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6.通信距离：≥20m；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7.采样速率：2000Hz；</w:t>
            </w:r>
            <w:r>
              <w:rPr>
                <w:rFonts w:hint="eastAsia" w:ascii="宋体" w:hAnsi="宋体" w:cs="宋体"/>
                <w:color w:val="000000"/>
                <w:kern w:val="0"/>
                <w:szCs w:val="21"/>
                <w:lang w:bidi="ar"/>
              </w:rPr>
              <w:br w:type="textWrapping"/>
            </w:r>
            <w:r>
              <w:rPr>
                <w:rFonts w:hint="eastAsia" w:ascii="宋体" w:hAnsi="宋体" w:cs="宋体"/>
                <w:color w:val="000000"/>
                <w:kern w:val="0"/>
                <w:szCs w:val="21"/>
                <w:lang w:val="en-US" w:eastAsia="zh-CN" w:bidi="ar"/>
              </w:rPr>
              <w:t>......具体详见第二章 采购需求。</w:t>
            </w:r>
          </w:p>
        </w:tc>
      </w:tr>
      <w:tr w14:paraId="3FF1D3EF">
        <w:tblPrEx>
          <w:tblCellMar>
            <w:top w:w="0" w:type="dxa"/>
            <w:left w:w="108" w:type="dxa"/>
            <w:bottom w:w="0" w:type="dxa"/>
            <w:right w:w="108" w:type="dxa"/>
          </w:tblCellMar>
        </w:tblPrEx>
        <w:trPr>
          <w:trHeight w:val="567" w:hRule="atLeast"/>
        </w:trPr>
        <w:tc>
          <w:tcPr>
            <w:tcW w:w="365" w:type="pct"/>
            <w:tcBorders>
              <w:top w:val="single" w:color="000000" w:sz="4" w:space="0"/>
              <w:left w:val="single" w:color="000000" w:sz="4" w:space="0"/>
              <w:bottom w:val="single" w:color="000000" w:sz="4" w:space="0"/>
              <w:right w:val="single" w:color="000000" w:sz="4" w:space="0"/>
            </w:tcBorders>
            <w:noWrap w:val="0"/>
            <w:vAlign w:val="center"/>
          </w:tcPr>
          <w:p w14:paraId="2DB4BAB9">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756" w:type="pct"/>
            <w:tcBorders>
              <w:top w:val="single" w:color="000000" w:sz="4" w:space="0"/>
              <w:left w:val="single" w:color="000000" w:sz="4" w:space="0"/>
              <w:bottom w:val="single" w:color="000000" w:sz="4" w:space="0"/>
              <w:right w:val="single" w:color="000000" w:sz="4" w:space="0"/>
            </w:tcBorders>
            <w:noWrap w:val="0"/>
            <w:vAlign w:val="center"/>
          </w:tcPr>
          <w:p w14:paraId="437D1649">
            <w:pPr>
              <w:widowControl/>
              <w:jc w:val="left"/>
              <w:textAlignment w:val="center"/>
              <w:rPr>
                <w:rFonts w:hint="eastAsia" w:ascii="宋体" w:hAnsi="宋体" w:cs="宋体"/>
                <w:szCs w:val="21"/>
              </w:rPr>
            </w:pPr>
            <w:r>
              <w:rPr>
                <w:rFonts w:hint="eastAsia" w:ascii="宋体" w:hAnsi="宋体" w:cs="宋体"/>
                <w:color w:val="000000"/>
                <w:kern w:val="0"/>
                <w:szCs w:val="21"/>
                <w:lang w:bidi="ar"/>
              </w:rPr>
              <w:t>烟气分析仪</w:t>
            </w:r>
          </w:p>
        </w:tc>
        <w:tc>
          <w:tcPr>
            <w:tcW w:w="440" w:type="pct"/>
            <w:tcBorders>
              <w:top w:val="single" w:color="000000" w:sz="4" w:space="0"/>
              <w:left w:val="single" w:color="000000" w:sz="4" w:space="0"/>
              <w:bottom w:val="single" w:color="000000" w:sz="4" w:space="0"/>
              <w:right w:val="single" w:color="000000" w:sz="4" w:space="0"/>
            </w:tcBorders>
            <w:noWrap w:val="0"/>
            <w:vAlign w:val="center"/>
          </w:tcPr>
          <w:p w14:paraId="402031C4">
            <w:pPr>
              <w:widowControl/>
              <w:jc w:val="center"/>
              <w:textAlignment w:val="center"/>
              <w:rPr>
                <w:rFonts w:hint="eastAsia" w:ascii="宋体" w:hAnsi="宋体" w:cs="宋体"/>
                <w:szCs w:val="21"/>
              </w:rPr>
            </w:pPr>
            <w:r>
              <w:rPr>
                <w:rFonts w:hint="eastAsia" w:ascii="宋体" w:hAnsi="宋体" w:cs="宋体"/>
                <w:color w:val="000000"/>
                <w:kern w:val="0"/>
                <w:szCs w:val="21"/>
                <w:lang w:bidi="ar"/>
              </w:rPr>
              <w:t>1</w:t>
            </w:r>
          </w:p>
        </w:tc>
        <w:tc>
          <w:tcPr>
            <w:tcW w:w="540" w:type="pct"/>
            <w:tcBorders>
              <w:top w:val="single" w:color="000000" w:sz="4" w:space="0"/>
              <w:left w:val="single" w:color="000000" w:sz="4" w:space="0"/>
              <w:bottom w:val="single" w:color="000000" w:sz="4" w:space="0"/>
              <w:right w:val="single" w:color="000000" w:sz="4" w:space="0"/>
            </w:tcBorders>
            <w:noWrap w:val="0"/>
            <w:vAlign w:val="center"/>
          </w:tcPr>
          <w:p w14:paraId="2F90BB53">
            <w:pPr>
              <w:widowControl/>
              <w:jc w:val="center"/>
              <w:textAlignment w:val="center"/>
              <w:rPr>
                <w:rFonts w:ascii="宋体" w:hAnsi="宋体" w:cs="宋体"/>
                <w:kern w:val="0"/>
                <w:szCs w:val="21"/>
                <w:lang w:bidi="ar"/>
              </w:rPr>
            </w:pPr>
            <w:r>
              <w:rPr>
                <w:rFonts w:hint="eastAsia" w:ascii="宋体" w:hAnsi="宋体" w:cs="宋体"/>
                <w:kern w:val="0"/>
                <w:szCs w:val="21"/>
                <w:lang w:bidi="ar"/>
              </w:rPr>
              <w:t>套</w:t>
            </w:r>
          </w:p>
        </w:tc>
        <w:tc>
          <w:tcPr>
            <w:tcW w:w="2897" w:type="pct"/>
            <w:tcBorders>
              <w:top w:val="single" w:color="000000" w:sz="4" w:space="0"/>
              <w:left w:val="single" w:color="000000" w:sz="4" w:space="0"/>
              <w:bottom w:val="single" w:color="000000" w:sz="4" w:space="0"/>
              <w:right w:val="single" w:color="000000" w:sz="4" w:space="0"/>
            </w:tcBorders>
            <w:noWrap w:val="0"/>
            <w:vAlign w:val="center"/>
          </w:tcPr>
          <w:p w14:paraId="5C553EB6">
            <w:pPr>
              <w:widowControl/>
              <w:jc w:val="left"/>
              <w:textAlignment w:val="center"/>
              <w:rPr>
                <w:rFonts w:hint="eastAsia" w:ascii="宋体" w:hAnsi="宋体" w:cs="宋体"/>
                <w:szCs w:val="21"/>
                <w:highlight w:val="none"/>
              </w:rPr>
            </w:pPr>
            <w:r>
              <w:rPr>
                <w:rFonts w:hint="eastAsia" w:ascii="宋体" w:hAnsi="宋体" w:cs="宋体"/>
                <w:color w:val="000000"/>
                <w:kern w:val="0"/>
                <w:szCs w:val="21"/>
                <w:highlight w:val="none"/>
                <w:lang w:bidi="ar"/>
              </w:rPr>
              <w:t>一、技术参数：</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1.彩色显示屏，中文操作界面，</w:t>
            </w:r>
            <w:r>
              <w:rPr>
                <w:rFonts w:hint="eastAsia"/>
                <w:highlight w:val="none"/>
              </w:rPr>
              <w:t>现场数据显示要求：</w:t>
            </w:r>
            <w:r>
              <w:rPr>
                <w:rFonts w:hint="eastAsia" w:ascii="宋体" w:hAnsi="宋体" w:cs="宋体"/>
                <w:color w:val="000000"/>
                <w:kern w:val="0"/>
                <w:szCs w:val="21"/>
                <w:highlight w:val="none"/>
                <w:lang w:bidi="ar"/>
              </w:rPr>
              <w:t>8行显示。</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2.具有测量数据储存功能,可以存储最多250000个测量值。</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3.具有数据打印功能，同时具有数据导出功能，可通过USB连接线与电脑连接导出数据，导出数据为pdf或excel格式，导出数据既有数据表也有曲线图示。</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▲4.传感器参数：</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4.1 O</w:t>
            </w:r>
            <w:r>
              <w:rPr>
                <w:rFonts w:hint="eastAsia" w:ascii="宋体" w:hAnsi="宋体" w:cs="宋体"/>
                <w:color w:val="000000"/>
                <w:kern w:val="0"/>
                <w:szCs w:val="21"/>
                <w:highlight w:val="none"/>
                <w:vertAlign w:val="subscript"/>
                <w:lang w:bidi="ar"/>
              </w:rPr>
              <w:t>2</w:t>
            </w:r>
            <w:r>
              <w:rPr>
                <w:rFonts w:hint="eastAsia" w:ascii="宋体" w:hAnsi="宋体" w:cs="宋体"/>
                <w:color w:val="000000"/>
                <w:kern w:val="0"/>
                <w:szCs w:val="21"/>
                <w:highlight w:val="none"/>
                <w:lang w:bidi="ar"/>
              </w:rPr>
              <w:t>气体传感器，量程0～+25%，精度±0.8%满量程，分辨率0.01</w:t>
            </w:r>
            <w:r>
              <w:rPr>
                <w:rFonts w:hint="eastAsia"/>
                <w:highlight w:val="none"/>
              </w:rPr>
              <w:t>Vol%</w:t>
            </w:r>
            <w:r>
              <w:rPr>
                <w:rFonts w:hint="eastAsia" w:ascii="宋体" w:hAnsi="宋体" w:cs="宋体"/>
                <w:color w:val="000000"/>
                <w:kern w:val="0"/>
                <w:szCs w:val="21"/>
                <w:highlight w:val="none"/>
                <w:lang w:bidi="ar"/>
              </w:rPr>
              <w:t>，响应时间t95=20s。</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4.2 CO气体传感器，带氢气补偿功能，带层析过滤器，量程0～10000ppm，精度±10ppm（0-199ppm），±5%测量值（其余量程），分辨率1ppm，响应时间t90=40s。</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lang w:val="en-US" w:eastAsia="zh-CN" w:bidi="ar"/>
              </w:rPr>
              <w:t>......具体详见第二章 采购需求。</w:t>
            </w:r>
          </w:p>
        </w:tc>
      </w:tr>
      <w:tr w14:paraId="26AAF1A5">
        <w:tblPrEx>
          <w:tblCellMar>
            <w:top w:w="0" w:type="dxa"/>
            <w:left w:w="108" w:type="dxa"/>
            <w:bottom w:w="0" w:type="dxa"/>
            <w:right w:w="108" w:type="dxa"/>
          </w:tblCellMar>
        </w:tblPrEx>
        <w:trPr>
          <w:trHeight w:val="567" w:hRule="atLeast"/>
        </w:trPr>
        <w:tc>
          <w:tcPr>
            <w:tcW w:w="365" w:type="pct"/>
            <w:tcBorders>
              <w:top w:val="single" w:color="000000" w:sz="4" w:space="0"/>
              <w:left w:val="single" w:color="000000" w:sz="4" w:space="0"/>
              <w:bottom w:val="single" w:color="000000" w:sz="4" w:space="0"/>
              <w:right w:val="single" w:color="000000" w:sz="4" w:space="0"/>
            </w:tcBorders>
            <w:noWrap w:val="0"/>
            <w:vAlign w:val="center"/>
          </w:tcPr>
          <w:p w14:paraId="31F997E7">
            <w:pPr>
              <w:widowControl/>
              <w:jc w:val="center"/>
              <w:textAlignment w:val="center"/>
              <w:rPr>
                <w:rFonts w:hint="eastAsia" w:ascii="宋体" w:hAnsi="宋体" w:cs="宋体"/>
                <w:szCs w:val="21"/>
              </w:rPr>
            </w:pPr>
            <w:r>
              <w:rPr>
                <w:rFonts w:hint="eastAsia" w:ascii="宋体" w:hAnsi="宋体" w:cs="宋体"/>
                <w:kern w:val="0"/>
                <w:szCs w:val="21"/>
                <w:lang w:bidi="ar"/>
              </w:rPr>
              <w:t>3</w:t>
            </w:r>
          </w:p>
        </w:tc>
        <w:tc>
          <w:tcPr>
            <w:tcW w:w="756" w:type="pct"/>
            <w:tcBorders>
              <w:top w:val="single" w:color="000000" w:sz="4" w:space="0"/>
              <w:left w:val="single" w:color="000000" w:sz="4" w:space="0"/>
              <w:bottom w:val="single" w:color="000000" w:sz="4" w:space="0"/>
              <w:right w:val="single" w:color="000000" w:sz="4" w:space="0"/>
            </w:tcBorders>
            <w:noWrap w:val="0"/>
            <w:vAlign w:val="center"/>
          </w:tcPr>
          <w:p w14:paraId="7AE8FAC8">
            <w:pPr>
              <w:widowControl/>
              <w:jc w:val="left"/>
              <w:textAlignment w:val="center"/>
              <w:rPr>
                <w:rFonts w:hint="eastAsia" w:ascii="宋体" w:hAnsi="宋体" w:cs="宋体"/>
                <w:szCs w:val="21"/>
              </w:rPr>
            </w:pPr>
            <w:r>
              <w:rPr>
                <w:rFonts w:hint="eastAsia" w:ascii="宋体" w:hAnsi="宋体" w:cs="宋体"/>
                <w:color w:val="000000"/>
                <w:kern w:val="0"/>
                <w:szCs w:val="21"/>
                <w:lang w:bidi="ar"/>
              </w:rPr>
              <w:t>高温热电偶温度计</w:t>
            </w:r>
          </w:p>
        </w:tc>
        <w:tc>
          <w:tcPr>
            <w:tcW w:w="440" w:type="pct"/>
            <w:tcBorders>
              <w:top w:val="single" w:color="000000" w:sz="4" w:space="0"/>
              <w:left w:val="single" w:color="000000" w:sz="4" w:space="0"/>
              <w:bottom w:val="single" w:color="000000" w:sz="4" w:space="0"/>
              <w:right w:val="single" w:color="000000" w:sz="4" w:space="0"/>
            </w:tcBorders>
            <w:noWrap w:val="0"/>
            <w:vAlign w:val="center"/>
          </w:tcPr>
          <w:p w14:paraId="7556EF5B">
            <w:pPr>
              <w:widowControl/>
              <w:jc w:val="center"/>
              <w:textAlignment w:val="center"/>
              <w:rPr>
                <w:rFonts w:hint="eastAsia" w:ascii="宋体" w:hAnsi="宋体" w:cs="宋体"/>
                <w:szCs w:val="21"/>
              </w:rPr>
            </w:pPr>
            <w:r>
              <w:rPr>
                <w:rFonts w:hint="eastAsia" w:ascii="宋体" w:hAnsi="宋体" w:cs="宋体"/>
                <w:color w:val="000000"/>
                <w:kern w:val="0"/>
                <w:szCs w:val="21"/>
                <w:lang w:bidi="ar"/>
              </w:rPr>
              <w:t>1</w:t>
            </w:r>
          </w:p>
        </w:tc>
        <w:tc>
          <w:tcPr>
            <w:tcW w:w="540" w:type="pct"/>
            <w:tcBorders>
              <w:top w:val="single" w:color="000000" w:sz="4" w:space="0"/>
              <w:left w:val="single" w:color="000000" w:sz="4" w:space="0"/>
              <w:bottom w:val="single" w:color="000000" w:sz="4" w:space="0"/>
              <w:right w:val="single" w:color="000000" w:sz="4" w:space="0"/>
            </w:tcBorders>
            <w:noWrap w:val="0"/>
            <w:vAlign w:val="center"/>
          </w:tcPr>
          <w:p w14:paraId="6E1D8F4D">
            <w:pPr>
              <w:widowControl/>
              <w:jc w:val="center"/>
              <w:textAlignment w:val="center"/>
              <w:rPr>
                <w:rFonts w:ascii="宋体" w:hAnsi="宋体" w:cs="宋体"/>
                <w:kern w:val="0"/>
                <w:szCs w:val="21"/>
                <w:lang w:bidi="ar"/>
              </w:rPr>
            </w:pPr>
            <w:r>
              <w:rPr>
                <w:rFonts w:hint="eastAsia" w:ascii="宋体" w:hAnsi="宋体" w:cs="宋体"/>
                <w:kern w:val="0"/>
                <w:szCs w:val="21"/>
                <w:lang w:bidi="ar"/>
              </w:rPr>
              <w:t>台</w:t>
            </w:r>
          </w:p>
        </w:tc>
        <w:tc>
          <w:tcPr>
            <w:tcW w:w="2897" w:type="pct"/>
            <w:tcBorders>
              <w:top w:val="single" w:color="000000" w:sz="4" w:space="0"/>
              <w:left w:val="single" w:color="000000" w:sz="4" w:space="0"/>
              <w:bottom w:val="single" w:color="000000" w:sz="4" w:space="0"/>
              <w:right w:val="single" w:color="000000" w:sz="4" w:space="0"/>
            </w:tcBorders>
            <w:noWrap w:val="0"/>
            <w:vAlign w:val="center"/>
          </w:tcPr>
          <w:p w14:paraId="7299DD4D">
            <w:pPr>
              <w:widowControl/>
              <w:jc w:val="left"/>
              <w:textAlignment w:val="center"/>
              <w:rPr>
                <w:rFonts w:hint="eastAsia" w:ascii="宋体" w:hAnsi="宋体" w:cs="宋体"/>
                <w:szCs w:val="21"/>
              </w:rPr>
            </w:pPr>
            <w:r>
              <w:rPr>
                <w:rFonts w:hint="eastAsia" w:ascii="宋体" w:hAnsi="宋体" w:cs="宋体"/>
                <w:color w:val="000000"/>
                <w:kern w:val="0"/>
                <w:szCs w:val="21"/>
                <w:lang w:bidi="ar"/>
              </w:rPr>
              <w:t>一、技术参数：</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1.量程(K型)：-50～+1000℃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2.精度(K型)：±(0.5℃+0.3%示值)(-50～+1000℃)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▲3.分辨率：0.1°℃ (-50～+499.9 °C) 1°C(剩余量程)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4.标准配置探头：-50～+400°℃精度1级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5.工作温度：-20～+50°C(仪器)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6.等级：IP 20 (连接探头后IP40)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7.配坚固空气探头，K型热电偶</w:t>
            </w:r>
            <w:r>
              <w:rPr>
                <w:rFonts w:hint="eastAsia" w:ascii="宋体" w:hAnsi="宋体" w:cs="宋体"/>
                <w:color w:val="000000"/>
                <w:kern w:val="0"/>
                <w:szCs w:val="21"/>
                <w:lang w:bidi="ar"/>
              </w:rPr>
              <w:br w:type="textWrapping"/>
            </w:r>
            <w:r>
              <w:rPr>
                <w:rFonts w:hint="eastAsia" w:ascii="宋体" w:hAnsi="宋体" w:cs="宋体"/>
                <w:color w:val="000000"/>
                <w:kern w:val="0"/>
                <w:szCs w:val="21"/>
                <w:lang w:val="en-US" w:eastAsia="zh-CN" w:bidi="ar"/>
              </w:rPr>
              <w:t>......具体详见第二章 采购需求。</w:t>
            </w:r>
          </w:p>
        </w:tc>
      </w:tr>
      <w:tr w14:paraId="6F322ABC">
        <w:tblPrEx>
          <w:tblCellMar>
            <w:top w:w="0" w:type="dxa"/>
            <w:left w:w="108" w:type="dxa"/>
            <w:bottom w:w="0" w:type="dxa"/>
            <w:right w:w="108" w:type="dxa"/>
          </w:tblCellMar>
        </w:tblPrEx>
        <w:trPr>
          <w:trHeight w:val="567" w:hRule="atLeast"/>
        </w:trPr>
        <w:tc>
          <w:tcPr>
            <w:tcW w:w="365" w:type="pct"/>
            <w:tcBorders>
              <w:top w:val="single" w:color="000000" w:sz="4" w:space="0"/>
              <w:left w:val="single" w:color="000000" w:sz="4" w:space="0"/>
              <w:bottom w:val="single" w:color="000000" w:sz="4" w:space="0"/>
              <w:right w:val="single" w:color="000000" w:sz="4" w:space="0"/>
            </w:tcBorders>
            <w:noWrap w:val="0"/>
            <w:vAlign w:val="center"/>
          </w:tcPr>
          <w:p w14:paraId="6DA52908">
            <w:pPr>
              <w:widowControl/>
              <w:jc w:val="center"/>
              <w:textAlignment w:val="center"/>
              <w:rPr>
                <w:rFonts w:hint="eastAsia" w:ascii="宋体" w:hAnsi="宋体" w:cs="宋体"/>
                <w:szCs w:val="21"/>
              </w:rPr>
            </w:pPr>
            <w:r>
              <w:rPr>
                <w:rFonts w:hint="eastAsia" w:ascii="宋体" w:hAnsi="宋体" w:cs="宋体"/>
                <w:kern w:val="0"/>
                <w:szCs w:val="21"/>
                <w:lang w:bidi="ar"/>
              </w:rPr>
              <w:t>4</w:t>
            </w:r>
          </w:p>
        </w:tc>
        <w:tc>
          <w:tcPr>
            <w:tcW w:w="756" w:type="pct"/>
            <w:tcBorders>
              <w:top w:val="single" w:color="000000" w:sz="4" w:space="0"/>
              <w:left w:val="single" w:color="000000" w:sz="4" w:space="0"/>
              <w:bottom w:val="single" w:color="000000" w:sz="4" w:space="0"/>
              <w:right w:val="single" w:color="000000" w:sz="4" w:space="0"/>
            </w:tcBorders>
            <w:noWrap w:val="0"/>
            <w:vAlign w:val="center"/>
          </w:tcPr>
          <w:p w14:paraId="4634BAE2">
            <w:pPr>
              <w:widowControl/>
              <w:jc w:val="left"/>
              <w:textAlignment w:val="center"/>
              <w:rPr>
                <w:rFonts w:hint="eastAsia" w:ascii="宋体" w:hAnsi="宋体" w:cs="宋体"/>
                <w:szCs w:val="21"/>
              </w:rPr>
            </w:pPr>
            <w:r>
              <w:rPr>
                <w:rFonts w:hint="eastAsia" w:ascii="宋体" w:hAnsi="宋体" w:cs="宋体"/>
                <w:color w:val="000000"/>
                <w:kern w:val="0"/>
                <w:szCs w:val="21"/>
                <w:lang w:bidi="ar"/>
              </w:rPr>
              <w:t>声级计</w:t>
            </w:r>
          </w:p>
        </w:tc>
        <w:tc>
          <w:tcPr>
            <w:tcW w:w="440" w:type="pct"/>
            <w:tcBorders>
              <w:top w:val="single" w:color="000000" w:sz="4" w:space="0"/>
              <w:left w:val="single" w:color="000000" w:sz="4" w:space="0"/>
              <w:bottom w:val="single" w:color="000000" w:sz="4" w:space="0"/>
              <w:right w:val="single" w:color="000000" w:sz="4" w:space="0"/>
            </w:tcBorders>
            <w:noWrap w:val="0"/>
            <w:vAlign w:val="center"/>
          </w:tcPr>
          <w:p w14:paraId="34DAB0BF">
            <w:pPr>
              <w:widowControl/>
              <w:jc w:val="center"/>
              <w:textAlignment w:val="center"/>
              <w:rPr>
                <w:rFonts w:hint="eastAsia" w:ascii="宋体" w:hAnsi="宋体" w:cs="宋体"/>
                <w:szCs w:val="21"/>
              </w:rPr>
            </w:pPr>
            <w:r>
              <w:rPr>
                <w:rFonts w:hint="eastAsia" w:ascii="宋体" w:hAnsi="宋体" w:cs="宋体"/>
                <w:color w:val="000000"/>
                <w:kern w:val="0"/>
                <w:szCs w:val="21"/>
                <w:lang w:bidi="ar"/>
              </w:rPr>
              <w:t>3</w:t>
            </w:r>
          </w:p>
        </w:tc>
        <w:tc>
          <w:tcPr>
            <w:tcW w:w="540" w:type="pct"/>
            <w:tcBorders>
              <w:top w:val="single" w:color="000000" w:sz="4" w:space="0"/>
              <w:left w:val="single" w:color="000000" w:sz="4" w:space="0"/>
              <w:bottom w:val="single" w:color="000000" w:sz="4" w:space="0"/>
              <w:right w:val="single" w:color="000000" w:sz="4" w:space="0"/>
            </w:tcBorders>
            <w:noWrap w:val="0"/>
            <w:vAlign w:val="center"/>
          </w:tcPr>
          <w:p w14:paraId="5025CB4F">
            <w:pPr>
              <w:widowControl/>
              <w:jc w:val="center"/>
              <w:textAlignment w:val="center"/>
              <w:rPr>
                <w:rFonts w:ascii="宋体" w:hAnsi="宋体" w:cs="宋体"/>
                <w:kern w:val="0"/>
                <w:szCs w:val="21"/>
                <w:lang w:bidi="ar"/>
              </w:rPr>
            </w:pPr>
            <w:r>
              <w:rPr>
                <w:rFonts w:hint="eastAsia" w:ascii="宋体" w:hAnsi="宋体" w:cs="宋体"/>
                <w:kern w:val="0"/>
                <w:szCs w:val="21"/>
                <w:lang w:bidi="ar"/>
              </w:rPr>
              <w:t>台</w:t>
            </w:r>
          </w:p>
        </w:tc>
        <w:tc>
          <w:tcPr>
            <w:tcW w:w="2897" w:type="pct"/>
            <w:tcBorders>
              <w:top w:val="single" w:color="000000" w:sz="4" w:space="0"/>
              <w:left w:val="single" w:color="000000" w:sz="4" w:space="0"/>
              <w:bottom w:val="single" w:color="000000" w:sz="4" w:space="0"/>
              <w:right w:val="single" w:color="000000" w:sz="4" w:space="0"/>
            </w:tcBorders>
            <w:noWrap w:val="0"/>
            <w:vAlign w:val="center"/>
          </w:tcPr>
          <w:p w14:paraId="416A7E40">
            <w:pPr>
              <w:widowControl/>
              <w:jc w:val="left"/>
              <w:textAlignment w:val="center"/>
              <w:rPr>
                <w:rFonts w:hint="eastAsia" w:ascii="宋体" w:hAnsi="宋体" w:cs="宋体"/>
                <w:szCs w:val="21"/>
              </w:rPr>
            </w:pPr>
            <w:r>
              <w:rPr>
                <w:rFonts w:hint="eastAsia" w:ascii="宋体" w:hAnsi="宋体" w:cs="宋体"/>
                <w:color w:val="000000"/>
                <w:kern w:val="0"/>
                <w:szCs w:val="21"/>
                <w:lang w:bidi="ar"/>
              </w:rPr>
              <w:t>一、技术参数：</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1.频率计权：A、C、Z；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2.时间计权：F、S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3.频率范围：</w:t>
            </w:r>
            <w:r>
              <w:rPr>
                <w:rFonts w:hint="eastAsia"/>
              </w:rPr>
              <w:t>至少涵盖</w:t>
            </w:r>
            <w:r>
              <w:rPr>
                <w:rFonts w:hint="eastAsia" w:ascii="宋体" w:hAnsi="宋体" w:cs="宋体"/>
                <w:color w:val="000000"/>
                <w:kern w:val="0"/>
                <w:szCs w:val="21"/>
                <w:lang w:bidi="ar"/>
              </w:rPr>
              <w:t>20 Hz～12.5 kHz；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4.测量范围：</w:t>
            </w:r>
            <w:r>
              <w:rPr>
                <w:rFonts w:hint="eastAsia"/>
              </w:rPr>
              <w:t>至少涵盖</w:t>
            </w:r>
            <w:r>
              <w:rPr>
                <w:rFonts w:hint="eastAsia" w:ascii="宋体" w:hAnsi="宋体" w:cs="宋体"/>
                <w:color w:val="000000"/>
                <w:kern w:val="0"/>
                <w:szCs w:val="21"/>
                <w:lang w:bidi="ar"/>
              </w:rPr>
              <w:t>40 dB(A)～130 dB(A)；</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5.测量上限：</w:t>
            </w:r>
            <w:r>
              <w:rPr>
                <w:rFonts w:hint="eastAsia"/>
              </w:rPr>
              <w:t>≥</w:t>
            </w:r>
            <w:r>
              <w:rPr>
                <w:rFonts w:hint="eastAsia" w:ascii="宋体" w:hAnsi="宋体" w:cs="宋体"/>
                <w:color w:val="000000"/>
                <w:kern w:val="0"/>
                <w:szCs w:val="21"/>
                <w:lang w:bidi="ar"/>
              </w:rPr>
              <w:t>130 dB；</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6.自生噪声：</w:t>
            </w:r>
            <w:r>
              <w:rPr>
                <w:rFonts w:hint="eastAsia"/>
              </w:rPr>
              <w:t>≤</w:t>
            </w:r>
            <w:r>
              <w:rPr>
                <w:rFonts w:hint="eastAsia" w:ascii="宋体" w:hAnsi="宋体" w:cs="宋体"/>
                <w:color w:val="000000"/>
                <w:kern w:val="0"/>
                <w:szCs w:val="21"/>
                <w:lang w:bidi="ar"/>
              </w:rPr>
              <w:t>25 dB(A)；</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7.输出接口：AC、DC、PWM；</w:t>
            </w:r>
            <w:r>
              <w:rPr>
                <w:rFonts w:hint="eastAsia" w:ascii="宋体" w:hAnsi="宋体" w:cs="宋体"/>
                <w:color w:val="000000"/>
                <w:kern w:val="0"/>
                <w:szCs w:val="21"/>
                <w:lang w:bidi="ar"/>
              </w:rPr>
              <w:br w:type="textWrapping"/>
            </w:r>
            <w:r>
              <w:rPr>
                <w:rFonts w:hint="eastAsia" w:ascii="宋体" w:hAnsi="宋体" w:cs="宋体"/>
                <w:color w:val="000000"/>
                <w:kern w:val="0"/>
                <w:szCs w:val="21"/>
                <w:lang w:val="en-US" w:eastAsia="zh-CN" w:bidi="ar"/>
              </w:rPr>
              <w:t>......具体详见第二章 采购需求。</w:t>
            </w:r>
          </w:p>
        </w:tc>
      </w:tr>
      <w:tr w14:paraId="0E8DB299">
        <w:tblPrEx>
          <w:tblCellMar>
            <w:top w:w="0" w:type="dxa"/>
            <w:left w:w="108" w:type="dxa"/>
            <w:bottom w:w="0" w:type="dxa"/>
            <w:right w:w="108" w:type="dxa"/>
          </w:tblCellMar>
        </w:tblPrEx>
        <w:trPr>
          <w:trHeight w:val="567" w:hRule="atLeast"/>
        </w:trPr>
        <w:tc>
          <w:tcPr>
            <w:tcW w:w="365" w:type="pct"/>
            <w:tcBorders>
              <w:top w:val="single" w:color="000000" w:sz="4" w:space="0"/>
              <w:left w:val="single" w:color="000000" w:sz="4" w:space="0"/>
              <w:bottom w:val="single" w:color="000000" w:sz="4" w:space="0"/>
              <w:right w:val="single" w:color="000000" w:sz="4" w:space="0"/>
            </w:tcBorders>
            <w:noWrap w:val="0"/>
            <w:vAlign w:val="center"/>
          </w:tcPr>
          <w:p w14:paraId="70E3AF9F">
            <w:pPr>
              <w:widowControl/>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w:t>
            </w:r>
          </w:p>
        </w:tc>
        <w:tc>
          <w:tcPr>
            <w:tcW w:w="756" w:type="pct"/>
            <w:tcBorders>
              <w:top w:val="single" w:color="000000" w:sz="4" w:space="0"/>
              <w:left w:val="single" w:color="000000" w:sz="4" w:space="0"/>
              <w:bottom w:val="single" w:color="000000" w:sz="4" w:space="0"/>
              <w:right w:val="single" w:color="000000" w:sz="4" w:space="0"/>
            </w:tcBorders>
            <w:noWrap w:val="0"/>
            <w:vAlign w:val="center"/>
          </w:tcPr>
          <w:p w14:paraId="0026F997">
            <w:pPr>
              <w:widowControl/>
              <w:jc w:val="left"/>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w:t>
            </w:r>
          </w:p>
        </w:tc>
        <w:tc>
          <w:tcPr>
            <w:tcW w:w="440" w:type="pct"/>
            <w:tcBorders>
              <w:top w:val="single" w:color="000000" w:sz="4" w:space="0"/>
              <w:left w:val="single" w:color="000000" w:sz="4" w:space="0"/>
              <w:bottom w:val="single" w:color="000000" w:sz="4" w:space="0"/>
              <w:right w:val="single" w:color="000000" w:sz="4" w:space="0"/>
            </w:tcBorders>
            <w:noWrap w:val="0"/>
            <w:vAlign w:val="center"/>
          </w:tcPr>
          <w:p w14:paraId="4CC0D8AA">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w:t>
            </w:r>
          </w:p>
        </w:tc>
        <w:tc>
          <w:tcPr>
            <w:tcW w:w="540" w:type="pct"/>
            <w:tcBorders>
              <w:top w:val="single" w:color="000000" w:sz="4" w:space="0"/>
              <w:left w:val="single" w:color="000000" w:sz="4" w:space="0"/>
              <w:bottom w:val="single" w:color="000000" w:sz="4" w:space="0"/>
              <w:right w:val="single" w:color="000000" w:sz="4" w:space="0"/>
            </w:tcBorders>
            <w:noWrap w:val="0"/>
            <w:vAlign w:val="center"/>
          </w:tcPr>
          <w:p w14:paraId="52FF56F2">
            <w:pPr>
              <w:widowControl/>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w:t>
            </w:r>
          </w:p>
        </w:tc>
        <w:tc>
          <w:tcPr>
            <w:tcW w:w="2897" w:type="pct"/>
            <w:tcBorders>
              <w:top w:val="single" w:color="000000" w:sz="4" w:space="0"/>
              <w:left w:val="single" w:color="000000" w:sz="4" w:space="0"/>
              <w:bottom w:val="single" w:color="000000" w:sz="4" w:space="0"/>
              <w:right w:val="single" w:color="000000" w:sz="4" w:space="0"/>
            </w:tcBorders>
            <w:noWrap w:val="0"/>
            <w:vAlign w:val="center"/>
          </w:tcPr>
          <w:p w14:paraId="3E46DFAB">
            <w:pPr>
              <w:widowControl/>
              <w:jc w:val="left"/>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......具体详见第二章 采购需求。</w:t>
            </w:r>
          </w:p>
        </w:tc>
      </w:tr>
      <w:tr w14:paraId="58E70479">
        <w:tblPrEx>
          <w:tblCellMar>
            <w:top w:w="0" w:type="dxa"/>
            <w:left w:w="108" w:type="dxa"/>
            <w:bottom w:w="0" w:type="dxa"/>
            <w:right w:w="108" w:type="dxa"/>
          </w:tblCellMar>
        </w:tblPrEx>
        <w:trPr>
          <w:trHeight w:val="567" w:hRule="atLeast"/>
        </w:trPr>
        <w:tc>
          <w:tcPr>
            <w:tcW w:w="5000" w:type="pct"/>
            <w:gridSpan w:val="5"/>
            <w:tcBorders>
              <w:top w:val="single" w:color="000000" w:sz="4" w:space="0"/>
              <w:left w:val="single" w:color="000000" w:sz="4" w:space="0"/>
              <w:bottom w:val="single" w:color="000000" w:sz="4" w:space="0"/>
              <w:right w:val="single" w:color="000000" w:sz="4" w:space="0"/>
            </w:tcBorders>
            <w:noWrap w:val="0"/>
            <w:vAlign w:val="center"/>
          </w:tcPr>
          <w:p w14:paraId="6EF15154">
            <w:pPr>
              <w:spacing w:line="380" w:lineRule="exact"/>
              <w:rPr>
                <w:rFonts w:hint="eastAsia" w:ascii="宋体" w:hAnsi="宋体" w:eastAsia="宋体" w:cs="宋体"/>
                <w:color w:val="000000"/>
                <w:kern w:val="0"/>
                <w:szCs w:val="21"/>
                <w:lang w:eastAsia="zh-CN" w:bidi="ar"/>
              </w:rPr>
            </w:pPr>
            <w:r>
              <w:rPr>
                <w:rFonts w:hint="eastAsia" w:ascii="宋体" w:hAnsi="宋体"/>
                <w:szCs w:val="21"/>
                <w:lang w:val="en-US" w:eastAsia="zh-CN"/>
              </w:rPr>
              <w:t>合同履行期限：</w:t>
            </w:r>
            <w:r>
              <w:rPr>
                <w:rFonts w:hint="eastAsia" w:ascii="宋体" w:hAnsi="宋体"/>
                <w:szCs w:val="21"/>
              </w:rPr>
              <w:t>自合同签订之日起20个自然日内交付设备金额须达到合同总金额的65%</w:t>
            </w:r>
            <w:r>
              <w:rPr>
                <w:rFonts w:hint="eastAsia" w:ascii="宋体" w:hAnsi="宋体"/>
                <w:szCs w:val="21"/>
                <w:lang w:eastAsia="zh-CN"/>
              </w:rPr>
              <w:t>；</w:t>
            </w:r>
            <w:r>
              <w:rPr>
                <w:rFonts w:hint="eastAsia" w:ascii="宋体" w:hAnsi="宋体"/>
                <w:szCs w:val="21"/>
              </w:rPr>
              <w:t>自合同签订之日起30个工作日内安装完毕并交付使用</w:t>
            </w:r>
            <w:r>
              <w:rPr>
                <w:rFonts w:hint="eastAsia" w:ascii="宋体" w:hAnsi="宋体"/>
                <w:szCs w:val="21"/>
                <w:lang w:eastAsia="zh-CN"/>
              </w:rPr>
              <w:t>。</w:t>
            </w:r>
          </w:p>
        </w:tc>
      </w:tr>
    </w:tbl>
    <w:tbl>
      <w:tblPr>
        <w:tblStyle w:val="5"/>
        <w:tblpPr w:leftFromText="180" w:rightFromText="180" w:vertAnchor="text" w:horzAnchor="page" w:tblpX="1294" w:tblpY="296"/>
        <w:tblOverlap w:val="never"/>
        <w:tblW w:w="5458" w:type="pct"/>
        <w:tblInd w:w="0" w:type="dxa"/>
        <w:tblLayout w:type="autofit"/>
        <w:tblCellMar>
          <w:top w:w="0" w:type="dxa"/>
          <w:left w:w="108" w:type="dxa"/>
          <w:bottom w:w="0" w:type="dxa"/>
          <w:right w:w="108" w:type="dxa"/>
        </w:tblCellMar>
      </w:tblPr>
      <w:tblGrid>
        <w:gridCol w:w="710"/>
        <w:gridCol w:w="1371"/>
        <w:gridCol w:w="824"/>
        <w:gridCol w:w="994"/>
        <w:gridCol w:w="5404"/>
      </w:tblGrid>
      <w:tr w14:paraId="68EEDFE8">
        <w:tblPrEx>
          <w:tblCellMar>
            <w:top w:w="0" w:type="dxa"/>
            <w:left w:w="108" w:type="dxa"/>
            <w:bottom w:w="0" w:type="dxa"/>
            <w:right w:w="108" w:type="dxa"/>
          </w:tblCellMar>
        </w:tblPrEx>
        <w:trPr>
          <w:trHeight w:val="620" w:hRule="atLeast"/>
        </w:trPr>
        <w:tc>
          <w:tcPr>
            <w:tcW w:w="9303" w:type="dxa"/>
            <w:gridSpan w:val="5"/>
            <w:tcBorders>
              <w:top w:val="single" w:color="000000" w:sz="4" w:space="0"/>
              <w:left w:val="single" w:color="000000" w:sz="4" w:space="0"/>
              <w:bottom w:val="single" w:color="000000" w:sz="4" w:space="0"/>
              <w:right w:val="single" w:color="000000" w:sz="4" w:space="0"/>
            </w:tcBorders>
            <w:noWrap w:val="0"/>
            <w:vAlign w:val="center"/>
          </w:tcPr>
          <w:p w14:paraId="6C3D1C19">
            <w:pPr>
              <w:widowControl/>
              <w:jc w:val="both"/>
              <w:textAlignment w:val="center"/>
              <w:rPr>
                <w:rFonts w:hint="eastAsia" w:ascii="宋体" w:hAnsi="宋体" w:cs="宋体"/>
                <w:b/>
                <w:bCs/>
                <w:szCs w:val="21"/>
              </w:rPr>
            </w:pPr>
            <w:r>
              <w:rPr>
                <w:rFonts w:hint="eastAsia" w:ascii="宋体" w:hAnsi="宋体"/>
                <w:b/>
                <w:bCs/>
                <w:szCs w:val="21"/>
              </w:rPr>
              <w:t>分标2   预算金额：987.80万元</w:t>
            </w:r>
          </w:p>
        </w:tc>
      </w:tr>
      <w:tr w14:paraId="7ECEDCFB">
        <w:tblPrEx>
          <w:tblCellMar>
            <w:top w:w="0" w:type="dxa"/>
            <w:left w:w="108" w:type="dxa"/>
            <w:bottom w:w="0" w:type="dxa"/>
            <w:right w:w="108" w:type="dxa"/>
          </w:tblCellMar>
        </w:tblPrEx>
        <w:trPr>
          <w:trHeight w:val="620" w:hRule="atLeast"/>
        </w:trPr>
        <w:tc>
          <w:tcPr>
            <w:tcW w:w="710" w:type="dxa"/>
            <w:tcBorders>
              <w:top w:val="single" w:color="000000" w:sz="4" w:space="0"/>
              <w:left w:val="single" w:color="000000" w:sz="4" w:space="0"/>
              <w:bottom w:val="single" w:color="000000" w:sz="4" w:space="0"/>
              <w:right w:val="single" w:color="000000" w:sz="4" w:space="0"/>
            </w:tcBorders>
            <w:noWrap w:val="0"/>
            <w:vAlign w:val="center"/>
          </w:tcPr>
          <w:p w14:paraId="63B61564">
            <w:pPr>
              <w:widowControl/>
              <w:jc w:val="center"/>
              <w:textAlignment w:val="center"/>
              <w:rPr>
                <w:rFonts w:hint="eastAsia" w:ascii="宋体" w:hAnsi="宋体" w:cs="宋体"/>
                <w:b w:val="0"/>
                <w:bCs w:val="0"/>
                <w:kern w:val="0"/>
                <w:szCs w:val="21"/>
                <w:lang w:bidi="ar"/>
              </w:rPr>
            </w:pPr>
            <w:r>
              <w:rPr>
                <w:rFonts w:hint="eastAsia" w:ascii="宋体" w:hAnsi="宋体" w:cs="宋体"/>
                <w:b w:val="0"/>
                <w:bCs w:val="0"/>
                <w:kern w:val="0"/>
                <w:szCs w:val="21"/>
                <w:lang w:bidi="ar"/>
              </w:rPr>
              <w:t>序号</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14:paraId="64C3DFA9">
            <w:pPr>
              <w:widowControl/>
              <w:jc w:val="center"/>
              <w:textAlignment w:val="center"/>
              <w:rPr>
                <w:rFonts w:hint="eastAsia" w:ascii="宋体" w:hAnsi="宋体" w:cs="宋体"/>
                <w:b w:val="0"/>
                <w:bCs w:val="0"/>
                <w:kern w:val="0"/>
                <w:szCs w:val="21"/>
                <w:lang w:bidi="ar"/>
              </w:rPr>
            </w:pPr>
            <w:r>
              <w:rPr>
                <w:rFonts w:hint="eastAsia" w:ascii="宋体" w:hAnsi="宋体" w:cs="宋体"/>
                <w:b w:val="0"/>
                <w:bCs w:val="0"/>
                <w:kern w:val="0"/>
                <w:szCs w:val="21"/>
                <w:lang w:bidi="ar"/>
              </w:rPr>
              <w:t>设备名称</w:t>
            </w:r>
          </w:p>
        </w:tc>
        <w:tc>
          <w:tcPr>
            <w:tcW w:w="824" w:type="dxa"/>
            <w:tcBorders>
              <w:top w:val="single" w:color="000000" w:sz="4" w:space="0"/>
              <w:left w:val="single" w:color="000000" w:sz="4" w:space="0"/>
              <w:bottom w:val="single" w:color="000000" w:sz="4" w:space="0"/>
              <w:right w:val="single" w:color="000000" w:sz="4" w:space="0"/>
            </w:tcBorders>
            <w:noWrap w:val="0"/>
            <w:vAlign w:val="center"/>
          </w:tcPr>
          <w:p w14:paraId="7C7E0D83">
            <w:pPr>
              <w:widowControl/>
              <w:jc w:val="center"/>
              <w:textAlignment w:val="center"/>
              <w:rPr>
                <w:rFonts w:hint="eastAsia" w:ascii="宋体" w:hAnsi="宋体" w:cs="宋体"/>
                <w:b w:val="0"/>
                <w:bCs w:val="0"/>
                <w:kern w:val="0"/>
                <w:szCs w:val="21"/>
                <w:lang w:bidi="ar"/>
              </w:rPr>
            </w:pPr>
            <w:r>
              <w:rPr>
                <w:rFonts w:hint="eastAsia" w:ascii="宋体" w:hAnsi="宋体" w:cs="宋体"/>
                <w:b w:val="0"/>
                <w:bCs w:val="0"/>
                <w:kern w:val="0"/>
                <w:szCs w:val="21"/>
                <w:lang w:bidi="ar"/>
              </w:rPr>
              <w:t xml:space="preserve">数量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4A2B099">
            <w:pPr>
              <w:widowControl/>
              <w:jc w:val="center"/>
              <w:textAlignment w:val="center"/>
              <w:rPr>
                <w:rFonts w:hint="eastAsia" w:ascii="宋体" w:hAnsi="宋体" w:cs="宋体"/>
                <w:b w:val="0"/>
                <w:bCs w:val="0"/>
                <w:kern w:val="0"/>
                <w:szCs w:val="21"/>
                <w:lang w:bidi="ar"/>
              </w:rPr>
            </w:pPr>
            <w:r>
              <w:rPr>
                <w:rFonts w:hint="eastAsia" w:ascii="宋体" w:hAnsi="宋体" w:cs="宋体"/>
                <w:b w:val="0"/>
                <w:bCs w:val="0"/>
                <w:kern w:val="0"/>
                <w:szCs w:val="21"/>
                <w:lang w:bidi="ar"/>
              </w:rPr>
              <w:t>单位</w:t>
            </w:r>
          </w:p>
        </w:tc>
        <w:tc>
          <w:tcPr>
            <w:tcW w:w="5404" w:type="dxa"/>
            <w:tcBorders>
              <w:top w:val="single" w:color="000000" w:sz="4" w:space="0"/>
              <w:left w:val="single" w:color="000000" w:sz="4" w:space="0"/>
              <w:bottom w:val="single" w:color="000000" w:sz="4" w:space="0"/>
              <w:right w:val="single" w:color="000000" w:sz="4" w:space="0"/>
            </w:tcBorders>
            <w:noWrap w:val="0"/>
            <w:vAlign w:val="center"/>
          </w:tcPr>
          <w:p w14:paraId="0469D722">
            <w:pPr>
              <w:widowControl/>
              <w:jc w:val="center"/>
              <w:textAlignment w:val="center"/>
              <w:rPr>
                <w:rFonts w:hint="eastAsia" w:ascii="宋体" w:hAnsi="宋体"/>
                <w:b w:val="0"/>
                <w:bCs w:val="0"/>
                <w:szCs w:val="21"/>
              </w:rPr>
            </w:pPr>
            <w:r>
              <w:rPr>
                <w:rFonts w:hint="eastAsia" w:ascii="宋体" w:hAnsi="宋体"/>
                <w:b w:val="0"/>
                <w:bCs w:val="0"/>
                <w:szCs w:val="21"/>
              </w:rPr>
              <w:t>简要技术需求或者服务要求</w:t>
            </w:r>
          </w:p>
        </w:tc>
      </w:tr>
      <w:tr w14:paraId="7247DA3B">
        <w:tblPrEx>
          <w:tblCellMar>
            <w:top w:w="0" w:type="dxa"/>
            <w:left w:w="108" w:type="dxa"/>
            <w:bottom w:w="0" w:type="dxa"/>
            <w:right w:w="108" w:type="dxa"/>
          </w:tblCellMar>
        </w:tblPrEx>
        <w:trPr>
          <w:trHeight w:val="1200" w:hRule="atLeast"/>
        </w:trPr>
        <w:tc>
          <w:tcPr>
            <w:tcW w:w="710" w:type="dxa"/>
            <w:tcBorders>
              <w:top w:val="single" w:color="000000" w:sz="4" w:space="0"/>
              <w:left w:val="single" w:color="000000" w:sz="4" w:space="0"/>
              <w:bottom w:val="single" w:color="000000" w:sz="4" w:space="0"/>
              <w:right w:val="single" w:color="000000" w:sz="4" w:space="0"/>
            </w:tcBorders>
            <w:noWrap w:val="0"/>
            <w:vAlign w:val="center"/>
          </w:tcPr>
          <w:p w14:paraId="04C8833C">
            <w:pPr>
              <w:widowControl/>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14:paraId="372F4D48">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X射线衍射应力仪</w:t>
            </w:r>
          </w:p>
        </w:tc>
        <w:tc>
          <w:tcPr>
            <w:tcW w:w="824" w:type="dxa"/>
            <w:tcBorders>
              <w:top w:val="single" w:color="000000" w:sz="4" w:space="0"/>
              <w:left w:val="single" w:color="000000" w:sz="4" w:space="0"/>
              <w:bottom w:val="single" w:color="000000" w:sz="4" w:space="0"/>
              <w:right w:val="single" w:color="000000" w:sz="4" w:space="0"/>
            </w:tcBorders>
            <w:noWrap w:val="0"/>
            <w:vAlign w:val="center"/>
          </w:tcPr>
          <w:p w14:paraId="21DBE66D">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1903184">
            <w:pPr>
              <w:widowControl/>
              <w:jc w:val="center"/>
              <w:textAlignment w:val="center"/>
              <w:rPr>
                <w:rFonts w:ascii="宋体" w:hAnsi="宋体" w:cs="宋体"/>
                <w:kern w:val="0"/>
                <w:szCs w:val="21"/>
                <w:lang w:bidi="ar"/>
              </w:rPr>
            </w:pPr>
            <w:r>
              <w:rPr>
                <w:rFonts w:hint="eastAsia" w:ascii="宋体" w:hAnsi="宋体" w:cs="宋体"/>
                <w:kern w:val="0"/>
                <w:szCs w:val="21"/>
                <w:lang w:bidi="ar"/>
              </w:rPr>
              <w:t>套</w:t>
            </w:r>
          </w:p>
        </w:tc>
        <w:tc>
          <w:tcPr>
            <w:tcW w:w="5404" w:type="dxa"/>
            <w:tcBorders>
              <w:top w:val="single" w:color="000000" w:sz="4" w:space="0"/>
              <w:left w:val="single" w:color="000000" w:sz="4" w:space="0"/>
              <w:bottom w:val="single" w:color="000000" w:sz="4" w:space="0"/>
              <w:right w:val="single" w:color="000000" w:sz="4" w:space="0"/>
            </w:tcBorders>
            <w:noWrap w:val="0"/>
            <w:vAlign w:val="center"/>
          </w:tcPr>
          <w:p w14:paraId="45A38FAB">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一、技术参数：</w:t>
            </w:r>
          </w:p>
          <w:p w14:paraId="5D6D5EF7">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1.满足国家标准GB/T 7704-2017《无损检测X射线应力测定方法》要求｡</w:t>
            </w:r>
          </w:p>
          <w:p w14:paraId="5BE23EB7">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2.设备适用环境：即适用于实验室小型工件检测,也适用于现场大型工件检测｡</w:t>
            </w:r>
          </w:p>
          <w:p w14:paraId="4E6ED38A">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▲3.整机测量精度：对于无应力铁粉,使用CrK α辐射和(211)晶面,仪器连续测试</w:t>
            </w:r>
            <w:r>
              <w:rPr>
                <w:rFonts w:hint="eastAsia" w:ascii="宋体" w:hAnsi="宋体" w:eastAsia="宋体" w:cs="宋体"/>
              </w:rPr>
              <w:t>≥</w:t>
            </w:r>
            <w:r>
              <w:rPr>
                <w:rFonts w:hint="eastAsia" w:ascii="宋体" w:hAnsi="宋体" w:eastAsia="宋体" w:cs="宋体"/>
                <w:color w:val="000000"/>
                <w:kern w:val="0"/>
                <w:szCs w:val="21"/>
                <w:lang w:bidi="ar"/>
              </w:rPr>
              <w:t>5 遍,应力平均值应在±14MPa 以内,标准差</w:t>
            </w:r>
            <w:r>
              <w:rPr>
                <w:rFonts w:hint="eastAsia" w:ascii="宋体" w:hAnsi="宋体" w:eastAsia="宋体" w:cs="宋体"/>
              </w:rPr>
              <w:t>≤</w:t>
            </w:r>
            <w:r>
              <w:rPr>
                <w:rFonts w:hint="eastAsia" w:ascii="宋体" w:hAnsi="宋体" w:eastAsia="宋体" w:cs="宋体"/>
                <w:color w:val="000000"/>
                <w:kern w:val="0"/>
                <w:szCs w:val="21"/>
                <w:lang w:bidi="ar"/>
              </w:rPr>
              <w:t>7MPa｡</w:t>
            </w:r>
          </w:p>
          <w:p w14:paraId="49AD4289">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4.仪器X射线探测器：采用双探测器,探测器与X 射线管成对称分布设计,探测器采用硅微带线阵X射线探测器；探测器通道数：256 个｡</w:t>
            </w:r>
          </w:p>
          <w:p w14:paraId="7FAE4AEA">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▲5.测角仪2θ转动范围:127°</w:t>
            </w:r>
            <w:r>
              <w:rPr>
                <w:rFonts w:hint="eastAsia" w:ascii="宋体" w:hAnsi="宋体" w:eastAsia="宋体" w:cs="宋体"/>
                <w:sz w:val="21"/>
                <w:szCs w:val="21"/>
                <w:lang w:val="en-US" w:eastAsia="zh-CN"/>
              </w:rPr>
              <w:t>～</w:t>
            </w:r>
            <w:r>
              <w:rPr>
                <w:rFonts w:hint="eastAsia" w:ascii="宋体" w:hAnsi="宋体" w:eastAsia="宋体" w:cs="宋体"/>
                <w:color w:val="000000"/>
                <w:kern w:val="0"/>
                <w:szCs w:val="21"/>
                <w:lang w:bidi="ar"/>
              </w:rPr>
              <w:t>170°｡</w:t>
            </w:r>
          </w:p>
          <w:p w14:paraId="15B59B9A">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6.可检测材料：测定碳钢、铝合金、镁合金、硬质合金、不锈钢、钛合金等多晶金属材料的残余应力,适用于经过各种工艺过程的各种金属材料制成的零部件的残余应力检测｡</w:t>
            </w:r>
          </w:p>
          <w:p w14:paraId="31762858">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hint="eastAsia" w:ascii="宋体" w:hAnsi="宋体" w:eastAsia="宋体" w:cs="宋体"/>
                <w:color w:val="000000"/>
                <w:kern w:val="0"/>
                <w:szCs w:val="21"/>
                <w:lang w:bidi="ar"/>
              </w:rPr>
            </w:pPr>
            <w:r>
              <w:rPr>
                <w:rFonts w:hint="eastAsia" w:ascii="宋体" w:hAnsi="宋体" w:cs="宋体"/>
                <w:color w:val="000000"/>
                <w:kern w:val="0"/>
                <w:szCs w:val="21"/>
                <w:lang w:val="en-US" w:eastAsia="zh-CN" w:bidi="ar"/>
              </w:rPr>
              <w:t>......具体详见第二章 采购需求。</w:t>
            </w:r>
          </w:p>
        </w:tc>
      </w:tr>
      <w:tr w14:paraId="2D7C1DDE">
        <w:tblPrEx>
          <w:tblCellMar>
            <w:top w:w="0" w:type="dxa"/>
            <w:left w:w="108" w:type="dxa"/>
            <w:bottom w:w="0" w:type="dxa"/>
            <w:right w:w="108" w:type="dxa"/>
          </w:tblCellMar>
        </w:tblPrEx>
        <w:trPr>
          <w:trHeight w:val="1200" w:hRule="atLeast"/>
        </w:trPr>
        <w:tc>
          <w:tcPr>
            <w:tcW w:w="710" w:type="dxa"/>
            <w:tcBorders>
              <w:top w:val="single" w:color="000000" w:sz="4" w:space="0"/>
              <w:left w:val="single" w:color="000000" w:sz="4" w:space="0"/>
              <w:bottom w:val="single" w:color="000000" w:sz="4" w:space="0"/>
              <w:right w:val="single" w:color="000000" w:sz="4" w:space="0"/>
            </w:tcBorders>
            <w:noWrap w:val="0"/>
            <w:vAlign w:val="center"/>
          </w:tcPr>
          <w:p w14:paraId="2C1D9C08">
            <w:pPr>
              <w:widowControl/>
              <w:jc w:val="center"/>
              <w:textAlignment w:val="center"/>
              <w:rPr>
                <w:rFonts w:ascii="宋体" w:hAnsi="宋体" w:cs="宋体"/>
                <w:kern w:val="0"/>
                <w:szCs w:val="21"/>
                <w:lang w:bidi="ar"/>
              </w:rPr>
            </w:pPr>
            <w:r>
              <w:rPr>
                <w:rFonts w:hint="eastAsia" w:ascii="宋体" w:hAnsi="宋体" w:cs="宋体"/>
                <w:kern w:val="0"/>
                <w:szCs w:val="21"/>
                <w:lang w:bidi="ar"/>
              </w:rPr>
              <w:t>2</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14:paraId="5DA9B252">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X射线数字成像系统</w:t>
            </w:r>
          </w:p>
        </w:tc>
        <w:tc>
          <w:tcPr>
            <w:tcW w:w="824" w:type="dxa"/>
            <w:tcBorders>
              <w:top w:val="single" w:color="000000" w:sz="4" w:space="0"/>
              <w:left w:val="single" w:color="000000" w:sz="4" w:space="0"/>
              <w:bottom w:val="single" w:color="000000" w:sz="4" w:space="0"/>
              <w:right w:val="single" w:color="000000" w:sz="4" w:space="0"/>
            </w:tcBorders>
            <w:noWrap w:val="0"/>
            <w:vAlign w:val="center"/>
          </w:tcPr>
          <w:p w14:paraId="4FB9E466">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1166DDC">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套</w:t>
            </w:r>
          </w:p>
        </w:tc>
        <w:tc>
          <w:tcPr>
            <w:tcW w:w="5404" w:type="dxa"/>
            <w:tcBorders>
              <w:top w:val="single" w:color="000000" w:sz="4" w:space="0"/>
              <w:left w:val="single" w:color="000000" w:sz="4" w:space="0"/>
              <w:bottom w:val="single" w:color="000000" w:sz="4" w:space="0"/>
              <w:right w:val="single" w:color="000000" w:sz="4" w:space="0"/>
            </w:tcBorders>
            <w:noWrap w:val="0"/>
            <w:vAlign w:val="center"/>
          </w:tcPr>
          <w:p w14:paraId="7B640DEC">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一、技术参数：</w:t>
            </w:r>
          </w:p>
          <w:p w14:paraId="7F81135B">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w:t>
            </w:r>
            <w:r>
              <w:rPr>
                <w:rFonts w:hint="eastAsia"/>
              </w:rPr>
              <w:t>有线图像采集时间≤1.5s，无线图像采集时间≤3s</w:t>
            </w:r>
            <w:r>
              <w:rPr>
                <w:rFonts w:hint="eastAsia" w:ascii="宋体" w:hAnsi="宋体" w:cs="宋体"/>
                <w:color w:val="000000"/>
                <w:kern w:val="0"/>
                <w:szCs w:val="21"/>
                <w:lang w:bidi="ar"/>
              </w:rPr>
              <w:t>。</w:t>
            </w:r>
          </w:p>
          <w:p w14:paraId="1E3C88C1">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▲2、双面可用：一板两用，双面曝光，内外曲面均可适用。</w:t>
            </w:r>
          </w:p>
          <w:p w14:paraId="7EFA4745">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3、弯曲多变：可从平板状态弯曲至DN300。</w:t>
            </w:r>
          </w:p>
          <w:p w14:paraId="302ED5AA">
            <w:pPr>
              <w:jc w:val="left"/>
              <w:rPr>
                <w:rFonts w:hint="eastAsia" w:ascii="宋体" w:hAnsi="宋体" w:cs="宋体"/>
                <w:color w:val="000000"/>
                <w:kern w:val="0"/>
                <w:szCs w:val="21"/>
                <w:lang w:bidi="ar"/>
              </w:rPr>
            </w:pPr>
            <w:r>
              <w:rPr>
                <w:rFonts w:hint="eastAsia" w:ascii="宋体" w:hAnsi="宋体" w:cs="宋体"/>
                <w:color w:val="000000"/>
                <w:kern w:val="0"/>
                <w:szCs w:val="21"/>
                <w:lang w:bidi="ar"/>
              </w:rPr>
              <w:t>4、</w:t>
            </w:r>
            <w:r>
              <w:t>探测器像素间距 99μm，满足 NB/T 47013.14-2023 B 级成像质量要求：归一化信噪比≥140；标准透照工艺下可稳定识别宽度≥0.2mm 裂纹、直径≥0.1mm 气孔 / 夹渣等微观焊缝缺陷；适配 DN300 管道内外曲面焊缝成像识别。</w:t>
            </w:r>
          </w:p>
          <w:p w14:paraId="54CF0639">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▲5、21.5mm的超薄厚度，结合磁铁和捆扎孔，能够实现狭小空间的轻松布置。</w:t>
            </w:r>
          </w:p>
          <w:p w14:paraId="7D1CFE95">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......具体详见第二章 采购需求。</w:t>
            </w:r>
          </w:p>
        </w:tc>
      </w:tr>
      <w:tr w14:paraId="24441E58">
        <w:tblPrEx>
          <w:tblCellMar>
            <w:top w:w="0" w:type="dxa"/>
            <w:left w:w="108" w:type="dxa"/>
            <w:bottom w:w="0" w:type="dxa"/>
            <w:right w:w="108" w:type="dxa"/>
          </w:tblCellMar>
        </w:tblPrEx>
        <w:trPr>
          <w:trHeight w:val="1200" w:hRule="atLeast"/>
        </w:trPr>
        <w:tc>
          <w:tcPr>
            <w:tcW w:w="710" w:type="dxa"/>
            <w:tcBorders>
              <w:top w:val="single" w:color="000000" w:sz="4" w:space="0"/>
              <w:left w:val="single" w:color="000000" w:sz="4" w:space="0"/>
              <w:bottom w:val="single" w:color="000000" w:sz="4" w:space="0"/>
              <w:right w:val="single" w:color="000000" w:sz="4" w:space="0"/>
            </w:tcBorders>
            <w:noWrap w:val="0"/>
            <w:vAlign w:val="center"/>
          </w:tcPr>
          <w:p w14:paraId="12667534">
            <w:pPr>
              <w:widowControl/>
              <w:jc w:val="center"/>
              <w:textAlignment w:val="center"/>
              <w:rPr>
                <w:rFonts w:ascii="宋体" w:hAnsi="宋体" w:cs="宋体"/>
                <w:kern w:val="0"/>
                <w:szCs w:val="21"/>
                <w:lang w:bidi="ar"/>
              </w:rPr>
            </w:pPr>
            <w:r>
              <w:rPr>
                <w:rFonts w:hint="eastAsia" w:ascii="宋体" w:hAnsi="宋体" w:cs="宋体"/>
                <w:kern w:val="0"/>
                <w:szCs w:val="21"/>
                <w:lang w:bidi="ar"/>
              </w:rPr>
              <w:t>3</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14:paraId="0EFFFF8C">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超声波相控阵检测仪</w:t>
            </w:r>
          </w:p>
        </w:tc>
        <w:tc>
          <w:tcPr>
            <w:tcW w:w="824" w:type="dxa"/>
            <w:tcBorders>
              <w:top w:val="single" w:color="000000" w:sz="4" w:space="0"/>
              <w:left w:val="single" w:color="000000" w:sz="4" w:space="0"/>
              <w:bottom w:val="single" w:color="000000" w:sz="4" w:space="0"/>
              <w:right w:val="single" w:color="000000" w:sz="4" w:space="0"/>
            </w:tcBorders>
            <w:noWrap w:val="0"/>
            <w:vAlign w:val="center"/>
          </w:tcPr>
          <w:p w14:paraId="4FA92E0A">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A9D7478">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套</w:t>
            </w:r>
          </w:p>
        </w:tc>
        <w:tc>
          <w:tcPr>
            <w:tcW w:w="5404" w:type="dxa"/>
            <w:tcBorders>
              <w:top w:val="single" w:color="000000" w:sz="4" w:space="0"/>
              <w:left w:val="single" w:color="000000" w:sz="4" w:space="0"/>
              <w:bottom w:val="single" w:color="000000" w:sz="4" w:space="0"/>
              <w:right w:val="single" w:color="000000" w:sz="4" w:space="0"/>
            </w:tcBorders>
            <w:noWrap w:val="0"/>
            <w:vAlign w:val="center"/>
          </w:tcPr>
          <w:p w14:paraId="1DB2CDE3">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一、技术参数：</w:t>
            </w:r>
          </w:p>
          <w:p w14:paraId="0AAFEF41">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▲1.仪器集相控阵(PA)、2D/3D全聚焦(TFM)、相位相干成像（PCI）、平面波成像（PWI）、TOFD、导波及常规超声等于一体。</w:t>
            </w:r>
          </w:p>
          <w:p w14:paraId="7E71AD70">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2.开放对接焊缝、角焊缝、B型套筒、螺栓、不锈钢、腐蚀检测等各类工艺仿真模块 </w:t>
            </w:r>
          </w:p>
          <w:p w14:paraId="7098C2E7">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 支持焊缝扫查实时3D成像</w:t>
            </w:r>
          </w:p>
          <w:p w14:paraId="4909CC91">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4.最大支持1024*1024分辨率全聚焦成像</w:t>
            </w:r>
          </w:p>
          <w:p w14:paraId="75F4BB3F">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▲5.支持64通道实时全聚焦成像</w:t>
            </w:r>
          </w:p>
          <w:p w14:paraId="2876CDCC">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......具体详见第二章 采购需求。</w:t>
            </w:r>
          </w:p>
        </w:tc>
      </w:tr>
      <w:tr w14:paraId="050D844E">
        <w:tblPrEx>
          <w:tblCellMar>
            <w:top w:w="0" w:type="dxa"/>
            <w:left w:w="108" w:type="dxa"/>
            <w:bottom w:w="0" w:type="dxa"/>
            <w:right w:w="108" w:type="dxa"/>
          </w:tblCellMar>
        </w:tblPrEx>
        <w:trPr>
          <w:trHeight w:val="1200" w:hRule="atLeast"/>
        </w:trPr>
        <w:tc>
          <w:tcPr>
            <w:tcW w:w="710" w:type="dxa"/>
            <w:tcBorders>
              <w:top w:val="single" w:color="000000" w:sz="4" w:space="0"/>
              <w:left w:val="single" w:color="000000" w:sz="4" w:space="0"/>
              <w:bottom w:val="single" w:color="000000" w:sz="4" w:space="0"/>
              <w:right w:val="single" w:color="000000" w:sz="4" w:space="0"/>
            </w:tcBorders>
            <w:noWrap w:val="0"/>
            <w:vAlign w:val="center"/>
          </w:tcPr>
          <w:p w14:paraId="2EEEEEBD">
            <w:pPr>
              <w:widowControl/>
              <w:jc w:val="center"/>
              <w:textAlignment w:val="center"/>
              <w:rPr>
                <w:rFonts w:ascii="宋体" w:hAnsi="宋体" w:cs="宋体"/>
                <w:kern w:val="0"/>
                <w:szCs w:val="21"/>
                <w:lang w:bidi="ar"/>
              </w:rPr>
            </w:pPr>
            <w:r>
              <w:rPr>
                <w:rFonts w:hint="eastAsia" w:ascii="宋体" w:hAnsi="宋体" w:cs="宋体"/>
                <w:kern w:val="0"/>
                <w:szCs w:val="21"/>
                <w:lang w:bidi="ar"/>
              </w:rPr>
              <w:t>4</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14:paraId="37DB87C5">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全聚焦相控阵检测仪（柳州院配置）</w:t>
            </w:r>
          </w:p>
        </w:tc>
        <w:tc>
          <w:tcPr>
            <w:tcW w:w="824" w:type="dxa"/>
            <w:tcBorders>
              <w:top w:val="single" w:color="000000" w:sz="4" w:space="0"/>
              <w:left w:val="single" w:color="000000" w:sz="4" w:space="0"/>
              <w:bottom w:val="single" w:color="000000" w:sz="4" w:space="0"/>
              <w:right w:val="single" w:color="000000" w:sz="4" w:space="0"/>
            </w:tcBorders>
            <w:noWrap w:val="0"/>
            <w:vAlign w:val="center"/>
          </w:tcPr>
          <w:p w14:paraId="7652CD4E">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B4F8638">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套</w:t>
            </w:r>
          </w:p>
        </w:tc>
        <w:tc>
          <w:tcPr>
            <w:tcW w:w="5404" w:type="dxa"/>
            <w:tcBorders>
              <w:top w:val="single" w:color="000000" w:sz="4" w:space="0"/>
              <w:left w:val="single" w:color="000000" w:sz="4" w:space="0"/>
              <w:bottom w:val="single" w:color="000000" w:sz="4" w:space="0"/>
              <w:right w:val="single" w:color="000000" w:sz="4" w:space="0"/>
            </w:tcBorders>
            <w:noWrap w:val="0"/>
            <w:vAlign w:val="center"/>
          </w:tcPr>
          <w:p w14:paraId="427153B5">
            <w:pPr>
              <w:pStyle w:val="4"/>
              <w:spacing w:before="0" w:beforeAutospacing="0" w:after="0" w:afterAutospacing="0"/>
              <w:rPr>
                <w:rFonts w:hint="eastAsia" w:ascii="宋体" w:hAnsi="宋体" w:eastAsia="宋体" w:cs="宋体"/>
                <w:sz w:val="21"/>
                <w:szCs w:val="21"/>
              </w:rPr>
            </w:pPr>
            <w:r>
              <w:rPr>
                <w:rFonts w:hint="eastAsia" w:ascii="宋体" w:hAnsi="宋体" w:eastAsia="宋体" w:cs="宋体"/>
                <w:color w:val="000000"/>
                <w:sz w:val="21"/>
                <w:szCs w:val="21"/>
              </w:rPr>
              <w:t>一、设备主要功能及技术参数：</w:t>
            </w:r>
          </w:p>
          <w:p w14:paraId="1F9FB0D2">
            <w:pPr>
              <w:pStyle w:val="4"/>
              <w:spacing w:before="0" w:beforeAutospacing="0" w:after="0" w:afterAutospacing="0"/>
              <w:rPr>
                <w:rFonts w:hint="eastAsia" w:ascii="宋体" w:hAnsi="宋体" w:eastAsia="宋体" w:cs="宋体"/>
                <w:sz w:val="21"/>
                <w:szCs w:val="21"/>
              </w:rPr>
            </w:pPr>
            <w:r>
              <w:rPr>
                <w:rFonts w:hint="eastAsia" w:ascii="宋体" w:hAnsi="宋体" w:eastAsia="宋体" w:cs="宋体"/>
                <w:color w:val="000000"/>
                <w:sz w:val="21"/>
                <w:szCs w:val="21"/>
              </w:rPr>
              <w:t>▲1、本系统是便携式相控阵系统，标准软件中包含四种或以上实时全聚焦方式（FMC/TFM/PCI/PWI）的高级数据采集和处理功能，可实现A、B、C、D、S、R扫描成像。系统具有超声相控阵和TFM全聚焦功能，可以实现相控阵线形扫查、扇形扫查、及实时全聚焦扫查等功能。</w:t>
            </w:r>
          </w:p>
          <w:p w14:paraId="290D80E0">
            <w:pPr>
              <w:pStyle w:val="4"/>
              <w:spacing w:before="0" w:beforeAutospacing="0" w:after="0" w:afterAutospacing="0"/>
              <w:rPr>
                <w:rFonts w:hint="eastAsia" w:ascii="宋体" w:hAnsi="宋体" w:eastAsia="宋体" w:cs="宋体"/>
                <w:sz w:val="21"/>
                <w:szCs w:val="21"/>
              </w:rPr>
            </w:pPr>
            <w:r>
              <w:rPr>
                <w:rFonts w:hint="eastAsia" w:ascii="宋体" w:hAnsi="宋体" w:eastAsia="宋体" w:cs="宋体"/>
                <w:color w:val="000000"/>
                <w:sz w:val="21"/>
                <w:szCs w:val="21"/>
              </w:rPr>
              <w:t>2、本检测系统要求64：128通道，PC端上位机软件要求具有3D建模及3D声束仿真和CAD模型导入功能，可直接生成参数导入仪器使用；上位机软件应具备板对接焊缝、管道焊缝、圆角结构、角焊缝、探头模拟功能。</w:t>
            </w:r>
          </w:p>
          <w:p w14:paraId="1C10E6CF">
            <w:pPr>
              <w:pStyle w:val="4"/>
              <w:spacing w:before="0" w:beforeAutospacing="0" w:after="0" w:afterAutospacing="0"/>
              <w:rPr>
                <w:rFonts w:hint="eastAsia" w:ascii="宋体" w:hAnsi="宋体" w:eastAsia="宋体" w:cs="宋体"/>
                <w:color w:val="000000"/>
                <w:kern w:val="0"/>
                <w:sz w:val="21"/>
                <w:szCs w:val="21"/>
                <w:lang w:bidi="ar"/>
              </w:rPr>
            </w:pPr>
            <w:r>
              <w:rPr>
                <w:rFonts w:hint="eastAsia" w:ascii="宋体" w:hAnsi="宋体" w:eastAsia="宋体" w:cs="宋体"/>
                <w:color w:val="000000"/>
                <w:sz w:val="21"/>
                <w:szCs w:val="21"/>
                <w:lang w:val="en-US" w:eastAsia="zh-CN"/>
              </w:rPr>
              <w:t>......具体详见第二章 采购需求。</w:t>
            </w:r>
          </w:p>
        </w:tc>
      </w:tr>
      <w:tr w14:paraId="6E5EF919">
        <w:tblPrEx>
          <w:tblCellMar>
            <w:top w:w="0" w:type="dxa"/>
            <w:left w:w="108" w:type="dxa"/>
            <w:bottom w:w="0" w:type="dxa"/>
            <w:right w:w="108" w:type="dxa"/>
          </w:tblCellMar>
        </w:tblPrEx>
        <w:trPr>
          <w:trHeight w:val="567" w:hRule="atLeast"/>
        </w:trPr>
        <w:tc>
          <w:tcPr>
            <w:tcW w:w="710" w:type="dxa"/>
            <w:tcBorders>
              <w:top w:val="single" w:color="000000" w:sz="4" w:space="0"/>
              <w:left w:val="single" w:color="000000" w:sz="4" w:space="0"/>
              <w:bottom w:val="single" w:color="000000" w:sz="4" w:space="0"/>
              <w:right w:val="single" w:color="000000" w:sz="4" w:space="0"/>
            </w:tcBorders>
            <w:noWrap w:val="0"/>
            <w:vAlign w:val="center"/>
          </w:tcPr>
          <w:p w14:paraId="76A935A1">
            <w:pPr>
              <w:widowControl/>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14:paraId="276CFF27">
            <w:pPr>
              <w:widowControl/>
              <w:jc w:val="left"/>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w:t>
            </w:r>
          </w:p>
        </w:tc>
        <w:tc>
          <w:tcPr>
            <w:tcW w:w="824" w:type="dxa"/>
            <w:tcBorders>
              <w:top w:val="single" w:color="000000" w:sz="4" w:space="0"/>
              <w:left w:val="single" w:color="000000" w:sz="4" w:space="0"/>
              <w:bottom w:val="single" w:color="000000" w:sz="4" w:space="0"/>
              <w:right w:val="single" w:color="000000" w:sz="4" w:space="0"/>
            </w:tcBorders>
            <w:noWrap w:val="0"/>
            <w:vAlign w:val="center"/>
          </w:tcPr>
          <w:p w14:paraId="30DAA325">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A8E1889">
            <w:pPr>
              <w:widowControl/>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w:t>
            </w:r>
          </w:p>
        </w:tc>
        <w:tc>
          <w:tcPr>
            <w:tcW w:w="5404" w:type="dxa"/>
            <w:tcBorders>
              <w:top w:val="single" w:color="000000" w:sz="4" w:space="0"/>
              <w:left w:val="single" w:color="000000" w:sz="4" w:space="0"/>
              <w:bottom w:val="single" w:color="000000" w:sz="4" w:space="0"/>
              <w:right w:val="single" w:color="000000" w:sz="4" w:space="0"/>
            </w:tcBorders>
            <w:noWrap w:val="0"/>
            <w:vAlign w:val="center"/>
          </w:tcPr>
          <w:p w14:paraId="39AE8BFE">
            <w:pPr>
              <w:pStyle w:val="4"/>
              <w:spacing w:before="0" w:beforeAutospacing="0" w:after="0" w:afterAutospacing="0"/>
              <w:rPr>
                <w:rFonts w:hint="default" w:ascii="宋体" w:hAnsi="宋体" w:eastAsia="宋体" w:cs="宋体"/>
                <w:color w:val="000000"/>
                <w:kern w:val="0"/>
                <w:sz w:val="21"/>
                <w:szCs w:val="21"/>
                <w:lang w:val="en-US" w:eastAsia="zh-CN" w:bidi="ar"/>
              </w:rPr>
            </w:pPr>
            <w:r>
              <w:rPr>
                <w:rFonts w:hint="eastAsia" w:cs="宋体"/>
                <w:color w:val="000000"/>
                <w:kern w:val="0"/>
                <w:sz w:val="21"/>
                <w:szCs w:val="21"/>
                <w:lang w:val="en-US" w:eastAsia="zh-CN" w:bidi="ar"/>
              </w:rPr>
              <w:t>......</w:t>
            </w:r>
            <w:r>
              <w:rPr>
                <w:rFonts w:hint="eastAsia" w:ascii="宋体" w:hAnsi="宋体" w:eastAsia="宋体" w:cs="宋体"/>
                <w:color w:val="000000"/>
                <w:sz w:val="21"/>
                <w:szCs w:val="21"/>
                <w:lang w:val="en-US" w:eastAsia="zh-CN"/>
              </w:rPr>
              <w:t>具体详见第二章 采购需求</w:t>
            </w:r>
            <w:r>
              <w:rPr>
                <w:rFonts w:hint="eastAsia" w:cs="宋体"/>
                <w:color w:val="000000"/>
                <w:sz w:val="21"/>
                <w:szCs w:val="21"/>
                <w:lang w:val="en-US" w:eastAsia="zh-CN"/>
              </w:rPr>
              <w:t>。</w:t>
            </w:r>
          </w:p>
        </w:tc>
      </w:tr>
      <w:tr w14:paraId="75C3BA44">
        <w:tblPrEx>
          <w:tblCellMar>
            <w:top w:w="0" w:type="dxa"/>
            <w:left w:w="108" w:type="dxa"/>
            <w:bottom w:w="0" w:type="dxa"/>
            <w:right w:w="108" w:type="dxa"/>
          </w:tblCellMar>
        </w:tblPrEx>
        <w:trPr>
          <w:trHeight w:val="567" w:hRule="atLeast"/>
        </w:trPr>
        <w:tc>
          <w:tcPr>
            <w:tcW w:w="9303" w:type="dxa"/>
            <w:gridSpan w:val="5"/>
            <w:tcBorders>
              <w:top w:val="single" w:color="000000" w:sz="4" w:space="0"/>
              <w:left w:val="single" w:color="000000" w:sz="4" w:space="0"/>
              <w:bottom w:val="single" w:color="000000" w:sz="4" w:space="0"/>
              <w:right w:val="single" w:color="000000" w:sz="4" w:space="0"/>
            </w:tcBorders>
            <w:noWrap w:val="0"/>
            <w:vAlign w:val="center"/>
          </w:tcPr>
          <w:p w14:paraId="2D8883D6">
            <w:pPr>
              <w:spacing w:line="380" w:lineRule="exact"/>
              <w:rPr>
                <w:rFonts w:hint="eastAsia" w:ascii="宋体" w:hAnsi="宋体" w:eastAsia="宋体" w:cs="宋体"/>
                <w:color w:val="000000"/>
                <w:kern w:val="0"/>
                <w:sz w:val="21"/>
                <w:szCs w:val="21"/>
                <w:lang w:bidi="ar"/>
              </w:rPr>
            </w:pPr>
            <w:r>
              <w:rPr>
                <w:rFonts w:hint="eastAsia" w:ascii="宋体" w:hAnsi="宋体"/>
                <w:szCs w:val="21"/>
                <w:lang w:val="en-US" w:eastAsia="zh-CN"/>
              </w:rPr>
              <w:t>合同履行期限：</w:t>
            </w:r>
            <w:r>
              <w:rPr>
                <w:rFonts w:hint="eastAsia" w:ascii="宋体" w:hAnsi="宋体"/>
                <w:szCs w:val="21"/>
              </w:rPr>
              <w:t>自合同签订之日起20个自然日内交付设备金额须达到合同总金额的65%</w:t>
            </w:r>
            <w:r>
              <w:rPr>
                <w:rFonts w:hint="eastAsia" w:ascii="宋体" w:hAnsi="宋体"/>
                <w:szCs w:val="21"/>
                <w:lang w:eastAsia="zh-CN"/>
              </w:rPr>
              <w:t>；</w:t>
            </w:r>
            <w:r>
              <w:rPr>
                <w:rFonts w:hint="eastAsia" w:ascii="宋体" w:hAnsi="宋体"/>
                <w:szCs w:val="21"/>
              </w:rPr>
              <w:t>自合同签订之日起30个工作日内安装完毕并交付使用</w:t>
            </w:r>
            <w:r>
              <w:rPr>
                <w:rFonts w:hint="eastAsia" w:ascii="宋体" w:hAnsi="宋体"/>
                <w:szCs w:val="21"/>
                <w:lang w:eastAsia="zh-CN"/>
              </w:rPr>
              <w:t>。</w:t>
            </w:r>
          </w:p>
        </w:tc>
      </w:tr>
    </w:tbl>
    <w:p w14:paraId="4FBEFD65">
      <w:pPr>
        <w:spacing w:line="360" w:lineRule="auto"/>
        <w:ind w:firstLine="422" w:firstLineChars="200"/>
        <w:rPr>
          <w:rFonts w:ascii="宋体" w:hAnsi="宋体"/>
          <w:b/>
          <w:bCs/>
          <w:szCs w:val="21"/>
        </w:rPr>
      </w:pPr>
      <w:r>
        <w:rPr>
          <w:rFonts w:hint="eastAsia" w:ascii="宋体" w:hAnsi="宋体"/>
          <w:b/>
          <w:bCs/>
          <w:szCs w:val="21"/>
        </w:rPr>
        <w:t>本项目不接受联合体投标。</w:t>
      </w:r>
    </w:p>
    <w:p w14:paraId="205C35EA">
      <w:pPr>
        <w:spacing w:line="360" w:lineRule="auto"/>
        <w:rPr>
          <w:rFonts w:ascii="黑体" w:hAnsi="黑体" w:eastAsia="黑体"/>
          <w:b/>
          <w:bCs/>
          <w:sz w:val="24"/>
        </w:rPr>
      </w:pPr>
      <w:bookmarkStart w:id="5" w:name="_Toc35393622"/>
      <w:bookmarkStart w:id="6" w:name="_Toc28359080"/>
      <w:bookmarkStart w:id="7" w:name="_Toc28359003"/>
      <w:bookmarkStart w:id="8" w:name="_Toc35393791"/>
      <w:r>
        <w:rPr>
          <w:rFonts w:hint="eastAsia" w:ascii="黑体" w:hAnsi="黑体" w:eastAsia="黑体"/>
          <w:b/>
          <w:bCs/>
          <w:sz w:val="24"/>
        </w:rPr>
        <w:t>二、申请人的资格要求：</w:t>
      </w:r>
      <w:bookmarkEnd w:id="5"/>
      <w:bookmarkEnd w:id="6"/>
      <w:bookmarkEnd w:id="7"/>
      <w:bookmarkEnd w:id="8"/>
    </w:p>
    <w:p w14:paraId="56C83810">
      <w:pPr>
        <w:spacing w:line="360" w:lineRule="auto"/>
        <w:ind w:firstLine="420" w:firstLineChars="200"/>
        <w:rPr>
          <w:rFonts w:ascii="宋体" w:hAnsi="宋体"/>
          <w:szCs w:val="21"/>
        </w:rPr>
      </w:pPr>
      <w:bookmarkStart w:id="9" w:name="_Hlk51746371"/>
      <w:r>
        <w:rPr>
          <w:rFonts w:hint="eastAsia" w:ascii="宋体" w:hAnsi="宋体"/>
          <w:szCs w:val="21"/>
        </w:rPr>
        <w:t>1.满足《中华人民共和国政府采购法》第二十二条规定；</w:t>
      </w:r>
    </w:p>
    <w:p w14:paraId="081E4900">
      <w:pPr>
        <w:spacing w:line="360" w:lineRule="auto"/>
        <w:ind w:firstLine="420" w:firstLineChars="200"/>
        <w:rPr>
          <w:rFonts w:hint="eastAsia" w:ascii="宋体" w:hAnsi="宋体"/>
          <w:szCs w:val="21"/>
        </w:rPr>
      </w:pPr>
      <w:bookmarkStart w:id="10" w:name="_Toc28359081"/>
      <w:bookmarkStart w:id="11" w:name="_Toc28359004"/>
      <w:r>
        <w:rPr>
          <w:rFonts w:ascii="宋体" w:hAnsi="宋体"/>
          <w:szCs w:val="21"/>
        </w:rPr>
        <w:t>2</w:t>
      </w:r>
      <w:r>
        <w:rPr>
          <w:rFonts w:hint="eastAsia" w:ascii="宋体" w:hAnsi="宋体"/>
          <w:szCs w:val="21"/>
        </w:rPr>
        <w:t>.落实政府采购政策需满足的资格要求：</w:t>
      </w:r>
      <w:r>
        <w:rPr>
          <w:rFonts w:hint="eastAsia" w:ascii="宋体" w:hAnsi="宋体"/>
          <w:szCs w:val="21"/>
          <w:u w:val="single"/>
        </w:rPr>
        <w:t>无</w:t>
      </w:r>
    </w:p>
    <w:p w14:paraId="346671FC">
      <w:pPr>
        <w:spacing w:line="360" w:lineRule="auto"/>
        <w:ind w:firstLine="420" w:firstLineChars="200"/>
        <w:rPr>
          <w:rFonts w:hint="eastAsia" w:ascii="宋体" w:hAnsi="宋体"/>
          <w:szCs w:val="21"/>
        </w:rPr>
      </w:pPr>
      <w:r>
        <w:rPr>
          <w:rFonts w:hint="eastAsia" w:ascii="宋体" w:hAnsi="宋体"/>
          <w:szCs w:val="21"/>
        </w:rPr>
        <w:t>3.本项目的特定资格要求：</w:t>
      </w:r>
      <w:r>
        <w:rPr>
          <w:rFonts w:hint="eastAsia" w:ascii="宋体" w:hAnsi="宋体"/>
          <w:szCs w:val="21"/>
          <w:u w:val="single"/>
        </w:rPr>
        <w:t>无</w:t>
      </w:r>
    </w:p>
    <w:bookmarkEnd w:id="9"/>
    <w:p w14:paraId="742E8B0B">
      <w:pPr>
        <w:spacing w:line="360" w:lineRule="auto"/>
        <w:rPr>
          <w:rFonts w:ascii="黑体" w:hAnsi="黑体" w:eastAsia="黑体"/>
          <w:b/>
          <w:bCs/>
          <w:sz w:val="24"/>
        </w:rPr>
      </w:pPr>
      <w:bookmarkStart w:id="12" w:name="_Toc35393792"/>
      <w:bookmarkStart w:id="13" w:name="_Toc35393623"/>
      <w:r>
        <w:rPr>
          <w:rFonts w:hint="eastAsia" w:ascii="黑体" w:hAnsi="黑体" w:eastAsia="黑体"/>
          <w:b/>
          <w:bCs/>
          <w:sz w:val="24"/>
        </w:rPr>
        <w:t>三、获取招标文件</w:t>
      </w:r>
      <w:bookmarkEnd w:id="10"/>
      <w:bookmarkEnd w:id="11"/>
      <w:bookmarkEnd w:id="12"/>
      <w:bookmarkEnd w:id="13"/>
    </w:p>
    <w:p w14:paraId="52DD07BA">
      <w:pPr>
        <w:spacing w:line="360" w:lineRule="auto"/>
        <w:ind w:firstLine="540"/>
        <w:rPr>
          <w:rFonts w:hint="eastAsia" w:ascii="宋体" w:hAnsi="宋体" w:cs="宋体"/>
          <w:bCs/>
          <w:kern w:val="0"/>
          <w:szCs w:val="21"/>
        </w:rPr>
      </w:pPr>
      <w:r>
        <w:rPr>
          <w:rFonts w:hint="eastAsia" w:ascii="宋体" w:hAnsi="宋体" w:cs="宋体"/>
          <w:bCs/>
          <w:kern w:val="0"/>
          <w:szCs w:val="21"/>
        </w:rPr>
        <w:t>时间：</w:t>
      </w:r>
      <w:r>
        <w:rPr>
          <w:rFonts w:ascii="宋体" w:hAnsi="宋体" w:cs="宋体"/>
          <w:bCs/>
          <w:kern w:val="0"/>
          <w:szCs w:val="21"/>
        </w:rPr>
        <w:t xml:space="preserve"> </w:t>
      </w:r>
      <w:r>
        <w:rPr>
          <w:rFonts w:hint="eastAsia" w:ascii="宋体" w:hAnsi="宋体" w:cs="宋体"/>
          <w:bCs/>
          <w:kern w:val="0"/>
          <w:szCs w:val="21"/>
          <w:u w:val="single"/>
        </w:rPr>
        <w:t>2026年</w:t>
      </w:r>
      <w:r>
        <w:rPr>
          <w:rFonts w:hint="eastAsia" w:ascii="宋体" w:hAnsi="宋体" w:cs="宋体"/>
          <w:bCs/>
          <w:kern w:val="0"/>
          <w:szCs w:val="21"/>
          <w:u w:val="single"/>
          <w:lang w:val="en-US" w:eastAsia="zh-CN"/>
        </w:rPr>
        <w:t>8</w:t>
      </w:r>
      <w:r>
        <w:rPr>
          <w:rFonts w:hint="eastAsia" w:ascii="宋体" w:hAnsi="宋体" w:cs="宋体"/>
          <w:bCs/>
          <w:kern w:val="0"/>
          <w:szCs w:val="21"/>
          <w:u w:val="single"/>
        </w:rPr>
        <w:t>月</w:t>
      </w:r>
      <w:r>
        <w:rPr>
          <w:rFonts w:hint="eastAsia" w:ascii="宋体" w:hAnsi="宋体" w:cs="宋体"/>
          <w:bCs/>
          <w:kern w:val="0"/>
          <w:szCs w:val="21"/>
          <w:u w:val="single"/>
          <w:lang w:val="en-US" w:eastAsia="zh-CN"/>
        </w:rPr>
        <w:t>17</w:t>
      </w:r>
      <w:r>
        <w:rPr>
          <w:rFonts w:hint="eastAsia" w:ascii="宋体" w:hAnsi="宋体" w:cs="宋体"/>
          <w:bCs/>
          <w:kern w:val="0"/>
          <w:szCs w:val="21"/>
          <w:u w:val="single"/>
        </w:rPr>
        <w:t>日</w:t>
      </w:r>
      <w:r>
        <w:rPr>
          <w:rFonts w:hint="eastAsia" w:ascii="宋体" w:hAnsi="宋体" w:cs="宋体"/>
          <w:bCs/>
          <w:kern w:val="0"/>
          <w:szCs w:val="21"/>
        </w:rPr>
        <w:t>至</w:t>
      </w:r>
      <w:r>
        <w:rPr>
          <w:rFonts w:hint="eastAsia" w:ascii="宋体" w:hAnsi="宋体" w:cs="宋体"/>
          <w:bCs/>
          <w:kern w:val="0"/>
          <w:szCs w:val="21"/>
          <w:u w:val="single"/>
        </w:rPr>
        <w:t>2026年</w:t>
      </w:r>
      <w:r>
        <w:rPr>
          <w:rFonts w:hint="eastAsia" w:ascii="宋体" w:hAnsi="宋体" w:cs="宋体"/>
          <w:bCs/>
          <w:kern w:val="0"/>
          <w:szCs w:val="21"/>
          <w:u w:val="single"/>
          <w:lang w:val="en-US" w:eastAsia="zh-CN"/>
        </w:rPr>
        <w:t>8</w:t>
      </w:r>
      <w:r>
        <w:rPr>
          <w:rFonts w:hint="eastAsia" w:ascii="宋体" w:hAnsi="宋体" w:cs="宋体"/>
          <w:bCs/>
          <w:kern w:val="0"/>
          <w:szCs w:val="21"/>
          <w:u w:val="single"/>
        </w:rPr>
        <w:t>月</w:t>
      </w:r>
      <w:r>
        <w:rPr>
          <w:rFonts w:hint="eastAsia" w:ascii="宋体" w:hAnsi="宋体" w:cs="宋体"/>
          <w:bCs/>
          <w:kern w:val="0"/>
          <w:szCs w:val="21"/>
          <w:u w:val="single"/>
          <w:lang w:val="en-US" w:eastAsia="zh-CN"/>
        </w:rPr>
        <w:t>24</w:t>
      </w:r>
      <w:r>
        <w:rPr>
          <w:rFonts w:hint="eastAsia" w:ascii="宋体" w:hAnsi="宋体" w:cs="宋体"/>
          <w:bCs/>
          <w:kern w:val="0"/>
          <w:szCs w:val="21"/>
          <w:u w:val="single"/>
        </w:rPr>
        <w:t>日</w:t>
      </w:r>
      <w:r>
        <w:rPr>
          <w:rFonts w:hint="eastAsia" w:ascii="宋体" w:hAnsi="宋体" w:cs="宋体"/>
          <w:bCs/>
          <w:kern w:val="0"/>
          <w:szCs w:val="21"/>
        </w:rPr>
        <w:t>，</w:t>
      </w:r>
      <w:r>
        <w:rPr>
          <w:rFonts w:hint="eastAsia" w:ascii="宋体" w:hAnsi="宋体" w:cs="Cambria"/>
          <w:bCs/>
          <w:kern w:val="0"/>
          <w:szCs w:val="21"/>
        </w:rPr>
        <w:t>每天上午</w:t>
      </w:r>
      <w:r>
        <w:rPr>
          <w:rFonts w:ascii="宋体" w:hAnsi="宋体" w:cs="Cambria"/>
          <w:bCs/>
          <w:kern w:val="0"/>
          <w:szCs w:val="21"/>
          <w:u w:val="single"/>
        </w:rPr>
        <w:t>0</w:t>
      </w:r>
      <w:r>
        <w:rPr>
          <w:rFonts w:hint="eastAsia" w:ascii="宋体" w:hAnsi="宋体" w:cs="Cambria"/>
          <w:bCs/>
          <w:kern w:val="0"/>
          <w:szCs w:val="21"/>
          <w:u w:val="single"/>
        </w:rPr>
        <w:t>：</w:t>
      </w:r>
      <w:r>
        <w:rPr>
          <w:rFonts w:ascii="宋体" w:hAnsi="宋体" w:cs="Cambria"/>
          <w:bCs/>
          <w:kern w:val="0"/>
          <w:szCs w:val="21"/>
          <w:u w:val="single"/>
        </w:rPr>
        <w:t>00</w:t>
      </w:r>
      <w:r>
        <w:rPr>
          <w:rFonts w:hint="eastAsia" w:ascii="宋体" w:hAnsi="宋体" w:cs="Cambria"/>
          <w:bCs/>
          <w:kern w:val="0"/>
          <w:szCs w:val="21"/>
          <w:u w:val="single"/>
        </w:rPr>
        <w:t>至</w:t>
      </w:r>
      <w:r>
        <w:rPr>
          <w:rFonts w:ascii="宋体" w:hAnsi="宋体" w:cs="Cambria"/>
          <w:bCs/>
          <w:kern w:val="0"/>
          <w:szCs w:val="21"/>
          <w:u w:val="single"/>
        </w:rPr>
        <w:t>12:00</w:t>
      </w:r>
      <w:r>
        <w:rPr>
          <w:rFonts w:hint="eastAsia" w:ascii="宋体" w:hAnsi="宋体" w:cs="Cambria"/>
          <w:bCs/>
          <w:kern w:val="0"/>
          <w:szCs w:val="21"/>
        </w:rPr>
        <w:t>，</w:t>
      </w:r>
      <w:r>
        <w:rPr>
          <w:rFonts w:hint="eastAsia" w:ascii="宋体" w:hAnsi="宋体" w:cs="Cambria"/>
          <w:bCs/>
          <w:kern w:val="0"/>
          <w:szCs w:val="21"/>
          <w:u w:val="single"/>
        </w:rPr>
        <w:t>下午</w:t>
      </w:r>
      <w:r>
        <w:rPr>
          <w:rFonts w:ascii="宋体" w:hAnsi="宋体" w:cs="Cambria"/>
          <w:bCs/>
          <w:kern w:val="0"/>
          <w:szCs w:val="21"/>
          <w:u w:val="single"/>
        </w:rPr>
        <w:t>12:00</w:t>
      </w:r>
      <w:r>
        <w:rPr>
          <w:rFonts w:hint="eastAsia" w:ascii="宋体" w:hAnsi="宋体" w:cs="Cambria"/>
          <w:bCs/>
          <w:kern w:val="0"/>
          <w:szCs w:val="21"/>
          <w:u w:val="single"/>
        </w:rPr>
        <w:t>至</w:t>
      </w:r>
      <w:r>
        <w:rPr>
          <w:rFonts w:ascii="宋体" w:hAnsi="宋体" w:cs="Cambria"/>
          <w:bCs/>
          <w:kern w:val="0"/>
          <w:szCs w:val="21"/>
          <w:u w:val="single"/>
        </w:rPr>
        <w:t>23:59</w:t>
      </w:r>
      <w:r>
        <w:rPr>
          <w:rFonts w:hint="eastAsia" w:ascii="宋体" w:hAnsi="宋体" w:cs="Cambria"/>
          <w:bCs/>
          <w:kern w:val="0"/>
          <w:szCs w:val="21"/>
          <w:u w:val="single"/>
        </w:rPr>
        <w:t>　</w:t>
      </w:r>
      <w:r>
        <w:rPr>
          <w:rFonts w:hint="eastAsia" w:ascii="宋体" w:hAnsi="宋体" w:cs="Cambria"/>
          <w:bCs/>
          <w:kern w:val="0"/>
          <w:szCs w:val="21"/>
        </w:rPr>
        <w:t>（北京时间）</w:t>
      </w:r>
    </w:p>
    <w:p w14:paraId="615CB0FC">
      <w:pPr>
        <w:spacing w:line="360" w:lineRule="auto"/>
        <w:ind w:firstLine="540"/>
        <w:rPr>
          <w:rFonts w:hint="eastAsia" w:ascii="宋体" w:hAnsi="宋体" w:cs="宋体"/>
          <w:bCs/>
          <w:kern w:val="0"/>
          <w:szCs w:val="21"/>
        </w:rPr>
      </w:pPr>
      <w:r>
        <w:rPr>
          <w:rFonts w:hint="eastAsia" w:ascii="宋体" w:hAnsi="宋体" w:cs="宋体"/>
          <w:bCs/>
          <w:kern w:val="0"/>
          <w:szCs w:val="21"/>
        </w:rPr>
        <w:t>地点：</w:t>
      </w:r>
      <w:r>
        <w:rPr>
          <w:rFonts w:hint="eastAsia" w:ascii="宋体" w:hAnsi="宋体"/>
          <w:szCs w:val="21"/>
        </w:rPr>
        <w:t>广西政府采购云平台（</w:t>
      </w:r>
      <w:r>
        <w:rPr>
          <w:rFonts w:hint="eastAsia" w:ascii="宋体" w:hAnsi="宋体"/>
          <w:bCs/>
          <w:szCs w:val="21"/>
        </w:rPr>
        <w:t>https://www.gcy.zfcg.gxzf.gov.cn/</w:t>
      </w:r>
      <w:r>
        <w:rPr>
          <w:rFonts w:hint="eastAsia" w:ascii="宋体" w:hAnsi="宋体"/>
          <w:szCs w:val="21"/>
        </w:rPr>
        <w:t>）</w:t>
      </w:r>
    </w:p>
    <w:p w14:paraId="796DC005">
      <w:pPr>
        <w:spacing w:line="360" w:lineRule="auto"/>
        <w:ind w:firstLine="540"/>
        <w:rPr>
          <w:rFonts w:ascii="宋体" w:hAnsi="宋体" w:cs="宋体"/>
          <w:bCs/>
          <w:kern w:val="0"/>
          <w:szCs w:val="21"/>
        </w:rPr>
      </w:pPr>
      <w:r>
        <w:rPr>
          <w:rFonts w:hint="eastAsia" w:ascii="宋体" w:hAnsi="宋体" w:cs="宋体"/>
          <w:bCs/>
          <w:kern w:val="0"/>
          <w:szCs w:val="21"/>
        </w:rPr>
        <w:t>方式：网上下载。本项目不提供纸质文件，潜在供应商需在</w:t>
      </w:r>
      <w:r>
        <w:rPr>
          <w:rFonts w:hint="eastAsia" w:ascii="宋体" w:hAnsi="宋体"/>
          <w:szCs w:val="21"/>
        </w:rPr>
        <w:t>广西政府采购云平台（</w:t>
      </w:r>
      <w:r>
        <w:rPr>
          <w:rFonts w:hint="eastAsia" w:ascii="宋体" w:hAnsi="宋体"/>
          <w:bCs/>
          <w:szCs w:val="21"/>
        </w:rPr>
        <w:t>https://www.gcy.zfcg.gxzf.gov.cn/</w:t>
      </w:r>
      <w:r>
        <w:rPr>
          <w:rFonts w:hint="eastAsia" w:ascii="宋体" w:hAnsi="宋体"/>
          <w:szCs w:val="21"/>
        </w:rPr>
        <w:t>）</w:t>
      </w:r>
      <w:r>
        <w:rPr>
          <w:rFonts w:hint="eastAsia" w:ascii="宋体" w:hAnsi="宋体" w:cs="宋体"/>
          <w:bCs/>
          <w:kern w:val="0"/>
          <w:szCs w:val="21"/>
        </w:rPr>
        <w:t>-进入“项目采购”应用，在获取采购文件菜单中选择项目，获取招标文件。</w:t>
      </w:r>
      <w:r>
        <w:rPr>
          <w:rFonts w:hint="eastAsia" w:ascii="宋体" w:hAnsi="宋体"/>
          <w:szCs w:val="21"/>
        </w:rPr>
        <w:t>电子投标文件制作需要基于广西政府采购云平台获取的招标文件编制，</w:t>
      </w:r>
      <w:r>
        <w:rPr>
          <w:rFonts w:hint="eastAsia" w:ascii="宋体" w:hAnsi="宋体" w:cs="宋体"/>
          <w:bCs/>
          <w:kern w:val="0"/>
          <w:szCs w:val="21"/>
        </w:rPr>
        <w:t>通过其他方式获取招标文件的，将有可能导致供应商无法在</w:t>
      </w:r>
      <w:r>
        <w:rPr>
          <w:rFonts w:hint="eastAsia" w:ascii="宋体" w:hAnsi="宋体"/>
          <w:szCs w:val="21"/>
        </w:rPr>
        <w:t>广西政府采购云平台</w:t>
      </w:r>
      <w:r>
        <w:rPr>
          <w:rFonts w:hint="eastAsia" w:ascii="宋体" w:hAnsi="宋体" w:cs="宋体"/>
          <w:bCs/>
          <w:kern w:val="0"/>
          <w:szCs w:val="21"/>
        </w:rPr>
        <w:t>编制及上传投标文件。</w:t>
      </w:r>
    </w:p>
    <w:p w14:paraId="30BCDD38">
      <w:pPr>
        <w:spacing w:line="360" w:lineRule="auto"/>
        <w:ind w:firstLine="540"/>
        <w:rPr>
          <w:rFonts w:ascii="宋体" w:hAnsi="宋体" w:cs="宋体"/>
          <w:szCs w:val="21"/>
        </w:rPr>
      </w:pPr>
      <w:r>
        <w:rPr>
          <w:rFonts w:hint="eastAsia" w:ascii="宋体" w:hAnsi="宋体" w:cs="宋体"/>
          <w:bCs/>
          <w:kern w:val="0"/>
          <w:szCs w:val="21"/>
        </w:rPr>
        <w:t>售价：</w:t>
      </w:r>
      <w:r>
        <w:rPr>
          <w:rFonts w:hint="eastAsia" w:ascii="宋体" w:hAnsi="宋体" w:cs="宋体"/>
          <w:i/>
          <w:szCs w:val="21"/>
          <w:u w:val="single"/>
        </w:rPr>
        <w:t>0</w:t>
      </w:r>
      <w:r>
        <w:rPr>
          <w:rFonts w:hint="eastAsia" w:ascii="宋体" w:hAnsi="宋体" w:cs="宋体"/>
          <w:szCs w:val="21"/>
        </w:rPr>
        <w:t>元</w:t>
      </w:r>
    </w:p>
    <w:p w14:paraId="2AC5F745">
      <w:pPr>
        <w:spacing w:line="360" w:lineRule="auto"/>
        <w:rPr>
          <w:rFonts w:ascii="黑体" w:hAnsi="黑体" w:eastAsia="黑体"/>
          <w:b/>
          <w:bCs/>
          <w:sz w:val="24"/>
        </w:rPr>
      </w:pPr>
      <w:bookmarkStart w:id="14" w:name="_Toc28359005"/>
      <w:bookmarkStart w:id="15" w:name="_Toc28359082"/>
      <w:bookmarkStart w:id="16" w:name="_Toc35393793"/>
      <w:bookmarkStart w:id="17" w:name="_Toc35393624"/>
      <w:r>
        <w:rPr>
          <w:rFonts w:hint="eastAsia" w:ascii="黑体" w:hAnsi="黑体" w:eastAsia="黑体"/>
          <w:b/>
          <w:bCs/>
          <w:sz w:val="24"/>
        </w:rPr>
        <w:t>四、提交投标文件</w:t>
      </w:r>
      <w:bookmarkEnd w:id="14"/>
      <w:bookmarkEnd w:id="15"/>
      <w:r>
        <w:rPr>
          <w:rFonts w:hint="eastAsia" w:ascii="黑体" w:hAnsi="黑体" w:eastAsia="黑体"/>
          <w:b/>
          <w:bCs/>
          <w:sz w:val="24"/>
        </w:rPr>
        <w:t>截止时间、开标时间和地点</w:t>
      </w:r>
      <w:bookmarkEnd w:id="16"/>
      <w:bookmarkEnd w:id="17"/>
    </w:p>
    <w:p w14:paraId="16ACE448">
      <w:pPr>
        <w:spacing w:line="360" w:lineRule="auto"/>
        <w:ind w:firstLine="420" w:firstLineChars="200"/>
        <w:rPr>
          <w:rFonts w:ascii="宋体" w:hAnsi="宋体" w:cs="宋体"/>
          <w:szCs w:val="21"/>
          <w:u w:val="single"/>
        </w:rPr>
      </w:pPr>
      <w:bookmarkStart w:id="18" w:name="_Toc28359084"/>
      <w:bookmarkStart w:id="19" w:name="_Toc35393625"/>
      <w:bookmarkStart w:id="20" w:name="_Toc28359007"/>
      <w:bookmarkStart w:id="21" w:name="_Toc35393794"/>
      <w:r>
        <w:rPr>
          <w:rFonts w:hint="eastAsia" w:ascii="宋体" w:hAnsi="宋体"/>
          <w:bCs/>
          <w:szCs w:val="21"/>
          <w:u w:val="single"/>
        </w:rPr>
        <w:t>2026年</w:t>
      </w:r>
      <w:r>
        <w:rPr>
          <w:rFonts w:hint="eastAsia" w:ascii="宋体" w:hAnsi="宋体"/>
          <w:bCs/>
          <w:szCs w:val="21"/>
          <w:u w:val="single"/>
          <w:lang w:val="en-US" w:eastAsia="zh-CN"/>
        </w:rPr>
        <w:t>9</w:t>
      </w:r>
      <w:r>
        <w:rPr>
          <w:rFonts w:hint="eastAsia" w:ascii="宋体" w:hAnsi="宋体"/>
          <w:bCs/>
          <w:szCs w:val="21"/>
          <w:u w:val="single"/>
        </w:rPr>
        <w:t>月</w:t>
      </w:r>
      <w:r>
        <w:rPr>
          <w:rFonts w:hint="eastAsia" w:ascii="宋体" w:hAnsi="宋体"/>
          <w:bCs/>
          <w:szCs w:val="21"/>
          <w:u w:val="single"/>
          <w:lang w:val="en-US" w:eastAsia="zh-CN"/>
        </w:rPr>
        <w:t>7</w:t>
      </w:r>
      <w:r>
        <w:rPr>
          <w:rFonts w:hint="eastAsia" w:ascii="宋体" w:hAnsi="宋体"/>
          <w:bCs/>
          <w:szCs w:val="21"/>
          <w:u w:val="single"/>
        </w:rPr>
        <w:t>日9时30分</w:t>
      </w:r>
      <w:r>
        <w:rPr>
          <w:rFonts w:hint="eastAsia" w:ascii="宋体" w:hAnsi="宋体"/>
          <w:bCs/>
          <w:szCs w:val="21"/>
        </w:rPr>
        <w:t>（北京时间）</w:t>
      </w:r>
    </w:p>
    <w:p w14:paraId="3C5D8F9E">
      <w:pPr>
        <w:spacing w:line="360" w:lineRule="auto"/>
        <w:ind w:firstLine="420" w:firstLineChars="200"/>
        <w:rPr>
          <w:rFonts w:hint="eastAsia" w:ascii="宋体" w:hAnsi="宋体"/>
          <w:szCs w:val="21"/>
        </w:rPr>
      </w:pPr>
      <w:r>
        <w:rPr>
          <w:rFonts w:hint="eastAsia" w:ascii="宋体" w:hAnsi="宋体"/>
          <w:szCs w:val="21"/>
        </w:rPr>
        <w:t>地点：</w:t>
      </w:r>
    </w:p>
    <w:p w14:paraId="67FDC331">
      <w:pPr>
        <w:spacing w:line="360" w:lineRule="auto"/>
        <w:ind w:firstLine="420" w:firstLineChars="200"/>
        <w:rPr>
          <w:rFonts w:ascii="宋体" w:hAnsi="宋体"/>
          <w:szCs w:val="21"/>
        </w:rPr>
      </w:pPr>
      <w:r>
        <w:rPr>
          <w:rFonts w:hint="eastAsia" w:ascii="宋体" w:hAnsi="宋体"/>
          <w:szCs w:val="21"/>
        </w:rPr>
        <w:t>投标地点：广西政府采购云平台（</w:t>
      </w:r>
      <w:r>
        <w:rPr>
          <w:rFonts w:hint="eastAsia" w:ascii="宋体" w:hAnsi="宋体"/>
          <w:bCs/>
          <w:szCs w:val="21"/>
        </w:rPr>
        <w:t>https://www.gcy.zfcg.gxzf.gov.cn/</w:t>
      </w:r>
      <w:r>
        <w:rPr>
          <w:rFonts w:hint="eastAsia" w:ascii="宋体" w:hAnsi="宋体"/>
          <w:szCs w:val="21"/>
        </w:rPr>
        <w:t>）</w:t>
      </w:r>
    </w:p>
    <w:p w14:paraId="3593D56D">
      <w:pPr>
        <w:spacing w:line="360" w:lineRule="auto"/>
        <w:ind w:firstLine="420" w:firstLineChars="200"/>
        <w:rPr>
          <w:rFonts w:hint="eastAsia" w:ascii="宋体" w:hAnsi="宋体"/>
          <w:szCs w:val="21"/>
        </w:rPr>
      </w:pPr>
      <w:r>
        <w:rPr>
          <w:rFonts w:hint="eastAsia" w:ascii="宋体" w:hAnsi="宋体"/>
          <w:szCs w:val="21"/>
        </w:rPr>
        <w:t>开标地点：广西政府采购云平台电子开标大厅</w:t>
      </w:r>
    </w:p>
    <w:p w14:paraId="3A821BC4">
      <w:pPr>
        <w:spacing w:line="360" w:lineRule="auto"/>
        <w:rPr>
          <w:rFonts w:ascii="黑体" w:hAnsi="黑体" w:eastAsia="黑体"/>
          <w:b/>
          <w:bCs/>
          <w:sz w:val="24"/>
        </w:rPr>
      </w:pPr>
      <w:r>
        <w:rPr>
          <w:rFonts w:hint="eastAsia" w:ascii="黑体" w:hAnsi="黑体" w:eastAsia="黑体"/>
          <w:b/>
          <w:bCs/>
          <w:sz w:val="24"/>
        </w:rPr>
        <w:t>五、公告期限</w:t>
      </w:r>
      <w:bookmarkEnd w:id="18"/>
      <w:bookmarkEnd w:id="19"/>
      <w:bookmarkEnd w:id="20"/>
      <w:bookmarkEnd w:id="21"/>
    </w:p>
    <w:p w14:paraId="1CE60052">
      <w:pPr>
        <w:spacing w:line="360" w:lineRule="auto"/>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584BECBB">
      <w:pPr>
        <w:spacing w:line="360" w:lineRule="auto"/>
        <w:rPr>
          <w:rFonts w:ascii="黑体" w:hAnsi="黑体" w:eastAsia="黑体"/>
          <w:b/>
          <w:bCs/>
          <w:sz w:val="24"/>
        </w:rPr>
      </w:pPr>
      <w:bookmarkStart w:id="22" w:name="_Toc35393626"/>
      <w:bookmarkStart w:id="23" w:name="_Toc35393795"/>
      <w:r>
        <w:rPr>
          <w:rFonts w:hint="eastAsia" w:ascii="黑体" w:hAnsi="黑体" w:eastAsia="黑体"/>
          <w:b/>
          <w:bCs/>
          <w:sz w:val="24"/>
        </w:rPr>
        <w:t>六、其他补充事宜</w:t>
      </w:r>
      <w:bookmarkEnd w:id="22"/>
      <w:bookmarkEnd w:id="23"/>
    </w:p>
    <w:p w14:paraId="0C0B320F">
      <w:pPr>
        <w:spacing w:line="360" w:lineRule="auto"/>
        <w:ind w:firstLine="420" w:firstLineChars="200"/>
        <w:rPr>
          <w:rFonts w:hint="eastAsia" w:ascii="宋体" w:hAnsi="宋体" w:cs="宋体"/>
          <w:kern w:val="0"/>
          <w:szCs w:val="21"/>
        </w:rPr>
      </w:pPr>
      <w:bookmarkStart w:id="24" w:name="_Hlk37429585"/>
      <w:bookmarkStart w:id="25" w:name="_Hlk37429595"/>
      <w:r>
        <w:rPr>
          <w:rFonts w:hint="eastAsia" w:ascii="宋体" w:hAnsi="宋体" w:cs="宋体"/>
          <w:kern w:val="0"/>
          <w:szCs w:val="21"/>
        </w:rPr>
        <w:t>1.网上查询地址</w:t>
      </w:r>
    </w:p>
    <w:bookmarkEnd w:id="24"/>
    <w:p w14:paraId="79C950C0">
      <w:pPr>
        <w:spacing w:line="360" w:lineRule="auto"/>
        <w:ind w:firstLine="424" w:firstLineChars="202"/>
        <w:rPr>
          <w:rFonts w:ascii="宋体" w:hAnsi="宋体" w:cs="宋体"/>
          <w:i/>
          <w:kern w:val="0"/>
          <w:szCs w:val="21"/>
        </w:rPr>
      </w:pPr>
      <w:r>
        <w:rPr>
          <w:rFonts w:hint="eastAsia" w:ascii="宋体" w:hAnsi="宋体" w:cs="宋体"/>
          <w:kern w:val="0"/>
          <w:szCs w:val="21"/>
        </w:rPr>
        <w:t>http://www.ccgp.gov.cn（中国政府采购网）、http://zfcg.gxzf.gov.cn（广西壮族自治区政府采购网）、http://gxggzy.gxzf.gov.cn/（广西壮族自治区公共资源交易中心）</w:t>
      </w:r>
    </w:p>
    <w:bookmarkEnd w:id="25"/>
    <w:p w14:paraId="206E4AE6">
      <w:pPr>
        <w:spacing w:line="360" w:lineRule="auto"/>
        <w:ind w:firstLine="424" w:firstLineChars="202"/>
        <w:rPr>
          <w:rFonts w:hint="eastAsia" w:ascii="宋体" w:hAnsi="宋体" w:cs="宋体"/>
          <w:kern w:val="0"/>
          <w:szCs w:val="21"/>
        </w:rPr>
      </w:pPr>
      <w:bookmarkStart w:id="26" w:name="_Hlk37429674"/>
      <w:r>
        <w:rPr>
          <w:rFonts w:hint="eastAsia" w:ascii="宋体" w:hAnsi="宋体"/>
          <w:szCs w:val="21"/>
        </w:rPr>
        <w:t>2</w:t>
      </w:r>
      <w:r>
        <w:rPr>
          <w:rFonts w:ascii="宋体" w:hAnsi="宋体"/>
          <w:szCs w:val="21"/>
        </w:rPr>
        <w:t>.</w:t>
      </w:r>
      <w:r>
        <w:rPr>
          <w:rFonts w:hint="eastAsia" w:ascii="宋体" w:hAnsi="宋体" w:cs="宋体"/>
          <w:kern w:val="0"/>
          <w:szCs w:val="21"/>
        </w:rPr>
        <w:t>本项目需要落实的政府采购政策</w:t>
      </w:r>
    </w:p>
    <w:p w14:paraId="018592E5">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（1）政府采购促进中小企业发展。</w:t>
      </w:r>
    </w:p>
    <w:p w14:paraId="1264DF00">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（2）政府采购支持采用本国产品的政策。</w:t>
      </w:r>
    </w:p>
    <w:p w14:paraId="47E25134">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（3）强制采购节能产品；优先采购节能产品、环境标志产品。</w:t>
      </w:r>
    </w:p>
    <w:p w14:paraId="01CC67A2">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（4）政府采购促进残疾人就业政策。</w:t>
      </w:r>
    </w:p>
    <w:p w14:paraId="300EDCDC">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（5）政府采购支持监狱企业发展。</w:t>
      </w:r>
    </w:p>
    <w:p w14:paraId="70ABC83F">
      <w:pPr>
        <w:widowControl/>
        <w:spacing w:line="360" w:lineRule="auto"/>
        <w:ind w:firstLine="420" w:firstLineChars="200"/>
        <w:jc w:val="left"/>
        <w:rPr>
          <w:rFonts w:hint="eastAsia" w:ascii="宋体" w:hAnsi="宋体"/>
          <w:szCs w:val="21"/>
        </w:rPr>
      </w:pPr>
      <w:r>
        <w:rPr>
          <w:rFonts w:hint="eastAsia" w:ascii="宋体" w:hAnsi="宋体" w:cs="宋体"/>
          <w:kern w:val="0"/>
          <w:szCs w:val="21"/>
        </w:rPr>
        <w:t>3.</w:t>
      </w:r>
      <w:bookmarkEnd w:id="26"/>
      <w:bookmarkStart w:id="27" w:name="_Toc35393796"/>
      <w:bookmarkStart w:id="28" w:name="_Toc28359085"/>
      <w:bookmarkStart w:id="29" w:name="_Toc28359008"/>
      <w:bookmarkStart w:id="30" w:name="_Toc35393627"/>
      <w:r>
        <w:rPr>
          <w:rFonts w:hint="eastAsia" w:ascii="宋体" w:hAnsi="宋体" w:cs="宋体"/>
          <w:kern w:val="0"/>
          <w:szCs w:val="21"/>
        </w:rPr>
        <w:t>投标人</w:t>
      </w:r>
      <w:r>
        <w:rPr>
          <w:rFonts w:hint="eastAsia" w:ascii="宋体" w:hAnsi="宋体"/>
          <w:szCs w:val="21"/>
        </w:rPr>
        <w:t>投标注意事项</w:t>
      </w:r>
    </w:p>
    <w:p w14:paraId="60D60E73">
      <w:pPr>
        <w:widowControl/>
        <w:spacing w:line="360" w:lineRule="auto"/>
        <w:ind w:firstLine="420" w:firstLineChars="200"/>
        <w:jc w:val="left"/>
        <w:rPr>
          <w:rFonts w:hint="eastAsia" w:ascii="宋体" w:hAnsi="宋体"/>
          <w:szCs w:val="21"/>
        </w:rPr>
      </w:pPr>
      <w:r>
        <w:rPr>
          <w:rFonts w:hint="eastAsia" w:ascii="宋体" w:hAnsi="宋体"/>
          <w:szCs w:val="21"/>
        </w:rPr>
        <w:t>（1）本项目为全流程电子化采购项目，通过广西政府采购云平台（</w:t>
      </w:r>
      <w:r>
        <w:rPr>
          <w:rFonts w:hint="eastAsia" w:ascii="宋体" w:hAnsi="宋体"/>
          <w:bCs/>
          <w:szCs w:val="21"/>
        </w:rPr>
        <w:t>https://www.gcy.zfcg.gxzf.gov.cn/</w:t>
      </w:r>
      <w:r>
        <w:rPr>
          <w:rFonts w:hint="eastAsia" w:ascii="宋体" w:hAnsi="宋体"/>
          <w:szCs w:val="21"/>
        </w:rPr>
        <w:t>）实行在线电子投标，投标人应按照本项目招标文件和广西政府采购云平台的要求编制、加密后在投标截止时间前通过网络上传至广西政府采购云平台（加密的电子投标文件是指</w:t>
      </w:r>
      <w:r>
        <w:rPr>
          <w:rFonts w:hint="eastAsia"/>
        </w:rPr>
        <w:t>后缀名为“</w:t>
      </w:r>
      <w:r>
        <w:t>jmbs</w:t>
      </w:r>
      <w:r>
        <w:rPr>
          <w:rFonts w:hint="eastAsia"/>
        </w:rPr>
        <w:t>”的文件</w:t>
      </w:r>
      <w:r>
        <w:rPr>
          <w:rFonts w:hint="eastAsia" w:ascii="宋体" w:hAnsi="宋体"/>
          <w:szCs w:val="21"/>
        </w:rPr>
        <w:t>），</w:t>
      </w:r>
      <w:r>
        <w:rPr>
          <w:rFonts w:hint="eastAsia" w:ascii="宋体" w:hAnsi="宋体"/>
          <w:b/>
          <w:szCs w:val="21"/>
        </w:rPr>
        <w:t>投标人在广西政府采购云平台提交电子投标文件时，请填写参加远程开标活动经办人联系方式。</w:t>
      </w:r>
      <w:r>
        <w:rPr>
          <w:rFonts w:hint="eastAsia" w:ascii="宋体" w:hAnsi="宋体"/>
          <w:szCs w:val="21"/>
        </w:rPr>
        <w:t>投标人登录广西政府采购云平台，依次进入“服务中心-项目采购-操作流程-电子招投标-</w:t>
      </w:r>
      <w:r>
        <w:rPr>
          <w:rFonts w:hint="eastAsia"/>
        </w:rPr>
        <w:t>政府采购项目电子交易管理操作指南</w:t>
      </w:r>
      <w:r>
        <w:t>-</w:t>
      </w:r>
      <w:r>
        <w:rPr>
          <w:rFonts w:hint="eastAsia"/>
        </w:rPr>
        <w:t>供应商</w:t>
      </w:r>
      <w:r>
        <w:rPr>
          <w:rFonts w:hint="eastAsia" w:ascii="宋体" w:hAnsi="宋体"/>
          <w:szCs w:val="21"/>
        </w:rPr>
        <w:t>”查看电子投标具体操作流程。</w:t>
      </w:r>
    </w:p>
    <w:p w14:paraId="6E4837B7">
      <w:pPr>
        <w:widowControl/>
        <w:spacing w:line="360" w:lineRule="auto"/>
        <w:ind w:firstLine="420" w:firstLineChars="200"/>
        <w:jc w:val="left"/>
        <w:rPr>
          <w:rFonts w:hint="eastAsia" w:ascii="宋体" w:hAnsi="宋体"/>
          <w:szCs w:val="21"/>
        </w:rPr>
      </w:pPr>
      <w:r>
        <w:rPr>
          <w:rFonts w:hint="eastAsia" w:ascii="宋体" w:hAnsi="宋体"/>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kern w:val="0"/>
          <w:szCs w:val="21"/>
        </w:rPr>
        <w:t>，</w:t>
      </w:r>
      <w:r>
        <w:rPr>
          <w:rFonts w:hint="eastAsia" w:ascii="宋体" w:hAnsi="宋体"/>
          <w:szCs w:val="21"/>
        </w:rPr>
        <w:t>依次进入“服务中心-入驻与配置”中查看CA数字证书办理操作流程。</w:t>
      </w:r>
      <w:r>
        <w:rPr>
          <w:rFonts w:hint="eastAsia" w:ascii="宋体" w:hAnsi="宋体" w:cs="宋体"/>
          <w:bCs/>
          <w:kern w:val="0"/>
          <w:szCs w:val="21"/>
        </w:rPr>
        <w:t>如在操作过程中遇到问题或者需要技术支持，请致电客服热线：95763或者0771-3381253</w:t>
      </w:r>
      <w:r>
        <w:rPr>
          <w:rFonts w:hint="eastAsia" w:ascii="宋体" w:hAnsi="宋体"/>
          <w:szCs w:val="21"/>
        </w:rPr>
        <w:t>）。</w:t>
      </w:r>
    </w:p>
    <w:p w14:paraId="10AA5723">
      <w:pPr>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（3）CA证书在线解密：投标人投标时，需凭制作投标文件时用来加密的有效数字证书（CA认证）登录</w:t>
      </w:r>
      <w:r>
        <w:rPr>
          <w:rFonts w:hint="eastAsia" w:ascii="宋体" w:hAnsi="宋体"/>
          <w:szCs w:val="21"/>
        </w:rPr>
        <w:t>广西政府采购云平台</w:t>
      </w:r>
      <w:r>
        <w:rPr>
          <w:rFonts w:hint="eastAsia" w:ascii="宋体" w:hAnsi="宋体" w:cs="宋体"/>
          <w:kern w:val="0"/>
          <w:szCs w:val="21"/>
        </w:rPr>
        <w:t>电子开标大厅现场按规定时间对加密的投标文件进行解密，否则后果自负。</w:t>
      </w:r>
    </w:p>
    <w:p w14:paraId="1AC80FFC">
      <w:pPr>
        <w:spacing w:line="360" w:lineRule="auto"/>
        <w:ind w:firstLine="424" w:firstLineChars="202"/>
        <w:rPr>
          <w:rFonts w:hint="eastAsia" w:ascii="宋体" w:hAnsi="宋体" w:cs="宋体"/>
          <w:kern w:val="0"/>
          <w:szCs w:val="21"/>
        </w:rPr>
      </w:pPr>
      <w:r>
        <w:rPr>
          <w:rFonts w:hint="eastAsia" w:ascii="宋体" w:hAnsi="宋体"/>
          <w:szCs w:val="21"/>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szCs w:val="21"/>
        </w:rPr>
        <w:t>广西政府采购云平台</w:t>
      </w:r>
      <w:r>
        <w:rPr>
          <w:rFonts w:hint="eastAsia" w:ascii="宋体" w:hAnsi="宋体"/>
          <w:bCs/>
          <w:szCs w:val="21"/>
        </w:rPr>
        <w:t>将予以拒收。</w:t>
      </w:r>
    </w:p>
    <w:p w14:paraId="115FB1D6">
      <w:pPr>
        <w:spacing w:line="360" w:lineRule="auto"/>
        <w:ind w:firstLine="482" w:firstLineChars="200"/>
        <w:rPr>
          <w:rFonts w:ascii="黑体" w:hAnsi="黑体" w:eastAsia="黑体"/>
          <w:b/>
          <w:bCs/>
          <w:sz w:val="24"/>
        </w:rPr>
      </w:pPr>
      <w:r>
        <w:rPr>
          <w:rFonts w:hint="eastAsia" w:ascii="黑体" w:hAnsi="黑体" w:eastAsia="黑体"/>
          <w:b/>
          <w:bCs/>
          <w:sz w:val="24"/>
        </w:rPr>
        <w:t>七、对本次招标提出询问，请按</w:t>
      </w:r>
      <w:r>
        <w:rPr>
          <w:rFonts w:ascii="黑体" w:hAnsi="黑体" w:eastAsia="黑体"/>
          <w:b/>
          <w:bCs/>
          <w:sz w:val="24"/>
        </w:rPr>
        <w:t>以下方式</w:t>
      </w:r>
      <w:r>
        <w:rPr>
          <w:rFonts w:hint="eastAsia" w:ascii="黑体" w:hAnsi="黑体" w:eastAsia="黑体"/>
          <w:b/>
          <w:bCs/>
          <w:sz w:val="24"/>
        </w:rPr>
        <w:t>联系。</w:t>
      </w:r>
      <w:bookmarkEnd w:id="27"/>
      <w:bookmarkEnd w:id="28"/>
      <w:bookmarkEnd w:id="29"/>
      <w:bookmarkEnd w:id="30"/>
    </w:p>
    <w:p w14:paraId="71207AEE">
      <w:pPr>
        <w:spacing w:line="360" w:lineRule="auto"/>
        <w:ind w:firstLine="567" w:firstLineChars="270"/>
        <w:jc w:val="left"/>
        <w:rPr>
          <w:rFonts w:hint="eastAsia" w:ascii="宋体" w:hAnsi="宋体" w:cs="宋体"/>
          <w:szCs w:val="21"/>
        </w:rPr>
      </w:pPr>
      <w:r>
        <w:rPr>
          <w:rFonts w:hint="eastAsia" w:ascii="宋体" w:hAnsi="宋体" w:cs="宋体"/>
          <w:szCs w:val="21"/>
        </w:rPr>
        <w:t>1.采购人信息</w:t>
      </w:r>
    </w:p>
    <w:p w14:paraId="6571DDBB">
      <w:pPr>
        <w:spacing w:line="360" w:lineRule="auto"/>
        <w:ind w:firstLine="567" w:firstLineChars="270"/>
        <w:jc w:val="left"/>
        <w:rPr>
          <w:rFonts w:ascii="宋体" w:hAnsi="宋体"/>
          <w:szCs w:val="21"/>
        </w:rPr>
      </w:pPr>
      <w:r>
        <w:rPr>
          <w:rFonts w:hint="eastAsia" w:ascii="宋体" w:hAnsi="宋体"/>
          <w:szCs w:val="21"/>
        </w:rPr>
        <w:t>名 称：广西壮族自治区特种设备检验研究院</w:t>
      </w:r>
    </w:p>
    <w:p w14:paraId="22C78C5F">
      <w:pPr>
        <w:spacing w:line="360" w:lineRule="auto"/>
        <w:ind w:firstLine="567" w:firstLineChars="270"/>
        <w:jc w:val="left"/>
        <w:rPr>
          <w:rFonts w:ascii="宋体" w:hAnsi="宋体"/>
          <w:szCs w:val="21"/>
        </w:rPr>
      </w:pPr>
      <w:r>
        <w:rPr>
          <w:rFonts w:hint="eastAsia" w:ascii="宋体" w:hAnsi="宋体"/>
          <w:szCs w:val="21"/>
        </w:rPr>
        <w:t>地址：南宁市邕宁区仁信路25号</w:t>
      </w:r>
    </w:p>
    <w:p w14:paraId="3AF4D272">
      <w:pPr>
        <w:spacing w:line="360" w:lineRule="auto"/>
        <w:ind w:firstLine="567" w:firstLineChars="270"/>
        <w:jc w:val="left"/>
        <w:rPr>
          <w:rFonts w:ascii="宋体" w:hAnsi="宋体"/>
          <w:szCs w:val="21"/>
          <w:u w:val="single"/>
        </w:rPr>
      </w:pPr>
      <w:r>
        <w:rPr>
          <w:rFonts w:hint="eastAsia" w:ascii="宋体" w:hAnsi="宋体"/>
          <w:szCs w:val="21"/>
        </w:rPr>
        <w:t>联系方式：</w:t>
      </w:r>
      <w:bookmarkStart w:id="31" w:name="_Toc28359009"/>
      <w:bookmarkStart w:id="32" w:name="_Toc28359086"/>
      <w:r>
        <w:rPr>
          <w:rFonts w:hint="eastAsia" w:ascii="宋体" w:hAnsi="宋体"/>
          <w:szCs w:val="21"/>
        </w:rPr>
        <w:t>张俊芬；0771-5900153</w:t>
      </w:r>
    </w:p>
    <w:p w14:paraId="3AEDABCD">
      <w:pPr>
        <w:spacing w:line="360" w:lineRule="auto"/>
        <w:ind w:firstLine="567" w:firstLineChars="270"/>
        <w:jc w:val="left"/>
        <w:rPr>
          <w:rFonts w:ascii="宋体" w:hAnsi="宋体"/>
          <w:szCs w:val="21"/>
        </w:rPr>
      </w:pPr>
      <w:r>
        <w:rPr>
          <w:rFonts w:hint="eastAsia" w:ascii="宋体" w:hAnsi="宋体" w:cs="宋体"/>
          <w:szCs w:val="21"/>
        </w:rPr>
        <w:t>2.采购代理机构信息</w:t>
      </w:r>
      <w:bookmarkEnd w:id="31"/>
      <w:bookmarkEnd w:id="32"/>
    </w:p>
    <w:p w14:paraId="6B222386">
      <w:pPr>
        <w:spacing w:line="360" w:lineRule="auto"/>
        <w:ind w:firstLine="567" w:firstLineChars="270"/>
        <w:rPr>
          <w:rFonts w:hint="eastAsia" w:ascii="宋体" w:hAnsi="宋体"/>
          <w:szCs w:val="21"/>
        </w:rPr>
      </w:pPr>
      <w:bookmarkStart w:id="33" w:name="_Toc28359010"/>
      <w:bookmarkStart w:id="34" w:name="_Toc28359087"/>
      <w:r>
        <w:rPr>
          <w:rFonts w:hint="eastAsia" w:ascii="宋体" w:hAnsi="宋体"/>
          <w:szCs w:val="21"/>
        </w:rPr>
        <w:t>名 称：云之龙咨询集团有限公司</w:t>
      </w:r>
    </w:p>
    <w:p w14:paraId="6DFDB893">
      <w:pPr>
        <w:spacing w:line="360" w:lineRule="auto"/>
        <w:ind w:firstLine="567" w:firstLineChars="270"/>
        <w:rPr>
          <w:rFonts w:hint="eastAsia" w:ascii="宋体" w:hAnsi="宋体"/>
          <w:szCs w:val="21"/>
        </w:rPr>
      </w:pPr>
      <w:r>
        <w:rPr>
          <w:rFonts w:hint="eastAsia" w:ascii="宋体" w:hAnsi="宋体"/>
          <w:szCs w:val="21"/>
        </w:rPr>
        <w:t>地　址：广西南宁市良庆区云英路15号3号楼云之龙咨询集团大厦6楼/530201</w:t>
      </w:r>
    </w:p>
    <w:p w14:paraId="444B497A">
      <w:pPr>
        <w:spacing w:line="360" w:lineRule="auto"/>
        <w:ind w:firstLine="567" w:firstLineChars="270"/>
        <w:rPr>
          <w:rFonts w:ascii="宋体" w:hAnsi="宋体"/>
          <w:szCs w:val="21"/>
        </w:rPr>
      </w:pPr>
      <w:r>
        <w:rPr>
          <w:rFonts w:hint="eastAsia" w:ascii="宋体" w:hAnsi="宋体"/>
          <w:szCs w:val="21"/>
        </w:rPr>
        <w:t>联系方式：0771-2611898、2618118、2618199</w:t>
      </w:r>
    </w:p>
    <w:p w14:paraId="3E85A18F">
      <w:pPr>
        <w:spacing w:line="360" w:lineRule="auto"/>
        <w:ind w:firstLine="567" w:firstLineChars="270"/>
        <w:rPr>
          <w:rFonts w:ascii="宋体" w:hAnsi="宋体"/>
          <w:szCs w:val="21"/>
          <w:u w:val="single"/>
        </w:rPr>
      </w:pPr>
      <w:r>
        <w:rPr>
          <w:rFonts w:hint="eastAsia" w:ascii="宋体" w:hAnsi="宋体" w:cs="宋体"/>
          <w:szCs w:val="21"/>
        </w:rPr>
        <w:t>3.项目</w:t>
      </w:r>
      <w:r>
        <w:rPr>
          <w:rFonts w:ascii="宋体" w:hAnsi="宋体" w:cs="宋体"/>
          <w:szCs w:val="21"/>
        </w:rPr>
        <w:t>联系方式</w:t>
      </w:r>
      <w:bookmarkEnd w:id="33"/>
      <w:bookmarkEnd w:id="34"/>
    </w:p>
    <w:p w14:paraId="2AAE935F">
      <w:pPr>
        <w:pStyle w:val="3"/>
        <w:spacing w:line="360" w:lineRule="auto"/>
        <w:ind w:firstLine="567" w:firstLineChars="270"/>
        <w:rPr>
          <w:rFonts w:hAnsi="宋体"/>
          <w:sz w:val="21"/>
          <w:u w:val="single"/>
        </w:rPr>
      </w:pPr>
      <w:r>
        <w:rPr>
          <w:rFonts w:hint="eastAsia" w:hAnsi="宋体"/>
          <w:sz w:val="21"/>
        </w:rPr>
        <w:t>项目联系人：黎翠莹、梁俏英</w:t>
      </w:r>
    </w:p>
    <w:p w14:paraId="69979D25">
      <w:pPr>
        <w:spacing w:line="360" w:lineRule="auto"/>
        <w:ind w:firstLine="567" w:firstLineChars="270"/>
        <w:rPr>
          <w:rFonts w:ascii="宋体" w:hAnsi="宋体"/>
          <w:szCs w:val="21"/>
          <w:u w:val="single"/>
        </w:rPr>
      </w:pPr>
      <w:r>
        <w:rPr>
          <w:rFonts w:hint="eastAsia" w:ascii="宋体" w:hAnsi="宋体"/>
          <w:szCs w:val="21"/>
        </w:rPr>
        <w:t>电　话：0771-2611898、2618118、2618199</w:t>
      </w:r>
    </w:p>
    <w:p w14:paraId="5B173B6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2275C1"/>
    <w:rsid w:val="6BBF4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kern w:val="0"/>
      <w:sz w:val="20"/>
      <w:szCs w:val="21"/>
    </w:rPr>
  </w:style>
  <w:style w:type="paragraph" w:styleId="4">
    <w:name w:val="Normal (Web)"/>
    <w:basedOn w:val="1"/>
    <w:qFormat/>
    <w:uiPriority w:val="99"/>
    <w:pPr>
      <w:widowControl/>
      <w:spacing w:before="100" w:beforeAutospacing="1" w:after="100" w:afterAutospacing="1"/>
      <w:jc w:val="left"/>
    </w:pPr>
    <w:rPr>
      <w:rFonts w:ascii="宋体" w:hAnsi="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3501</Words>
  <Characters>4381</Characters>
  <Lines>0</Lines>
  <Paragraphs>0</Paragraphs>
  <TotalTime>2</TotalTime>
  <ScaleCrop>false</ScaleCrop>
  <LinksUpToDate>false</LinksUpToDate>
  <CharactersWithSpaces>4469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2025-10-28T10:38:00Z</dcterms:created>
  <dc:creator>Administrator</dc:creator>
  <cp:lastModifiedBy>WPS_1602214612</cp:lastModifiedBy>
  <cp:lastPrinted>2026-08-17T08:28:25Z</cp:lastPrinted>
  <dcterms:modified xsi:type="dcterms:W3CDTF">2026-08-17T09:31:26Z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BCD27B52A63B459E89DEC36C3C906F09_12</vt:lpwstr>
  </property>
  <property fmtid="{D5CDD505-2E9C-101B-9397-08002B2CF9AE}" pid="4" name="KSOTemplateDocerSaveRecord">
    <vt:lpwstr>eyJoZGlkIjoiYzYyZDllODYwZmNjMmI1MzcyZGY0ODk5ZTE1MjMzZTIiLCJ1c2VySWQiOiIxMTI4ODcwMzU0In0=</vt:lpwstr>
  </property>
</Properties>
</file>