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7537BE">
      <w:pPr>
        <w:pStyle w:val="3"/>
        <w:jc w:val="center"/>
        <w:outlineLvl w:val="0"/>
        <w:rPr>
          <w:rFonts w:hint="eastAsia" w:ascii="宋体" w:hAnsi="宋体" w:eastAsia="宋体" w:cs="宋体"/>
          <w:b/>
          <w:color w:val="auto"/>
          <w:sz w:val="36"/>
        </w:rPr>
      </w:pPr>
      <w:bookmarkStart w:id="3" w:name="_GoBack"/>
      <w:bookmarkStart w:id="0" w:name="_Toc532545042"/>
      <w:bookmarkStart w:id="1" w:name="_Toc187761550"/>
      <w:bookmarkStart w:id="2" w:name="_Toc17618"/>
      <w:r>
        <w:rPr>
          <w:rFonts w:hint="eastAsia" w:ascii="宋体" w:hAnsi="宋体" w:eastAsia="宋体" w:cs="宋体"/>
          <w:b/>
          <w:color w:val="auto"/>
          <w:sz w:val="36"/>
        </w:rPr>
        <w:t>第二章</w:t>
      </w:r>
      <w:bookmarkEnd w:id="0"/>
      <w:r>
        <w:rPr>
          <w:rFonts w:hint="eastAsia" w:ascii="宋体" w:hAnsi="宋体" w:eastAsia="宋体" w:cs="宋体"/>
          <w:b/>
          <w:color w:val="auto"/>
          <w:sz w:val="36"/>
        </w:rPr>
        <w:t>采购需求</w:t>
      </w:r>
      <w:bookmarkEnd w:id="1"/>
      <w:bookmarkEnd w:id="2"/>
    </w:p>
    <w:p w14:paraId="5B5FDB23">
      <w:pPr>
        <w:adjustRightInd w:val="0"/>
        <w:spacing w:line="340" w:lineRule="exact"/>
        <w:rPr>
          <w:rFonts w:hint="eastAsia" w:ascii="宋体" w:hAnsi="宋体" w:eastAsia="宋体" w:cs="宋体"/>
          <w:b/>
          <w:color w:val="auto"/>
          <w:szCs w:val="21"/>
        </w:rPr>
      </w:pPr>
      <w:r>
        <w:rPr>
          <w:rFonts w:hint="eastAsia" w:ascii="宋体" w:hAnsi="宋体" w:eastAsia="宋体" w:cs="宋体"/>
          <w:b/>
          <w:color w:val="auto"/>
          <w:szCs w:val="21"/>
        </w:rPr>
        <w:t>说明：</w:t>
      </w:r>
    </w:p>
    <w:p w14:paraId="79D9237D">
      <w:pPr>
        <w:spacing w:line="360" w:lineRule="auto"/>
        <w:ind w:firstLine="420" w:firstLineChars="200"/>
        <w:jc w:val="left"/>
        <w:rPr>
          <w:rFonts w:hint="eastAsia" w:ascii="宋体" w:hAnsi="宋体" w:eastAsia="宋体" w:cs="宋体"/>
          <w:color w:val="auto"/>
        </w:rPr>
      </w:pPr>
      <w:r>
        <w:rPr>
          <w:rFonts w:hint="eastAsia" w:ascii="宋体" w:hAnsi="宋体" w:eastAsia="宋体" w:cs="宋体"/>
          <w:color w:val="auto"/>
        </w:rPr>
        <w:t>1. 为落实政府采购政策需满足的要求</w:t>
      </w:r>
    </w:p>
    <w:p w14:paraId="5A9EAB6A">
      <w:pPr>
        <w:spacing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（1）本招标文件所称中小企业必须符合《政府采购促进中小企业发展管理办法》（财库〔2020〕46号）的规定。</w:t>
      </w:r>
    </w:p>
    <w:p w14:paraId="4AAD33C5">
      <w:pPr>
        <w:spacing w:line="360" w:lineRule="auto"/>
        <w:ind w:firstLine="424" w:firstLineChars="202"/>
        <w:jc w:val="left"/>
        <w:rPr>
          <w:rFonts w:hint="eastAsia" w:ascii="宋体" w:hAnsi="宋体" w:eastAsia="宋体" w:cs="宋体"/>
          <w:color w:val="auto"/>
          <w:szCs w:val="21"/>
        </w:rPr>
      </w:pPr>
      <w:r>
        <w:rPr>
          <w:rFonts w:hint="eastAsia" w:ascii="宋体" w:hAnsi="宋体" w:eastAsia="宋体" w:cs="宋体"/>
          <w:color w:val="auto"/>
          <w:szCs w:val="21"/>
        </w:rPr>
        <w:t>（2）服务项目中伴随货物的，根据《财政部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详见本章附件1），</w:t>
      </w:r>
      <w:r>
        <w:rPr>
          <w:rFonts w:hint="eastAsia" w:ascii="宋体" w:hAnsi="宋体" w:eastAsia="宋体" w:cs="宋体"/>
          <w:b/>
          <w:color w:val="auto"/>
          <w:szCs w:val="21"/>
        </w:rPr>
        <w:t>投标人的投标货物必须使用政府强制采购的节能产品，投标人必须在投标文件中提供所投标产品的节能产品认证证书复印件（加盖投标人电子公章），否则投标文件作无效处理。</w:t>
      </w:r>
      <w:r>
        <w:rPr>
          <w:rFonts w:hint="eastAsia" w:ascii="宋体" w:hAnsi="宋体" w:eastAsia="宋体" w:cs="宋体"/>
          <w:color w:val="auto"/>
          <w:szCs w:val="21"/>
        </w:rPr>
        <w:t>如本项目包含的货物属于品目清单内非标注“★”的产品时，应优先采购，具体详见“第四章 评标方法和评标标准”。</w:t>
      </w:r>
    </w:p>
    <w:p w14:paraId="52658A72">
      <w:pPr>
        <w:spacing w:line="360" w:lineRule="auto"/>
        <w:ind w:firstLine="424" w:firstLineChars="202"/>
        <w:jc w:val="left"/>
        <w:rPr>
          <w:rFonts w:hint="eastAsia" w:ascii="宋体" w:hAnsi="宋体" w:eastAsia="宋体" w:cs="宋体"/>
          <w:color w:val="auto"/>
          <w:szCs w:val="21"/>
        </w:rPr>
      </w:pPr>
      <w:r>
        <w:rPr>
          <w:rFonts w:hint="eastAsia" w:ascii="宋体" w:hAnsi="宋体" w:eastAsia="宋体" w:cs="宋体"/>
          <w:color w:val="auto"/>
          <w:szCs w:val="21"/>
        </w:rPr>
        <w:t>（3）根据《关于调整网络安全专用产品安全管理有关事项的公告》（2023年1号）规定，本项目采购需求中的服务伴随的产品如果包括《网络关键设备和网络安全专用产品目录》的网络安全专用产品，供应商在投标文件中应主动列明供货范围中属于网络安全专用产品的投标产品，</w:t>
      </w:r>
      <w:r>
        <w:rPr>
          <w:rFonts w:hint="eastAsia" w:ascii="宋体" w:hAnsi="宋体" w:eastAsia="宋体" w:cs="宋体"/>
          <w:b/>
          <w:color w:val="auto"/>
          <w:szCs w:val="21"/>
        </w:rPr>
        <w:t>并在投标文件（商务及技术文件）中提供由中国网信网（ http://www.cac.gov.cn/index.htm）最新发布的《网络关键设备和网络安全专用产品安全认证和安全检测结果》截图证明材料，不在《网络关键设备和网络安全专用产品安全认证和安全检测结果》中或不在有效期内或未提供有效的《计算机信息系统安全专用产品销售许可证》的，投标无效。</w:t>
      </w:r>
      <w:r>
        <w:rPr>
          <w:rFonts w:hint="eastAsia" w:ascii="宋体" w:hAnsi="宋体" w:eastAsia="宋体" w:cs="宋体"/>
          <w:color w:val="auto"/>
          <w:szCs w:val="21"/>
        </w:rPr>
        <w:t>如属于《网络关键设备和网络安全专用产品目录》中“二、网络安全专用产品”内“产品类别”中的所描述的产品，但不属于所列“产品描述”情形的，应提供相应的说明及证明材料。</w:t>
      </w:r>
    </w:p>
    <w:p w14:paraId="3B41A50B">
      <w:pPr>
        <w:spacing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4）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2EA3D5CF">
      <w:pPr>
        <w:numPr>
          <w:ilvl w:val="0"/>
          <w:numId w:val="1"/>
        </w:numPr>
        <w:spacing w:line="360" w:lineRule="auto"/>
        <w:ind w:firstLine="424" w:firstLineChars="202"/>
        <w:jc w:val="left"/>
        <w:rPr>
          <w:rFonts w:hint="eastAsia" w:ascii="宋体" w:hAnsi="宋体" w:eastAsia="宋体" w:cs="宋体"/>
          <w:color w:val="auto"/>
          <w:szCs w:val="21"/>
        </w:rPr>
      </w:pPr>
      <w:r>
        <w:rPr>
          <w:rFonts w:hint="eastAsia" w:ascii="宋体" w:hAnsi="宋体" w:eastAsia="宋体" w:cs="宋体"/>
          <w:color w:val="auto"/>
          <w:szCs w:val="21"/>
        </w:rPr>
        <w:t xml:space="preserve"> “实质性要求”是指招标文件中已经指明不满足则投标无效的条款，或者不能负偏离的条款，或者采购需求中带“▲”的条款。</w:t>
      </w:r>
    </w:p>
    <w:p w14:paraId="49916682">
      <w:pPr>
        <w:numPr>
          <w:ilvl w:val="0"/>
          <w:numId w:val="1"/>
        </w:numPr>
        <w:spacing w:line="360" w:lineRule="auto"/>
        <w:ind w:firstLine="424" w:firstLineChars="202"/>
        <w:jc w:val="left"/>
        <w:rPr>
          <w:rFonts w:hint="eastAsia" w:ascii="宋体" w:hAnsi="宋体" w:eastAsia="宋体" w:cs="宋体"/>
          <w:color w:val="auto"/>
          <w:szCs w:val="21"/>
        </w:rPr>
      </w:pPr>
      <w:r>
        <w:rPr>
          <w:rFonts w:hint="eastAsia" w:ascii="宋体" w:hAnsi="宋体" w:eastAsia="宋体" w:cs="宋体"/>
          <w:color w:val="auto"/>
          <w:szCs w:val="21"/>
        </w:rPr>
        <w:t>不需要投标人对采购需求响应为具体数值的，此采购需求的数值后将以◆号标注。</w:t>
      </w:r>
    </w:p>
    <w:p w14:paraId="63528A9B">
      <w:pPr>
        <w:numPr>
          <w:ilvl w:val="0"/>
          <w:numId w:val="1"/>
        </w:numPr>
        <w:spacing w:line="360" w:lineRule="auto"/>
        <w:ind w:firstLine="424" w:firstLineChars="202"/>
        <w:jc w:val="left"/>
        <w:rPr>
          <w:rFonts w:hint="eastAsia" w:ascii="宋体" w:hAnsi="宋体" w:eastAsia="宋体" w:cs="宋体"/>
          <w:color w:val="auto"/>
        </w:rPr>
      </w:pPr>
      <w:r>
        <w:rPr>
          <w:rFonts w:hint="eastAsia" w:ascii="宋体" w:hAnsi="宋体" w:eastAsia="宋体" w:cs="宋体"/>
          <w:color w:val="auto"/>
        </w:rPr>
        <w:t>如投标人投标产品存在侵犯他人的知识产权或者专利成果行为的，应承担相应法律责任。</w:t>
      </w:r>
    </w:p>
    <w:p w14:paraId="1A476315">
      <w:pPr>
        <w:tabs>
          <w:tab w:val="left" w:pos="312"/>
        </w:tabs>
        <w:spacing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rPr>
        <w:t>5. 本项目采购标的的中小企业划分标准所属行业名称（行业名称及划分见本章附件2）：</w:t>
      </w:r>
      <w:r>
        <w:rPr>
          <w:rFonts w:hint="eastAsia" w:ascii="宋体" w:hAnsi="宋体" w:eastAsia="宋体" w:cs="宋体"/>
          <w:color w:val="auto"/>
          <w:u w:val="single"/>
          <w:lang w:val="en-US" w:eastAsia="zh-CN"/>
        </w:rPr>
        <w:t xml:space="preserve"> 其他未列明行业 </w:t>
      </w:r>
      <w:r>
        <w:rPr>
          <w:rFonts w:hint="eastAsia" w:ascii="宋体" w:hAnsi="宋体" w:eastAsia="宋体" w:cs="宋体"/>
          <w:color w:val="auto"/>
          <w:szCs w:val="21"/>
        </w:rPr>
        <w:t>。</w:t>
      </w:r>
    </w:p>
    <w:tbl>
      <w:tblPr>
        <w:tblStyle w:val="5"/>
        <w:tblW w:w="920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72"/>
        <w:gridCol w:w="360"/>
        <w:gridCol w:w="764"/>
        <w:gridCol w:w="426"/>
        <w:gridCol w:w="480"/>
        <w:gridCol w:w="5746"/>
        <w:gridCol w:w="861"/>
      </w:tblGrid>
      <w:tr w14:paraId="0299D3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9209" w:type="dxa"/>
            <w:gridSpan w:val="7"/>
            <w:tcBorders>
              <w:top w:val="single" w:color="auto" w:sz="4" w:space="0"/>
              <w:left w:val="single" w:color="auto" w:sz="4" w:space="0"/>
              <w:bottom w:val="nil"/>
              <w:right w:val="single" w:color="auto" w:sz="4" w:space="0"/>
            </w:tcBorders>
            <w:noWrap/>
            <w:vAlign w:val="center"/>
          </w:tcPr>
          <w:p w14:paraId="3BC4A925">
            <w:pPr>
              <w:spacing w:line="400" w:lineRule="exact"/>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服务需求一览表</w:t>
            </w:r>
          </w:p>
        </w:tc>
      </w:tr>
      <w:tr w14:paraId="6BEBE4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78" w:hRule="atLeast"/>
          <w:jc w:val="center"/>
        </w:trPr>
        <w:tc>
          <w:tcPr>
            <w:tcW w:w="572" w:type="dxa"/>
            <w:vMerge w:val="restart"/>
            <w:tcBorders>
              <w:top w:val="single" w:color="auto" w:sz="4" w:space="0"/>
              <w:left w:val="single" w:color="auto" w:sz="4" w:space="0"/>
              <w:bottom w:val="single" w:color="auto" w:sz="4" w:space="0"/>
              <w:right w:val="single" w:color="auto" w:sz="4" w:space="0"/>
            </w:tcBorders>
            <w:noWrap/>
          </w:tcPr>
          <w:p w14:paraId="62452E91">
            <w:pPr>
              <w:spacing w:line="4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采购清单及服务参数</w:t>
            </w:r>
          </w:p>
        </w:tc>
        <w:tc>
          <w:tcPr>
            <w:tcW w:w="360" w:type="dxa"/>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13185682">
            <w:pPr>
              <w:spacing w:line="4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序号</w:t>
            </w:r>
          </w:p>
        </w:tc>
        <w:tc>
          <w:tcPr>
            <w:tcW w:w="764" w:type="dxa"/>
            <w:tcBorders>
              <w:top w:val="single" w:color="auto" w:sz="4" w:space="0"/>
              <w:left w:val="single" w:color="auto" w:sz="4" w:space="0"/>
              <w:bottom w:val="single" w:color="auto" w:sz="4" w:space="0"/>
              <w:right w:val="single" w:color="auto" w:sz="4" w:space="0"/>
            </w:tcBorders>
            <w:noWrap/>
            <w:vAlign w:val="center"/>
          </w:tcPr>
          <w:p w14:paraId="27BB7DF0">
            <w:pPr>
              <w:spacing w:line="4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采购服务名称</w:t>
            </w:r>
          </w:p>
        </w:tc>
        <w:tc>
          <w:tcPr>
            <w:tcW w:w="426" w:type="dxa"/>
            <w:tcBorders>
              <w:top w:val="single" w:color="auto" w:sz="4" w:space="0"/>
              <w:left w:val="single" w:color="auto" w:sz="4" w:space="0"/>
              <w:bottom w:val="single" w:color="auto" w:sz="4" w:space="0"/>
              <w:right w:val="single" w:color="auto" w:sz="4" w:space="0"/>
            </w:tcBorders>
            <w:noWrap/>
            <w:vAlign w:val="center"/>
          </w:tcPr>
          <w:p w14:paraId="5EDB2951">
            <w:pPr>
              <w:spacing w:line="4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单位</w:t>
            </w:r>
          </w:p>
        </w:tc>
        <w:tc>
          <w:tcPr>
            <w:tcW w:w="480" w:type="dxa"/>
            <w:tcBorders>
              <w:top w:val="single" w:color="auto" w:sz="4" w:space="0"/>
              <w:left w:val="single" w:color="auto" w:sz="4" w:space="0"/>
              <w:bottom w:val="single" w:color="auto" w:sz="4" w:space="0"/>
              <w:right w:val="single" w:color="auto" w:sz="4" w:space="0"/>
            </w:tcBorders>
            <w:noWrap/>
            <w:vAlign w:val="center"/>
          </w:tcPr>
          <w:p w14:paraId="18CCED0F">
            <w:pPr>
              <w:spacing w:line="4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数量</w:t>
            </w:r>
          </w:p>
        </w:tc>
        <w:tc>
          <w:tcPr>
            <w:tcW w:w="5746" w:type="dxa"/>
            <w:tcBorders>
              <w:top w:val="single" w:color="auto" w:sz="4" w:space="0"/>
              <w:left w:val="single" w:color="auto" w:sz="4" w:space="0"/>
              <w:bottom w:val="single" w:color="auto" w:sz="4" w:space="0"/>
              <w:right w:val="single" w:color="auto" w:sz="4" w:space="0"/>
            </w:tcBorders>
            <w:noWrap/>
            <w:vAlign w:val="center"/>
          </w:tcPr>
          <w:p w14:paraId="08AF09C1">
            <w:pPr>
              <w:spacing w:line="4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服务参数</w:t>
            </w:r>
          </w:p>
        </w:tc>
        <w:tc>
          <w:tcPr>
            <w:tcW w:w="861" w:type="dxa"/>
            <w:tcBorders>
              <w:top w:val="single" w:color="auto" w:sz="4" w:space="0"/>
              <w:left w:val="single" w:color="auto" w:sz="4" w:space="0"/>
              <w:bottom w:val="single" w:color="auto" w:sz="4" w:space="0"/>
              <w:right w:val="single" w:color="auto" w:sz="4" w:space="0"/>
            </w:tcBorders>
            <w:noWrap/>
            <w:vAlign w:val="center"/>
          </w:tcPr>
          <w:p w14:paraId="3E15F885">
            <w:pPr>
              <w:spacing w:line="4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分项预算合计（元）</w:t>
            </w:r>
          </w:p>
        </w:tc>
      </w:tr>
      <w:tr w14:paraId="101C3F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08" w:hRule="atLeast"/>
          <w:jc w:val="center"/>
        </w:trPr>
        <w:tc>
          <w:tcPr>
            <w:tcW w:w="572" w:type="dxa"/>
            <w:vMerge w:val="continue"/>
            <w:tcBorders>
              <w:top w:val="single" w:color="auto" w:sz="4" w:space="0"/>
              <w:left w:val="single" w:color="auto" w:sz="4" w:space="0"/>
              <w:bottom w:val="single" w:color="auto" w:sz="4" w:space="0"/>
              <w:right w:val="single" w:color="auto" w:sz="4" w:space="0"/>
            </w:tcBorders>
            <w:noWrap/>
          </w:tcPr>
          <w:p w14:paraId="539B8959">
            <w:pPr>
              <w:spacing w:line="400" w:lineRule="exact"/>
              <w:jc w:val="center"/>
              <w:rPr>
                <w:rFonts w:hint="eastAsia" w:ascii="宋体" w:hAnsi="宋体" w:eastAsia="宋体" w:cs="宋体"/>
                <w:color w:val="auto"/>
                <w:sz w:val="21"/>
                <w:szCs w:val="21"/>
              </w:rPr>
            </w:pPr>
          </w:p>
        </w:tc>
        <w:tc>
          <w:tcPr>
            <w:tcW w:w="360" w:type="dxa"/>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10F10090">
            <w:pPr>
              <w:spacing w:line="4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764" w:type="dxa"/>
            <w:tcBorders>
              <w:top w:val="single" w:color="auto" w:sz="4" w:space="0"/>
              <w:left w:val="single" w:color="auto" w:sz="4" w:space="0"/>
              <w:bottom w:val="single" w:color="auto" w:sz="4" w:space="0"/>
              <w:right w:val="single" w:color="auto" w:sz="4" w:space="0"/>
            </w:tcBorders>
            <w:noWrap/>
            <w:vAlign w:val="center"/>
          </w:tcPr>
          <w:p w14:paraId="08AF5701">
            <w:pPr>
              <w:widowControl/>
              <w:spacing w:line="4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202</w:t>
            </w:r>
            <w:r>
              <w:rPr>
                <w:rFonts w:hint="eastAsia" w:ascii="宋体" w:hAnsi="宋体" w:eastAsia="宋体" w:cs="宋体"/>
                <w:color w:val="auto"/>
                <w:sz w:val="21"/>
                <w:szCs w:val="21"/>
                <w:lang w:val="en-US" w:eastAsia="zh-CN"/>
              </w:rPr>
              <w:t>7</w:t>
            </w:r>
            <w:r>
              <w:rPr>
                <w:rFonts w:hint="eastAsia" w:ascii="宋体" w:hAnsi="宋体" w:eastAsia="宋体" w:cs="宋体"/>
                <w:color w:val="auto"/>
                <w:sz w:val="21"/>
                <w:szCs w:val="21"/>
              </w:rPr>
              <w:t>年南宁冬泳邕江活动组织服务</w:t>
            </w:r>
          </w:p>
        </w:tc>
        <w:tc>
          <w:tcPr>
            <w:tcW w:w="426" w:type="dxa"/>
            <w:tcBorders>
              <w:top w:val="single" w:color="auto" w:sz="4" w:space="0"/>
              <w:left w:val="single" w:color="auto" w:sz="4" w:space="0"/>
              <w:bottom w:val="single" w:color="auto" w:sz="4" w:space="0"/>
              <w:right w:val="single" w:color="auto" w:sz="4" w:space="0"/>
            </w:tcBorders>
            <w:noWrap/>
            <w:vAlign w:val="center"/>
          </w:tcPr>
          <w:p w14:paraId="49A967CD">
            <w:pPr>
              <w:widowControl/>
              <w:spacing w:line="400" w:lineRule="exact"/>
              <w:jc w:val="left"/>
              <w:rPr>
                <w:rFonts w:hint="eastAsia" w:ascii="宋体" w:hAnsi="宋体" w:eastAsia="宋体" w:cs="宋体"/>
                <w:color w:val="auto"/>
                <w:sz w:val="21"/>
                <w:szCs w:val="21"/>
              </w:rPr>
            </w:pPr>
            <w:r>
              <w:rPr>
                <w:rFonts w:hint="eastAsia" w:ascii="宋体" w:hAnsi="宋体" w:eastAsia="宋体" w:cs="宋体"/>
                <w:color w:val="auto"/>
                <w:sz w:val="21"/>
                <w:szCs w:val="21"/>
              </w:rPr>
              <w:t>项</w:t>
            </w:r>
          </w:p>
        </w:tc>
        <w:tc>
          <w:tcPr>
            <w:tcW w:w="480" w:type="dxa"/>
            <w:tcBorders>
              <w:top w:val="single" w:color="auto" w:sz="4" w:space="0"/>
              <w:left w:val="single" w:color="auto" w:sz="4" w:space="0"/>
              <w:bottom w:val="single" w:color="auto" w:sz="4" w:space="0"/>
              <w:right w:val="single" w:color="auto" w:sz="4" w:space="0"/>
            </w:tcBorders>
            <w:noWrap/>
            <w:vAlign w:val="center"/>
          </w:tcPr>
          <w:p w14:paraId="03000449">
            <w:pPr>
              <w:widowControl/>
              <w:spacing w:line="400" w:lineRule="exact"/>
              <w:jc w:val="right"/>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5746" w:type="dxa"/>
            <w:tcBorders>
              <w:top w:val="single" w:color="auto" w:sz="4" w:space="0"/>
              <w:left w:val="single" w:color="auto" w:sz="4" w:space="0"/>
              <w:bottom w:val="single" w:color="auto" w:sz="4" w:space="0"/>
              <w:right w:val="single" w:color="auto" w:sz="4" w:space="0"/>
            </w:tcBorders>
            <w:noWrap/>
            <w:vAlign w:val="center"/>
          </w:tcPr>
          <w:p w14:paraId="515EBE1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一）根据采购方需求，提供活动策划、推广和执行服务，包括但不限于活动报备、场地布置、氛围营造、媒体宣传、报名工作、现场组织、现场表演、现场医疗救护、器材设备、疫情防控、接待工作、会务工作、安全保卫、水上救护、稿件起草、舆论监督等。</w:t>
            </w:r>
          </w:p>
          <w:p w14:paraId="16C7683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（二）重要时间节点：</w:t>
            </w:r>
          </w:p>
          <w:p w14:paraId="0564A4D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1.2026年12月25日，截止报名；</w:t>
            </w:r>
          </w:p>
          <w:p w14:paraId="3AECD69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2.2026年12月31日，在市体育局机关办公楼8楼会议室召开领队会议；</w:t>
            </w:r>
          </w:p>
          <w:p w14:paraId="4E2FBD2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3.2027年1月1日上午9点在邕江大桥畅游阁附近水域组织参加活动的人员横渡邕江。</w:t>
            </w:r>
          </w:p>
          <w:p w14:paraId="0FC351B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（三）服务需求</w:t>
            </w:r>
          </w:p>
          <w:p w14:paraId="5322B2D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rPr>
              <w:t>1.活动执行策划方面包括但不限于：</w:t>
            </w:r>
            <w:r>
              <w:rPr>
                <w:rFonts w:hint="eastAsia" w:ascii="宋体" w:hAnsi="宋体" w:eastAsia="宋体" w:cs="宋体"/>
                <w:color w:val="auto"/>
                <w:sz w:val="21"/>
                <w:szCs w:val="21"/>
              </w:rPr>
              <w:t>负责提供15人</w:t>
            </w:r>
            <w:r>
              <w:rPr>
                <w:rFonts w:hint="eastAsia" w:ascii="宋体" w:hAnsi="宋体" w:cs="宋体"/>
                <w:color w:val="auto"/>
                <w:sz w:val="21"/>
                <w:szCs w:val="21"/>
                <w:lang w:val="en-US" w:eastAsia="zh-CN"/>
              </w:rPr>
              <w:t>及</w:t>
            </w:r>
            <w:r>
              <w:rPr>
                <w:rFonts w:hint="eastAsia" w:ascii="宋体" w:hAnsi="宋体" w:eastAsia="宋体" w:cs="宋体"/>
                <w:color w:val="auto"/>
                <w:sz w:val="21"/>
                <w:szCs w:val="21"/>
              </w:rPr>
              <w:t>以上的专业工作团队服务本项目。负责编制活动组织方案、医疗救护方案和应急预案（含熔断机制）。负责接收报名工作；负责聘请现场主持人1名；负责开幕式表演至少2个项目，含龙狮表演等项目；负责做好活动起点、终点期间的活动环节的所有工作，并承担相应责任，包括但不限于：组织人员检录进场、集结区管理、组织出发、起终点人数核对、提供暖身饮料。接待出席仪式的领导、嘉宾。</w:t>
            </w:r>
          </w:p>
          <w:p w14:paraId="7534E33C">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rPr>
              <w:t>2.安保方面包括但不限于：</w:t>
            </w:r>
            <w:r>
              <w:rPr>
                <w:rFonts w:hint="eastAsia" w:ascii="宋体" w:hAnsi="宋体" w:eastAsia="宋体" w:cs="宋体"/>
                <w:color w:val="auto"/>
                <w:sz w:val="21"/>
                <w:szCs w:val="21"/>
              </w:rPr>
              <w:t>聘请第三方公司出具风险评估报告、完成公安、海事报备，办理安全许可、封航通告。提供大型活动水上水下风险安全评估报告、海事警戒船2艘、安保人员至少120人、手持安检仪不少于40个、硬隔离栏不少于2520米、警戒线和警戒标志若干、证件办理（组委会工作人员、运动员、后勤人员、车辆通行证，根据实际需求制作相关证件，后勤人员证件按运动员人数的三分之一制作），负责提供本活动相关人员的公共责任险，包括但不限于：活动的组织者、参与者、现场观众等。</w:t>
            </w:r>
          </w:p>
          <w:p w14:paraId="08FE66E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rPr>
              <w:t>3.医疗救护方面包括但不限于：</w:t>
            </w:r>
            <w:r>
              <w:rPr>
                <w:rFonts w:hint="eastAsia" w:ascii="宋体" w:hAnsi="宋体" w:eastAsia="宋体" w:cs="宋体"/>
                <w:color w:val="auto"/>
                <w:sz w:val="21"/>
                <w:szCs w:val="21"/>
              </w:rPr>
              <w:t>医疗救护车（含AED）2台、救生船6艘、救生员60名。</w:t>
            </w:r>
          </w:p>
          <w:p w14:paraId="082302A8">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val="0"/>
                <w:bCs/>
                <w:color w:val="auto"/>
                <w:sz w:val="21"/>
                <w:szCs w:val="21"/>
              </w:rPr>
            </w:pPr>
            <w:r>
              <w:rPr>
                <w:rFonts w:hint="eastAsia" w:ascii="宋体" w:hAnsi="宋体" w:eastAsia="宋体" w:cs="宋体"/>
                <w:b/>
                <w:color w:val="auto"/>
                <w:sz w:val="21"/>
                <w:szCs w:val="21"/>
              </w:rPr>
              <w:t>4.场地布置方面包括但不限于：</w:t>
            </w:r>
            <w:r>
              <w:rPr>
                <w:rFonts w:hint="eastAsia" w:ascii="宋体" w:hAnsi="宋体" w:eastAsia="宋体" w:cs="宋体"/>
                <w:b w:val="0"/>
                <w:bCs/>
                <w:color w:val="auto"/>
                <w:sz w:val="21"/>
                <w:szCs w:val="21"/>
              </w:rPr>
              <w:t>主席台（舞台、背景板、音响等）搭建布置、嘉宾休息区（含茶歇）、主席台前的坡面不少于80平米活动名称巨幅喷绘、上下水点充气拱门不少于2个（跨度不少于18米）、空飘气球不少于6个、两岸宣传横幅（总面积不少于2000平方米）、浮台不少于8个（用于途中休息、摄影，单个面积不低于12平方米）起点、岸边防滑地毯不少于200平方米、下水平台不少于10平方米、现场指示牌不少于20处。</w:t>
            </w:r>
          </w:p>
          <w:p w14:paraId="73B0832C">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rPr>
              <w:t>5.器材物资方面包括但不限于：</w:t>
            </w:r>
            <w:r>
              <w:rPr>
                <w:rFonts w:hint="eastAsia" w:ascii="宋体" w:hAnsi="宋体" w:eastAsia="宋体" w:cs="宋体"/>
                <w:color w:val="auto"/>
                <w:sz w:val="21"/>
                <w:szCs w:val="21"/>
              </w:rPr>
              <w:t>媒体船不少于2艘、储物船不少于4艘、冲锋舟不少于4艘、纪念证书不少于3000本、纪念毛巾不少于1000条、泳帽不少于3000顶。</w:t>
            </w:r>
          </w:p>
          <w:p w14:paraId="53D3A8BF">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rPr>
              <w:t>6.媒体宣传方面包括但不限于：</w:t>
            </w:r>
            <w:r>
              <w:rPr>
                <w:rFonts w:hint="eastAsia" w:ascii="宋体" w:hAnsi="宋体" w:eastAsia="宋体" w:cs="宋体"/>
                <w:b w:val="0"/>
                <w:bCs/>
                <w:color w:val="auto"/>
                <w:sz w:val="21"/>
                <w:szCs w:val="21"/>
              </w:rPr>
              <w:t>组织召开新闻通气会；设立并管理活动媒体区；做好媒体注册及证件发放管理，邀请区内外各大主流官方媒体对活动过程进行宣传报道，宣传报道新闻稿件要求在15篇（次）以上，自治区级3篇（次）以上。收集媒体报道及报道链接清单；在网络平台进行视频直播和图片直播；提供活动期间的视频、照片。</w:t>
            </w:r>
          </w:p>
        </w:tc>
        <w:tc>
          <w:tcPr>
            <w:tcW w:w="861" w:type="dxa"/>
            <w:tcBorders>
              <w:top w:val="single" w:color="auto" w:sz="4" w:space="0"/>
              <w:left w:val="single" w:color="auto" w:sz="4" w:space="0"/>
              <w:bottom w:val="single" w:color="auto" w:sz="4" w:space="0"/>
              <w:right w:val="single" w:color="auto" w:sz="4" w:space="0"/>
            </w:tcBorders>
            <w:noWrap/>
            <w:vAlign w:val="center"/>
          </w:tcPr>
          <w:p w14:paraId="79FD93CE">
            <w:pPr>
              <w:spacing w:line="400" w:lineRule="exact"/>
              <w:rPr>
                <w:rFonts w:hint="eastAsia" w:ascii="宋体" w:hAnsi="宋体" w:eastAsia="宋体" w:cs="宋体"/>
                <w:color w:val="auto"/>
                <w:sz w:val="21"/>
                <w:szCs w:val="21"/>
              </w:rPr>
            </w:pPr>
            <w:r>
              <w:rPr>
                <w:rFonts w:hint="eastAsia" w:ascii="宋体" w:hAnsi="宋体" w:eastAsia="宋体" w:cs="宋体"/>
                <w:color w:val="auto"/>
                <w:sz w:val="21"/>
                <w:szCs w:val="21"/>
              </w:rPr>
              <w:t>600000.00元</w:t>
            </w:r>
          </w:p>
        </w:tc>
      </w:tr>
      <w:tr w14:paraId="408CE6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79" w:hRule="atLeast"/>
          <w:jc w:val="center"/>
        </w:trPr>
        <w:tc>
          <w:tcPr>
            <w:tcW w:w="572" w:type="dxa"/>
            <w:tcBorders>
              <w:top w:val="single" w:color="auto" w:sz="4" w:space="0"/>
              <w:left w:val="single" w:color="auto" w:sz="4" w:space="0"/>
              <w:bottom w:val="single" w:color="auto" w:sz="4" w:space="0"/>
              <w:right w:val="single" w:color="auto" w:sz="4" w:space="0"/>
            </w:tcBorders>
            <w:noWrap/>
          </w:tcPr>
          <w:p w14:paraId="31D783C3">
            <w:pPr>
              <w:spacing w:line="4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p w14:paraId="33E69C58">
            <w:pPr>
              <w:spacing w:line="4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商务条款</w:t>
            </w:r>
          </w:p>
        </w:tc>
        <w:tc>
          <w:tcPr>
            <w:tcW w:w="8637" w:type="dxa"/>
            <w:gridSpan w:val="6"/>
            <w:tcBorders>
              <w:top w:val="single" w:color="auto" w:sz="4" w:space="0"/>
              <w:left w:val="single" w:color="auto" w:sz="4" w:space="0"/>
              <w:bottom w:val="single" w:color="auto" w:sz="4" w:space="0"/>
              <w:right w:val="single" w:color="auto" w:sz="4" w:space="0"/>
            </w:tcBorders>
            <w:noWrap/>
          </w:tcPr>
          <w:p w14:paraId="79D64B5B">
            <w:pPr>
              <w:keepNext w:val="0"/>
              <w:keepLines w:val="0"/>
              <w:pageBreakBefore w:val="0"/>
              <w:widowControl w:val="0"/>
              <w:kinsoku/>
              <w:wordWrap/>
              <w:overflowPunct/>
              <w:topLinePunct w:val="0"/>
              <w:autoSpaceDE/>
              <w:autoSpaceDN/>
              <w:bidi w:val="0"/>
              <w:adjustRightInd w:val="0"/>
              <w:snapToGrid/>
              <w:spacing w:line="400" w:lineRule="exact"/>
              <w:ind w:firstLine="420" w:firstLineChars="200"/>
              <w:jc w:val="left"/>
              <w:textAlignment w:val="baseline"/>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一、合同签订期：自成交通知书发出之日起15个日历日内。</w:t>
            </w:r>
          </w:p>
          <w:p w14:paraId="76036DA1">
            <w:pPr>
              <w:keepNext w:val="0"/>
              <w:keepLines w:val="0"/>
              <w:pageBreakBefore w:val="0"/>
              <w:widowControl w:val="0"/>
              <w:kinsoku/>
              <w:wordWrap/>
              <w:overflowPunct/>
              <w:topLinePunct w:val="0"/>
              <w:autoSpaceDE/>
              <w:autoSpaceDN/>
              <w:bidi w:val="0"/>
              <w:adjustRightInd w:val="0"/>
              <w:snapToGrid/>
              <w:spacing w:line="400" w:lineRule="exact"/>
              <w:ind w:firstLine="420" w:firstLineChars="200"/>
              <w:jc w:val="left"/>
              <w:textAlignment w:val="baseline"/>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二、提交服务成果时间：2027年1月上旬前完成活动所有工作。如因特殊情况造成活动时间推迟，可另行签订补充协议，以采购方确定时间为准。</w:t>
            </w:r>
          </w:p>
          <w:p w14:paraId="1984D801">
            <w:pPr>
              <w:keepNext w:val="0"/>
              <w:keepLines w:val="0"/>
              <w:pageBreakBefore w:val="0"/>
              <w:widowControl w:val="0"/>
              <w:kinsoku/>
              <w:wordWrap/>
              <w:overflowPunct/>
              <w:topLinePunct w:val="0"/>
              <w:autoSpaceDE/>
              <w:autoSpaceDN/>
              <w:bidi w:val="0"/>
              <w:adjustRightInd w:val="0"/>
              <w:snapToGrid/>
              <w:spacing w:line="400" w:lineRule="exact"/>
              <w:ind w:firstLine="420" w:firstLineChars="200"/>
              <w:jc w:val="left"/>
              <w:textAlignment w:val="baseline"/>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三、服务地点：采购方指定地点</w:t>
            </w:r>
          </w:p>
          <w:p w14:paraId="07168B54">
            <w:pPr>
              <w:keepNext w:val="0"/>
              <w:keepLines w:val="0"/>
              <w:pageBreakBefore w:val="0"/>
              <w:widowControl w:val="0"/>
              <w:kinsoku/>
              <w:wordWrap/>
              <w:overflowPunct/>
              <w:topLinePunct w:val="0"/>
              <w:autoSpaceDE/>
              <w:autoSpaceDN/>
              <w:bidi w:val="0"/>
              <w:adjustRightInd w:val="0"/>
              <w:snapToGrid/>
              <w:spacing w:line="400" w:lineRule="exact"/>
              <w:ind w:firstLine="420" w:firstLineChars="200"/>
              <w:jc w:val="left"/>
              <w:textAlignment w:val="baseline"/>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四、售后服务</w:t>
            </w:r>
          </w:p>
          <w:p w14:paraId="69207FD4">
            <w:pPr>
              <w:keepNext w:val="0"/>
              <w:keepLines w:val="0"/>
              <w:pageBreakBefore w:val="0"/>
              <w:widowControl w:val="0"/>
              <w:kinsoku/>
              <w:wordWrap/>
              <w:overflowPunct/>
              <w:topLinePunct w:val="0"/>
              <w:autoSpaceDE/>
              <w:autoSpaceDN/>
              <w:bidi w:val="0"/>
              <w:adjustRightInd w:val="0"/>
              <w:snapToGrid/>
              <w:spacing w:line="400" w:lineRule="exact"/>
              <w:ind w:firstLine="420" w:firstLineChars="200"/>
              <w:jc w:val="left"/>
              <w:textAlignment w:val="baseline"/>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（1）供应商必须承诺自行提供本项目所有服务内容，不得转让或转包。</w:t>
            </w:r>
          </w:p>
          <w:p w14:paraId="0FE0D58C">
            <w:pPr>
              <w:keepNext w:val="0"/>
              <w:keepLines w:val="0"/>
              <w:pageBreakBefore w:val="0"/>
              <w:widowControl w:val="0"/>
              <w:kinsoku/>
              <w:wordWrap/>
              <w:overflowPunct/>
              <w:topLinePunct w:val="0"/>
              <w:autoSpaceDE/>
              <w:autoSpaceDN/>
              <w:bidi w:val="0"/>
              <w:adjustRightInd w:val="0"/>
              <w:snapToGrid/>
              <w:spacing w:line="400" w:lineRule="exact"/>
              <w:ind w:firstLine="420" w:firstLineChars="200"/>
              <w:jc w:val="left"/>
              <w:textAlignment w:val="baseline"/>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（2）供应商提供的服务应符合国家标准及行业标准。</w:t>
            </w:r>
          </w:p>
          <w:p w14:paraId="09E18060">
            <w:pPr>
              <w:keepNext w:val="0"/>
              <w:keepLines w:val="0"/>
              <w:pageBreakBefore w:val="0"/>
              <w:widowControl w:val="0"/>
              <w:kinsoku/>
              <w:wordWrap/>
              <w:overflowPunct/>
              <w:topLinePunct w:val="0"/>
              <w:autoSpaceDE/>
              <w:autoSpaceDN/>
              <w:bidi w:val="0"/>
              <w:adjustRightInd w:val="0"/>
              <w:snapToGrid/>
              <w:spacing w:line="400" w:lineRule="exact"/>
              <w:ind w:firstLine="420" w:firstLineChars="200"/>
              <w:jc w:val="left"/>
              <w:textAlignment w:val="baseline"/>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（3）供应商提供的服务不满足采购文件要求验收不合格的，采购方有权解除合同并追究供应商的法律责任。</w:t>
            </w:r>
          </w:p>
          <w:p w14:paraId="418963E0">
            <w:pPr>
              <w:keepNext w:val="0"/>
              <w:keepLines w:val="0"/>
              <w:pageBreakBefore w:val="0"/>
              <w:widowControl w:val="0"/>
              <w:kinsoku/>
              <w:wordWrap/>
              <w:overflowPunct/>
              <w:topLinePunct w:val="0"/>
              <w:autoSpaceDE/>
              <w:autoSpaceDN/>
              <w:bidi w:val="0"/>
              <w:adjustRightInd w:val="0"/>
              <w:snapToGrid/>
              <w:spacing w:line="400" w:lineRule="exact"/>
              <w:ind w:firstLine="420" w:firstLineChars="200"/>
              <w:jc w:val="left"/>
              <w:textAlignment w:val="baseline"/>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（4）接采购方服务通知立即响应，2小时内到达指定现场进行处理，重大问题或其它无法迅速解决的问题应在24小时内解决。）</w:t>
            </w:r>
          </w:p>
          <w:p w14:paraId="03F4CEA3">
            <w:pPr>
              <w:keepNext w:val="0"/>
              <w:keepLines w:val="0"/>
              <w:pageBreakBefore w:val="0"/>
              <w:widowControl w:val="0"/>
              <w:kinsoku/>
              <w:wordWrap/>
              <w:overflowPunct/>
              <w:topLinePunct w:val="0"/>
              <w:autoSpaceDE/>
              <w:autoSpaceDN/>
              <w:bidi w:val="0"/>
              <w:adjustRightInd w:val="0"/>
              <w:snapToGrid/>
              <w:spacing w:line="400" w:lineRule="exact"/>
              <w:ind w:firstLine="420" w:firstLineChars="200"/>
              <w:jc w:val="left"/>
              <w:textAlignment w:val="baseline"/>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五、付款方式：</w:t>
            </w:r>
          </w:p>
          <w:p w14:paraId="4E47C9B0">
            <w:pPr>
              <w:keepNext w:val="0"/>
              <w:keepLines w:val="0"/>
              <w:pageBreakBefore w:val="0"/>
              <w:widowControl w:val="0"/>
              <w:kinsoku/>
              <w:wordWrap/>
              <w:overflowPunct/>
              <w:topLinePunct w:val="0"/>
              <w:autoSpaceDE/>
              <w:autoSpaceDN/>
              <w:bidi w:val="0"/>
              <w:adjustRightInd w:val="0"/>
              <w:snapToGrid/>
              <w:spacing w:line="400" w:lineRule="exact"/>
              <w:ind w:firstLine="420" w:firstLineChars="200"/>
              <w:jc w:val="left"/>
              <w:textAlignment w:val="baseline"/>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待2027年南宁冬泳邕江活动完成后，供应商将安保人员及工作人员劳务费全额支付后，提交请款函、提供合法有效的等额增值税发票、完赛报告、履约报告、审计报告，经采购方认可后一次性全额支付。</w:t>
            </w:r>
          </w:p>
          <w:p w14:paraId="495409C2">
            <w:pPr>
              <w:keepNext w:val="0"/>
              <w:keepLines w:val="0"/>
              <w:pageBreakBefore w:val="0"/>
              <w:widowControl w:val="0"/>
              <w:kinsoku/>
              <w:wordWrap/>
              <w:overflowPunct/>
              <w:topLinePunct w:val="0"/>
              <w:autoSpaceDE/>
              <w:autoSpaceDN/>
              <w:bidi w:val="0"/>
              <w:adjustRightInd w:val="0"/>
              <w:snapToGrid/>
              <w:spacing w:line="400" w:lineRule="exact"/>
              <w:ind w:firstLine="420" w:firstLineChars="200"/>
              <w:jc w:val="left"/>
              <w:textAlignment w:val="baseline"/>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注：（1）如活动因不可抗力导致举办时间不明确，则待国家体育总局明确可以办赛，采购方书面确定举办后，供应商进行活动筹备工作。如在活动筹备期间，遇突发事件不得不中止暂停举办的，供应商应立即无条件中止暂停活动筹备工作，活动工作相应顺延执行，造成不可弥补损失的，由供应商自行负担。</w:t>
            </w:r>
          </w:p>
          <w:p w14:paraId="486B940C">
            <w:pPr>
              <w:keepNext w:val="0"/>
              <w:keepLines w:val="0"/>
              <w:pageBreakBefore w:val="0"/>
              <w:widowControl w:val="0"/>
              <w:kinsoku/>
              <w:wordWrap/>
              <w:overflowPunct/>
              <w:topLinePunct w:val="0"/>
              <w:autoSpaceDE/>
              <w:autoSpaceDN/>
              <w:bidi w:val="0"/>
              <w:adjustRightInd w:val="0"/>
              <w:snapToGrid/>
              <w:spacing w:line="400" w:lineRule="exact"/>
              <w:ind w:firstLine="420" w:firstLineChars="200"/>
              <w:jc w:val="left"/>
              <w:textAlignment w:val="baseline"/>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（2）如活动因不可抗力，采购方明确不举办活动的，则采购方不向供应商支付本协议下的任何费用。合同期限相应顺延执行。</w:t>
            </w:r>
          </w:p>
          <w:p w14:paraId="5EB5BA01">
            <w:pPr>
              <w:keepNext w:val="0"/>
              <w:keepLines w:val="0"/>
              <w:pageBreakBefore w:val="0"/>
              <w:widowControl w:val="0"/>
              <w:kinsoku/>
              <w:wordWrap/>
              <w:overflowPunct/>
              <w:topLinePunct w:val="0"/>
              <w:autoSpaceDE/>
              <w:autoSpaceDN/>
              <w:bidi w:val="0"/>
              <w:adjustRightInd w:val="0"/>
              <w:snapToGrid/>
              <w:spacing w:line="400" w:lineRule="exact"/>
              <w:ind w:firstLine="420" w:firstLineChars="200"/>
              <w:jc w:val="left"/>
              <w:textAlignment w:val="baseline"/>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（3）供应商应理解政府部门付款的相关程序，因采购方使用的是财政资金，如因财政资金支付时间延后，由双方协商确定付款时间。</w:t>
            </w:r>
          </w:p>
          <w:p w14:paraId="1540B47A">
            <w:pPr>
              <w:keepNext w:val="0"/>
              <w:keepLines w:val="0"/>
              <w:pageBreakBefore w:val="0"/>
              <w:widowControl w:val="0"/>
              <w:kinsoku/>
              <w:wordWrap/>
              <w:overflowPunct/>
              <w:topLinePunct w:val="0"/>
              <w:autoSpaceDE/>
              <w:autoSpaceDN/>
              <w:bidi w:val="0"/>
              <w:adjustRightInd w:val="0"/>
              <w:snapToGrid/>
              <w:spacing w:line="400" w:lineRule="exact"/>
              <w:ind w:firstLine="420" w:firstLineChars="200"/>
              <w:jc w:val="left"/>
              <w:textAlignment w:val="baseline"/>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六、报价要求</w:t>
            </w:r>
          </w:p>
          <w:p w14:paraId="790F9379">
            <w:pPr>
              <w:keepNext w:val="0"/>
              <w:keepLines w:val="0"/>
              <w:pageBreakBefore w:val="0"/>
              <w:widowControl w:val="0"/>
              <w:kinsoku/>
              <w:wordWrap/>
              <w:overflowPunct/>
              <w:topLinePunct w:val="0"/>
              <w:autoSpaceDE/>
              <w:autoSpaceDN/>
              <w:bidi w:val="0"/>
              <w:adjustRightInd w:val="0"/>
              <w:snapToGrid/>
              <w:spacing w:line="400" w:lineRule="exact"/>
              <w:ind w:firstLine="420" w:firstLineChars="200"/>
              <w:jc w:val="left"/>
              <w:textAlignment w:val="baseline"/>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报价必须含以下部分，包括：</w:t>
            </w:r>
          </w:p>
          <w:p w14:paraId="13FF8977">
            <w:pPr>
              <w:keepNext w:val="0"/>
              <w:keepLines w:val="0"/>
              <w:pageBreakBefore w:val="0"/>
              <w:widowControl w:val="0"/>
              <w:kinsoku/>
              <w:wordWrap/>
              <w:overflowPunct/>
              <w:topLinePunct w:val="0"/>
              <w:autoSpaceDE/>
              <w:autoSpaceDN/>
              <w:bidi w:val="0"/>
              <w:adjustRightInd w:val="0"/>
              <w:snapToGrid/>
              <w:spacing w:line="400" w:lineRule="exact"/>
              <w:ind w:firstLine="420" w:firstLineChars="200"/>
              <w:jc w:val="left"/>
              <w:textAlignment w:val="baseline"/>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（1）服务的价格；</w:t>
            </w:r>
          </w:p>
          <w:p w14:paraId="188A2D30">
            <w:pPr>
              <w:keepNext w:val="0"/>
              <w:keepLines w:val="0"/>
              <w:pageBreakBefore w:val="0"/>
              <w:widowControl w:val="0"/>
              <w:kinsoku/>
              <w:wordWrap/>
              <w:overflowPunct/>
              <w:topLinePunct w:val="0"/>
              <w:autoSpaceDE/>
              <w:autoSpaceDN/>
              <w:bidi w:val="0"/>
              <w:adjustRightInd w:val="0"/>
              <w:snapToGrid/>
              <w:spacing w:line="400" w:lineRule="exact"/>
              <w:ind w:firstLine="420" w:firstLineChars="200"/>
              <w:jc w:val="left"/>
              <w:textAlignment w:val="baseline"/>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（2）必要的保险费用和各项税金；</w:t>
            </w:r>
          </w:p>
          <w:p w14:paraId="73B2F8BF">
            <w:pPr>
              <w:keepNext w:val="0"/>
              <w:keepLines w:val="0"/>
              <w:pageBreakBefore w:val="0"/>
              <w:widowControl w:val="0"/>
              <w:kinsoku/>
              <w:wordWrap/>
              <w:overflowPunct/>
              <w:topLinePunct w:val="0"/>
              <w:autoSpaceDE/>
              <w:autoSpaceDN/>
              <w:bidi w:val="0"/>
              <w:adjustRightInd w:val="0"/>
              <w:snapToGrid/>
              <w:spacing w:line="400" w:lineRule="exact"/>
              <w:ind w:firstLine="420" w:firstLineChars="200"/>
              <w:jc w:val="left"/>
              <w:textAlignment w:val="baseline"/>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本项目实行总承包报价，报价包括场地布置、器材、竞赛组织、活动接待费（包括食宿及交通费）、人工费（含工作人员补助）、活动策划执行费、医务人员及急救药品费、以及实施过程中的应预见和不可预见的费用等。供应商必须考虑本项目在实施期间的一切可能产生费用。在本项目实施过程中，成交金额不予调整，采购方不再支付成交价格以外的任何费用。</w:t>
            </w:r>
          </w:p>
          <w:p w14:paraId="13ED07B6">
            <w:pPr>
              <w:keepNext w:val="0"/>
              <w:keepLines w:val="0"/>
              <w:pageBreakBefore w:val="0"/>
              <w:widowControl w:val="0"/>
              <w:kinsoku/>
              <w:wordWrap/>
              <w:overflowPunct/>
              <w:topLinePunct w:val="0"/>
              <w:autoSpaceDE/>
              <w:autoSpaceDN/>
              <w:bidi w:val="0"/>
              <w:adjustRightInd w:val="0"/>
              <w:snapToGrid/>
              <w:spacing w:line="400" w:lineRule="exact"/>
              <w:ind w:firstLine="420" w:firstLineChars="200"/>
              <w:jc w:val="left"/>
              <w:textAlignment w:val="baseline"/>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（4）所产生的采购代理服务费。</w:t>
            </w:r>
          </w:p>
          <w:p w14:paraId="065B1194">
            <w:pPr>
              <w:keepNext w:val="0"/>
              <w:keepLines w:val="0"/>
              <w:pageBreakBefore w:val="0"/>
              <w:widowControl w:val="0"/>
              <w:kinsoku/>
              <w:wordWrap/>
              <w:overflowPunct/>
              <w:topLinePunct w:val="0"/>
              <w:autoSpaceDE/>
              <w:autoSpaceDN/>
              <w:bidi w:val="0"/>
              <w:adjustRightInd w:val="0"/>
              <w:snapToGrid/>
              <w:spacing w:line="400" w:lineRule="exact"/>
              <w:ind w:firstLine="420" w:firstLineChars="200"/>
              <w:jc w:val="left"/>
              <w:textAlignment w:val="baseline"/>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七、服务要求</w:t>
            </w:r>
          </w:p>
          <w:p w14:paraId="504DDA83">
            <w:pPr>
              <w:keepNext w:val="0"/>
              <w:keepLines w:val="0"/>
              <w:pageBreakBefore w:val="0"/>
              <w:widowControl w:val="0"/>
              <w:kinsoku/>
              <w:wordWrap/>
              <w:overflowPunct/>
              <w:topLinePunct w:val="0"/>
              <w:autoSpaceDE/>
              <w:autoSpaceDN/>
              <w:bidi w:val="0"/>
              <w:adjustRightInd w:val="0"/>
              <w:snapToGrid/>
              <w:spacing w:line="400" w:lineRule="exact"/>
              <w:ind w:firstLine="420" w:firstLineChars="200"/>
              <w:jc w:val="left"/>
              <w:textAlignment w:val="baseline"/>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（一）供应商在开展工作前须与采购方沟通，并按照采购方批准的相关方案，完成活动组织工作。</w:t>
            </w:r>
          </w:p>
          <w:p w14:paraId="79869E88">
            <w:pPr>
              <w:keepNext w:val="0"/>
              <w:keepLines w:val="0"/>
              <w:pageBreakBefore w:val="0"/>
              <w:widowControl w:val="0"/>
              <w:kinsoku/>
              <w:wordWrap/>
              <w:overflowPunct/>
              <w:topLinePunct w:val="0"/>
              <w:autoSpaceDE/>
              <w:autoSpaceDN/>
              <w:bidi w:val="0"/>
              <w:adjustRightInd w:val="0"/>
              <w:snapToGrid/>
              <w:spacing w:line="400" w:lineRule="exact"/>
              <w:ind w:firstLine="420" w:firstLineChars="200"/>
              <w:jc w:val="left"/>
              <w:textAlignment w:val="baseline"/>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（二）供应商须承接采购方前期已开展的工作，如洽谈接待酒店，预定场地等。</w:t>
            </w:r>
          </w:p>
          <w:p w14:paraId="12DED0E6">
            <w:pPr>
              <w:keepNext w:val="0"/>
              <w:keepLines w:val="0"/>
              <w:pageBreakBefore w:val="0"/>
              <w:widowControl w:val="0"/>
              <w:kinsoku/>
              <w:wordWrap/>
              <w:overflowPunct/>
              <w:topLinePunct w:val="0"/>
              <w:autoSpaceDE/>
              <w:autoSpaceDN/>
              <w:bidi w:val="0"/>
              <w:adjustRightInd w:val="0"/>
              <w:snapToGrid/>
              <w:spacing w:line="400" w:lineRule="exact"/>
              <w:ind w:firstLine="420" w:firstLineChars="200"/>
              <w:jc w:val="left"/>
              <w:textAlignment w:val="baseline"/>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（三）供应商必须遵照采购方的管理安排，所有服务必须达到采购方的标准要求。</w:t>
            </w:r>
          </w:p>
          <w:p w14:paraId="3F7703DA">
            <w:pPr>
              <w:keepNext w:val="0"/>
              <w:keepLines w:val="0"/>
              <w:pageBreakBefore w:val="0"/>
              <w:widowControl w:val="0"/>
              <w:kinsoku/>
              <w:wordWrap/>
              <w:overflowPunct/>
              <w:topLinePunct w:val="0"/>
              <w:autoSpaceDE/>
              <w:autoSpaceDN/>
              <w:bidi w:val="0"/>
              <w:adjustRightInd w:val="0"/>
              <w:snapToGrid/>
              <w:spacing w:line="400" w:lineRule="exact"/>
              <w:ind w:firstLine="420" w:firstLineChars="200"/>
              <w:jc w:val="left"/>
              <w:textAlignment w:val="baseline"/>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（四）采购方审批确认的相关市场开发合同由供应商对外签署并享有合同执行所产生的的收益。</w:t>
            </w:r>
          </w:p>
          <w:p w14:paraId="7E873932">
            <w:pPr>
              <w:keepNext w:val="0"/>
              <w:keepLines w:val="0"/>
              <w:pageBreakBefore w:val="0"/>
              <w:widowControl w:val="0"/>
              <w:kinsoku/>
              <w:wordWrap/>
              <w:overflowPunct/>
              <w:topLinePunct w:val="0"/>
              <w:autoSpaceDE/>
              <w:autoSpaceDN/>
              <w:bidi w:val="0"/>
              <w:adjustRightInd w:val="0"/>
              <w:snapToGrid/>
              <w:spacing w:line="400" w:lineRule="exact"/>
              <w:ind w:firstLine="420" w:firstLineChars="200"/>
              <w:jc w:val="left"/>
              <w:textAlignment w:val="baseline"/>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（五）供应商须在活动结束后一个月时间内提供第三方公司的审计报告给采购方。</w:t>
            </w:r>
          </w:p>
          <w:p w14:paraId="5F459E4B">
            <w:pPr>
              <w:keepNext w:val="0"/>
              <w:keepLines w:val="0"/>
              <w:pageBreakBefore w:val="0"/>
              <w:widowControl w:val="0"/>
              <w:kinsoku/>
              <w:wordWrap/>
              <w:overflowPunct/>
              <w:topLinePunct w:val="0"/>
              <w:autoSpaceDE/>
              <w:autoSpaceDN/>
              <w:bidi w:val="0"/>
              <w:adjustRightInd w:val="0"/>
              <w:snapToGrid/>
              <w:spacing w:line="400" w:lineRule="exact"/>
              <w:ind w:firstLine="420" w:firstLineChars="200"/>
              <w:jc w:val="left"/>
              <w:textAlignment w:val="baseline"/>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八、其他要求</w:t>
            </w:r>
          </w:p>
          <w:p w14:paraId="5755EBEA">
            <w:pPr>
              <w:keepNext w:val="0"/>
              <w:keepLines w:val="0"/>
              <w:pageBreakBefore w:val="0"/>
              <w:widowControl w:val="0"/>
              <w:kinsoku/>
              <w:wordWrap/>
              <w:overflowPunct/>
              <w:topLinePunct w:val="0"/>
              <w:autoSpaceDE/>
              <w:autoSpaceDN/>
              <w:bidi w:val="0"/>
              <w:adjustRightInd w:val="0"/>
              <w:snapToGrid/>
              <w:spacing w:line="400" w:lineRule="exact"/>
              <w:ind w:firstLine="420" w:firstLineChars="200"/>
              <w:jc w:val="left"/>
              <w:textAlignment w:val="baseline"/>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（1）活动结束后，供应商负责收集本次活动的秩序册、成绩册、图片、媒体报道等相关数据资料收集整理汇总装订成册子提供给采购方。</w:t>
            </w:r>
          </w:p>
          <w:p w14:paraId="7796C4BC">
            <w:pPr>
              <w:keepNext w:val="0"/>
              <w:keepLines w:val="0"/>
              <w:pageBreakBefore w:val="0"/>
              <w:widowControl w:val="0"/>
              <w:kinsoku/>
              <w:wordWrap/>
              <w:overflowPunct/>
              <w:topLinePunct w:val="0"/>
              <w:autoSpaceDE/>
              <w:autoSpaceDN/>
              <w:bidi w:val="0"/>
              <w:adjustRightInd w:val="0"/>
              <w:snapToGrid/>
              <w:spacing w:line="400" w:lineRule="exact"/>
              <w:ind w:firstLine="420" w:firstLineChars="200"/>
              <w:jc w:val="left"/>
              <w:textAlignment w:val="baseline"/>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（2）供应商如有可在投标文件中提供项目组织管理、质量管理、安全管理和设备管理方案、整体实施设计方案、活动宣传方案、服务承诺。</w:t>
            </w:r>
          </w:p>
          <w:p w14:paraId="3A6BC719">
            <w:pPr>
              <w:keepNext w:val="0"/>
              <w:keepLines w:val="0"/>
              <w:pageBreakBefore w:val="0"/>
              <w:widowControl w:val="0"/>
              <w:kinsoku/>
              <w:wordWrap/>
              <w:overflowPunct/>
              <w:topLinePunct w:val="0"/>
              <w:autoSpaceDE/>
              <w:autoSpaceDN/>
              <w:bidi w:val="0"/>
              <w:adjustRightInd w:val="0"/>
              <w:snapToGrid/>
              <w:spacing w:line="400" w:lineRule="exact"/>
              <w:ind w:firstLine="420" w:firstLineChars="200"/>
              <w:jc w:val="left"/>
              <w:textAlignment w:val="baseline"/>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（3）活动执行过程中如采购方有调整，供应商根据采购方实际需求调整，按照采购方与活动主办单位签订的协议完成赛事活动相关各项工作。</w:t>
            </w:r>
          </w:p>
          <w:p w14:paraId="0BE51118">
            <w:pPr>
              <w:keepNext w:val="0"/>
              <w:keepLines w:val="0"/>
              <w:pageBreakBefore w:val="0"/>
              <w:widowControl w:val="0"/>
              <w:kinsoku/>
              <w:wordWrap/>
              <w:overflowPunct/>
              <w:topLinePunct w:val="0"/>
              <w:autoSpaceDE/>
              <w:autoSpaceDN/>
              <w:bidi w:val="0"/>
              <w:adjustRightInd w:val="0"/>
              <w:snapToGrid/>
              <w:spacing w:line="400" w:lineRule="exact"/>
              <w:ind w:firstLine="420" w:firstLineChars="200"/>
              <w:jc w:val="left"/>
              <w:textAlignment w:val="baseline"/>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九、验收标准要求：活动能够圆满举行，采购方按项目服务要求对成交供应商提供的服务及货物进行验收，活动结束后10个工作日内，供应商向采购方提供验收相关材料，提供的服务及货物与响应文件中承诺的技术参数不符的或未提供以上服务及货物去采购方处进行验收的，由此导致的所有损失由供应商承担。</w:t>
            </w:r>
          </w:p>
        </w:tc>
      </w:tr>
    </w:tbl>
    <w:p w14:paraId="2B12EFA9">
      <w:pPr>
        <w:rPr>
          <w:rFonts w:hint="default"/>
          <w:lang w:val="en-US" w:eastAsia="zh-CN"/>
        </w:rPr>
      </w:pPr>
    </w:p>
    <w:bookmarkEnd w:id="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4FD9C0"/>
    <w:multiLevelType w:val="singleLevel"/>
    <w:tmpl w:val="704FD9C0"/>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B1E46C4"/>
    <w:rsid w:val="51B55D07"/>
    <w:rsid w:val="729E7E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next w:val="1"/>
    <w:unhideWhenUsed/>
    <w:qFormat/>
    <w:uiPriority w:val="0"/>
    <w:pPr>
      <w:spacing w:after="120"/>
    </w:pPr>
  </w:style>
  <w:style w:type="paragraph" w:styleId="3">
    <w:name w:val="Plain Text"/>
    <w:basedOn w:val="1"/>
    <w:qFormat/>
    <w:uiPriority w:val="0"/>
    <w:rPr>
      <w:rFonts w:ascii="宋体" w:hAnsi="Courier New"/>
      <w:szCs w:val="20"/>
    </w:rPr>
  </w:style>
  <w:style w:type="paragraph" w:styleId="4">
    <w:name w:val="footer"/>
    <w:basedOn w:val="1"/>
    <w:link w:val="8"/>
    <w:qFormat/>
    <w:uiPriority w:val="99"/>
    <w:pPr>
      <w:tabs>
        <w:tab w:val="center" w:pos="4153"/>
        <w:tab w:val="right" w:pos="8306"/>
      </w:tabs>
      <w:snapToGrid w:val="0"/>
      <w:ind w:firstLine="420" w:firstLineChars="200"/>
      <w:jc w:val="center"/>
    </w:pPr>
    <w:rPr>
      <w:rFonts w:ascii="宋体" w:hAnsi="宋体" w:cs="宋体"/>
      <w:szCs w:val="21"/>
    </w:rPr>
  </w:style>
  <w:style w:type="paragraph" w:customStyle="1" w:styleId="7">
    <w:name w:val="Table Text"/>
    <w:basedOn w:val="1"/>
    <w:semiHidden/>
    <w:qFormat/>
    <w:uiPriority w:val="0"/>
    <w:rPr>
      <w:rFonts w:ascii="宋体" w:hAnsi="宋体" w:eastAsia="宋体" w:cs="宋体"/>
      <w:sz w:val="25"/>
      <w:szCs w:val="25"/>
    </w:rPr>
  </w:style>
  <w:style w:type="character" w:customStyle="1" w:styleId="8">
    <w:name w:val="页脚 字符"/>
    <w:link w:val="4"/>
    <w:qFormat/>
    <w:uiPriority w:val="99"/>
    <w:rPr>
      <w:rFonts w:ascii="宋体" w:hAnsi="宋体" w:cs="宋体"/>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941</Words>
  <Characters>986</Characters>
  <Lines>0</Lines>
  <Paragraphs>0</Paragraphs>
  <TotalTime>0</TotalTime>
  <ScaleCrop>false</ScaleCrop>
  <LinksUpToDate>false</LinksUpToDate>
  <CharactersWithSpaces>993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2026-09-23T08:57:00Z</dcterms:created>
  <dc:creator>Administrator</dc:creator>
  <cp:lastModifiedBy>Hezc</cp:lastModifiedBy>
  <dcterms:modified xsi:type="dcterms:W3CDTF">2026-10-09T02:39:25Z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eyJoZGlkIjoiNDc5YjY2Yzk2ZjgwNDUxMzY5ODg0ZDYyYTFlNjM1OWMiLCJ1c2VySWQiOiI0MjUxNDcxMjQifQ==</vt:lpwstr>
  </property>
  <property fmtid="{D5CDD505-2E9C-101B-9397-08002B2CF9AE}" pid="4" name="ICV">
    <vt:lpwstr>3E4FFA61ADFD470C949B48F51369093A_12</vt:lpwstr>
  </property>
</Properties>
</file>