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B14C53">
      <w:pPr>
        <w:spacing w:beforeLines="50" w:line="360" w:lineRule="auto"/>
        <w:jc w:val="center"/>
        <w:rPr>
          <w:rFonts w:hint="eastAsia" w:ascii="宋体" w:hAnsi="宋体" w:cs="宋体"/>
          <w:color w:val="auto"/>
          <w:sz w:val="52"/>
          <w:szCs w:val="52"/>
          <w:highlight w:val="none"/>
          <w:lang w:eastAsia="zh-CN"/>
        </w:rPr>
      </w:pPr>
      <w:r>
        <w:rPr>
          <w:rFonts w:ascii="宋体" w:hAnsi="宋体"/>
          <w:b/>
          <w:color w:val="auto"/>
          <w:sz w:val="84"/>
          <w:szCs w:val="84"/>
          <w:highlight w:val="none"/>
        </w:rPr>
        <w:drawing>
          <wp:inline distT="0" distB="0" distL="114300" distR="114300">
            <wp:extent cx="2811145" cy="1315085"/>
            <wp:effectExtent l="0" t="0" r="8255" b="889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8"/>
                    <a:stretch>
                      <a:fillRect/>
                    </a:stretch>
                  </pic:blipFill>
                  <pic:spPr>
                    <a:xfrm>
                      <a:off x="0" y="0"/>
                      <a:ext cx="2811145" cy="1315085"/>
                    </a:xfrm>
                    <a:prstGeom prst="rect">
                      <a:avLst/>
                    </a:prstGeom>
                    <a:noFill/>
                    <a:ln>
                      <a:noFill/>
                    </a:ln>
                  </pic:spPr>
                </pic:pic>
              </a:graphicData>
            </a:graphic>
          </wp:inline>
        </w:drawing>
      </w:r>
    </w:p>
    <w:p w14:paraId="3E694341">
      <w:pPr>
        <w:spacing w:beforeLines="50" w:line="360" w:lineRule="auto"/>
        <w:jc w:val="center"/>
        <w:rPr>
          <w:rFonts w:hint="eastAsia" w:ascii="宋体" w:hAnsi="宋体" w:eastAsia="宋体" w:cs="宋体"/>
          <w:b/>
          <w:bCs/>
          <w:color w:val="auto"/>
          <w:sz w:val="52"/>
          <w:szCs w:val="52"/>
          <w:highlight w:val="none"/>
          <w:lang w:eastAsia="zh-CN"/>
        </w:rPr>
      </w:pPr>
      <w:r>
        <w:rPr>
          <w:rFonts w:hint="eastAsia" w:ascii="宋体" w:hAnsi="宋体" w:cs="宋体"/>
          <w:b/>
          <w:bCs/>
          <w:color w:val="auto"/>
          <w:sz w:val="52"/>
          <w:szCs w:val="52"/>
          <w:highlight w:val="none"/>
          <w:lang w:eastAsia="zh-CN"/>
        </w:rPr>
        <w:t>广西众联工程项目管理有限公司</w:t>
      </w:r>
    </w:p>
    <w:p w14:paraId="0A5A54C9">
      <w:pPr>
        <w:snapToGrid w:val="0"/>
        <w:spacing w:beforeLines="50" w:line="360" w:lineRule="auto"/>
        <w:jc w:val="center"/>
        <w:rPr>
          <w:rFonts w:ascii="宋体" w:hAnsi="宋体" w:cs="宋体"/>
          <w:b/>
          <w:bCs/>
          <w:color w:val="auto"/>
          <w:sz w:val="72"/>
          <w:szCs w:val="72"/>
          <w:highlight w:val="none"/>
        </w:rPr>
      </w:pPr>
      <w:r>
        <w:rPr>
          <w:rFonts w:hint="eastAsia" w:ascii="宋体" w:hAnsi="宋体" w:cs="宋体"/>
          <w:b/>
          <w:bCs/>
          <w:color w:val="auto"/>
          <w:sz w:val="72"/>
          <w:szCs w:val="72"/>
          <w:highlight w:val="none"/>
        </w:rPr>
        <w:t>招 标 文 件</w:t>
      </w:r>
    </w:p>
    <w:p w14:paraId="65B386F1">
      <w:pPr>
        <w:snapToGrid w:val="0"/>
        <w:spacing w:beforeLines="50" w:line="360" w:lineRule="auto"/>
        <w:jc w:val="center"/>
        <w:rPr>
          <w:rFonts w:ascii="宋体" w:hAnsi="宋体" w:cs="宋体"/>
          <w:color w:val="auto"/>
          <w:sz w:val="30"/>
          <w:szCs w:val="72"/>
          <w:highlight w:val="none"/>
        </w:rPr>
      </w:pPr>
      <w:r>
        <w:rPr>
          <w:rFonts w:hint="eastAsia" w:ascii="宋体" w:hAnsi="宋体" w:cs="宋体"/>
          <w:color w:val="auto"/>
          <w:sz w:val="30"/>
          <w:szCs w:val="72"/>
          <w:highlight w:val="none"/>
        </w:rPr>
        <w:t>（全流程电子化评标）</w:t>
      </w:r>
    </w:p>
    <w:p w14:paraId="38A25F89">
      <w:pPr>
        <w:snapToGrid w:val="0"/>
        <w:spacing w:beforeLines="50" w:line="360" w:lineRule="auto"/>
        <w:jc w:val="center"/>
        <w:rPr>
          <w:rFonts w:ascii="宋体" w:hAnsi="宋体" w:cs="宋体"/>
          <w:color w:val="auto"/>
          <w:sz w:val="30"/>
          <w:szCs w:val="72"/>
          <w:highlight w:val="none"/>
        </w:rPr>
      </w:pPr>
    </w:p>
    <w:p w14:paraId="5E2E1423">
      <w:pPr>
        <w:snapToGrid w:val="0"/>
        <w:spacing w:beforeLines="50" w:line="360" w:lineRule="auto"/>
        <w:jc w:val="center"/>
        <w:rPr>
          <w:rFonts w:ascii="宋体" w:hAnsi="宋体" w:cs="宋体"/>
          <w:color w:val="auto"/>
          <w:sz w:val="30"/>
          <w:szCs w:val="72"/>
          <w:highlight w:val="none"/>
        </w:rPr>
      </w:pPr>
    </w:p>
    <w:p w14:paraId="4283EAE6">
      <w:pPr>
        <w:snapToGrid w:val="0"/>
        <w:spacing w:beforeLines="50" w:line="360" w:lineRule="auto"/>
        <w:ind w:left="3774" w:leftChars="904" w:hanging="1876" w:hangingChars="623"/>
        <w:jc w:val="both"/>
        <w:rPr>
          <w:rFonts w:hint="eastAsia" w:hAnsi="宋体" w:cs="宋体"/>
          <w:b/>
          <w:bCs/>
          <w:color w:val="auto"/>
          <w:sz w:val="30"/>
          <w:szCs w:val="30"/>
          <w:highlight w:val="none"/>
          <w:lang w:eastAsia="zh-CN"/>
        </w:rPr>
      </w:pPr>
      <w:r>
        <w:rPr>
          <w:rFonts w:hint="eastAsia" w:hAnsi="宋体" w:cs="宋体"/>
          <w:b/>
          <w:bCs/>
          <w:color w:val="auto"/>
          <w:sz w:val="30"/>
          <w:szCs w:val="30"/>
          <w:highlight w:val="none"/>
        </w:rPr>
        <w:t>项目名称：</w:t>
      </w:r>
      <w:r>
        <w:rPr>
          <w:rFonts w:hint="eastAsia" w:hAnsi="宋体" w:cs="宋体"/>
          <w:b/>
          <w:bCs/>
          <w:color w:val="auto"/>
          <w:sz w:val="30"/>
          <w:szCs w:val="30"/>
          <w:highlight w:val="none"/>
          <w:lang w:eastAsia="zh-CN"/>
        </w:rPr>
        <w:t>右江民族医学院第一批高原学科建设科研</w:t>
      </w:r>
    </w:p>
    <w:p w14:paraId="2DEDF4C2">
      <w:pPr>
        <w:snapToGrid w:val="0"/>
        <w:spacing w:beforeLines="50" w:line="360" w:lineRule="auto"/>
        <w:ind w:left="3759" w:leftChars="1614" w:hanging="370" w:hangingChars="123"/>
        <w:jc w:val="left"/>
        <w:rPr>
          <w:rFonts w:hint="eastAsia" w:hAnsi="宋体" w:cs="宋体"/>
          <w:b/>
          <w:bCs/>
          <w:color w:val="auto"/>
          <w:sz w:val="30"/>
          <w:szCs w:val="30"/>
          <w:highlight w:val="none"/>
        </w:rPr>
      </w:pPr>
      <w:r>
        <w:rPr>
          <w:rFonts w:hint="eastAsia" w:hAnsi="宋体" w:cs="宋体"/>
          <w:b/>
          <w:bCs/>
          <w:color w:val="auto"/>
          <w:sz w:val="30"/>
          <w:szCs w:val="30"/>
          <w:highlight w:val="none"/>
          <w:lang w:eastAsia="zh-CN"/>
        </w:rPr>
        <w:t>仪器设备采购项目</w:t>
      </w:r>
    </w:p>
    <w:p w14:paraId="4D20F00E">
      <w:pPr>
        <w:snapToGrid w:val="0"/>
        <w:spacing w:beforeLines="50" w:line="360" w:lineRule="auto"/>
        <w:ind w:left="0" w:leftChars="0" w:firstLine="1906" w:firstLineChars="633"/>
        <w:jc w:val="both"/>
        <w:rPr>
          <w:rFonts w:hint="eastAsia" w:ascii="宋体" w:hAnsi="宋体" w:eastAsia="宋体" w:cs="宋体"/>
          <w:b/>
          <w:color w:val="auto"/>
          <w:sz w:val="30"/>
          <w:szCs w:val="48"/>
          <w:highlight w:val="none"/>
          <w:lang w:val="en-US" w:eastAsia="zh-CN"/>
        </w:rPr>
      </w:pPr>
      <w:r>
        <w:rPr>
          <w:rFonts w:hint="eastAsia" w:ascii="宋体" w:hAnsi="宋体" w:cs="宋体"/>
          <w:b/>
          <w:bCs/>
          <w:color w:val="auto"/>
          <w:sz w:val="30"/>
          <w:szCs w:val="30"/>
          <w:highlight w:val="none"/>
        </w:rPr>
        <w:t>项目编号：</w:t>
      </w:r>
      <w:bookmarkStart w:id="0" w:name="OLE_LINK146"/>
      <w:r>
        <w:rPr>
          <w:rFonts w:hint="eastAsia" w:ascii="宋体" w:hAnsi="宋体" w:cs="宋体"/>
          <w:b/>
          <w:bCs/>
          <w:color w:val="auto"/>
          <w:sz w:val="30"/>
          <w:szCs w:val="30"/>
          <w:highlight w:val="none"/>
          <w:lang w:eastAsia="zh-CN"/>
        </w:rPr>
        <w:t>GXZC2026-G3-002768-GXZL</w:t>
      </w:r>
    </w:p>
    <w:bookmarkEnd w:id="0"/>
    <w:p w14:paraId="72843E62">
      <w:pPr>
        <w:pStyle w:val="14"/>
        <w:snapToGrid w:val="0"/>
        <w:spacing w:before="50" w:after="120" w:line="360" w:lineRule="auto"/>
        <w:jc w:val="center"/>
        <w:rPr>
          <w:rFonts w:hAnsi="宋体" w:cs="宋体"/>
          <w:b/>
          <w:bCs/>
          <w:color w:val="auto"/>
          <w:w w:val="95"/>
          <w:sz w:val="30"/>
          <w:szCs w:val="30"/>
          <w:highlight w:val="none"/>
        </w:rPr>
      </w:pPr>
    </w:p>
    <w:p w14:paraId="6BB5B414">
      <w:pPr>
        <w:pStyle w:val="14"/>
        <w:snapToGrid w:val="0"/>
        <w:spacing w:before="50" w:after="120" w:line="360" w:lineRule="auto"/>
        <w:jc w:val="center"/>
        <w:rPr>
          <w:rFonts w:hAnsi="宋体" w:cs="宋体"/>
          <w:b/>
          <w:bCs/>
          <w:color w:val="auto"/>
          <w:w w:val="95"/>
          <w:sz w:val="30"/>
          <w:szCs w:val="30"/>
          <w:highlight w:val="none"/>
        </w:rPr>
      </w:pPr>
    </w:p>
    <w:p w14:paraId="305443A1">
      <w:pPr>
        <w:pStyle w:val="14"/>
        <w:snapToGrid w:val="0"/>
        <w:spacing w:before="50" w:after="120" w:line="360" w:lineRule="auto"/>
        <w:jc w:val="center"/>
        <w:rPr>
          <w:rFonts w:hAnsi="宋体" w:cs="宋体"/>
          <w:b/>
          <w:bCs/>
          <w:color w:val="auto"/>
          <w:w w:val="95"/>
          <w:sz w:val="30"/>
          <w:szCs w:val="30"/>
          <w:highlight w:val="none"/>
        </w:rPr>
      </w:pPr>
    </w:p>
    <w:p w14:paraId="73ED417A">
      <w:pPr>
        <w:pStyle w:val="14"/>
        <w:snapToGrid w:val="0"/>
        <w:spacing w:before="50" w:after="120" w:line="360" w:lineRule="auto"/>
        <w:ind w:left="0" w:leftChars="0" w:firstLine="1906" w:firstLineChars="633"/>
        <w:jc w:val="both"/>
        <w:rPr>
          <w:rFonts w:hint="eastAsia" w:hAnsi="宋体" w:eastAsia="宋体" w:cs="宋体"/>
          <w:b/>
          <w:bCs/>
          <w:color w:val="auto"/>
          <w:sz w:val="30"/>
          <w:szCs w:val="30"/>
          <w:highlight w:val="none"/>
          <w:lang w:eastAsia="zh-CN"/>
        </w:rPr>
      </w:pPr>
      <w:r>
        <w:rPr>
          <w:rFonts w:hint="eastAsia" w:hAnsi="宋体" w:cs="宋体"/>
          <w:b/>
          <w:bCs/>
          <w:color w:val="auto"/>
          <w:sz w:val="30"/>
          <w:szCs w:val="30"/>
          <w:highlight w:val="none"/>
        </w:rPr>
        <w:t>采购人：</w:t>
      </w:r>
      <w:r>
        <w:rPr>
          <w:rFonts w:hint="eastAsia" w:hAnsi="宋体" w:cs="宋体"/>
          <w:b/>
          <w:bCs/>
          <w:color w:val="auto"/>
          <w:sz w:val="30"/>
          <w:szCs w:val="30"/>
          <w:highlight w:val="none"/>
          <w:lang w:eastAsia="zh-CN"/>
        </w:rPr>
        <w:t>右江民族医学院</w:t>
      </w:r>
    </w:p>
    <w:p w14:paraId="2BFCABC5">
      <w:pPr>
        <w:pStyle w:val="14"/>
        <w:snapToGrid w:val="0"/>
        <w:spacing w:before="50" w:after="120" w:line="360" w:lineRule="auto"/>
        <w:ind w:left="0" w:leftChars="0" w:firstLine="1961" w:firstLineChars="651"/>
        <w:jc w:val="both"/>
        <w:rPr>
          <w:rFonts w:hint="eastAsia" w:hAnsi="宋体" w:eastAsia="宋体" w:cs="宋体"/>
          <w:b/>
          <w:bCs/>
          <w:color w:val="auto"/>
          <w:sz w:val="30"/>
          <w:szCs w:val="30"/>
          <w:highlight w:val="none"/>
          <w:lang w:eastAsia="zh-CN"/>
        </w:rPr>
      </w:pPr>
      <w:r>
        <w:rPr>
          <w:rFonts w:hint="eastAsia" w:hAnsi="宋体" w:cs="宋体"/>
          <w:b/>
          <w:bCs/>
          <w:color w:val="auto"/>
          <w:sz w:val="30"/>
          <w:szCs w:val="30"/>
          <w:highlight w:val="none"/>
        </w:rPr>
        <w:t>采购代理机构：</w:t>
      </w:r>
      <w:r>
        <w:rPr>
          <w:rFonts w:hint="eastAsia" w:hAnsi="宋体" w:cs="宋体"/>
          <w:b/>
          <w:bCs/>
          <w:color w:val="auto"/>
          <w:sz w:val="30"/>
          <w:szCs w:val="30"/>
          <w:highlight w:val="none"/>
          <w:lang w:eastAsia="zh-CN"/>
        </w:rPr>
        <w:t>广西众联工程项目管理有限公司</w:t>
      </w:r>
    </w:p>
    <w:p w14:paraId="4CBE4887">
      <w:pPr>
        <w:pStyle w:val="14"/>
        <w:snapToGrid w:val="0"/>
        <w:spacing w:before="50" w:after="120" w:line="360" w:lineRule="auto"/>
        <w:jc w:val="center"/>
        <w:rPr>
          <w:rFonts w:hint="eastAsia" w:hAnsi="宋体" w:eastAsia="宋体" w:cs="宋体"/>
          <w:b/>
          <w:bCs/>
          <w:color w:val="auto"/>
          <w:w w:val="95"/>
          <w:sz w:val="30"/>
          <w:szCs w:val="30"/>
          <w:highlight w:val="none"/>
          <w:lang w:eastAsia="zh-CN"/>
        </w:rPr>
      </w:pPr>
      <w:r>
        <w:rPr>
          <w:rFonts w:hint="eastAsia" w:hAnsi="宋体" w:cs="宋体"/>
          <w:b/>
          <w:bCs/>
          <w:color w:val="auto"/>
          <w:w w:val="95"/>
          <w:sz w:val="30"/>
          <w:szCs w:val="30"/>
          <w:highlight w:val="none"/>
          <w:lang w:eastAsia="zh-CN"/>
        </w:rPr>
        <w:t>2026年</w:t>
      </w:r>
      <w:r>
        <w:rPr>
          <w:rFonts w:hint="eastAsia" w:hAnsi="宋体" w:cs="宋体"/>
          <w:b/>
          <w:bCs/>
          <w:color w:val="auto"/>
          <w:w w:val="95"/>
          <w:sz w:val="30"/>
          <w:szCs w:val="30"/>
          <w:highlight w:val="none"/>
          <w:lang w:val="en-US" w:eastAsia="zh-CN"/>
        </w:rPr>
        <w:t>9</w:t>
      </w:r>
      <w:r>
        <w:rPr>
          <w:rFonts w:hint="eastAsia" w:hAnsi="宋体" w:cs="宋体"/>
          <w:b/>
          <w:bCs/>
          <w:color w:val="auto"/>
          <w:w w:val="95"/>
          <w:sz w:val="30"/>
          <w:szCs w:val="30"/>
          <w:highlight w:val="none"/>
          <w:lang w:eastAsia="zh-CN"/>
        </w:rPr>
        <w:t>月</w:t>
      </w:r>
      <w:r>
        <w:rPr>
          <w:rFonts w:hint="eastAsia" w:hAnsi="宋体" w:cs="宋体"/>
          <w:b/>
          <w:bCs/>
          <w:color w:val="auto"/>
          <w:w w:val="95"/>
          <w:sz w:val="30"/>
          <w:szCs w:val="30"/>
          <w:highlight w:val="none"/>
          <w:lang w:val="en-US" w:eastAsia="zh-CN"/>
        </w:rPr>
        <w:t>4</w:t>
      </w:r>
      <w:r>
        <w:rPr>
          <w:rFonts w:hint="eastAsia" w:hAnsi="宋体" w:cs="宋体"/>
          <w:b/>
          <w:bCs/>
          <w:color w:val="auto"/>
          <w:w w:val="95"/>
          <w:sz w:val="30"/>
          <w:szCs w:val="30"/>
          <w:highlight w:val="none"/>
          <w:lang w:eastAsia="zh-CN"/>
        </w:rPr>
        <w:t>日</w:t>
      </w:r>
    </w:p>
    <w:p w14:paraId="65787587">
      <w:pPr>
        <w:pStyle w:val="14"/>
        <w:ind w:firstLine="723"/>
        <w:jc w:val="center"/>
        <w:rPr>
          <w:rFonts w:hAnsi="宋体" w:cs="宋体"/>
          <w:b/>
          <w:color w:val="auto"/>
          <w:sz w:val="48"/>
          <w:szCs w:val="48"/>
          <w:highlight w:val="none"/>
        </w:rPr>
        <w:sectPr>
          <w:footerReference r:id="rId4" w:type="first"/>
          <w:footerReference r:id="rId3" w:type="default"/>
          <w:pgSz w:w="11905" w:h="16838"/>
          <w:pgMar w:top="1417" w:right="1417" w:bottom="1417" w:left="1417" w:header="850" w:footer="850" w:gutter="0"/>
          <w:pgBorders>
            <w:top w:val="none" w:sz="0" w:space="0"/>
            <w:left w:val="none" w:sz="0" w:space="0"/>
            <w:bottom w:val="none" w:sz="0" w:space="0"/>
            <w:right w:val="none" w:sz="0" w:space="0"/>
          </w:pgBorders>
          <w:pgNumType w:start="1"/>
          <w:cols w:space="720" w:num="1"/>
          <w:docGrid w:linePitch="331" w:charSpace="0"/>
        </w:sectPr>
      </w:pPr>
    </w:p>
    <w:p w14:paraId="28332827">
      <w:pPr>
        <w:pStyle w:val="14"/>
        <w:ind w:firstLine="723"/>
        <w:jc w:val="center"/>
        <w:rPr>
          <w:rFonts w:hAnsi="宋体" w:cs="宋体"/>
          <w:b/>
          <w:color w:val="auto"/>
          <w:sz w:val="48"/>
          <w:szCs w:val="48"/>
          <w:highlight w:val="none"/>
        </w:rPr>
      </w:pPr>
      <w:r>
        <w:rPr>
          <w:rFonts w:hint="eastAsia" w:hAnsi="宋体" w:cs="宋体"/>
          <w:b/>
          <w:color w:val="auto"/>
          <w:sz w:val="48"/>
          <w:szCs w:val="48"/>
          <w:highlight w:val="none"/>
        </w:rPr>
        <w:t>目     录</w:t>
      </w:r>
    </w:p>
    <w:p w14:paraId="56368982">
      <w:pPr>
        <w:pStyle w:val="22"/>
        <w:tabs>
          <w:tab w:val="right" w:leader="dot" w:pos="9638"/>
        </w:tabs>
        <w:spacing w:line="280" w:lineRule="exact"/>
        <w:ind w:firstLine="316"/>
        <w:rPr>
          <w:color w:val="auto"/>
          <w:highlight w:val="none"/>
        </w:rPr>
      </w:pPr>
      <w:r>
        <w:rPr>
          <w:rFonts w:hint="eastAsia" w:ascii="宋体" w:hAnsi="宋体" w:cs="宋体"/>
          <w:b w:val="0"/>
          <w:bCs w:val="0"/>
          <w:caps w:val="0"/>
          <w:color w:val="auto"/>
          <w:sz w:val="28"/>
          <w:szCs w:val="28"/>
          <w:highlight w:val="none"/>
        </w:rPr>
        <w:fldChar w:fldCharType="begin"/>
      </w:r>
      <w:r>
        <w:rPr>
          <w:rFonts w:hint="eastAsia" w:ascii="宋体" w:hAnsi="宋体" w:cs="宋体"/>
          <w:b w:val="0"/>
          <w:bCs w:val="0"/>
          <w:caps w:val="0"/>
          <w:color w:val="auto"/>
          <w:sz w:val="28"/>
          <w:szCs w:val="28"/>
          <w:highlight w:val="none"/>
        </w:rPr>
        <w:instrText xml:space="preserve"> TOC \o "1-3" \h \z \u </w:instrText>
      </w:r>
      <w:r>
        <w:rPr>
          <w:rFonts w:hint="eastAsia" w:ascii="宋体" w:hAnsi="宋体" w:cs="宋体"/>
          <w:b w:val="0"/>
          <w:bCs w:val="0"/>
          <w:caps w:val="0"/>
          <w:color w:val="auto"/>
          <w:sz w:val="28"/>
          <w:szCs w:val="28"/>
          <w:highlight w:val="none"/>
        </w:rPr>
        <w:fldChar w:fldCharType="separate"/>
      </w:r>
    </w:p>
    <w:p w14:paraId="68A4ABD6">
      <w:pPr>
        <w:pStyle w:val="14"/>
        <w:spacing w:line="360" w:lineRule="auto"/>
        <w:jc w:val="center"/>
        <w:rPr>
          <w:rFonts w:ascii="宋体" w:hAnsi="Courier New" w:eastAsia="宋体" w:cs="Times New Roman"/>
          <w:color w:val="auto"/>
          <w:kern w:val="2"/>
          <w:sz w:val="21"/>
          <w:szCs w:val="20"/>
          <w:highlight w:val="none"/>
          <w:lang w:val="en-US" w:eastAsia="zh-CN" w:bidi="ar-SA"/>
        </w:rPr>
      </w:pPr>
      <w:r>
        <w:rPr>
          <w:rFonts w:hint="eastAsia" w:hAnsi="宋体" w:cs="宋体"/>
          <w:bCs/>
          <w:caps/>
          <w:color w:val="auto"/>
          <w:szCs w:val="28"/>
          <w:highlight w:val="none"/>
          <w:u w:val="single"/>
        </w:rPr>
        <w:fldChar w:fldCharType="end"/>
      </w:r>
      <w:bookmarkStart w:id="1" w:name="_Toc532545041"/>
      <w:bookmarkStart w:id="2" w:name="_Toc12135"/>
      <w:bookmarkStart w:id="3" w:name="_Toc20152"/>
      <w:bookmarkStart w:id="4" w:name="_Toc22419"/>
      <w:r>
        <w:rPr>
          <w:color w:val="auto"/>
          <w:highlight w:val="none"/>
        </w:rPr>
        <w:fldChar w:fldCharType="begin"/>
      </w:r>
      <w:r>
        <w:rPr>
          <w:color w:val="auto"/>
          <w:highlight w:val="none"/>
        </w:rPr>
        <w:instrText xml:space="preserve">TOC \o "1-1" \h \u </w:instrText>
      </w:r>
      <w:r>
        <w:rPr>
          <w:color w:val="auto"/>
          <w:highlight w:val="none"/>
        </w:rPr>
        <w:fldChar w:fldCharType="separate"/>
      </w:r>
    </w:p>
    <w:p w14:paraId="5CF55F03">
      <w:pPr>
        <w:pStyle w:val="20"/>
        <w:tabs>
          <w:tab w:val="right" w:leader="dot" w:pos="9040"/>
        </w:tabs>
        <w:rPr>
          <w:color w:val="auto"/>
          <w:sz w:val="24"/>
          <w:szCs w:val="24"/>
          <w:highlight w:val="none"/>
        </w:rPr>
      </w:pPr>
      <w:r>
        <w:rPr>
          <w:color w:val="auto"/>
          <w:sz w:val="24"/>
          <w:szCs w:val="24"/>
          <w:highlight w:val="none"/>
        </w:rPr>
        <w:fldChar w:fldCharType="begin"/>
      </w:r>
      <w:r>
        <w:rPr>
          <w:color w:val="auto"/>
          <w:sz w:val="24"/>
          <w:szCs w:val="24"/>
          <w:highlight w:val="none"/>
        </w:rPr>
        <w:instrText xml:space="preserve"> HYPERLINK \l _Toc13231 </w:instrText>
      </w:r>
      <w:r>
        <w:rPr>
          <w:color w:val="auto"/>
          <w:sz w:val="24"/>
          <w:szCs w:val="24"/>
          <w:highlight w:val="none"/>
        </w:rPr>
        <w:fldChar w:fldCharType="separate"/>
      </w:r>
      <w:r>
        <w:rPr>
          <w:rFonts w:hint="eastAsia" w:hAnsi="宋体" w:cs="宋体"/>
          <w:color w:val="auto"/>
          <w:sz w:val="24"/>
          <w:szCs w:val="24"/>
          <w:highlight w:val="none"/>
        </w:rPr>
        <w:t>第一章  招标公告</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_Toc13231 \h </w:instrText>
      </w:r>
      <w:r>
        <w:rPr>
          <w:color w:val="auto"/>
          <w:sz w:val="24"/>
          <w:szCs w:val="24"/>
          <w:highlight w:val="none"/>
        </w:rPr>
        <w:fldChar w:fldCharType="separate"/>
      </w:r>
      <w:r>
        <w:rPr>
          <w:color w:val="auto"/>
          <w:sz w:val="24"/>
          <w:szCs w:val="24"/>
          <w:highlight w:val="none"/>
        </w:rPr>
        <w:t>2</w:t>
      </w:r>
      <w:r>
        <w:rPr>
          <w:color w:val="auto"/>
          <w:sz w:val="24"/>
          <w:szCs w:val="24"/>
          <w:highlight w:val="none"/>
        </w:rPr>
        <w:fldChar w:fldCharType="end"/>
      </w:r>
      <w:r>
        <w:rPr>
          <w:color w:val="auto"/>
          <w:sz w:val="24"/>
          <w:szCs w:val="24"/>
          <w:highlight w:val="none"/>
        </w:rPr>
        <w:fldChar w:fldCharType="end"/>
      </w:r>
    </w:p>
    <w:p w14:paraId="59807E06">
      <w:pPr>
        <w:pStyle w:val="20"/>
        <w:tabs>
          <w:tab w:val="right" w:leader="dot" w:pos="9040"/>
        </w:tabs>
        <w:rPr>
          <w:color w:val="auto"/>
          <w:sz w:val="24"/>
          <w:szCs w:val="24"/>
          <w:highlight w:val="none"/>
        </w:rPr>
      </w:pPr>
      <w:r>
        <w:rPr>
          <w:color w:val="auto"/>
          <w:sz w:val="24"/>
          <w:szCs w:val="24"/>
          <w:highlight w:val="none"/>
        </w:rPr>
        <w:fldChar w:fldCharType="begin"/>
      </w:r>
      <w:r>
        <w:rPr>
          <w:color w:val="auto"/>
          <w:sz w:val="24"/>
          <w:szCs w:val="24"/>
          <w:highlight w:val="none"/>
        </w:rPr>
        <w:instrText xml:space="preserve"> HYPERLINK \l _Toc30982 </w:instrText>
      </w:r>
      <w:r>
        <w:rPr>
          <w:color w:val="auto"/>
          <w:sz w:val="24"/>
          <w:szCs w:val="24"/>
          <w:highlight w:val="none"/>
        </w:rPr>
        <w:fldChar w:fldCharType="separate"/>
      </w:r>
      <w:r>
        <w:rPr>
          <w:rFonts w:hint="eastAsia" w:hAnsi="宋体" w:cs="宋体"/>
          <w:color w:val="auto"/>
          <w:sz w:val="24"/>
          <w:szCs w:val="24"/>
          <w:highlight w:val="none"/>
        </w:rPr>
        <w:t>第二章  采购需求</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_Toc30982 \h </w:instrText>
      </w:r>
      <w:r>
        <w:rPr>
          <w:color w:val="auto"/>
          <w:sz w:val="24"/>
          <w:szCs w:val="24"/>
          <w:highlight w:val="none"/>
        </w:rPr>
        <w:fldChar w:fldCharType="separate"/>
      </w:r>
      <w:r>
        <w:rPr>
          <w:color w:val="auto"/>
          <w:sz w:val="24"/>
          <w:szCs w:val="24"/>
          <w:highlight w:val="none"/>
        </w:rPr>
        <w:t>7</w:t>
      </w:r>
      <w:r>
        <w:rPr>
          <w:color w:val="auto"/>
          <w:sz w:val="24"/>
          <w:szCs w:val="24"/>
          <w:highlight w:val="none"/>
        </w:rPr>
        <w:fldChar w:fldCharType="end"/>
      </w:r>
      <w:r>
        <w:rPr>
          <w:color w:val="auto"/>
          <w:sz w:val="24"/>
          <w:szCs w:val="24"/>
          <w:highlight w:val="none"/>
        </w:rPr>
        <w:fldChar w:fldCharType="end"/>
      </w:r>
    </w:p>
    <w:p w14:paraId="3219BE3B">
      <w:pPr>
        <w:pStyle w:val="20"/>
        <w:tabs>
          <w:tab w:val="right" w:leader="dot" w:pos="9040"/>
        </w:tabs>
        <w:rPr>
          <w:color w:val="auto"/>
          <w:sz w:val="24"/>
          <w:szCs w:val="24"/>
          <w:highlight w:val="none"/>
        </w:rPr>
      </w:pPr>
      <w:r>
        <w:rPr>
          <w:color w:val="auto"/>
          <w:sz w:val="24"/>
          <w:szCs w:val="24"/>
          <w:highlight w:val="none"/>
        </w:rPr>
        <w:fldChar w:fldCharType="begin"/>
      </w:r>
      <w:r>
        <w:rPr>
          <w:color w:val="auto"/>
          <w:sz w:val="24"/>
          <w:szCs w:val="24"/>
          <w:highlight w:val="none"/>
        </w:rPr>
        <w:instrText xml:space="preserve"> HYPERLINK \l _Toc11207 </w:instrText>
      </w:r>
      <w:r>
        <w:rPr>
          <w:color w:val="auto"/>
          <w:sz w:val="24"/>
          <w:szCs w:val="24"/>
          <w:highlight w:val="none"/>
        </w:rPr>
        <w:fldChar w:fldCharType="separate"/>
      </w:r>
      <w:r>
        <w:rPr>
          <w:rFonts w:hint="eastAsia"/>
          <w:color w:val="auto"/>
          <w:sz w:val="24"/>
          <w:szCs w:val="24"/>
          <w:highlight w:val="none"/>
        </w:rPr>
        <w:t>第三章  投标人须知</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_Toc11207 \h </w:instrText>
      </w:r>
      <w:r>
        <w:rPr>
          <w:color w:val="auto"/>
          <w:sz w:val="24"/>
          <w:szCs w:val="24"/>
          <w:highlight w:val="none"/>
        </w:rPr>
        <w:fldChar w:fldCharType="separate"/>
      </w:r>
      <w:r>
        <w:rPr>
          <w:color w:val="auto"/>
          <w:sz w:val="24"/>
          <w:szCs w:val="24"/>
          <w:highlight w:val="none"/>
        </w:rPr>
        <w:t>112</w:t>
      </w:r>
      <w:r>
        <w:rPr>
          <w:color w:val="auto"/>
          <w:sz w:val="24"/>
          <w:szCs w:val="24"/>
          <w:highlight w:val="none"/>
        </w:rPr>
        <w:fldChar w:fldCharType="end"/>
      </w:r>
      <w:r>
        <w:rPr>
          <w:color w:val="auto"/>
          <w:sz w:val="24"/>
          <w:szCs w:val="24"/>
          <w:highlight w:val="none"/>
        </w:rPr>
        <w:fldChar w:fldCharType="end"/>
      </w:r>
    </w:p>
    <w:p w14:paraId="62877C4B">
      <w:pPr>
        <w:pStyle w:val="20"/>
        <w:tabs>
          <w:tab w:val="right" w:leader="dot" w:pos="9040"/>
        </w:tabs>
        <w:rPr>
          <w:color w:val="auto"/>
          <w:sz w:val="24"/>
          <w:szCs w:val="24"/>
          <w:highlight w:val="none"/>
        </w:rPr>
      </w:pPr>
      <w:r>
        <w:rPr>
          <w:color w:val="auto"/>
          <w:sz w:val="24"/>
          <w:szCs w:val="24"/>
          <w:highlight w:val="none"/>
        </w:rPr>
        <w:fldChar w:fldCharType="begin"/>
      </w:r>
      <w:r>
        <w:rPr>
          <w:color w:val="auto"/>
          <w:sz w:val="24"/>
          <w:szCs w:val="24"/>
          <w:highlight w:val="none"/>
        </w:rPr>
        <w:instrText xml:space="preserve"> HYPERLINK \l _Toc29635 </w:instrText>
      </w:r>
      <w:r>
        <w:rPr>
          <w:color w:val="auto"/>
          <w:sz w:val="24"/>
          <w:szCs w:val="24"/>
          <w:highlight w:val="none"/>
        </w:rPr>
        <w:fldChar w:fldCharType="separate"/>
      </w:r>
      <w:r>
        <w:rPr>
          <w:rFonts w:hint="eastAsia"/>
          <w:color w:val="auto"/>
          <w:sz w:val="24"/>
          <w:szCs w:val="24"/>
          <w:highlight w:val="none"/>
        </w:rPr>
        <w:t>第四章  评标方法和评标标准</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_Toc29635 \h </w:instrText>
      </w:r>
      <w:r>
        <w:rPr>
          <w:color w:val="auto"/>
          <w:sz w:val="24"/>
          <w:szCs w:val="24"/>
          <w:highlight w:val="none"/>
        </w:rPr>
        <w:fldChar w:fldCharType="separate"/>
      </w:r>
      <w:r>
        <w:rPr>
          <w:color w:val="auto"/>
          <w:sz w:val="24"/>
          <w:szCs w:val="24"/>
          <w:highlight w:val="none"/>
        </w:rPr>
        <w:t>138</w:t>
      </w:r>
      <w:r>
        <w:rPr>
          <w:color w:val="auto"/>
          <w:sz w:val="24"/>
          <w:szCs w:val="24"/>
          <w:highlight w:val="none"/>
        </w:rPr>
        <w:fldChar w:fldCharType="end"/>
      </w:r>
      <w:r>
        <w:rPr>
          <w:color w:val="auto"/>
          <w:sz w:val="24"/>
          <w:szCs w:val="24"/>
          <w:highlight w:val="none"/>
        </w:rPr>
        <w:fldChar w:fldCharType="end"/>
      </w:r>
    </w:p>
    <w:p w14:paraId="2AC79133">
      <w:pPr>
        <w:pStyle w:val="20"/>
        <w:tabs>
          <w:tab w:val="right" w:leader="dot" w:pos="9040"/>
        </w:tabs>
        <w:rPr>
          <w:color w:val="auto"/>
          <w:sz w:val="24"/>
          <w:szCs w:val="24"/>
          <w:highlight w:val="none"/>
        </w:rPr>
      </w:pPr>
      <w:r>
        <w:rPr>
          <w:color w:val="auto"/>
          <w:sz w:val="24"/>
          <w:szCs w:val="24"/>
          <w:highlight w:val="none"/>
        </w:rPr>
        <w:fldChar w:fldCharType="begin"/>
      </w:r>
      <w:r>
        <w:rPr>
          <w:color w:val="auto"/>
          <w:sz w:val="24"/>
          <w:szCs w:val="24"/>
          <w:highlight w:val="none"/>
        </w:rPr>
        <w:instrText xml:space="preserve"> HYPERLINK \l _Toc18142 </w:instrText>
      </w:r>
      <w:r>
        <w:rPr>
          <w:color w:val="auto"/>
          <w:sz w:val="24"/>
          <w:szCs w:val="24"/>
          <w:highlight w:val="none"/>
        </w:rPr>
        <w:fldChar w:fldCharType="separate"/>
      </w:r>
      <w:r>
        <w:rPr>
          <w:rFonts w:hint="eastAsia"/>
          <w:color w:val="auto"/>
          <w:sz w:val="24"/>
          <w:szCs w:val="24"/>
          <w:highlight w:val="none"/>
        </w:rPr>
        <w:t xml:space="preserve">第五章 </w:t>
      </w:r>
      <w:r>
        <w:rPr>
          <w:rFonts w:hint="eastAsia"/>
          <w:color w:val="auto"/>
          <w:sz w:val="24"/>
          <w:szCs w:val="24"/>
          <w:highlight w:val="none"/>
          <w:lang w:val="en-US" w:eastAsia="zh-CN"/>
        </w:rPr>
        <w:t xml:space="preserve"> </w:t>
      </w:r>
      <w:r>
        <w:rPr>
          <w:rFonts w:hint="eastAsia"/>
          <w:color w:val="auto"/>
          <w:sz w:val="24"/>
          <w:szCs w:val="24"/>
          <w:highlight w:val="none"/>
        </w:rPr>
        <w:t>拟签订的合同文本</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_Toc18142 \h </w:instrText>
      </w:r>
      <w:r>
        <w:rPr>
          <w:color w:val="auto"/>
          <w:sz w:val="24"/>
          <w:szCs w:val="24"/>
          <w:highlight w:val="none"/>
        </w:rPr>
        <w:fldChar w:fldCharType="separate"/>
      </w:r>
      <w:r>
        <w:rPr>
          <w:color w:val="auto"/>
          <w:sz w:val="24"/>
          <w:szCs w:val="24"/>
          <w:highlight w:val="none"/>
        </w:rPr>
        <w:t>179</w:t>
      </w:r>
      <w:r>
        <w:rPr>
          <w:color w:val="auto"/>
          <w:sz w:val="24"/>
          <w:szCs w:val="24"/>
          <w:highlight w:val="none"/>
        </w:rPr>
        <w:fldChar w:fldCharType="end"/>
      </w:r>
      <w:r>
        <w:rPr>
          <w:color w:val="auto"/>
          <w:sz w:val="24"/>
          <w:szCs w:val="24"/>
          <w:highlight w:val="none"/>
        </w:rPr>
        <w:fldChar w:fldCharType="end"/>
      </w:r>
    </w:p>
    <w:p w14:paraId="76EB0DE3">
      <w:pPr>
        <w:pStyle w:val="20"/>
        <w:tabs>
          <w:tab w:val="right" w:leader="dot" w:pos="9040"/>
        </w:tabs>
        <w:rPr>
          <w:color w:val="auto"/>
          <w:sz w:val="24"/>
          <w:szCs w:val="24"/>
          <w:highlight w:val="none"/>
        </w:rPr>
      </w:pPr>
      <w:r>
        <w:rPr>
          <w:color w:val="auto"/>
          <w:sz w:val="24"/>
          <w:szCs w:val="24"/>
          <w:highlight w:val="none"/>
        </w:rPr>
        <w:fldChar w:fldCharType="begin"/>
      </w:r>
      <w:r>
        <w:rPr>
          <w:color w:val="auto"/>
          <w:sz w:val="24"/>
          <w:szCs w:val="24"/>
          <w:highlight w:val="none"/>
        </w:rPr>
        <w:instrText xml:space="preserve"> HYPERLINK \l _Toc3923 </w:instrText>
      </w:r>
      <w:r>
        <w:rPr>
          <w:color w:val="auto"/>
          <w:sz w:val="24"/>
          <w:szCs w:val="24"/>
          <w:highlight w:val="none"/>
        </w:rPr>
        <w:fldChar w:fldCharType="separate"/>
      </w:r>
      <w:r>
        <w:rPr>
          <w:rFonts w:hint="eastAsia"/>
          <w:color w:val="auto"/>
          <w:sz w:val="24"/>
          <w:szCs w:val="24"/>
          <w:highlight w:val="none"/>
        </w:rPr>
        <w:t xml:space="preserve">第六章 </w:t>
      </w:r>
      <w:r>
        <w:rPr>
          <w:rFonts w:hint="eastAsia"/>
          <w:color w:val="auto"/>
          <w:sz w:val="24"/>
          <w:szCs w:val="24"/>
          <w:highlight w:val="none"/>
          <w:lang w:val="en-US" w:eastAsia="zh-CN"/>
        </w:rPr>
        <w:t xml:space="preserve"> </w:t>
      </w:r>
      <w:r>
        <w:rPr>
          <w:rFonts w:hint="eastAsia"/>
          <w:color w:val="auto"/>
          <w:sz w:val="24"/>
          <w:szCs w:val="24"/>
          <w:highlight w:val="none"/>
        </w:rPr>
        <w:t>投标文件格式</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_Toc3923 \h </w:instrText>
      </w:r>
      <w:r>
        <w:rPr>
          <w:color w:val="auto"/>
          <w:sz w:val="24"/>
          <w:szCs w:val="24"/>
          <w:highlight w:val="none"/>
        </w:rPr>
        <w:fldChar w:fldCharType="separate"/>
      </w:r>
      <w:r>
        <w:rPr>
          <w:color w:val="auto"/>
          <w:sz w:val="24"/>
          <w:szCs w:val="24"/>
          <w:highlight w:val="none"/>
        </w:rPr>
        <w:t>189</w:t>
      </w:r>
      <w:r>
        <w:rPr>
          <w:color w:val="auto"/>
          <w:sz w:val="24"/>
          <w:szCs w:val="24"/>
          <w:highlight w:val="none"/>
        </w:rPr>
        <w:fldChar w:fldCharType="end"/>
      </w:r>
      <w:r>
        <w:rPr>
          <w:color w:val="auto"/>
          <w:sz w:val="24"/>
          <w:szCs w:val="24"/>
          <w:highlight w:val="none"/>
        </w:rPr>
        <w:fldChar w:fldCharType="end"/>
      </w:r>
    </w:p>
    <w:p w14:paraId="1AF38562">
      <w:pPr>
        <w:pStyle w:val="20"/>
        <w:tabs>
          <w:tab w:val="right" w:leader="dot" w:pos="9040"/>
        </w:tabs>
        <w:rPr>
          <w:color w:val="auto"/>
          <w:sz w:val="24"/>
          <w:szCs w:val="24"/>
          <w:highlight w:val="none"/>
        </w:rPr>
      </w:pPr>
      <w:r>
        <w:rPr>
          <w:color w:val="auto"/>
          <w:sz w:val="24"/>
          <w:szCs w:val="24"/>
          <w:highlight w:val="none"/>
        </w:rPr>
        <w:fldChar w:fldCharType="begin"/>
      </w:r>
      <w:r>
        <w:rPr>
          <w:color w:val="auto"/>
          <w:sz w:val="24"/>
          <w:szCs w:val="24"/>
          <w:highlight w:val="none"/>
        </w:rPr>
        <w:instrText xml:space="preserve"> HYPERLINK \l _Toc32603 </w:instrText>
      </w:r>
      <w:r>
        <w:rPr>
          <w:color w:val="auto"/>
          <w:sz w:val="24"/>
          <w:szCs w:val="24"/>
          <w:highlight w:val="none"/>
        </w:rPr>
        <w:fldChar w:fldCharType="separate"/>
      </w:r>
      <w:r>
        <w:rPr>
          <w:rFonts w:hint="eastAsia"/>
          <w:color w:val="auto"/>
          <w:sz w:val="24"/>
          <w:szCs w:val="24"/>
          <w:highlight w:val="none"/>
        </w:rPr>
        <w:t xml:space="preserve">第七章 </w:t>
      </w:r>
      <w:r>
        <w:rPr>
          <w:rFonts w:hint="eastAsia"/>
          <w:color w:val="auto"/>
          <w:sz w:val="24"/>
          <w:szCs w:val="24"/>
          <w:highlight w:val="none"/>
          <w:lang w:val="en-US" w:eastAsia="zh-CN"/>
        </w:rPr>
        <w:t xml:space="preserve"> </w:t>
      </w:r>
      <w:r>
        <w:rPr>
          <w:rFonts w:hint="eastAsia"/>
          <w:color w:val="auto"/>
          <w:sz w:val="24"/>
          <w:szCs w:val="24"/>
          <w:highlight w:val="none"/>
        </w:rPr>
        <w:t>质疑、投诉材料格式</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_Toc32603 \h </w:instrText>
      </w:r>
      <w:r>
        <w:rPr>
          <w:color w:val="auto"/>
          <w:sz w:val="24"/>
          <w:szCs w:val="24"/>
          <w:highlight w:val="none"/>
        </w:rPr>
        <w:fldChar w:fldCharType="separate"/>
      </w:r>
      <w:r>
        <w:rPr>
          <w:color w:val="auto"/>
          <w:sz w:val="24"/>
          <w:szCs w:val="24"/>
          <w:highlight w:val="none"/>
        </w:rPr>
        <w:t>223</w:t>
      </w:r>
      <w:r>
        <w:rPr>
          <w:color w:val="auto"/>
          <w:sz w:val="24"/>
          <w:szCs w:val="24"/>
          <w:highlight w:val="none"/>
        </w:rPr>
        <w:fldChar w:fldCharType="end"/>
      </w:r>
      <w:r>
        <w:rPr>
          <w:color w:val="auto"/>
          <w:sz w:val="24"/>
          <w:szCs w:val="24"/>
          <w:highlight w:val="none"/>
        </w:rPr>
        <w:fldChar w:fldCharType="end"/>
      </w:r>
    </w:p>
    <w:p w14:paraId="38BF5FF0">
      <w:pPr>
        <w:pStyle w:val="20"/>
        <w:tabs>
          <w:tab w:val="right" w:leader="dot" w:pos="9638"/>
        </w:tabs>
        <w:spacing w:line="360" w:lineRule="auto"/>
        <w:jc w:val="center"/>
        <w:rPr>
          <w:rFonts w:hAnsi="宋体" w:cs="宋体"/>
          <w:bCs/>
          <w:caps/>
          <w:color w:val="auto"/>
          <w:szCs w:val="28"/>
          <w:highlight w:val="none"/>
          <w:u w:val="single"/>
        </w:rPr>
      </w:pPr>
      <w:r>
        <w:rPr>
          <w:color w:val="auto"/>
          <w:highlight w:val="none"/>
        </w:rPr>
        <w:fldChar w:fldCharType="end"/>
      </w:r>
    </w:p>
    <w:p w14:paraId="6DD1B2EE">
      <w:pPr>
        <w:pStyle w:val="20"/>
        <w:tabs>
          <w:tab w:val="right" w:leader="dot" w:pos="9638"/>
        </w:tabs>
        <w:spacing w:line="360" w:lineRule="auto"/>
        <w:jc w:val="center"/>
        <w:rPr>
          <w:rFonts w:hAnsi="宋体" w:cs="宋体"/>
          <w:b/>
          <w:color w:val="auto"/>
          <w:sz w:val="36"/>
          <w:highlight w:val="none"/>
          <w:u w:val="none"/>
        </w:rPr>
      </w:pPr>
      <w:bookmarkStart w:id="291" w:name="_GoBack"/>
      <w:bookmarkEnd w:id="291"/>
      <w:r>
        <w:rPr>
          <w:rFonts w:hint="eastAsia" w:hAnsi="宋体" w:cs="宋体"/>
          <w:bCs/>
          <w:caps/>
          <w:color w:val="auto"/>
          <w:szCs w:val="28"/>
          <w:highlight w:val="none"/>
          <w:u w:val="single"/>
        </w:rPr>
        <w:br w:type="page"/>
      </w:r>
      <w:bookmarkStart w:id="5" w:name="_Toc13231"/>
      <w:r>
        <w:rPr>
          <w:rFonts w:hint="eastAsia" w:hAnsi="宋体" w:cs="宋体"/>
          <w:b/>
          <w:color w:val="auto"/>
          <w:sz w:val="36"/>
          <w:highlight w:val="none"/>
          <w:u w:val="none"/>
        </w:rPr>
        <w:t>第一章  招标公告</w:t>
      </w:r>
      <w:bookmarkEnd w:id="1"/>
      <w:bookmarkEnd w:id="2"/>
      <w:bookmarkEnd w:id="3"/>
      <w:bookmarkEnd w:id="4"/>
      <w:bookmarkEnd w:id="5"/>
    </w:p>
    <w:p w14:paraId="45F0D97F">
      <w:pPr>
        <w:spacing w:line="360" w:lineRule="auto"/>
        <w:ind w:firstLine="542"/>
        <w:jc w:val="center"/>
        <w:rPr>
          <w:rFonts w:hint="eastAsia" w:ascii="宋体" w:hAnsi="宋体" w:cs="宋体"/>
          <w:b/>
          <w:color w:val="auto"/>
          <w:sz w:val="28"/>
          <w:szCs w:val="28"/>
          <w:highlight w:val="none"/>
        </w:rPr>
      </w:pPr>
      <w:bookmarkStart w:id="6" w:name="OLE_LINK259"/>
      <w:r>
        <w:rPr>
          <w:rFonts w:hint="eastAsia" w:ascii="宋体" w:hAnsi="宋体" w:cs="宋体"/>
          <w:b/>
          <w:color w:val="auto"/>
          <w:sz w:val="28"/>
          <w:szCs w:val="28"/>
          <w:highlight w:val="none"/>
          <w:lang w:eastAsia="zh-CN"/>
        </w:rPr>
        <w:t>广西众联工程项目管理有限公司</w:t>
      </w:r>
      <w:r>
        <w:rPr>
          <w:rFonts w:hint="eastAsia" w:ascii="宋体" w:hAnsi="宋体" w:cs="宋体"/>
          <w:b/>
          <w:color w:val="auto"/>
          <w:sz w:val="28"/>
          <w:szCs w:val="28"/>
          <w:highlight w:val="none"/>
        </w:rPr>
        <w:t>关于</w:t>
      </w:r>
      <w:r>
        <w:rPr>
          <w:rFonts w:hint="eastAsia" w:ascii="宋体" w:hAnsi="宋体" w:cs="宋体"/>
          <w:b/>
          <w:color w:val="auto"/>
          <w:sz w:val="28"/>
          <w:szCs w:val="28"/>
          <w:highlight w:val="none"/>
          <w:lang w:eastAsia="zh-CN"/>
        </w:rPr>
        <w:t>右江民族医学院第一批高原学科建设科研仪器设备采购项目</w:t>
      </w:r>
      <w:r>
        <w:rPr>
          <w:rFonts w:hint="eastAsia" w:ascii="宋体" w:hAnsi="宋体" w:cs="宋体"/>
          <w:b/>
          <w:color w:val="auto"/>
          <w:sz w:val="28"/>
          <w:szCs w:val="28"/>
          <w:highlight w:val="none"/>
        </w:rPr>
        <w:t>（</w:t>
      </w:r>
      <w:r>
        <w:rPr>
          <w:rFonts w:hint="eastAsia" w:ascii="宋体" w:hAnsi="宋体" w:cs="宋体"/>
          <w:b/>
          <w:color w:val="auto"/>
          <w:sz w:val="28"/>
          <w:szCs w:val="28"/>
          <w:highlight w:val="none"/>
          <w:lang w:eastAsia="zh-CN"/>
        </w:rPr>
        <w:t>GXZC2026-G3-002768-GXZL</w:t>
      </w:r>
      <w:r>
        <w:rPr>
          <w:rFonts w:hint="eastAsia" w:ascii="宋体" w:hAnsi="宋体" w:cs="宋体"/>
          <w:b/>
          <w:color w:val="auto"/>
          <w:sz w:val="28"/>
          <w:szCs w:val="28"/>
          <w:highlight w:val="none"/>
        </w:rPr>
        <w:t>）的招标公告</w:t>
      </w:r>
    </w:p>
    <w:p w14:paraId="43CAE603">
      <w:pPr>
        <w:pBdr>
          <w:top w:val="single" w:color="auto" w:sz="4" w:space="1"/>
          <w:left w:val="single" w:color="auto" w:sz="4" w:space="4"/>
          <w:bottom w:val="single" w:color="auto" w:sz="4" w:space="1"/>
          <w:right w:val="single" w:color="auto" w:sz="4" w:space="4"/>
        </w:pBdr>
        <w:spacing w:line="360" w:lineRule="auto"/>
        <w:rPr>
          <w:rFonts w:ascii="宋体" w:hAnsi="宋体" w:cs="宋体"/>
          <w:color w:val="auto"/>
          <w:szCs w:val="21"/>
          <w:highlight w:val="none"/>
        </w:rPr>
      </w:pPr>
      <w:r>
        <w:rPr>
          <w:rFonts w:hint="eastAsia" w:ascii="宋体" w:hAnsi="宋体" w:cs="宋体"/>
          <w:color w:val="auto"/>
          <w:szCs w:val="21"/>
          <w:highlight w:val="none"/>
        </w:rPr>
        <w:t>项目概况</w:t>
      </w:r>
    </w:p>
    <w:p w14:paraId="672EFD5F">
      <w:pPr>
        <w:pBdr>
          <w:top w:val="single" w:color="auto" w:sz="4" w:space="1"/>
          <w:left w:val="single" w:color="auto" w:sz="4" w:space="4"/>
          <w:bottom w:val="single" w:color="auto" w:sz="4" w:space="1"/>
          <w:right w:val="single" w:color="auto" w:sz="4" w:space="4"/>
        </w:pBdr>
        <w:spacing w:line="360" w:lineRule="auto"/>
        <w:ind w:firstLine="525" w:firstLineChars="250"/>
        <w:rPr>
          <w:rFonts w:ascii="宋体" w:hAnsi="宋体" w:cs="宋体"/>
          <w:color w:val="auto"/>
          <w:szCs w:val="21"/>
          <w:highlight w:val="none"/>
          <w:u w:val="single"/>
        </w:rPr>
      </w:pPr>
      <w:r>
        <w:rPr>
          <w:rFonts w:hint="eastAsia" w:ascii="宋体" w:hAnsi="宋体" w:cs="宋体"/>
          <w:color w:val="auto"/>
          <w:szCs w:val="21"/>
          <w:highlight w:val="none"/>
          <w:u w:val="single"/>
          <w:lang w:eastAsia="zh-CN"/>
        </w:rPr>
        <w:t>右江民族医学院第一批高原学科建设科研仪器设备采购项目</w:t>
      </w:r>
      <w:r>
        <w:rPr>
          <w:rFonts w:hint="eastAsia" w:ascii="宋体" w:hAnsi="宋体" w:cs="宋体"/>
          <w:color w:val="auto"/>
          <w:szCs w:val="21"/>
          <w:highlight w:val="none"/>
        </w:rPr>
        <w:t>招标项目的潜在投标人应在广西政府采购云平台（https://www.gcy.zfcg.gxzf.gov.cn/）获取招标文件，并于</w:t>
      </w:r>
      <w:bookmarkStart w:id="7" w:name="PO_3000001866_PM015"/>
      <w:r>
        <w:rPr>
          <w:rFonts w:hint="eastAsia" w:ascii="宋体" w:hAnsi="宋体" w:cs="宋体"/>
          <w:color w:val="auto"/>
          <w:szCs w:val="21"/>
          <w:highlight w:val="none"/>
          <w:u w:val="single"/>
        </w:rPr>
        <w:t>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u w:val="single"/>
        </w:rPr>
        <w:t>年</w:t>
      </w:r>
      <w:r>
        <w:rPr>
          <w:rFonts w:hint="eastAsia" w:ascii="宋体" w:hAnsi="宋体" w:cs="宋体"/>
          <w:color w:val="auto"/>
          <w:szCs w:val="21"/>
          <w:highlight w:val="none"/>
          <w:u w:val="single"/>
          <w:lang w:val="en-US" w:eastAsia="zh-CN"/>
        </w:rPr>
        <w:t>9</w:t>
      </w:r>
      <w:r>
        <w:rPr>
          <w:rFonts w:hint="eastAsia" w:ascii="宋体" w:hAnsi="宋体" w:cs="宋体"/>
          <w:color w:val="auto"/>
          <w:szCs w:val="21"/>
          <w:highlight w:val="none"/>
          <w:u w:val="single"/>
        </w:rPr>
        <w:t>月</w:t>
      </w:r>
      <w:r>
        <w:rPr>
          <w:rFonts w:hint="eastAsia" w:ascii="宋体" w:hAnsi="宋体" w:cs="宋体"/>
          <w:color w:val="auto"/>
          <w:szCs w:val="21"/>
          <w:highlight w:val="none"/>
          <w:u w:val="single"/>
          <w:lang w:val="en-US" w:eastAsia="zh-CN"/>
        </w:rPr>
        <w:t>28</w:t>
      </w:r>
      <w:r>
        <w:rPr>
          <w:rFonts w:hint="eastAsia" w:ascii="宋体" w:hAnsi="宋体" w:cs="宋体"/>
          <w:color w:val="auto"/>
          <w:szCs w:val="21"/>
          <w:highlight w:val="none"/>
          <w:u w:val="single"/>
        </w:rPr>
        <w:t xml:space="preserve">日 </w:t>
      </w:r>
      <w:bookmarkEnd w:id="7"/>
      <w:r>
        <w:rPr>
          <w:rFonts w:hint="eastAsia" w:ascii="宋体" w:hAnsi="宋体" w:cs="宋体"/>
          <w:color w:val="auto"/>
          <w:szCs w:val="21"/>
          <w:highlight w:val="none"/>
          <w:u w:val="single"/>
        </w:rPr>
        <w:t>09:</w:t>
      </w:r>
      <w:r>
        <w:rPr>
          <w:rFonts w:hint="eastAsia" w:ascii="宋体" w:hAnsi="宋体" w:cs="宋体"/>
          <w:color w:val="auto"/>
          <w:szCs w:val="21"/>
          <w:highlight w:val="none"/>
          <w:u w:val="single"/>
          <w:lang w:val="en-US" w:eastAsia="zh-CN"/>
        </w:rPr>
        <w:t>0</w:t>
      </w:r>
      <w:r>
        <w:rPr>
          <w:rFonts w:hint="eastAsia" w:ascii="宋体" w:hAnsi="宋体" w:cs="宋体"/>
          <w:color w:val="auto"/>
          <w:szCs w:val="21"/>
          <w:highlight w:val="none"/>
          <w:u w:val="single"/>
        </w:rPr>
        <w:t>0:00</w:t>
      </w:r>
      <w:r>
        <w:rPr>
          <w:rFonts w:hint="eastAsia" w:ascii="宋体" w:hAnsi="宋体" w:cs="宋体"/>
          <w:bCs/>
          <w:color w:val="auto"/>
          <w:szCs w:val="21"/>
          <w:highlight w:val="none"/>
        </w:rPr>
        <w:t>（北京时间）前</w:t>
      </w:r>
      <w:r>
        <w:rPr>
          <w:rFonts w:hint="eastAsia" w:ascii="宋体" w:hAnsi="宋体" w:cs="宋体"/>
          <w:color w:val="auto"/>
          <w:szCs w:val="21"/>
          <w:highlight w:val="none"/>
        </w:rPr>
        <w:t>递交（上传）投标文件。</w:t>
      </w:r>
    </w:p>
    <w:p w14:paraId="361B6530">
      <w:pPr>
        <w:spacing w:line="360" w:lineRule="auto"/>
        <w:ind w:firstLine="361"/>
        <w:rPr>
          <w:rFonts w:ascii="黑体" w:hAnsi="黑体" w:eastAsia="黑体"/>
          <w:b/>
          <w:bCs/>
          <w:color w:val="auto"/>
          <w:sz w:val="24"/>
          <w:highlight w:val="none"/>
        </w:rPr>
      </w:pPr>
      <w:bookmarkStart w:id="8" w:name="_Toc28359002"/>
      <w:bookmarkStart w:id="9" w:name="_Toc35393621"/>
      <w:bookmarkStart w:id="10" w:name="_Toc35393790"/>
      <w:bookmarkStart w:id="11" w:name="_Toc28359079"/>
      <w:bookmarkStart w:id="12" w:name="_Hlk24379207"/>
      <w:r>
        <w:rPr>
          <w:rFonts w:hint="eastAsia" w:ascii="黑体" w:hAnsi="黑体" w:eastAsia="黑体"/>
          <w:b/>
          <w:bCs/>
          <w:color w:val="auto"/>
          <w:sz w:val="24"/>
          <w:highlight w:val="none"/>
        </w:rPr>
        <w:t>一、项目基本情况</w:t>
      </w:r>
      <w:bookmarkEnd w:id="8"/>
      <w:bookmarkEnd w:id="9"/>
      <w:bookmarkEnd w:id="10"/>
      <w:bookmarkEnd w:id="11"/>
    </w:p>
    <w:p w14:paraId="6ECA4021">
      <w:pPr>
        <w:spacing w:line="360" w:lineRule="auto"/>
        <w:ind w:firstLine="422" w:firstLineChars="200"/>
        <w:rPr>
          <w:rFonts w:hint="eastAsia" w:ascii="宋体" w:hAnsi="宋体" w:eastAsia="宋体"/>
          <w:color w:val="auto"/>
          <w:szCs w:val="21"/>
          <w:highlight w:val="none"/>
          <w:lang w:val="en-US" w:eastAsia="zh-CN"/>
        </w:rPr>
      </w:pPr>
      <w:r>
        <w:rPr>
          <w:rFonts w:hint="eastAsia" w:ascii="宋体" w:hAnsi="宋体"/>
          <w:b/>
          <w:bCs/>
          <w:color w:val="auto"/>
          <w:szCs w:val="21"/>
          <w:highlight w:val="none"/>
        </w:rPr>
        <w:t>项目编号：</w:t>
      </w:r>
      <w:r>
        <w:rPr>
          <w:rFonts w:hint="eastAsia" w:ascii="宋体" w:hAnsi="宋体"/>
          <w:b w:val="0"/>
          <w:bCs w:val="0"/>
          <w:color w:val="auto"/>
          <w:szCs w:val="21"/>
          <w:highlight w:val="none"/>
          <w:lang w:eastAsia="zh-CN"/>
        </w:rPr>
        <w:t>GXZC2026-G3-002768-GXZL</w:t>
      </w:r>
      <w:r>
        <w:rPr>
          <w:rFonts w:hint="eastAsia" w:ascii="宋体" w:hAnsi="宋体"/>
          <w:color w:val="auto"/>
          <w:szCs w:val="21"/>
          <w:highlight w:val="none"/>
        </w:rPr>
        <w:t>（采购计划编号：</w:t>
      </w:r>
      <w:r>
        <w:rPr>
          <w:rFonts w:hint="eastAsia" w:ascii="宋体" w:hAnsi="宋体"/>
          <w:color w:val="auto"/>
          <w:szCs w:val="21"/>
          <w:highlight w:val="none"/>
          <w:lang w:val="en-US" w:eastAsia="zh-CN"/>
        </w:rPr>
        <w:t>广西政采[2026]16679号-001～广西政采[2026]16679号-006</w:t>
      </w:r>
      <w:r>
        <w:rPr>
          <w:rFonts w:hint="eastAsia" w:ascii="宋体" w:hAnsi="宋体"/>
          <w:color w:val="auto"/>
          <w:szCs w:val="21"/>
          <w:highlight w:val="none"/>
        </w:rPr>
        <w:t>）</w:t>
      </w:r>
    </w:p>
    <w:p w14:paraId="5C3874D8">
      <w:pPr>
        <w:spacing w:line="360" w:lineRule="auto"/>
        <w:ind w:firstLine="422" w:firstLineChars="200"/>
        <w:rPr>
          <w:rFonts w:hint="eastAsia" w:ascii="宋体" w:hAnsi="宋体" w:eastAsia="宋体"/>
          <w:color w:val="auto"/>
          <w:szCs w:val="21"/>
          <w:highlight w:val="none"/>
          <w:lang w:eastAsia="zh-CN"/>
        </w:rPr>
      </w:pPr>
      <w:r>
        <w:rPr>
          <w:rFonts w:hint="eastAsia" w:ascii="宋体" w:hAnsi="宋体"/>
          <w:b/>
          <w:bCs/>
          <w:color w:val="auto"/>
          <w:szCs w:val="21"/>
          <w:highlight w:val="none"/>
        </w:rPr>
        <w:t>项目名称：</w:t>
      </w:r>
      <w:bookmarkStart w:id="13" w:name="OLE_LINK167"/>
      <w:r>
        <w:rPr>
          <w:rFonts w:hint="eastAsia" w:ascii="宋体" w:hAnsi="宋体"/>
          <w:b w:val="0"/>
          <w:bCs w:val="0"/>
          <w:color w:val="auto"/>
          <w:szCs w:val="21"/>
          <w:highlight w:val="none"/>
          <w:lang w:eastAsia="zh-CN"/>
        </w:rPr>
        <w:t>右江民族医学院第一批高原学科建设科研仪器设备采购项目</w:t>
      </w:r>
    </w:p>
    <w:bookmarkEnd w:id="12"/>
    <w:bookmarkEnd w:id="13"/>
    <w:p w14:paraId="56927C1F">
      <w:pPr>
        <w:spacing w:line="360" w:lineRule="auto"/>
        <w:ind w:firstLine="420" w:firstLineChars="200"/>
        <w:rPr>
          <w:rFonts w:ascii="宋体" w:hAnsi="宋体" w:cs="宋体"/>
          <w:color w:val="auto"/>
          <w:szCs w:val="21"/>
          <w:highlight w:val="none"/>
        </w:rPr>
      </w:pPr>
      <w:r>
        <w:rPr>
          <w:rFonts w:hint="eastAsia" w:ascii="宋体" w:hAnsi="宋体"/>
          <w:color w:val="auto"/>
          <w:szCs w:val="21"/>
          <w:highlight w:val="none"/>
        </w:rPr>
        <w:t>预算</w:t>
      </w:r>
      <w:r>
        <w:rPr>
          <w:rFonts w:hint="eastAsia" w:ascii="宋体" w:hAnsi="宋体"/>
          <w:color w:val="auto"/>
          <w:szCs w:val="21"/>
          <w:highlight w:val="none"/>
          <w:lang w:val="en-US" w:eastAsia="zh-CN"/>
        </w:rPr>
        <w:t>总</w:t>
      </w:r>
      <w:r>
        <w:rPr>
          <w:rFonts w:hint="eastAsia" w:ascii="宋体" w:hAnsi="宋体"/>
          <w:color w:val="auto"/>
          <w:szCs w:val="21"/>
          <w:highlight w:val="none"/>
        </w:rPr>
        <w:t>金额：</w:t>
      </w:r>
      <w:bookmarkStart w:id="14" w:name="PO_3000001867_PM001392"/>
      <w:bookmarkStart w:id="15" w:name="OLE_LINK2"/>
      <w:r>
        <w:rPr>
          <w:rFonts w:hint="eastAsia" w:ascii="宋体" w:hAnsi="宋体"/>
          <w:color w:val="auto"/>
          <w:szCs w:val="21"/>
          <w:highlight w:val="none"/>
          <w:lang w:val="en-US" w:eastAsia="zh-CN"/>
        </w:rPr>
        <w:t>6931000.00</w:t>
      </w:r>
      <w:r>
        <w:rPr>
          <w:rFonts w:hint="eastAsia" w:ascii="宋体" w:hAnsi="宋体"/>
          <w:color w:val="auto"/>
          <w:szCs w:val="21"/>
          <w:highlight w:val="none"/>
          <w:lang w:eastAsia="zh-CN"/>
        </w:rPr>
        <w:t>元</w:t>
      </w:r>
      <w:bookmarkEnd w:id="14"/>
    </w:p>
    <w:bookmarkEnd w:id="15"/>
    <w:p w14:paraId="1D751973">
      <w:pPr>
        <w:spacing w:line="360" w:lineRule="auto"/>
        <w:ind w:firstLine="422" w:firstLineChars="200"/>
        <w:rPr>
          <w:rFonts w:hint="eastAsia" w:ascii="宋体" w:hAnsi="宋体"/>
          <w:b/>
          <w:bCs/>
          <w:color w:val="auto"/>
          <w:szCs w:val="21"/>
          <w:highlight w:val="none"/>
        </w:rPr>
      </w:pPr>
      <w:r>
        <w:rPr>
          <w:rFonts w:hint="eastAsia" w:ascii="宋体" w:hAnsi="宋体"/>
          <w:b/>
          <w:bCs/>
          <w:color w:val="auto"/>
          <w:szCs w:val="21"/>
          <w:highlight w:val="none"/>
        </w:rPr>
        <w:t>采购需求：</w:t>
      </w:r>
      <w:bookmarkStart w:id="16" w:name="PO_3000001866_PM004"/>
    </w:p>
    <w:p w14:paraId="0AC6D068">
      <w:pPr>
        <w:pStyle w:val="23"/>
        <w:keepNext w:val="0"/>
        <w:keepLines w:val="0"/>
        <w:pageBreakBefore w:val="0"/>
        <w:shd w:val="clear" w:color="auto" w:fill="FFFFFF"/>
        <w:kinsoku/>
        <w:wordWrap/>
        <w:overflowPunct/>
        <w:topLinePunct w:val="0"/>
        <w:autoSpaceDE/>
        <w:autoSpaceDN/>
        <w:bidi w:val="0"/>
        <w:spacing w:before="0" w:beforeAutospacing="0" w:after="0" w:afterAutospacing="0" w:line="400" w:lineRule="exact"/>
        <w:ind w:firstLine="420" w:firstLineChars="200"/>
        <w:textAlignment w:val="auto"/>
        <w:rPr>
          <w:rFonts w:cs="宋体"/>
          <w:b w:val="0"/>
          <w:bCs w:val="0"/>
          <w:color w:val="auto"/>
          <w:sz w:val="21"/>
          <w:szCs w:val="21"/>
          <w:highlight w:val="none"/>
          <w:shd w:val="clear" w:color="auto" w:fill="FFFFFF"/>
        </w:rPr>
      </w:pPr>
      <w:r>
        <w:rPr>
          <w:rFonts w:hint="eastAsia" w:ascii="宋体" w:hAnsi="宋体"/>
          <w:b w:val="0"/>
          <w:bCs w:val="0"/>
          <w:color w:val="auto"/>
          <w:sz w:val="21"/>
          <w:szCs w:val="21"/>
          <w:highlight w:val="none"/>
          <w:lang w:val="en-US" w:eastAsia="zh-CN"/>
        </w:rPr>
        <w:t>分标</w:t>
      </w:r>
      <w:r>
        <w:rPr>
          <w:rFonts w:hint="eastAsia"/>
          <w:b w:val="0"/>
          <w:bCs w:val="0"/>
          <w:color w:val="auto"/>
          <w:sz w:val="21"/>
          <w:szCs w:val="21"/>
          <w:highlight w:val="none"/>
          <w:lang w:val="en-US" w:eastAsia="zh-CN"/>
        </w:rPr>
        <w:t>1</w:t>
      </w:r>
      <w:r>
        <w:rPr>
          <w:rFonts w:hint="eastAsia" w:cs="宋体"/>
          <w:b w:val="0"/>
          <w:bCs w:val="0"/>
          <w:color w:val="auto"/>
          <w:sz w:val="21"/>
          <w:szCs w:val="21"/>
          <w:highlight w:val="none"/>
          <w:shd w:val="clear" w:color="auto" w:fill="FFFFFF"/>
        </w:rPr>
        <w:t>名称：智慧实验室信息管理系统</w:t>
      </w:r>
    </w:p>
    <w:p w14:paraId="11A074F5">
      <w:pPr>
        <w:pStyle w:val="23"/>
        <w:keepNext w:val="0"/>
        <w:keepLines w:val="0"/>
        <w:pageBreakBefore w:val="0"/>
        <w:shd w:val="clear" w:color="auto" w:fill="FFFFFF"/>
        <w:kinsoku/>
        <w:wordWrap/>
        <w:overflowPunct/>
        <w:topLinePunct w:val="0"/>
        <w:autoSpaceDE/>
        <w:autoSpaceDN/>
        <w:bidi w:val="0"/>
        <w:spacing w:before="0" w:beforeAutospacing="0" w:after="0" w:afterAutospacing="0" w:line="400" w:lineRule="exact"/>
        <w:ind w:firstLine="420" w:firstLineChars="200"/>
        <w:textAlignment w:val="auto"/>
        <w:rPr>
          <w:rFonts w:hint="eastAsia" w:cs="宋体"/>
          <w:b w:val="0"/>
          <w:bCs w:val="0"/>
          <w:color w:val="auto"/>
          <w:sz w:val="21"/>
          <w:szCs w:val="21"/>
          <w:highlight w:val="none"/>
          <w:shd w:val="clear" w:color="auto" w:fill="FFFFFF"/>
        </w:rPr>
      </w:pPr>
      <w:r>
        <w:rPr>
          <w:rFonts w:hint="eastAsia" w:cs="宋体"/>
          <w:b w:val="0"/>
          <w:bCs w:val="0"/>
          <w:color w:val="auto"/>
          <w:sz w:val="21"/>
          <w:szCs w:val="21"/>
          <w:highlight w:val="none"/>
          <w:shd w:val="clear" w:color="auto" w:fill="FFFFFF"/>
        </w:rPr>
        <w:t>数量：1</w:t>
      </w:r>
    </w:p>
    <w:p w14:paraId="5D9FC317">
      <w:pPr>
        <w:pStyle w:val="23"/>
        <w:keepNext w:val="0"/>
        <w:keepLines w:val="0"/>
        <w:pageBreakBefore w:val="0"/>
        <w:shd w:val="clear" w:color="auto" w:fill="FFFFFF"/>
        <w:kinsoku/>
        <w:wordWrap/>
        <w:overflowPunct/>
        <w:topLinePunct w:val="0"/>
        <w:autoSpaceDE/>
        <w:autoSpaceDN/>
        <w:bidi w:val="0"/>
        <w:spacing w:before="0" w:beforeAutospacing="0" w:after="0" w:afterAutospacing="0" w:line="400" w:lineRule="exact"/>
        <w:ind w:firstLine="420" w:firstLineChars="200"/>
        <w:textAlignment w:val="auto"/>
        <w:rPr>
          <w:rFonts w:hint="default" w:cs="宋体"/>
          <w:color w:val="auto"/>
          <w:sz w:val="21"/>
          <w:szCs w:val="21"/>
          <w:highlight w:val="none"/>
          <w:shd w:val="clear" w:color="auto" w:fill="FFFFFF"/>
          <w:lang w:val="en-US"/>
        </w:rPr>
      </w:pPr>
      <w:r>
        <w:rPr>
          <w:rFonts w:hint="eastAsia" w:cs="宋体"/>
          <w:color w:val="auto"/>
          <w:sz w:val="21"/>
          <w:szCs w:val="21"/>
          <w:highlight w:val="none"/>
          <w:shd w:val="clear" w:color="auto" w:fill="FFFFFF"/>
        </w:rPr>
        <w:t>预算金额（元）：</w:t>
      </w:r>
      <w:r>
        <w:rPr>
          <w:rFonts w:hint="eastAsia"/>
          <w:color w:val="auto"/>
          <w:sz w:val="21"/>
          <w:szCs w:val="21"/>
          <w:highlight w:val="none"/>
          <w:lang w:val="en-US" w:eastAsia="zh-CN"/>
        </w:rPr>
        <w:t>1500000.00</w:t>
      </w:r>
    </w:p>
    <w:p w14:paraId="6C92E489">
      <w:pPr>
        <w:pStyle w:val="23"/>
        <w:keepNext w:val="0"/>
        <w:keepLines w:val="0"/>
        <w:pageBreakBefore w:val="0"/>
        <w:shd w:val="clear" w:color="auto" w:fill="FFFFFF"/>
        <w:kinsoku/>
        <w:wordWrap/>
        <w:overflowPunct/>
        <w:topLinePunct w:val="0"/>
        <w:autoSpaceDE/>
        <w:autoSpaceDN/>
        <w:bidi w:val="0"/>
        <w:spacing w:before="0" w:beforeAutospacing="0" w:after="0" w:afterAutospacing="0" w:line="400" w:lineRule="exact"/>
        <w:ind w:firstLine="420" w:firstLineChars="200"/>
        <w:textAlignment w:val="auto"/>
        <w:rPr>
          <w:rFonts w:hint="eastAsia" w:cs="宋体"/>
          <w:color w:val="auto"/>
          <w:sz w:val="21"/>
          <w:szCs w:val="21"/>
          <w:highlight w:val="none"/>
          <w:shd w:val="clear" w:color="auto" w:fill="FFFFFF"/>
        </w:rPr>
      </w:pPr>
      <w:r>
        <w:rPr>
          <w:rFonts w:hint="eastAsia" w:cs="宋体"/>
          <w:color w:val="auto"/>
          <w:sz w:val="21"/>
          <w:szCs w:val="21"/>
          <w:highlight w:val="none"/>
          <w:shd w:val="clear" w:color="auto" w:fill="FFFFFF"/>
        </w:rPr>
        <w:t>简要规格描述或项目基本概况介绍、用途：</w:t>
      </w:r>
      <w:r>
        <w:rPr>
          <w:rFonts w:hint="eastAsia" w:cs="宋体"/>
          <w:b w:val="0"/>
          <w:bCs w:val="0"/>
          <w:color w:val="auto"/>
          <w:sz w:val="21"/>
          <w:szCs w:val="21"/>
          <w:highlight w:val="none"/>
          <w:shd w:val="clear" w:color="auto" w:fill="FFFFFF"/>
        </w:rPr>
        <w:t>智慧实验室信息管理系统</w:t>
      </w:r>
      <w:r>
        <w:rPr>
          <w:rFonts w:hint="eastAsia" w:cs="宋体"/>
          <w:b w:val="0"/>
          <w:bCs w:val="0"/>
          <w:color w:val="auto"/>
          <w:sz w:val="21"/>
          <w:szCs w:val="21"/>
          <w:highlight w:val="none"/>
          <w:shd w:val="clear" w:color="auto" w:fill="FFFFFF"/>
          <w:lang w:val="en-US" w:eastAsia="zh-CN"/>
        </w:rPr>
        <w:t>一项</w:t>
      </w:r>
      <w:r>
        <w:rPr>
          <w:rFonts w:hint="eastAsia" w:cs="宋体"/>
          <w:color w:val="auto"/>
          <w:sz w:val="21"/>
          <w:szCs w:val="21"/>
          <w:highlight w:val="none"/>
          <w:shd w:val="clear" w:color="auto" w:fill="FFFFFF"/>
        </w:rPr>
        <w:t>，详见招标文件。</w:t>
      </w:r>
    </w:p>
    <w:p w14:paraId="408C4E2F">
      <w:pPr>
        <w:spacing w:line="360" w:lineRule="auto"/>
        <w:ind w:firstLine="420" w:firstLineChars="200"/>
        <w:rPr>
          <w:rFonts w:hint="default" w:ascii="宋体" w:hAnsi="宋体" w:eastAsia="宋体"/>
          <w:b/>
          <w:bCs/>
          <w:color w:val="auto"/>
          <w:szCs w:val="21"/>
          <w:highlight w:val="none"/>
          <w:lang w:val="en-US" w:eastAsia="zh-CN"/>
        </w:rPr>
      </w:pPr>
      <w:r>
        <w:rPr>
          <w:rFonts w:hint="eastAsia" w:cs="宋体"/>
          <w:color w:val="auto"/>
          <w:sz w:val="21"/>
          <w:szCs w:val="21"/>
          <w:highlight w:val="none"/>
          <w:shd w:val="clear" w:color="auto" w:fill="FFFFFF"/>
        </w:rPr>
        <w:t>最高限价（如有）：</w:t>
      </w:r>
      <w:r>
        <w:rPr>
          <w:rFonts w:hint="eastAsia" w:ascii="宋体" w:hAnsi="宋体"/>
          <w:color w:val="auto"/>
          <w:szCs w:val="21"/>
          <w:highlight w:val="none"/>
          <w:lang w:val="en-US" w:eastAsia="zh-CN"/>
        </w:rPr>
        <w:t>1500000.00</w:t>
      </w:r>
      <w:r>
        <w:rPr>
          <w:rFonts w:hint="eastAsia" w:ascii="宋体" w:hAnsi="宋体"/>
          <w:color w:val="auto"/>
          <w:szCs w:val="21"/>
          <w:highlight w:val="none"/>
          <w:lang w:eastAsia="zh-CN"/>
        </w:rPr>
        <w:t>元</w:t>
      </w:r>
    </w:p>
    <w:bookmarkEnd w:id="16"/>
    <w:p w14:paraId="0BED8800">
      <w:pPr>
        <w:spacing w:line="360" w:lineRule="auto"/>
        <w:ind w:firstLine="420" w:firstLineChars="200"/>
        <w:rPr>
          <w:rFonts w:hint="eastAsia" w:ascii="宋体" w:hAnsi="宋体" w:eastAsia="宋体" w:cs="宋体"/>
          <w:color w:val="auto"/>
          <w:szCs w:val="21"/>
          <w:highlight w:val="none"/>
          <w:lang w:eastAsia="zh-CN"/>
        </w:rPr>
      </w:pPr>
      <w:bookmarkStart w:id="17" w:name="OLE_LINK222"/>
      <w:r>
        <w:rPr>
          <w:rFonts w:hint="eastAsia" w:cs="宋体"/>
          <w:color w:val="auto"/>
          <w:sz w:val="21"/>
          <w:szCs w:val="21"/>
          <w:highlight w:val="none"/>
          <w:shd w:val="clear" w:color="auto" w:fill="FFFFFF"/>
        </w:rPr>
        <w:t>合同履约期限</w:t>
      </w:r>
      <w:r>
        <w:rPr>
          <w:rFonts w:hint="eastAsia" w:ascii="宋体" w:hAnsi="宋体" w:cs="宋体"/>
          <w:color w:val="auto"/>
          <w:szCs w:val="21"/>
          <w:highlight w:val="none"/>
        </w:rPr>
        <w:t>：</w:t>
      </w:r>
      <w:bookmarkEnd w:id="17"/>
      <w:bookmarkStart w:id="18" w:name="OLE_LINK149"/>
      <w:bookmarkStart w:id="19" w:name="OLE_LINK174"/>
      <w:r>
        <w:rPr>
          <w:rFonts w:hint="eastAsia" w:ascii="宋体" w:hAnsi="宋体" w:eastAsia="宋体" w:cs="宋体"/>
          <w:color w:val="auto"/>
          <w:szCs w:val="21"/>
          <w:highlight w:val="none"/>
        </w:rPr>
        <w:t>具体详见招标文件《第二章采购需求》</w:t>
      </w:r>
      <w:r>
        <w:rPr>
          <w:rFonts w:hint="eastAsia" w:ascii="宋体" w:hAnsi="宋体" w:eastAsia="宋体" w:cs="宋体"/>
          <w:color w:val="auto"/>
          <w:szCs w:val="21"/>
          <w:highlight w:val="none"/>
          <w:lang w:eastAsia="zh-CN"/>
        </w:rPr>
        <w:t>。</w:t>
      </w:r>
    </w:p>
    <w:bookmarkEnd w:id="18"/>
    <w:bookmarkEnd w:id="19"/>
    <w:p w14:paraId="4E02BDE7">
      <w:pPr>
        <w:spacing w:line="360" w:lineRule="auto"/>
        <w:ind w:firstLine="420" w:firstLineChars="200"/>
        <w:rPr>
          <w:rFonts w:hint="eastAsia" w:ascii="宋体" w:hAnsi="宋体" w:cs="宋体"/>
          <w:color w:val="auto"/>
          <w:szCs w:val="21"/>
          <w:highlight w:val="none"/>
          <w:lang w:eastAsia="zh-CN"/>
        </w:rPr>
      </w:pPr>
      <w:r>
        <w:rPr>
          <w:rFonts w:hint="eastAsia" w:ascii="宋体" w:hAnsi="宋体" w:cs="宋体"/>
          <w:color w:val="auto"/>
          <w:szCs w:val="21"/>
          <w:highlight w:val="none"/>
        </w:rPr>
        <w:t>本</w:t>
      </w:r>
      <w:r>
        <w:rPr>
          <w:rFonts w:hint="eastAsia" w:ascii="宋体" w:hAnsi="宋体" w:cs="宋体"/>
          <w:color w:val="auto"/>
          <w:szCs w:val="21"/>
          <w:highlight w:val="none"/>
          <w:lang w:val="en-US" w:eastAsia="zh-CN"/>
        </w:rPr>
        <w:t>分标</w:t>
      </w:r>
      <w:r>
        <w:rPr>
          <w:rFonts w:hint="eastAsia" w:ascii="宋体" w:hAnsi="宋体" w:cs="宋体"/>
          <w:color w:val="auto"/>
          <w:szCs w:val="21"/>
          <w:highlight w:val="none"/>
        </w:rPr>
        <w:t>（否）接受联合体投标</w:t>
      </w:r>
      <w:r>
        <w:rPr>
          <w:rFonts w:hint="eastAsia" w:ascii="宋体" w:hAnsi="宋体" w:cs="宋体"/>
          <w:color w:val="auto"/>
          <w:szCs w:val="21"/>
          <w:highlight w:val="none"/>
          <w:lang w:eastAsia="zh-CN"/>
        </w:rPr>
        <w:t>。</w:t>
      </w:r>
    </w:p>
    <w:p w14:paraId="68C353BD">
      <w:pPr>
        <w:pStyle w:val="23"/>
        <w:keepNext w:val="0"/>
        <w:keepLines w:val="0"/>
        <w:pageBreakBefore w:val="0"/>
        <w:shd w:val="clear" w:color="auto" w:fill="FFFFFF"/>
        <w:kinsoku/>
        <w:wordWrap/>
        <w:overflowPunct/>
        <w:topLinePunct w:val="0"/>
        <w:autoSpaceDE/>
        <w:autoSpaceDN/>
        <w:bidi w:val="0"/>
        <w:spacing w:before="0" w:beforeAutospacing="0" w:after="0" w:afterAutospacing="0" w:line="400" w:lineRule="exact"/>
        <w:ind w:firstLine="420" w:firstLineChars="200"/>
        <w:textAlignment w:val="auto"/>
        <w:rPr>
          <w:rFonts w:hint="default" w:eastAsia="宋体" w:cs="宋体"/>
          <w:b w:val="0"/>
          <w:bCs w:val="0"/>
          <w:color w:val="auto"/>
          <w:sz w:val="21"/>
          <w:szCs w:val="21"/>
          <w:highlight w:val="none"/>
          <w:shd w:val="clear" w:color="auto" w:fill="FFFFFF"/>
          <w:lang w:val="en-US" w:eastAsia="zh-CN"/>
        </w:rPr>
      </w:pPr>
      <w:r>
        <w:rPr>
          <w:rFonts w:hint="eastAsia" w:ascii="宋体" w:hAnsi="宋体"/>
          <w:b w:val="0"/>
          <w:bCs w:val="0"/>
          <w:color w:val="auto"/>
          <w:sz w:val="21"/>
          <w:szCs w:val="21"/>
          <w:highlight w:val="none"/>
          <w:lang w:val="en-US" w:eastAsia="zh-CN"/>
        </w:rPr>
        <w:t>分标</w:t>
      </w:r>
      <w:r>
        <w:rPr>
          <w:rFonts w:hint="eastAsia"/>
          <w:b w:val="0"/>
          <w:bCs w:val="0"/>
          <w:color w:val="auto"/>
          <w:sz w:val="21"/>
          <w:szCs w:val="21"/>
          <w:highlight w:val="none"/>
          <w:lang w:val="en-US" w:eastAsia="zh-CN"/>
        </w:rPr>
        <w:t>2</w:t>
      </w:r>
      <w:r>
        <w:rPr>
          <w:rFonts w:hint="eastAsia" w:cs="宋体"/>
          <w:b w:val="0"/>
          <w:bCs w:val="0"/>
          <w:color w:val="auto"/>
          <w:sz w:val="21"/>
          <w:szCs w:val="21"/>
          <w:highlight w:val="none"/>
          <w:shd w:val="clear" w:color="auto" w:fill="FFFFFF"/>
        </w:rPr>
        <w:t>名称：轮转式切片机</w:t>
      </w:r>
      <w:r>
        <w:rPr>
          <w:rFonts w:hint="eastAsia" w:cs="宋体"/>
          <w:b w:val="0"/>
          <w:bCs w:val="0"/>
          <w:color w:val="auto"/>
          <w:sz w:val="21"/>
          <w:szCs w:val="21"/>
          <w:highlight w:val="none"/>
          <w:shd w:val="clear" w:color="auto" w:fill="FFFFFF"/>
          <w:lang w:eastAsia="zh-CN"/>
        </w:rPr>
        <w:t>、</w:t>
      </w:r>
      <w:r>
        <w:rPr>
          <w:rFonts w:hint="eastAsia"/>
          <w:color w:val="auto"/>
          <w:sz w:val="21"/>
          <w:szCs w:val="21"/>
          <w:highlight w:val="none"/>
        </w:rPr>
        <w:t>电致化学发光检测仪</w:t>
      </w:r>
      <w:r>
        <w:rPr>
          <w:rFonts w:hint="eastAsia"/>
          <w:color w:val="auto"/>
          <w:sz w:val="21"/>
          <w:szCs w:val="21"/>
          <w:highlight w:val="none"/>
          <w:lang w:val="en-US" w:eastAsia="zh-CN"/>
        </w:rPr>
        <w:t>等设备</w:t>
      </w:r>
    </w:p>
    <w:p w14:paraId="48B6A028">
      <w:pPr>
        <w:pStyle w:val="23"/>
        <w:keepNext w:val="0"/>
        <w:keepLines w:val="0"/>
        <w:pageBreakBefore w:val="0"/>
        <w:shd w:val="clear" w:color="auto" w:fill="FFFFFF"/>
        <w:kinsoku/>
        <w:wordWrap/>
        <w:overflowPunct/>
        <w:topLinePunct w:val="0"/>
        <w:autoSpaceDE/>
        <w:autoSpaceDN/>
        <w:bidi w:val="0"/>
        <w:spacing w:before="0" w:beforeAutospacing="0" w:after="0" w:afterAutospacing="0" w:line="400" w:lineRule="exact"/>
        <w:ind w:firstLine="420" w:firstLineChars="200"/>
        <w:textAlignment w:val="auto"/>
        <w:rPr>
          <w:rFonts w:hint="eastAsia" w:cs="宋体"/>
          <w:b w:val="0"/>
          <w:bCs w:val="0"/>
          <w:color w:val="auto"/>
          <w:sz w:val="21"/>
          <w:szCs w:val="21"/>
          <w:highlight w:val="none"/>
          <w:shd w:val="clear" w:color="auto" w:fill="FFFFFF"/>
        </w:rPr>
      </w:pPr>
      <w:r>
        <w:rPr>
          <w:rFonts w:hint="eastAsia" w:cs="宋体"/>
          <w:b w:val="0"/>
          <w:bCs w:val="0"/>
          <w:color w:val="auto"/>
          <w:sz w:val="21"/>
          <w:szCs w:val="21"/>
          <w:highlight w:val="none"/>
          <w:shd w:val="clear" w:color="auto" w:fill="FFFFFF"/>
        </w:rPr>
        <w:t>数量：1</w:t>
      </w:r>
    </w:p>
    <w:p w14:paraId="0C752DF3">
      <w:pPr>
        <w:pStyle w:val="23"/>
        <w:keepNext w:val="0"/>
        <w:keepLines w:val="0"/>
        <w:pageBreakBefore w:val="0"/>
        <w:shd w:val="clear" w:color="auto" w:fill="FFFFFF"/>
        <w:kinsoku/>
        <w:wordWrap/>
        <w:overflowPunct/>
        <w:topLinePunct w:val="0"/>
        <w:autoSpaceDE/>
        <w:autoSpaceDN/>
        <w:bidi w:val="0"/>
        <w:spacing w:before="0" w:beforeAutospacing="0" w:after="0" w:afterAutospacing="0" w:line="400" w:lineRule="exact"/>
        <w:ind w:firstLine="420" w:firstLineChars="200"/>
        <w:textAlignment w:val="auto"/>
        <w:rPr>
          <w:rFonts w:hint="default" w:cs="宋体"/>
          <w:color w:val="auto"/>
          <w:sz w:val="21"/>
          <w:szCs w:val="21"/>
          <w:highlight w:val="none"/>
          <w:shd w:val="clear" w:color="auto" w:fill="FFFFFF"/>
          <w:lang w:val="en-US"/>
        </w:rPr>
      </w:pPr>
      <w:r>
        <w:rPr>
          <w:rFonts w:hint="eastAsia" w:cs="宋体"/>
          <w:color w:val="auto"/>
          <w:sz w:val="21"/>
          <w:szCs w:val="21"/>
          <w:highlight w:val="none"/>
          <w:shd w:val="clear" w:color="auto" w:fill="FFFFFF"/>
        </w:rPr>
        <w:t>预算金额（元）</w:t>
      </w:r>
      <w:r>
        <w:rPr>
          <w:rFonts w:hint="eastAsia" w:cs="宋体"/>
          <w:color w:val="auto"/>
          <w:sz w:val="21"/>
          <w:szCs w:val="21"/>
          <w:highlight w:val="none"/>
          <w:shd w:val="clear" w:color="auto" w:fill="FFFFFF"/>
          <w:lang w:eastAsia="zh-CN"/>
        </w:rPr>
        <w:t>：</w:t>
      </w:r>
      <w:r>
        <w:rPr>
          <w:rFonts w:hint="eastAsia"/>
          <w:color w:val="auto"/>
          <w:sz w:val="21"/>
          <w:szCs w:val="21"/>
          <w:highlight w:val="none"/>
          <w:lang w:val="en-US" w:eastAsia="zh-CN"/>
        </w:rPr>
        <w:t>3265000.00</w:t>
      </w:r>
    </w:p>
    <w:p w14:paraId="2A5BACD8">
      <w:pPr>
        <w:pStyle w:val="23"/>
        <w:keepNext w:val="0"/>
        <w:keepLines w:val="0"/>
        <w:pageBreakBefore w:val="0"/>
        <w:shd w:val="clear" w:color="auto" w:fill="FFFFFF"/>
        <w:kinsoku/>
        <w:wordWrap/>
        <w:overflowPunct/>
        <w:topLinePunct w:val="0"/>
        <w:autoSpaceDE/>
        <w:autoSpaceDN/>
        <w:bidi w:val="0"/>
        <w:spacing w:before="0" w:beforeAutospacing="0" w:after="0" w:afterAutospacing="0" w:line="400" w:lineRule="exact"/>
        <w:ind w:firstLine="420" w:firstLineChars="200"/>
        <w:textAlignment w:val="auto"/>
        <w:rPr>
          <w:rFonts w:hint="eastAsia" w:cs="宋体"/>
          <w:color w:val="auto"/>
          <w:sz w:val="21"/>
          <w:szCs w:val="21"/>
          <w:highlight w:val="none"/>
          <w:shd w:val="clear" w:color="auto" w:fill="FFFFFF"/>
        </w:rPr>
      </w:pPr>
      <w:r>
        <w:rPr>
          <w:rFonts w:hint="eastAsia" w:cs="宋体"/>
          <w:color w:val="auto"/>
          <w:sz w:val="21"/>
          <w:szCs w:val="21"/>
          <w:highlight w:val="none"/>
          <w:shd w:val="clear" w:color="auto" w:fill="FFFFFF"/>
        </w:rPr>
        <w:t>简要规格描述或项目基本概况介绍、用途：</w:t>
      </w:r>
      <w:r>
        <w:rPr>
          <w:rFonts w:hint="eastAsia" w:cs="宋体"/>
          <w:b w:val="0"/>
          <w:bCs w:val="0"/>
          <w:color w:val="auto"/>
          <w:sz w:val="21"/>
          <w:szCs w:val="21"/>
          <w:highlight w:val="none"/>
          <w:shd w:val="clear" w:color="auto" w:fill="FFFFFF"/>
        </w:rPr>
        <w:t>轮转式切片机</w:t>
      </w:r>
      <w:r>
        <w:rPr>
          <w:rFonts w:hint="eastAsia" w:cs="宋体"/>
          <w:b w:val="0"/>
          <w:bCs w:val="0"/>
          <w:color w:val="auto"/>
          <w:sz w:val="21"/>
          <w:szCs w:val="21"/>
          <w:highlight w:val="none"/>
          <w:shd w:val="clear" w:color="auto" w:fill="FFFFFF"/>
          <w:lang w:eastAsia="zh-CN"/>
        </w:rPr>
        <w:t>、</w:t>
      </w:r>
      <w:r>
        <w:rPr>
          <w:rFonts w:hint="eastAsia"/>
          <w:color w:val="auto"/>
          <w:sz w:val="21"/>
          <w:szCs w:val="21"/>
          <w:highlight w:val="none"/>
        </w:rPr>
        <w:t>电致化学发光检测仪</w:t>
      </w:r>
      <w:r>
        <w:rPr>
          <w:rFonts w:hint="eastAsia"/>
          <w:color w:val="auto"/>
          <w:sz w:val="21"/>
          <w:szCs w:val="21"/>
          <w:highlight w:val="none"/>
          <w:lang w:val="en-US" w:eastAsia="zh-CN"/>
        </w:rPr>
        <w:t>等</w:t>
      </w:r>
      <w:r>
        <w:rPr>
          <w:rFonts w:hint="eastAsia" w:cs="宋体"/>
          <w:b w:val="0"/>
          <w:bCs w:val="0"/>
          <w:color w:val="auto"/>
          <w:sz w:val="21"/>
          <w:szCs w:val="21"/>
          <w:highlight w:val="none"/>
          <w:shd w:val="clear" w:color="auto" w:fill="FFFFFF"/>
          <w:lang w:val="en-US" w:eastAsia="zh-CN"/>
        </w:rPr>
        <w:t>一批</w:t>
      </w:r>
      <w:r>
        <w:rPr>
          <w:rFonts w:hint="eastAsia" w:cs="宋体"/>
          <w:color w:val="auto"/>
          <w:sz w:val="21"/>
          <w:szCs w:val="21"/>
          <w:highlight w:val="none"/>
          <w:shd w:val="clear" w:color="auto" w:fill="FFFFFF"/>
        </w:rPr>
        <w:t>，详见招标文件。</w:t>
      </w:r>
    </w:p>
    <w:p w14:paraId="0780A791">
      <w:pPr>
        <w:spacing w:line="360" w:lineRule="auto"/>
        <w:ind w:firstLine="420" w:firstLineChars="200"/>
        <w:rPr>
          <w:rFonts w:hint="eastAsia" w:ascii="Times New Roman" w:hAnsi="Times New Roman" w:eastAsia="宋体" w:cs="宋体"/>
          <w:b w:val="0"/>
          <w:bCs w:val="0"/>
          <w:color w:val="auto"/>
          <w:szCs w:val="21"/>
          <w:highlight w:val="none"/>
          <w:shd w:val="clear" w:color="auto" w:fill="FFFFFF"/>
          <w:lang w:val="en-US" w:eastAsia="zh-CN"/>
        </w:rPr>
      </w:pPr>
      <w:r>
        <w:rPr>
          <w:rFonts w:hint="eastAsia" w:cs="宋体"/>
          <w:color w:val="auto"/>
          <w:sz w:val="21"/>
          <w:szCs w:val="21"/>
          <w:highlight w:val="none"/>
          <w:shd w:val="clear" w:color="auto" w:fill="FFFFFF"/>
        </w:rPr>
        <w:t>最高限价（如有）</w:t>
      </w:r>
      <w:r>
        <w:rPr>
          <w:rFonts w:hint="eastAsia" w:cs="宋体"/>
          <w:color w:val="auto"/>
          <w:sz w:val="21"/>
          <w:szCs w:val="21"/>
          <w:highlight w:val="none"/>
          <w:shd w:val="clear" w:color="auto" w:fill="FFFFFF"/>
          <w:lang w:eastAsia="zh-CN"/>
        </w:rPr>
        <w:t>：</w:t>
      </w:r>
      <w:r>
        <w:rPr>
          <w:rFonts w:hint="eastAsia" w:ascii="宋体" w:hAnsi="宋体" w:eastAsia="宋体" w:cs="宋体"/>
          <w:color w:val="auto"/>
          <w:kern w:val="0"/>
          <w:sz w:val="21"/>
          <w:szCs w:val="21"/>
          <w:highlight w:val="none"/>
          <w:lang w:val="en-US" w:eastAsia="zh-CN" w:bidi="ar-SA"/>
        </w:rPr>
        <w:t>3265000.00</w:t>
      </w:r>
      <w:r>
        <w:rPr>
          <w:rFonts w:hint="eastAsia" w:ascii="Times New Roman" w:hAnsi="Times New Roman" w:cs="宋体"/>
          <w:color w:val="auto"/>
          <w:szCs w:val="21"/>
          <w:highlight w:val="none"/>
          <w:shd w:val="clear" w:color="auto" w:fill="FFFFFF"/>
          <w:lang w:eastAsia="zh-CN"/>
        </w:rPr>
        <w:t>元</w:t>
      </w:r>
    </w:p>
    <w:p w14:paraId="29D9FF24">
      <w:pPr>
        <w:spacing w:line="360" w:lineRule="auto"/>
        <w:ind w:firstLine="420" w:firstLineChars="200"/>
        <w:rPr>
          <w:rFonts w:hint="eastAsia" w:ascii="宋体" w:hAnsi="宋体" w:eastAsia="宋体" w:cs="宋体"/>
          <w:color w:val="auto"/>
          <w:szCs w:val="21"/>
          <w:highlight w:val="none"/>
          <w:lang w:eastAsia="zh-CN"/>
        </w:rPr>
      </w:pPr>
      <w:r>
        <w:rPr>
          <w:rFonts w:hint="eastAsia" w:cs="宋体"/>
          <w:color w:val="auto"/>
          <w:sz w:val="21"/>
          <w:szCs w:val="21"/>
          <w:highlight w:val="none"/>
          <w:shd w:val="clear" w:color="auto" w:fill="FFFFFF"/>
        </w:rPr>
        <w:t>合同履约期限</w:t>
      </w:r>
      <w:r>
        <w:rPr>
          <w:rFonts w:hint="eastAsia" w:ascii="宋体" w:hAnsi="宋体" w:cs="宋体"/>
          <w:color w:val="auto"/>
          <w:szCs w:val="21"/>
          <w:highlight w:val="none"/>
        </w:rPr>
        <w:t>：</w:t>
      </w:r>
      <w:r>
        <w:rPr>
          <w:rFonts w:hint="eastAsia" w:ascii="宋体" w:hAnsi="宋体" w:eastAsia="宋体" w:cs="宋体"/>
          <w:color w:val="auto"/>
          <w:szCs w:val="21"/>
          <w:highlight w:val="none"/>
        </w:rPr>
        <w:t>具体详见招标文件《第二章采购需求》</w:t>
      </w:r>
      <w:r>
        <w:rPr>
          <w:rFonts w:hint="eastAsia" w:ascii="宋体" w:hAnsi="宋体" w:eastAsia="宋体" w:cs="宋体"/>
          <w:color w:val="auto"/>
          <w:szCs w:val="21"/>
          <w:highlight w:val="none"/>
          <w:lang w:eastAsia="zh-CN"/>
        </w:rPr>
        <w:t>。</w:t>
      </w:r>
    </w:p>
    <w:p w14:paraId="7587B636">
      <w:pPr>
        <w:spacing w:line="360" w:lineRule="auto"/>
        <w:ind w:firstLine="420" w:firstLineChars="200"/>
        <w:rPr>
          <w:rFonts w:hint="eastAsia" w:ascii="宋体" w:hAnsi="宋体" w:cs="宋体"/>
          <w:color w:val="auto"/>
          <w:szCs w:val="21"/>
          <w:highlight w:val="none"/>
          <w:lang w:eastAsia="zh-CN"/>
        </w:rPr>
      </w:pPr>
      <w:r>
        <w:rPr>
          <w:rFonts w:hint="eastAsia" w:ascii="宋体" w:hAnsi="宋体" w:cs="宋体"/>
          <w:color w:val="auto"/>
          <w:szCs w:val="21"/>
          <w:highlight w:val="none"/>
        </w:rPr>
        <w:t>本</w:t>
      </w:r>
      <w:r>
        <w:rPr>
          <w:rFonts w:hint="eastAsia" w:ascii="宋体" w:hAnsi="宋体" w:cs="宋体"/>
          <w:color w:val="auto"/>
          <w:szCs w:val="21"/>
          <w:highlight w:val="none"/>
          <w:lang w:val="en-US" w:eastAsia="zh-CN"/>
        </w:rPr>
        <w:t>分标</w:t>
      </w:r>
      <w:r>
        <w:rPr>
          <w:rFonts w:hint="eastAsia" w:ascii="宋体" w:hAnsi="宋体" w:cs="宋体"/>
          <w:color w:val="auto"/>
          <w:szCs w:val="21"/>
          <w:highlight w:val="none"/>
        </w:rPr>
        <w:t>（否）接受联合体投标</w:t>
      </w:r>
      <w:r>
        <w:rPr>
          <w:rFonts w:hint="eastAsia" w:ascii="宋体" w:hAnsi="宋体" w:cs="宋体"/>
          <w:color w:val="auto"/>
          <w:szCs w:val="21"/>
          <w:highlight w:val="none"/>
          <w:lang w:eastAsia="zh-CN"/>
        </w:rPr>
        <w:t>。</w:t>
      </w:r>
    </w:p>
    <w:p w14:paraId="412529FC">
      <w:pPr>
        <w:pStyle w:val="23"/>
        <w:keepNext w:val="0"/>
        <w:keepLines w:val="0"/>
        <w:pageBreakBefore w:val="0"/>
        <w:shd w:val="clear" w:color="auto" w:fill="FFFFFF"/>
        <w:kinsoku/>
        <w:wordWrap/>
        <w:overflowPunct/>
        <w:topLinePunct w:val="0"/>
        <w:autoSpaceDE/>
        <w:autoSpaceDN/>
        <w:bidi w:val="0"/>
        <w:spacing w:before="0" w:beforeAutospacing="0" w:after="0" w:afterAutospacing="0" w:line="400" w:lineRule="exact"/>
        <w:ind w:firstLine="420" w:firstLineChars="200"/>
        <w:textAlignment w:val="auto"/>
        <w:rPr>
          <w:rFonts w:hint="default" w:eastAsia="宋体" w:cs="宋体"/>
          <w:b w:val="0"/>
          <w:bCs w:val="0"/>
          <w:color w:val="auto"/>
          <w:sz w:val="21"/>
          <w:szCs w:val="21"/>
          <w:highlight w:val="none"/>
          <w:shd w:val="clear" w:color="auto" w:fill="FFFFFF"/>
          <w:lang w:val="en-US" w:eastAsia="zh-CN"/>
        </w:rPr>
      </w:pPr>
      <w:r>
        <w:rPr>
          <w:rFonts w:hint="eastAsia" w:ascii="宋体" w:hAnsi="宋体"/>
          <w:b w:val="0"/>
          <w:bCs w:val="0"/>
          <w:color w:val="auto"/>
          <w:sz w:val="21"/>
          <w:szCs w:val="21"/>
          <w:highlight w:val="none"/>
          <w:lang w:val="en-US" w:eastAsia="zh-CN"/>
        </w:rPr>
        <w:t>分标</w:t>
      </w:r>
      <w:r>
        <w:rPr>
          <w:rFonts w:hint="eastAsia"/>
          <w:b w:val="0"/>
          <w:bCs w:val="0"/>
          <w:color w:val="auto"/>
          <w:sz w:val="21"/>
          <w:szCs w:val="21"/>
          <w:highlight w:val="none"/>
          <w:lang w:val="en-US" w:eastAsia="zh-CN"/>
        </w:rPr>
        <w:t>3</w:t>
      </w:r>
      <w:r>
        <w:rPr>
          <w:rFonts w:hint="eastAsia" w:cs="宋体"/>
          <w:b w:val="0"/>
          <w:bCs w:val="0"/>
          <w:color w:val="auto"/>
          <w:sz w:val="21"/>
          <w:szCs w:val="21"/>
          <w:highlight w:val="none"/>
          <w:shd w:val="clear" w:color="auto" w:fill="FFFFFF"/>
        </w:rPr>
        <w:t>名称：右江民族医学院医疗数据湖及分析平台</w:t>
      </w:r>
    </w:p>
    <w:p w14:paraId="0700249D">
      <w:pPr>
        <w:pStyle w:val="23"/>
        <w:keepNext w:val="0"/>
        <w:keepLines w:val="0"/>
        <w:pageBreakBefore w:val="0"/>
        <w:shd w:val="clear" w:color="auto" w:fill="FFFFFF"/>
        <w:kinsoku/>
        <w:wordWrap/>
        <w:overflowPunct/>
        <w:topLinePunct w:val="0"/>
        <w:autoSpaceDE/>
        <w:autoSpaceDN/>
        <w:bidi w:val="0"/>
        <w:spacing w:before="0" w:beforeAutospacing="0" w:after="0" w:afterAutospacing="0" w:line="400" w:lineRule="exact"/>
        <w:ind w:firstLine="420" w:firstLineChars="200"/>
        <w:textAlignment w:val="auto"/>
        <w:rPr>
          <w:rFonts w:hint="eastAsia" w:cs="宋体"/>
          <w:b w:val="0"/>
          <w:bCs w:val="0"/>
          <w:color w:val="auto"/>
          <w:sz w:val="21"/>
          <w:szCs w:val="21"/>
          <w:highlight w:val="none"/>
          <w:shd w:val="clear" w:color="auto" w:fill="FFFFFF"/>
        </w:rPr>
      </w:pPr>
      <w:r>
        <w:rPr>
          <w:rFonts w:hint="eastAsia" w:cs="宋体"/>
          <w:b w:val="0"/>
          <w:bCs w:val="0"/>
          <w:color w:val="auto"/>
          <w:sz w:val="21"/>
          <w:szCs w:val="21"/>
          <w:highlight w:val="none"/>
          <w:shd w:val="clear" w:color="auto" w:fill="FFFFFF"/>
        </w:rPr>
        <w:t>数量：1</w:t>
      </w:r>
    </w:p>
    <w:p w14:paraId="69C290B9">
      <w:pPr>
        <w:pStyle w:val="23"/>
        <w:keepNext w:val="0"/>
        <w:keepLines w:val="0"/>
        <w:pageBreakBefore w:val="0"/>
        <w:shd w:val="clear" w:color="auto" w:fill="FFFFFF"/>
        <w:kinsoku/>
        <w:wordWrap/>
        <w:overflowPunct/>
        <w:topLinePunct w:val="0"/>
        <w:autoSpaceDE/>
        <w:autoSpaceDN/>
        <w:bidi w:val="0"/>
        <w:spacing w:before="0" w:beforeAutospacing="0" w:after="0" w:afterAutospacing="0" w:line="400" w:lineRule="exact"/>
        <w:ind w:firstLine="420" w:firstLineChars="200"/>
        <w:textAlignment w:val="auto"/>
        <w:rPr>
          <w:rFonts w:hint="default" w:cs="宋体"/>
          <w:color w:val="auto"/>
          <w:sz w:val="21"/>
          <w:szCs w:val="21"/>
          <w:highlight w:val="none"/>
          <w:shd w:val="clear" w:color="auto" w:fill="FFFFFF"/>
          <w:lang w:val="en-US"/>
        </w:rPr>
      </w:pPr>
      <w:r>
        <w:rPr>
          <w:rFonts w:hint="eastAsia" w:cs="宋体"/>
          <w:color w:val="auto"/>
          <w:sz w:val="21"/>
          <w:szCs w:val="21"/>
          <w:highlight w:val="none"/>
          <w:shd w:val="clear" w:color="auto" w:fill="FFFFFF"/>
        </w:rPr>
        <w:t>预算金额（元）：</w:t>
      </w:r>
      <w:r>
        <w:rPr>
          <w:rFonts w:hint="eastAsia"/>
          <w:color w:val="auto"/>
          <w:sz w:val="21"/>
          <w:szCs w:val="21"/>
          <w:highlight w:val="none"/>
          <w:lang w:val="en-US" w:eastAsia="zh-CN"/>
        </w:rPr>
        <w:t>1500000.00</w:t>
      </w:r>
    </w:p>
    <w:p w14:paraId="2A27BF3F">
      <w:pPr>
        <w:pStyle w:val="23"/>
        <w:keepNext w:val="0"/>
        <w:keepLines w:val="0"/>
        <w:pageBreakBefore w:val="0"/>
        <w:shd w:val="clear" w:color="auto" w:fill="FFFFFF"/>
        <w:kinsoku/>
        <w:wordWrap/>
        <w:overflowPunct/>
        <w:topLinePunct w:val="0"/>
        <w:autoSpaceDE/>
        <w:autoSpaceDN/>
        <w:bidi w:val="0"/>
        <w:spacing w:before="0" w:beforeAutospacing="0" w:after="0" w:afterAutospacing="0" w:line="400" w:lineRule="exact"/>
        <w:ind w:firstLine="420" w:firstLineChars="200"/>
        <w:textAlignment w:val="auto"/>
        <w:rPr>
          <w:rFonts w:hint="eastAsia" w:cs="宋体"/>
          <w:color w:val="auto"/>
          <w:sz w:val="21"/>
          <w:szCs w:val="21"/>
          <w:highlight w:val="none"/>
          <w:shd w:val="clear" w:color="auto" w:fill="FFFFFF"/>
        </w:rPr>
      </w:pPr>
      <w:r>
        <w:rPr>
          <w:rFonts w:hint="eastAsia" w:cs="宋体"/>
          <w:color w:val="auto"/>
          <w:sz w:val="21"/>
          <w:szCs w:val="21"/>
          <w:highlight w:val="none"/>
          <w:shd w:val="clear" w:color="auto" w:fill="FFFFFF"/>
        </w:rPr>
        <w:t>简要规格描述或项目基本概况介绍、用途</w:t>
      </w:r>
      <w:r>
        <w:rPr>
          <w:rFonts w:hint="eastAsia" w:cs="宋体"/>
          <w:color w:val="auto"/>
          <w:sz w:val="21"/>
          <w:szCs w:val="21"/>
          <w:highlight w:val="none"/>
          <w:shd w:val="clear" w:color="auto" w:fill="FFFFFF"/>
          <w:lang w:eastAsia="zh-CN"/>
        </w:rPr>
        <w:t>：</w:t>
      </w:r>
      <w:r>
        <w:rPr>
          <w:rFonts w:hint="eastAsia" w:asciiTheme="minorEastAsia" w:hAnsiTheme="minorEastAsia" w:eastAsiaTheme="minorEastAsia" w:cstheme="minorEastAsia"/>
          <w:color w:val="auto"/>
          <w:sz w:val="21"/>
          <w:szCs w:val="21"/>
          <w:highlight w:val="none"/>
        </w:rPr>
        <w:t>右江民族医学院医疗数据湖及分析平台</w:t>
      </w:r>
      <w:r>
        <w:rPr>
          <w:rFonts w:hint="eastAsia" w:asciiTheme="minorEastAsia" w:hAnsiTheme="minorEastAsia" w:eastAsiaTheme="minorEastAsia" w:cstheme="minorEastAsia"/>
          <w:color w:val="auto"/>
          <w:sz w:val="21"/>
          <w:szCs w:val="21"/>
          <w:highlight w:val="none"/>
          <w:lang w:val="en-US" w:eastAsia="zh-CN"/>
        </w:rPr>
        <w:t>1套</w:t>
      </w:r>
      <w:r>
        <w:rPr>
          <w:rFonts w:hint="eastAsia" w:cs="宋体"/>
          <w:color w:val="auto"/>
          <w:sz w:val="21"/>
          <w:szCs w:val="21"/>
          <w:highlight w:val="none"/>
          <w:shd w:val="clear" w:color="auto" w:fill="FFFFFF"/>
        </w:rPr>
        <w:t>，详见招标文件。</w:t>
      </w:r>
    </w:p>
    <w:p w14:paraId="2140D140">
      <w:pPr>
        <w:spacing w:line="360" w:lineRule="auto"/>
        <w:ind w:firstLine="420" w:firstLineChars="200"/>
        <w:rPr>
          <w:rFonts w:hint="default" w:ascii="宋体" w:hAnsi="宋体" w:eastAsia="宋体"/>
          <w:b/>
          <w:bCs/>
          <w:color w:val="auto"/>
          <w:szCs w:val="21"/>
          <w:highlight w:val="none"/>
          <w:lang w:val="en-US" w:eastAsia="zh-CN"/>
        </w:rPr>
      </w:pPr>
      <w:r>
        <w:rPr>
          <w:rFonts w:hint="eastAsia" w:cs="宋体"/>
          <w:color w:val="auto"/>
          <w:sz w:val="21"/>
          <w:szCs w:val="21"/>
          <w:highlight w:val="none"/>
          <w:shd w:val="clear" w:color="auto" w:fill="FFFFFF"/>
        </w:rPr>
        <w:t>最高限价（如有）：</w:t>
      </w:r>
      <w:r>
        <w:rPr>
          <w:rFonts w:hint="eastAsia" w:ascii="宋体" w:hAnsi="宋体"/>
          <w:color w:val="auto"/>
          <w:szCs w:val="21"/>
          <w:highlight w:val="none"/>
          <w:lang w:val="en-US" w:eastAsia="zh-CN"/>
        </w:rPr>
        <w:t>1500000.00</w:t>
      </w:r>
      <w:r>
        <w:rPr>
          <w:rFonts w:hint="eastAsia" w:ascii="宋体" w:hAnsi="宋体"/>
          <w:color w:val="auto"/>
          <w:szCs w:val="21"/>
          <w:highlight w:val="none"/>
          <w:lang w:eastAsia="zh-CN"/>
        </w:rPr>
        <w:t>元</w:t>
      </w:r>
    </w:p>
    <w:p w14:paraId="04818BFD">
      <w:pPr>
        <w:spacing w:line="360" w:lineRule="auto"/>
        <w:ind w:firstLine="420" w:firstLineChars="200"/>
        <w:rPr>
          <w:rFonts w:hint="eastAsia" w:ascii="宋体" w:hAnsi="宋体" w:eastAsia="宋体" w:cs="宋体"/>
          <w:color w:val="auto"/>
          <w:szCs w:val="21"/>
          <w:highlight w:val="none"/>
          <w:lang w:eastAsia="zh-CN"/>
        </w:rPr>
      </w:pPr>
      <w:r>
        <w:rPr>
          <w:rFonts w:hint="eastAsia" w:cs="宋体"/>
          <w:color w:val="auto"/>
          <w:sz w:val="21"/>
          <w:szCs w:val="21"/>
          <w:highlight w:val="none"/>
          <w:shd w:val="clear" w:color="auto" w:fill="FFFFFF"/>
        </w:rPr>
        <w:t>合同履约期限</w:t>
      </w:r>
      <w:r>
        <w:rPr>
          <w:rFonts w:hint="eastAsia" w:ascii="宋体" w:hAnsi="宋体" w:cs="宋体"/>
          <w:color w:val="auto"/>
          <w:szCs w:val="21"/>
          <w:highlight w:val="none"/>
        </w:rPr>
        <w:t>：</w:t>
      </w:r>
      <w:r>
        <w:rPr>
          <w:rFonts w:hint="eastAsia" w:ascii="宋体" w:hAnsi="宋体" w:eastAsia="宋体" w:cs="宋体"/>
          <w:color w:val="auto"/>
          <w:szCs w:val="21"/>
          <w:highlight w:val="none"/>
        </w:rPr>
        <w:t>具体详见招标文件《第二章采购需求》</w:t>
      </w:r>
      <w:r>
        <w:rPr>
          <w:rFonts w:hint="eastAsia" w:ascii="宋体" w:hAnsi="宋体" w:eastAsia="宋体" w:cs="宋体"/>
          <w:color w:val="auto"/>
          <w:szCs w:val="21"/>
          <w:highlight w:val="none"/>
          <w:lang w:eastAsia="zh-CN"/>
        </w:rPr>
        <w:t>。</w:t>
      </w:r>
    </w:p>
    <w:p w14:paraId="793EFA03">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本</w:t>
      </w:r>
      <w:r>
        <w:rPr>
          <w:rFonts w:hint="eastAsia" w:ascii="宋体" w:hAnsi="宋体" w:cs="宋体"/>
          <w:color w:val="auto"/>
          <w:szCs w:val="21"/>
          <w:highlight w:val="none"/>
          <w:lang w:val="en-US" w:eastAsia="zh-CN"/>
        </w:rPr>
        <w:t>分标</w:t>
      </w:r>
      <w:r>
        <w:rPr>
          <w:rFonts w:hint="eastAsia" w:ascii="宋体" w:hAnsi="宋体" w:cs="宋体"/>
          <w:color w:val="auto"/>
          <w:szCs w:val="21"/>
          <w:highlight w:val="none"/>
        </w:rPr>
        <w:t>（否）接受联合体投标</w:t>
      </w:r>
      <w:r>
        <w:rPr>
          <w:rFonts w:hint="eastAsia" w:ascii="宋体" w:hAnsi="宋体" w:cs="宋体"/>
          <w:color w:val="auto"/>
          <w:szCs w:val="21"/>
          <w:highlight w:val="none"/>
          <w:lang w:eastAsia="zh-CN"/>
        </w:rPr>
        <w:t>。</w:t>
      </w:r>
    </w:p>
    <w:p w14:paraId="3D8A0A84">
      <w:pPr>
        <w:pStyle w:val="23"/>
        <w:keepNext w:val="0"/>
        <w:keepLines w:val="0"/>
        <w:pageBreakBefore w:val="0"/>
        <w:shd w:val="clear" w:color="auto" w:fill="FFFFFF"/>
        <w:kinsoku/>
        <w:wordWrap/>
        <w:overflowPunct/>
        <w:topLinePunct w:val="0"/>
        <w:autoSpaceDE/>
        <w:autoSpaceDN/>
        <w:bidi w:val="0"/>
        <w:spacing w:before="0" w:beforeAutospacing="0" w:after="0" w:afterAutospacing="0" w:line="400" w:lineRule="exact"/>
        <w:ind w:firstLine="420" w:firstLineChars="200"/>
        <w:textAlignment w:val="auto"/>
        <w:rPr>
          <w:rFonts w:hint="default" w:eastAsia="宋体" w:cs="宋体"/>
          <w:b w:val="0"/>
          <w:bCs w:val="0"/>
          <w:color w:val="auto"/>
          <w:sz w:val="21"/>
          <w:szCs w:val="21"/>
          <w:highlight w:val="none"/>
          <w:shd w:val="clear" w:color="auto" w:fill="FFFFFF"/>
          <w:lang w:val="en-US" w:eastAsia="zh-CN"/>
        </w:rPr>
      </w:pPr>
      <w:r>
        <w:rPr>
          <w:rFonts w:hint="eastAsia" w:ascii="宋体" w:hAnsi="宋体"/>
          <w:b w:val="0"/>
          <w:bCs w:val="0"/>
          <w:color w:val="auto"/>
          <w:sz w:val="21"/>
          <w:szCs w:val="21"/>
          <w:highlight w:val="none"/>
          <w:lang w:val="en-US" w:eastAsia="zh-CN"/>
        </w:rPr>
        <w:t>分标</w:t>
      </w:r>
      <w:r>
        <w:rPr>
          <w:rFonts w:hint="eastAsia"/>
          <w:b w:val="0"/>
          <w:bCs w:val="0"/>
          <w:color w:val="auto"/>
          <w:sz w:val="21"/>
          <w:szCs w:val="21"/>
          <w:highlight w:val="none"/>
          <w:lang w:val="en-US" w:eastAsia="zh-CN"/>
        </w:rPr>
        <w:t>4</w:t>
      </w:r>
      <w:r>
        <w:rPr>
          <w:rFonts w:hint="eastAsia" w:cs="宋体"/>
          <w:b w:val="0"/>
          <w:bCs w:val="0"/>
          <w:color w:val="auto"/>
          <w:sz w:val="21"/>
          <w:szCs w:val="21"/>
          <w:highlight w:val="none"/>
          <w:shd w:val="clear" w:color="auto" w:fill="FFFFFF"/>
        </w:rPr>
        <w:t>名称：</w:t>
      </w:r>
      <w:r>
        <w:rPr>
          <w:rFonts w:hint="eastAsia" w:cs="宋体"/>
          <w:b w:val="0"/>
          <w:bCs w:val="0"/>
          <w:color w:val="auto"/>
          <w:sz w:val="21"/>
          <w:szCs w:val="21"/>
          <w:highlight w:val="none"/>
          <w:shd w:val="clear" w:color="auto" w:fill="FFFFFF"/>
          <w:lang w:val="en-US" w:eastAsia="zh-CN"/>
        </w:rPr>
        <w:t>影像云诊断思维训练平台</w:t>
      </w:r>
    </w:p>
    <w:p w14:paraId="7CE30414">
      <w:pPr>
        <w:pStyle w:val="23"/>
        <w:keepNext w:val="0"/>
        <w:keepLines w:val="0"/>
        <w:pageBreakBefore w:val="0"/>
        <w:shd w:val="clear" w:color="auto" w:fill="FFFFFF"/>
        <w:kinsoku/>
        <w:wordWrap/>
        <w:overflowPunct/>
        <w:topLinePunct w:val="0"/>
        <w:autoSpaceDE/>
        <w:autoSpaceDN/>
        <w:bidi w:val="0"/>
        <w:spacing w:before="0" w:beforeAutospacing="0" w:after="0" w:afterAutospacing="0" w:line="400" w:lineRule="exact"/>
        <w:ind w:firstLine="420" w:firstLineChars="200"/>
        <w:textAlignment w:val="auto"/>
        <w:rPr>
          <w:rFonts w:hint="eastAsia" w:cs="宋体"/>
          <w:b w:val="0"/>
          <w:bCs w:val="0"/>
          <w:color w:val="auto"/>
          <w:sz w:val="21"/>
          <w:szCs w:val="21"/>
          <w:highlight w:val="none"/>
          <w:shd w:val="clear" w:color="auto" w:fill="FFFFFF"/>
        </w:rPr>
      </w:pPr>
      <w:r>
        <w:rPr>
          <w:rFonts w:hint="eastAsia" w:cs="宋体"/>
          <w:b w:val="0"/>
          <w:bCs w:val="0"/>
          <w:color w:val="auto"/>
          <w:sz w:val="21"/>
          <w:szCs w:val="21"/>
          <w:highlight w:val="none"/>
          <w:shd w:val="clear" w:color="auto" w:fill="FFFFFF"/>
        </w:rPr>
        <w:t>数量：1</w:t>
      </w:r>
    </w:p>
    <w:p w14:paraId="22DCFDF4">
      <w:pPr>
        <w:pStyle w:val="23"/>
        <w:keepNext w:val="0"/>
        <w:keepLines w:val="0"/>
        <w:pageBreakBefore w:val="0"/>
        <w:shd w:val="clear" w:color="auto" w:fill="FFFFFF"/>
        <w:kinsoku/>
        <w:wordWrap/>
        <w:overflowPunct/>
        <w:topLinePunct w:val="0"/>
        <w:autoSpaceDE/>
        <w:autoSpaceDN/>
        <w:bidi w:val="0"/>
        <w:spacing w:before="0" w:beforeAutospacing="0" w:after="0" w:afterAutospacing="0" w:line="400" w:lineRule="exact"/>
        <w:ind w:firstLine="420" w:firstLineChars="200"/>
        <w:textAlignment w:val="auto"/>
        <w:rPr>
          <w:rFonts w:hint="eastAsia"/>
          <w:color w:val="auto"/>
          <w:sz w:val="21"/>
          <w:szCs w:val="21"/>
          <w:highlight w:val="none"/>
          <w:lang w:val="en-US" w:eastAsia="zh-CN"/>
        </w:rPr>
      </w:pPr>
      <w:r>
        <w:rPr>
          <w:rFonts w:hint="eastAsia" w:cs="宋体"/>
          <w:color w:val="auto"/>
          <w:sz w:val="21"/>
          <w:szCs w:val="21"/>
          <w:highlight w:val="none"/>
          <w:shd w:val="clear" w:color="auto" w:fill="FFFFFF"/>
        </w:rPr>
        <w:t>预算金额（元）：</w:t>
      </w:r>
      <w:r>
        <w:rPr>
          <w:rFonts w:hint="eastAsia"/>
          <w:color w:val="auto"/>
          <w:sz w:val="21"/>
          <w:szCs w:val="21"/>
          <w:highlight w:val="none"/>
          <w:lang w:val="en-US" w:eastAsia="zh-CN"/>
        </w:rPr>
        <w:t>250000.00</w:t>
      </w:r>
    </w:p>
    <w:p w14:paraId="157D4294">
      <w:pPr>
        <w:pStyle w:val="23"/>
        <w:keepNext w:val="0"/>
        <w:keepLines w:val="0"/>
        <w:pageBreakBefore w:val="0"/>
        <w:shd w:val="clear" w:color="auto" w:fill="FFFFFF"/>
        <w:kinsoku/>
        <w:wordWrap/>
        <w:overflowPunct/>
        <w:topLinePunct w:val="0"/>
        <w:autoSpaceDE/>
        <w:autoSpaceDN/>
        <w:bidi w:val="0"/>
        <w:spacing w:before="0" w:beforeAutospacing="0" w:after="0" w:afterAutospacing="0" w:line="400" w:lineRule="exact"/>
        <w:ind w:firstLine="420" w:firstLineChars="200"/>
        <w:textAlignment w:val="auto"/>
        <w:rPr>
          <w:rFonts w:hint="eastAsia" w:cs="宋体"/>
          <w:color w:val="auto"/>
          <w:sz w:val="21"/>
          <w:szCs w:val="21"/>
          <w:highlight w:val="none"/>
          <w:shd w:val="clear" w:color="auto" w:fill="FFFFFF"/>
        </w:rPr>
      </w:pPr>
      <w:r>
        <w:rPr>
          <w:rFonts w:hint="eastAsia" w:cs="宋体"/>
          <w:color w:val="auto"/>
          <w:sz w:val="21"/>
          <w:szCs w:val="21"/>
          <w:highlight w:val="none"/>
          <w:shd w:val="clear" w:color="auto" w:fill="FFFFFF"/>
        </w:rPr>
        <w:t>简要规格描述或项目基本概况介绍、用途：</w:t>
      </w:r>
      <w:r>
        <w:rPr>
          <w:rFonts w:hint="eastAsia" w:cs="宋体"/>
          <w:color w:val="auto"/>
          <w:sz w:val="21"/>
          <w:szCs w:val="21"/>
          <w:highlight w:val="none"/>
          <w:shd w:val="clear" w:color="auto" w:fill="FFFFFF"/>
          <w:lang w:val="en-US" w:eastAsia="zh-CN"/>
        </w:rPr>
        <w:t>影像云诊断思维训练平台</w:t>
      </w:r>
      <w:r>
        <w:rPr>
          <w:rFonts w:hint="eastAsia" w:asciiTheme="minorEastAsia" w:hAnsiTheme="minorEastAsia" w:eastAsiaTheme="minorEastAsia" w:cstheme="minorEastAsia"/>
          <w:color w:val="auto"/>
          <w:sz w:val="20"/>
          <w:szCs w:val="20"/>
          <w:highlight w:val="none"/>
          <w:lang w:val="en-US" w:eastAsia="zh-CN"/>
        </w:rPr>
        <w:t>1套</w:t>
      </w:r>
      <w:r>
        <w:rPr>
          <w:rFonts w:hint="eastAsia" w:cs="宋体"/>
          <w:color w:val="auto"/>
          <w:sz w:val="21"/>
          <w:szCs w:val="21"/>
          <w:highlight w:val="none"/>
          <w:shd w:val="clear" w:color="auto" w:fill="FFFFFF"/>
        </w:rPr>
        <w:t>，详见招标文件。</w:t>
      </w:r>
    </w:p>
    <w:p w14:paraId="285E276D">
      <w:pPr>
        <w:spacing w:line="360" w:lineRule="auto"/>
        <w:ind w:firstLine="420" w:firstLineChars="200"/>
        <w:rPr>
          <w:rFonts w:hint="default" w:ascii="宋体" w:hAnsi="宋体" w:eastAsia="宋体"/>
          <w:b/>
          <w:bCs/>
          <w:color w:val="auto"/>
          <w:szCs w:val="21"/>
          <w:highlight w:val="none"/>
          <w:lang w:val="en-US" w:eastAsia="zh-CN"/>
        </w:rPr>
      </w:pPr>
      <w:r>
        <w:rPr>
          <w:rFonts w:hint="eastAsia" w:cs="宋体"/>
          <w:color w:val="auto"/>
          <w:sz w:val="21"/>
          <w:szCs w:val="21"/>
          <w:highlight w:val="none"/>
          <w:shd w:val="clear" w:color="auto" w:fill="FFFFFF"/>
        </w:rPr>
        <w:t>最高限价（如有）：</w:t>
      </w:r>
      <w:r>
        <w:rPr>
          <w:rFonts w:hint="eastAsia" w:ascii="宋体" w:hAnsi="宋体"/>
          <w:color w:val="auto"/>
          <w:szCs w:val="21"/>
          <w:highlight w:val="none"/>
          <w:lang w:val="en-US" w:eastAsia="zh-CN"/>
        </w:rPr>
        <w:t>250000.00</w:t>
      </w:r>
      <w:r>
        <w:rPr>
          <w:rFonts w:hint="eastAsia" w:ascii="宋体" w:hAnsi="宋体"/>
          <w:color w:val="auto"/>
          <w:szCs w:val="21"/>
          <w:highlight w:val="none"/>
          <w:lang w:eastAsia="zh-CN"/>
        </w:rPr>
        <w:t>元</w:t>
      </w:r>
    </w:p>
    <w:p w14:paraId="0582BD83">
      <w:pPr>
        <w:spacing w:line="360" w:lineRule="auto"/>
        <w:ind w:firstLine="420" w:firstLineChars="200"/>
        <w:rPr>
          <w:rFonts w:hint="eastAsia" w:ascii="宋体" w:hAnsi="宋体" w:eastAsia="宋体" w:cs="宋体"/>
          <w:color w:val="auto"/>
          <w:szCs w:val="21"/>
          <w:highlight w:val="none"/>
          <w:lang w:eastAsia="zh-CN"/>
        </w:rPr>
      </w:pPr>
      <w:r>
        <w:rPr>
          <w:rFonts w:hint="eastAsia" w:cs="宋体"/>
          <w:color w:val="auto"/>
          <w:sz w:val="21"/>
          <w:szCs w:val="21"/>
          <w:highlight w:val="none"/>
          <w:shd w:val="clear" w:color="auto" w:fill="FFFFFF"/>
        </w:rPr>
        <w:t>合同履约期限</w:t>
      </w:r>
      <w:r>
        <w:rPr>
          <w:rFonts w:hint="eastAsia" w:ascii="宋体" w:hAnsi="宋体" w:cs="宋体"/>
          <w:color w:val="auto"/>
          <w:szCs w:val="21"/>
          <w:highlight w:val="none"/>
        </w:rPr>
        <w:t>：</w:t>
      </w:r>
      <w:r>
        <w:rPr>
          <w:rFonts w:hint="eastAsia" w:ascii="宋体" w:hAnsi="宋体" w:eastAsia="宋体" w:cs="宋体"/>
          <w:color w:val="auto"/>
          <w:szCs w:val="21"/>
          <w:highlight w:val="none"/>
        </w:rPr>
        <w:t>具体详见招标文件《第二章采购需求》</w:t>
      </w:r>
      <w:r>
        <w:rPr>
          <w:rFonts w:hint="eastAsia" w:ascii="宋体" w:hAnsi="宋体" w:eastAsia="宋体" w:cs="宋体"/>
          <w:color w:val="auto"/>
          <w:szCs w:val="21"/>
          <w:highlight w:val="none"/>
          <w:lang w:eastAsia="zh-CN"/>
        </w:rPr>
        <w:t>。</w:t>
      </w:r>
    </w:p>
    <w:p w14:paraId="1A16D0F1">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本</w:t>
      </w:r>
      <w:r>
        <w:rPr>
          <w:rFonts w:hint="eastAsia" w:ascii="宋体" w:hAnsi="宋体" w:cs="宋体"/>
          <w:color w:val="auto"/>
          <w:szCs w:val="21"/>
          <w:highlight w:val="none"/>
          <w:lang w:val="en-US" w:eastAsia="zh-CN"/>
        </w:rPr>
        <w:t>分标</w:t>
      </w:r>
      <w:r>
        <w:rPr>
          <w:rFonts w:hint="eastAsia" w:ascii="宋体" w:hAnsi="宋体" w:cs="宋体"/>
          <w:color w:val="auto"/>
          <w:szCs w:val="21"/>
          <w:highlight w:val="none"/>
        </w:rPr>
        <w:t>（否）接受联合体投标</w:t>
      </w:r>
      <w:r>
        <w:rPr>
          <w:rFonts w:hint="eastAsia" w:ascii="宋体" w:hAnsi="宋体" w:cs="宋体"/>
          <w:color w:val="auto"/>
          <w:szCs w:val="21"/>
          <w:highlight w:val="none"/>
          <w:lang w:eastAsia="zh-CN"/>
        </w:rPr>
        <w:t>。</w:t>
      </w:r>
    </w:p>
    <w:p w14:paraId="20DD767A">
      <w:pPr>
        <w:pStyle w:val="23"/>
        <w:keepNext w:val="0"/>
        <w:keepLines w:val="0"/>
        <w:pageBreakBefore w:val="0"/>
        <w:shd w:val="clear" w:color="auto" w:fill="FFFFFF"/>
        <w:kinsoku/>
        <w:wordWrap/>
        <w:overflowPunct/>
        <w:topLinePunct w:val="0"/>
        <w:autoSpaceDE/>
        <w:autoSpaceDN/>
        <w:bidi w:val="0"/>
        <w:spacing w:before="0" w:beforeAutospacing="0" w:after="0" w:afterAutospacing="0" w:line="400" w:lineRule="exact"/>
        <w:ind w:firstLine="420" w:firstLineChars="200"/>
        <w:textAlignment w:val="auto"/>
        <w:rPr>
          <w:rFonts w:hint="default" w:eastAsia="宋体" w:cs="宋体"/>
          <w:b w:val="0"/>
          <w:bCs w:val="0"/>
          <w:color w:val="auto"/>
          <w:sz w:val="21"/>
          <w:szCs w:val="21"/>
          <w:highlight w:val="none"/>
          <w:shd w:val="clear" w:color="auto" w:fill="FFFFFF"/>
          <w:lang w:val="en-US" w:eastAsia="zh-CN"/>
        </w:rPr>
      </w:pPr>
      <w:r>
        <w:rPr>
          <w:rFonts w:hint="eastAsia" w:ascii="宋体" w:hAnsi="宋体"/>
          <w:b w:val="0"/>
          <w:bCs w:val="0"/>
          <w:color w:val="auto"/>
          <w:sz w:val="21"/>
          <w:szCs w:val="21"/>
          <w:highlight w:val="none"/>
          <w:lang w:val="en-US" w:eastAsia="zh-CN"/>
        </w:rPr>
        <w:t>分标</w:t>
      </w:r>
      <w:r>
        <w:rPr>
          <w:rFonts w:hint="eastAsia"/>
          <w:b w:val="0"/>
          <w:bCs w:val="0"/>
          <w:color w:val="auto"/>
          <w:sz w:val="21"/>
          <w:szCs w:val="21"/>
          <w:highlight w:val="none"/>
          <w:lang w:val="en-US" w:eastAsia="zh-CN"/>
        </w:rPr>
        <w:t>5</w:t>
      </w:r>
      <w:r>
        <w:rPr>
          <w:rFonts w:hint="eastAsia" w:cs="宋体"/>
          <w:b w:val="0"/>
          <w:bCs w:val="0"/>
          <w:color w:val="auto"/>
          <w:sz w:val="21"/>
          <w:szCs w:val="21"/>
          <w:highlight w:val="none"/>
          <w:shd w:val="clear" w:color="auto" w:fill="FFFFFF"/>
        </w:rPr>
        <w:t>名称：</w:t>
      </w:r>
      <w:r>
        <w:rPr>
          <w:rFonts w:hint="eastAsia" w:cs="宋体"/>
          <w:b w:val="0"/>
          <w:bCs w:val="0"/>
          <w:color w:val="auto"/>
          <w:sz w:val="21"/>
          <w:szCs w:val="21"/>
          <w:highlight w:val="none"/>
          <w:shd w:val="clear" w:color="auto" w:fill="FFFFFF"/>
          <w:lang w:val="en-US" w:eastAsia="zh-CN"/>
        </w:rPr>
        <w:t>医学图像处理教学系统</w:t>
      </w:r>
    </w:p>
    <w:p w14:paraId="6E635E30">
      <w:pPr>
        <w:pStyle w:val="23"/>
        <w:keepNext w:val="0"/>
        <w:keepLines w:val="0"/>
        <w:pageBreakBefore w:val="0"/>
        <w:shd w:val="clear" w:color="auto" w:fill="FFFFFF"/>
        <w:kinsoku/>
        <w:wordWrap/>
        <w:overflowPunct/>
        <w:topLinePunct w:val="0"/>
        <w:autoSpaceDE/>
        <w:autoSpaceDN/>
        <w:bidi w:val="0"/>
        <w:spacing w:before="0" w:beforeAutospacing="0" w:after="0" w:afterAutospacing="0" w:line="400" w:lineRule="exact"/>
        <w:ind w:firstLine="420" w:firstLineChars="200"/>
        <w:textAlignment w:val="auto"/>
        <w:rPr>
          <w:rFonts w:hint="eastAsia" w:cs="宋体"/>
          <w:b w:val="0"/>
          <w:bCs w:val="0"/>
          <w:color w:val="auto"/>
          <w:sz w:val="21"/>
          <w:szCs w:val="21"/>
          <w:highlight w:val="none"/>
          <w:shd w:val="clear" w:color="auto" w:fill="FFFFFF"/>
        </w:rPr>
      </w:pPr>
      <w:r>
        <w:rPr>
          <w:rFonts w:hint="eastAsia" w:cs="宋体"/>
          <w:b w:val="0"/>
          <w:bCs w:val="0"/>
          <w:color w:val="auto"/>
          <w:sz w:val="21"/>
          <w:szCs w:val="21"/>
          <w:highlight w:val="none"/>
          <w:shd w:val="clear" w:color="auto" w:fill="FFFFFF"/>
        </w:rPr>
        <w:t>数量：1</w:t>
      </w:r>
    </w:p>
    <w:p w14:paraId="3931BA37">
      <w:pPr>
        <w:pStyle w:val="23"/>
        <w:keepNext w:val="0"/>
        <w:keepLines w:val="0"/>
        <w:pageBreakBefore w:val="0"/>
        <w:shd w:val="clear" w:color="auto" w:fill="FFFFFF"/>
        <w:kinsoku/>
        <w:wordWrap/>
        <w:overflowPunct/>
        <w:topLinePunct w:val="0"/>
        <w:autoSpaceDE/>
        <w:autoSpaceDN/>
        <w:bidi w:val="0"/>
        <w:spacing w:before="0" w:beforeAutospacing="0" w:after="0" w:afterAutospacing="0" w:line="400" w:lineRule="exact"/>
        <w:ind w:firstLine="420" w:firstLineChars="200"/>
        <w:textAlignment w:val="auto"/>
        <w:rPr>
          <w:rFonts w:hint="default" w:cs="宋体"/>
          <w:color w:val="auto"/>
          <w:sz w:val="21"/>
          <w:szCs w:val="21"/>
          <w:highlight w:val="none"/>
          <w:shd w:val="clear" w:color="auto" w:fill="FFFFFF"/>
          <w:lang w:val="en-US"/>
        </w:rPr>
      </w:pPr>
      <w:r>
        <w:rPr>
          <w:rFonts w:hint="eastAsia" w:cs="宋体"/>
          <w:color w:val="auto"/>
          <w:sz w:val="21"/>
          <w:szCs w:val="21"/>
          <w:highlight w:val="none"/>
          <w:shd w:val="clear" w:color="auto" w:fill="FFFFFF"/>
        </w:rPr>
        <w:t>预算金额（元）：</w:t>
      </w:r>
      <w:r>
        <w:rPr>
          <w:rFonts w:hint="eastAsia"/>
          <w:color w:val="auto"/>
          <w:sz w:val="21"/>
          <w:szCs w:val="21"/>
          <w:highlight w:val="none"/>
          <w:lang w:val="en-US" w:eastAsia="zh-CN"/>
        </w:rPr>
        <w:t>280000.00</w:t>
      </w:r>
    </w:p>
    <w:p w14:paraId="274A4F52">
      <w:pPr>
        <w:pStyle w:val="23"/>
        <w:keepNext w:val="0"/>
        <w:keepLines w:val="0"/>
        <w:pageBreakBefore w:val="0"/>
        <w:shd w:val="clear" w:color="auto" w:fill="FFFFFF"/>
        <w:kinsoku/>
        <w:wordWrap/>
        <w:overflowPunct/>
        <w:topLinePunct w:val="0"/>
        <w:autoSpaceDE/>
        <w:autoSpaceDN/>
        <w:bidi w:val="0"/>
        <w:spacing w:before="0" w:beforeAutospacing="0" w:after="0" w:afterAutospacing="0" w:line="400" w:lineRule="exact"/>
        <w:ind w:firstLine="420" w:firstLineChars="200"/>
        <w:textAlignment w:val="auto"/>
        <w:rPr>
          <w:rFonts w:hint="eastAsia" w:cs="宋体"/>
          <w:color w:val="auto"/>
          <w:sz w:val="21"/>
          <w:szCs w:val="21"/>
          <w:highlight w:val="none"/>
          <w:shd w:val="clear" w:color="auto" w:fill="FFFFFF"/>
        </w:rPr>
      </w:pPr>
      <w:r>
        <w:rPr>
          <w:rFonts w:hint="eastAsia" w:cs="宋体"/>
          <w:color w:val="auto"/>
          <w:sz w:val="21"/>
          <w:szCs w:val="21"/>
          <w:highlight w:val="none"/>
          <w:shd w:val="clear" w:color="auto" w:fill="FFFFFF"/>
        </w:rPr>
        <w:t>简要规格描述或项目基本概况介绍、用途：</w:t>
      </w:r>
      <w:r>
        <w:rPr>
          <w:rFonts w:hint="eastAsia" w:cs="宋体"/>
          <w:b w:val="0"/>
          <w:bCs w:val="0"/>
          <w:color w:val="auto"/>
          <w:sz w:val="21"/>
          <w:szCs w:val="21"/>
          <w:highlight w:val="none"/>
          <w:shd w:val="clear" w:color="auto" w:fill="FFFFFF"/>
          <w:lang w:val="en-US" w:eastAsia="zh-CN"/>
        </w:rPr>
        <w:t>医学图像处理教学系统</w:t>
      </w:r>
      <w:r>
        <w:rPr>
          <w:rFonts w:hint="eastAsia" w:asciiTheme="minorEastAsia" w:hAnsiTheme="minorEastAsia" w:eastAsiaTheme="minorEastAsia" w:cstheme="minorEastAsia"/>
          <w:color w:val="auto"/>
          <w:sz w:val="20"/>
          <w:szCs w:val="20"/>
          <w:highlight w:val="none"/>
          <w:lang w:val="en-US" w:eastAsia="zh-CN"/>
        </w:rPr>
        <w:t>1套</w:t>
      </w:r>
      <w:r>
        <w:rPr>
          <w:rFonts w:hint="eastAsia" w:cs="宋体"/>
          <w:color w:val="auto"/>
          <w:sz w:val="21"/>
          <w:szCs w:val="21"/>
          <w:highlight w:val="none"/>
          <w:shd w:val="clear" w:color="auto" w:fill="FFFFFF"/>
        </w:rPr>
        <w:t>，详见招标文件。</w:t>
      </w:r>
    </w:p>
    <w:p w14:paraId="43DFDE73">
      <w:pPr>
        <w:spacing w:line="360" w:lineRule="auto"/>
        <w:ind w:firstLine="420" w:firstLineChars="200"/>
        <w:rPr>
          <w:rFonts w:hint="default" w:ascii="宋体" w:hAnsi="宋体" w:eastAsia="宋体"/>
          <w:b/>
          <w:bCs/>
          <w:color w:val="auto"/>
          <w:szCs w:val="21"/>
          <w:highlight w:val="none"/>
          <w:lang w:val="en-US" w:eastAsia="zh-CN"/>
        </w:rPr>
      </w:pPr>
      <w:r>
        <w:rPr>
          <w:rFonts w:hint="eastAsia" w:cs="宋体"/>
          <w:color w:val="auto"/>
          <w:sz w:val="21"/>
          <w:szCs w:val="21"/>
          <w:highlight w:val="none"/>
          <w:shd w:val="clear" w:color="auto" w:fill="FFFFFF"/>
        </w:rPr>
        <w:t>最高限价（如有）：</w:t>
      </w:r>
      <w:r>
        <w:rPr>
          <w:rFonts w:hint="eastAsia" w:ascii="宋体" w:hAnsi="宋体"/>
          <w:color w:val="auto"/>
          <w:szCs w:val="21"/>
          <w:highlight w:val="none"/>
          <w:lang w:val="en-US" w:eastAsia="zh-CN"/>
        </w:rPr>
        <w:t>280000.00</w:t>
      </w:r>
      <w:r>
        <w:rPr>
          <w:rFonts w:hint="eastAsia" w:ascii="宋体" w:hAnsi="宋体"/>
          <w:color w:val="auto"/>
          <w:szCs w:val="21"/>
          <w:highlight w:val="none"/>
          <w:lang w:eastAsia="zh-CN"/>
        </w:rPr>
        <w:t>元</w:t>
      </w:r>
    </w:p>
    <w:p w14:paraId="2B5D7095">
      <w:pPr>
        <w:spacing w:line="360" w:lineRule="auto"/>
        <w:ind w:firstLine="420" w:firstLineChars="200"/>
        <w:rPr>
          <w:rFonts w:hint="eastAsia" w:ascii="宋体" w:hAnsi="宋体" w:eastAsia="宋体" w:cs="宋体"/>
          <w:color w:val="auto"/>
          <w:szCs w:val="21"/>
          <w:highlight w:val="none"/>
          <w:lang w:eastAsia="zh-CN"/>
        </w:rPr>
      </w:pPr>
      <w:r>
        <w:rPr>
          <w:rFonts w:hint="eastAsia" w:cs="宋体"/>
          <w:color w:val="auto"/>
          <w:sz w:val="21"/>
          <w:szCs w:val="21"/>
          <w:highlight w:val="none"/>
          <w:shd w:val="clear" w:color="auto" w:fill="FFFFFF"/>
        </w:rPr>
        <w:t>合同履约期限</w:t>
      </w:r>
      <w:r>
        <w:rPr>
          <w:rFonts w:hint="eastAsia" w:ascii="宋体" w:hAnsi="宋体" w:cs="宋体"/>
          <w:color w:val="auto"/>
          <w:szCs w:val="21"/>
          <w:highlight w:val="none"/>
        </w:rPr>
        <w:t>：</w:t>
      </w:r>
      <w:r>
        <w:rPr>
          <w:rFonts w:hint="eastAsia" w:ascii="宋体" w:hAnsi="宋体" w:eastAsia="宋体" w:cs="宋体"/>
          <w:color w:val="auto"/>
          <w:szCs w:val="21"/>
          <w:highlight w:val="none"/>
        </w:rPr>
        <w:t>具体详见招标文件《第二章采购需求》</w:t>
      </w:r>
      <w:r>
        <w:rPr>
          <w:rFonts w:hint="eastAsia" w:ascii="宋体" w:hAnsi="宋体" w:eastAsia="宋体" w:cs="宋体"/>
          <w:color w:val="auto"/>
          <w:szCs w:val="21"/>
          <w:highlight w:val="none"/>
          <w:lang w:eastAsia="zh-CN"/>
        </w:rPr>
        <w:t>。</w:t>
      </w:r>
    </w:p>
    <w:p w14:paraId="2DF91FF1">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本</w:t>
      </w:r>
      <w:r>
        <w:rPr>
          <w:rFonts w:hint="eastAsia" w:ascii="宋体" w:hAnsi="宋体" w:cs="宋体"/>
          <w:color w:val="auto"/>
          <w:szCs w:val="21"/>
          <w:highlight w:val="none"/>
          <w:lang w:val="en-US" w:eastAsia="zh-CN"/>
        </w:rPr>
        <w:t>分标</w:t>
      </w:r>
      <w:r>
        <w:rPr>
          <w:rFonts w:hint="eastAsia" w:ascii="宋体" w:hAnsi="宋体" w:cs="宋体"/>
          <w:color w:val="auto"/>
          <w:szCs w:val="21"/>
          <w:highlight w:val="none"/>
        </w:rPr>
        <w:t>（否）接受联合体投标</w:t>
      </w:r>
      <w:r>
        <w:rPr>
          <w:rFonts w:hint="eastAsia" w:ascii="宋体" w:hAnsi="宋体" w:cs="宋体"/>
          <w:color w:val="auto"/>
          <w:szCs w:val="21"/>
          <w:highlight w:val="none"/>
          <w:lang w:eastAsia="zh-CN"/>
        </w:rPr>
        <w:t>。</w:t>
      </w:r>
    </w:p>
    <w:p w14:paraId="0CC9504B">
      <w:pPr>
        <w:pStyle w:val="23"/>
        <w:keepNext w:val="0"/>
        <w:keepLines w:val="0"/>
        <w:pageBreakBefore w:val="0"/>
        <w:shd w:val="clear" w:color="auto" w:fill="FFFFFF"/>
        <w:kinsoku/>
        <w:wordWrap/>
        <w:overflowPunct/>
        <w:topLinePunct w:val="0"/>
        <w:autoSpaceDE/>
        <w:autoSpaceDN/>
        <w:bidi w:val="0"/>
        <w:spacing w:before="0" w:beforeAutospacing="0" w:after="0" w:afterAutospacing="0" w:line="400" w:lineRule="exact"/>
        <w:ind w:firstLine="420" w:firstLineChars="200"/>
        <w:textAlignment w:val="auto"/>
        <w:rPr>
          <w:rFonts w:hint="default" w:eastAsia="宋体" w:cs="宋体"/>
          <w:b w:val="0"/>
          <w:bCs w:val="0"/>
          <w:color w:val="auto"/>
          <w:sz w:val="21"/>
          <w:szCs w:val="21"/>
          <w:highlight w:val="none"/>
          <w:shd w:val="clear" w:color="auto" w:fill="FFFFFF"/>
          <w:lang w:val="en-US" w:eastAsia="zh-CN"/>
        </w:rPr>
      </w:pPr>
      <w:r>
        <w:rPr>
          <w:rFonts w:hint="eastAsia" w:ascii="宋体" w:hAnsi="宋体"/>
          <w:b w:val="0"/>
          <w:bCs w:val="0"/>
          <w:color w:val="auto"/>
          <w:sz w:val="21"/>
          <w:szCs w:val="21"/>
          <w:highlight w:val="none"/>
          <w:lang w:val="en-US" w:eastAsia="zh-CN"/>
        </w:rPr>
        <w:t>分标</w:t>
      </w:r>
      <w:r>
        <w:rPr>
          <w:rFonts w:hint="eastAsia"/>
          <w:b w:val="0"/>
          <w:bCs w:val="0"/>
          <w:color w:val="auto"/>
          <w:sz w:val="21"/>
          <w:szCs w:val="21"/>
          <w:highlight w:val="none"/>
          <w:lang w:val="en-US" w:eastAsia="zh-CN"/>
        </w:rPr>
        <w:t>6</w:t>
      </w:r>
      <w:r>
        <w:rPr>
          <w:rFonts w:hint="eastAsia" w:cs="宋体"/>
          <w:b w:val="0"/>
          <w:bCs w:val="0"/>
          <w:color w:val="auto"/>
          <w:sz w:val="21"/>
          <w:szCs w:val="21"/>
          <w:highlight w:val="none"/>
          <w:shd w:val="clear" w:color="auto" w:fill="FFFFFF"/>
        </w:rPr>
        <w:t>名称：数字人解剖学系统（服务器端）</w:t>
      </w:r>
      <w:r>
        <w:rPr>
          <w:rFonts w:hint="eastAsia" w:cs="宋体"/>
          <w:b w:val="0"/>
          <w:bCs w:val="0"/>
          <w:color w:val="auto"/>
          <w:sz w:val="21"/>
          <w:szCs w:val="21"/>
          <w:highlight w:val="none"/>
          <w:shd w:val="clear" w:color="auto" w:fill="FFFFFF"/>
          <w:lang w:eastAsia="zh-CN"/>
        </w:rPr>
        <w:t>、数字人解剖学系统（学生端）</w:t>
      </w:r>
    </w:p>
    <w:p w14:paraId="4C42C96D">
      <w:pPr>
        <w:pStyle w:val="23"/>
        <w:keepNext w:val="0"/>
        <w:keepLines w:val="0"/>
        <w:pageBreakBefore w:val="0"/>
        <w:shd w:val="clear" w:color="auto" w:fill="FFFFFF"/>
        <w:kinsoku/>
        <w:wordWrap/>
        <w:overflowPunct/>
        <w:topLinePunct w:val="0"/>
        <w:autoSpaceDE/>
        <w:autoSpaceDN/>
        <w:bidi w:val="0"/>
        <w:spacing w:before="0" w:beforeAutospacing="0" w:after="0" w:afterAutospacing="0" w:line="400" w:lineRule="exact"/>
        <w:ind w:firstLine="420" w:firstLineChars="200"/>
        <w:textAlignment w:val="auto"/>
        <w:rPr>
          <w:rFonts w:hint="eastAsia" w:cs="宋体"/>
          <w:b w:val="0"/>
          <w:bCs w:val="0"/>
          <w:color w:val="auto"/>
          <w:sz w:val="21"/>
          <w:szCs w:val="21"/>
          <w:highlight w:val="none"/>
          <w:shd w:val="clear" w:color="auto" w:fill="FFFFFF"/>
        </w:rPr>
      </w:pPr>
      <w:r>
        <w:rPr>
          <w:rFonts w:hint="eastAsia" w:cs="宋体"/>
          <w:b w:val="0"/>
          <w:bCs w:val="0"/>
          <w:color w:val="auto"/>
          <w:sz w:val="21"/>
          <w:szCs w:val="21"/>
          <w:highlight w:val="none"/>
          <w:shd w:val="clear" w:color="auto" w:fill="FFFFFF"/>
        </w:rPr>
        <w:t>数量：1</w:t>
      </w:r>
    </w:p>
    <w:p w14:paraId="386D53B8">
      <w:pPr>
        <w:pStyle w:val="23"/>
        <w:keepNext w:val="0"/>
        <w:keepLines w:val="0"/>
        <w:pageBreakBefore w:val="0"/>
        <w:shd w:val="clear" w:color="auto" w:fill="FFFFFF"/>
        <w:kinsoku/>
        <w:wordWrap/>
        <w:overflowPunct/>
        <w:topLinePunct w:val="0"/>
        <w:autoSpaceDE/>
        <w:autoSpaceDN/>
        <w:bidi w:val="0"/>
        <w:spacing w:before="0" w:beforeAutospacing="0" w:after="0" w:afterAutospacing="0" w:line="400" w:lineRule="exact"/>
        <w:ind w:firstLine="420" w:firstLineChars="200"/>
        <w:textAlignment w:val="auto"/>
        <w:rPr>
          <w:rFonts w:hint="default" w:cs="宋体"/>
          <w:color w:val="auto"/>
          <w:sz w:val="21"/>
          <w:szCs w:val="21"/>
          <w:highlight w:val="none"/>
          <w:shd w:val="clear" w:color="auto" w:fill="FFFFFF"/>
          <w:lang w:val="en-US"/>
        </w:rPr>
      </w:pPr>
      <w:r>
        <w:rPr>
          <w:rFonts w:hint="eastAsia" w:cs="宋体"/>
          <w:color w:val="auto"/>
          <w:sz w:val="21"/>
          <w:szCs w:val="21"/>
          <w:highlight w:val="none"/>
          <w:shd w:val="clear" w:color="auto" w:fill="FFFFFF"/>
        </w:rPr>
        <w:t>预算金额（元）：</w:t>
      </w:r>
      <w:r>
        <w:rPr>
          <w:rFonts w:hint="eastAsia"/>
          <w:color w:val="auto"/>
          <w:sz w:val="21"/>
          <w:szCs w:val="21"/>
          <w:highlight w:val="none"/>
          <w:lang w:val="en-US" w:eastAsia="zh-CN"/>
        </w:rPr>
        <w:t>136000.00</w:t>
      </w:r>
    </w:p>
    <w:p w14:paraId="0D848A81">
      <w:pPr>
        <w:pStyle w:val="23"/>
        <w:keepNext w:val="0"/>
        <w:keepLines w:val="0"/>
        <w:pageBreakBefore w:val="0"/>
        <w:shd w:val="clear" w:color="auto" w:fill="FFFFFF"/>
        <w:kinsoku/>
        <w:wordWrap/>
        <w:overflowPunct/>
        <w:topLinePunct w:val="0"/>
        <w:autoSpaceDE/>
        <w:autoSpaceDN/>
        <w:bidi w:val="0"/>
        <w:spacing w:before="0" w:beforeAutospacing="0" w:after="0" w:afterAutospacing="0" w:line="400" w:lineRule="exact"/>
        <w:ind w:firstLine="420" w:firstLineChars="200"/>
        <w:textAlignment w:val="auto"/>
        <w:rPr>
          <w:rFonts w:hint="eastAsia" w:cs="宋体"/>
          <w:color w:val="auto"/>
          <w:sz w:val="21"/>
          <w:szCs w:val="21"/>
          <w:highlight w:val="none"/>
          <w:shd w:val="clear" w:color="auto" w:fill="FFFFFF"/>
        </w:rPr>
      </w:pPr>
      <w:r>
        <w:rPr>
          <w:rFonts w:hint="eastAsia" w:cs="宋体"/>
          <w:color w:val="auto"/>
          <w:sz w:val="21"/>
          <w:szCs w:val="21"/>
          <w:highlight w:val="none"/>
          <w:shd w:val="clear" w:color="auto" w:fill="FFFFFF"/>
        </w:rPr>
        <w:t>简要规格描述或项目基本概况介绍、用途：</w:t>
      </w:r>
      <w:r>
        <w:rPr>
          <w:rFonts w:hint="eastAsia" w:cs="宋体"/>
          <w:b w:val="0"/>
          <w:bCs w:val="0"/>
          <w:color w:val="auto"/>
          <w:sz w:val="21"/>
          <w:szCs w:val="21"/>
          <w:highlight w:val="none"/>
          <w:shd w:val="clear" w:color="auto" w:fill="FFFFFF"/>
        </w:rPr>
        <w:t>数字人解剖学系统（服务器端）</w:t>
      </w:r>
      <w:r>
        <w:rPr>
          <w:rFonts w:hint="eastAsia" w:cs="宋体"/>
          <w:b w:val="0"/>
          <w:bCs w:val="0"/>
          <w:color w:val="auto"/>
          <w:sz w:val="21"/>
          <w:szCs w:val="21"/>
          <w:highlight w:val="none"/>
          <w:shd w:val="clear" w:color="auto" w:fill="FFFFFF"/>
          <w:lang w:val="en-US" w:eastAsia="zh-CN"/>
        </w:rPr>
        <w:t>1套</w:t>
      </w:r>
      <w:r>
        <w:rPr>
          <w:rFonts w:hint="eastAsia" w:cs="宋体"/>
          <w:b w:val="0"/>
          <w:bCs w:val="0"/>
          <w:color w:val="auto"/>
          <w:sz w:val="21"/>
          <w:szCs w:val="21"/>
          <w:highlight w:val="none"/>
          <w:shd w:val="clear" w:color="auto" w:fill="FFFFFF"/>
          <w:lang w:eastAsia="zh-CN"/>
        </w:rPr>
        <w:t>、数字人解剖学系统（学生端）</w:t>
      </w:r>
      <w:r>
        <w:rPr>
          <w:rFonts w:hint="eastAsia" w:cs="宋体"/>
          <w:b w:val="0"/>
          <w:bCs w:val="0"/>
          <w:color w:val="auto"/>
          <w:sz w:val="21"/>
          <w:szCs w:val="21"/>
          <w:highlight w:val="none"/>
          <w:shd w:val="clear" w:color="auto" w:fill="FFFFFF"/>
          <w:lang w:val="en-US" w:eastAsia="zh-CN"/>
        </w:rPr>
        <w:t>6点</w:t>
      </w:r>
      <w:r>
        <w:rPr>
          <w:rFonts w:hint="eastAsia" w:cs="宋体"/>
          <w:color w:val="auto"/>
          <w:sz w:val="21"/>
          <w:szCs w:val="21"/>
          <w:highlight w:val="none"/>
          <w:shd w:val="clear" w:color="auto" w:fill="FFFFFF"/>
        </w:rPr>
        <w:t>，详见招标文件。</w:t>
      </w:r>
    </w:p>
    <w:p w14:paraId="3C074BAE">
      <w:pPr>
        <w:spacing w:line="360" w:lineRule="auto"/>
        <w:ind w:firstLine="420" w:firstLineChars="200"/>
        <w:rPr>
          <w:rFonts w:hint="default" w:ascii="宋体" w:hAnsi="宋体" w:eastAsia="宋体"/>
          <w:b/>
          <w:bCs/>
          <w:color w:val="auto"/>
          <w:szCs w:val="21"/>
          <w:highlight w:val="none"/>
          <w:lang w:val="en-US" w:eastAsia="zh-CN"/>
        </w:rPr>
      </w:pPr>
      <w:r>
        <w:rPr>
          <w:rFonts w:hint="eastAsia" w:cs="宋体"/>
          <w:color w:val="auto"/>
          <w:sz w:val="21"/>
          <w:szCs w:val="21"/>
          <w:highlight w:val="none"/>
          <w:shd w:val="clear" w:color="auto" w:fill="FFFFFF"/>
        </w:rPr>
        <w:t>最高限价（如有）：</w:t>
      </w:r>
      <w:r>
        <w:rPr>
          <w:rFonts w:hint="eastAsia" w:ascii="宋体" w:hAnsi="宋体"/>
          <w:color w:val="auto"/>
          <w:szCs w:val="21"/>
          <w:highlight w:val="none"/>
          <w:lang w:val="en-US" w:eastAsia="zh-CN"/>
        </w:rPr>
        <w:t>136000.00</w:t>
      </w:r>
      <w:r>
        <w:rPr>
          <w:rFonts w:hint="eastAsia" w:ascii="宋体" w:hAnsi="宋体"/>
          <w:color w:val="auto"/>
          <w:szCs w:val="21"/>
          <w:highlight w:val="none"/>
          <w:lang w:eastAsia="zh-CN"/>
        </w:rPr>
        <w:t>元</w:t>
      </w:r>
    </w:p>
    <w:p w14:paraId="7CE07D0E">
      <w:pPr>
        <w:spacing w:line="360" w:lineRule="auto"/>
        <w:ind w:firstLine="420" w:firstLineChars="200"/>
        <w:rPr>
          <w:rFonts w:hint="eastAsia" w:ascii="宋体" w:hAnsi="宋体" w:eastAsia="宋体" w:cs="宋体"/>
          <w:color w:val="auto"/>
          <w:szCs w:val="21"/>
          <w:highlight w:val="none"/>
          <w:lang w:eastAsia="zh-CN"/>
        </w:rPr>
      </w:pPr>
      <w:r>
        <w:rPr>
          <w:rFonts w:hint="eastAsia" w:cs="宋体"/>
          <w:color w:val="auto"/>
          <w:sz w:val="21"/>
          <w:szCs w:val="21"/>
          <w:highlight w:val="none"/>
          <w:shd w:val="clear" w:color="auto" w:fill="FFFFFF"/>
        </w:rPr>
        <w:t>合同履约期限</w:t>
      </w:r>
      <w:r>
        <w:rPr>
          <w:rFonts w:hint="eastAsia" w:ascii="宋体" w:hAnsi="宋体" w:cs="宋体"/>
          <w:color w:val="auto"/>
          <w:szCs w:val="21"/>
          <w:highlight w:val="none"/>
        </w:rPr>
        <w:t>：</w:t>
      </w:r>
      <w:r>
        <w:rPr>
          <w:rFonts w:hint="eastAsia" w:ascii="宋体" w:hAnsi="宋体" w:eastAsia="宋体" w:cs="宋体"/>
          <w:color w:val="auto"/>
          <w:szCs w:val="21"/>
          <w:highlight w:val="none"/>
        </w:rPr>
        <w:t>具体详见招标文件《第二章采购需求》</w:t>
      </w:r>
      <w:r>
        <w:rPr>
          <w:rFonts w:hint="eastAsia" w:ascii="宋体" w:hAnsi="宋体" w:eastAsia="宋体" w:cs="宋体"/>
          <w:color w:val="auto"/>
          <w:szCs w:val="21"/>
          <w:highlight w:val="none"/>
          <w:lang w:eastAsia="zh-CN"/>
        </w:rPr>
        <w:t>。</w:t>
      </w:r>
    </w:p>
    <w:p w14:paraId="2DB15BB2">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本</w:t>
      </w:r>
      <w:r>
        <w:rPr>
          <w:rFonts w:hint="eastAsia" w:ascii="宋体" w:hAnsi="宋体" w:cs="宋体"/>
          <w:color w:val="auto"/>
          <w:szCs w:val="21"/>
          <w:highlight w:val="none"/>
          <w:lang w:val="en-US" w:eastAsia="zh-CN"/>
        </w:rPr>
        <w:t>分标</w:t>
      </w:r>
      <w:r>
        <w:rPr>
          <w:rFonts w:hint="eastAsia" w:ascii="宋体" w:hAnsi="宋体" w:cs="宋体"/>
          <w:color w:val="auto"/>
          <w:szCs w:val="21"/>
          <w:highlight w:val="none"/>
        </w:rPr>
        <w:t>（否）接受联合体投标</w:t>
      </w:r>
      <w:r>
        <w:rPr>
          <w:rFonts w:hint="eastAsia" w:ascii="宋体" w:hAnsi="宋体" w:cs="宋体"/>
          <w:color w:val="auto"/>
          <w:szCs w:val="21"/>
          <w:highlight w:val="none"/>
          <w:lang w:eastAsia="zh-CN"/>
        </w:rPr>
        <w:t>。</w:t>
      </w:r>
    </w:p>
    <w:p w14:paraId="1C6999DB">
      <w:pPr>
        <w:pStyle w:val="45"/>
        <w:ind w:firstLine="420" w:firstLineChars="200"/>
        <w:rPr>
          <w:rFonts w:hint="eastAsia"/>
          <w:color w:val="auto"/>
          <w:highlight w:val="none"/>
          <w:lang w:eastAsia="zh-CN"/>
        </w:rPr>
      </w:pPr>
      <w:r>
        <w:rPr>
          <w:rFonts w:hint="eastAsia" w:cs="宋体"/>
          <w:color w:val="auto"/>
          <w:sz w:val="21"/>
          <w:szCs w:val="21"/>
          <w:highlight w:val="none"/>
          <w:shd w:val="clear" w:color="auto" w:fill="FFFFFF"/>
        </w:rPr>
        <w:t>备注：本项目为线上电子招标项目，有意向参与本项目的供应商应当做好参与全流程电子招投标交易的充分准备。</w:t>
      </w:r>
    </w:p>
    <w:p w14:paraId="3CB20756">
      <w:pPr>
        <w:spacing w:line="360" w:lineRule="auto"/>
        <w:ind w:firstLine="361"/>
        <w:rPr>
          <w:rFonts w:ascii="黑体" w:hAnsi="黑体" w:eastAsia="黑体"/>
          <w:b/>
          <w:bCs/>
          <w:color w:val="auto"/>
          <w:sz w:val="24"/>
          <w:highlight w:val="none"/>
        </w:rPr>
      </w:pPr>
      <w:bookmarkStart w:id="20" w:name="_Toc28359080"/>
      <w:bookmarkStart w:id="21" w:name="_Toc35393622"/>
      <w:bookmarkStart w:id="22" w:name="_Toc35393791"/>
      <w:bookmarkStart w:id="23" w:name="_Toc28359003"/>
      <w:r>
        <w:rPr>
          <w:rFonts w:hint="eastAsia" w:ascii="黑体" w:hAnsi="黑体" w:eastAsia="黑体"/>
          <w:b/>
          <w:bCs/>
          <w:color w:val="auto"/>
          <w:sz w:val="24"/>
          <w:highlight w:val="none"/>
        </w:rPr>
        <w:t>二、申请人的资格要求：</w:t>
      </w:r>
      <w:bookmarkEnd w:id="20"/>
      <w:bookmarkEnd w:id="21"/>
      <w:bookmarkEnd w:id="22"/>
      <w:bookmarkEnd w:id="23"/>
    </w:p>
    <w:p w14:paraId="378683BF">
      <w:pPr>
        <w:spacing w:line="360" w:lineRule="auto"/>
        <w:ind w:firstLine="420" w:firstLineChars="200"/>
        <w:rPr>
          <w:rFonts w:hint="eastAsia" w:ascii="宋体" w:hAnsi="宋体" w:eastAsia="宋体" w:cs="Times New Roman"/>
          <w:color w:val="auto"/>
          <w:szCs w:val="21"/>
          <w:highlight w:val="none"/>
        </w:rPr>
      </w:pPr>
      <w:bookmarkStart w:id="24" w:name="_Toc28359004"/>
      <w:bookmarkStart w:id="25" w:name="_Toc28359081"/>
      <w:r>
        <w:rPr>
          <w:rFonts w:hint="eastAsia" w:ascii="宋体" w:hAnsi="宋体"/>
          <w:color w:val="auto"/>
          <w:szCs w:val="21"/>
          <w:highlight w:val="none"/>
        </w:rPr>
        <w:t>1.满足《中华人</w:t>
      </w:r>
      <w:r>
        <w:rPr>
          <w:rFonts w:hint="eastAsia" w:ascii="宋体" w:hAnsi="宋体" w:eastAsia="宋体" w:cs="Times New Roman"/>
          <w:color w:val="auto"/>
          <w:szCs w:val="21"/>
          <w:highlight w:val="none"/>
        </w:rPr>
        <w:t>民共和国政府采购法》第二十二条规定。</w:t>
      </w:r>
    </w:p>
    <w:p w14:paraId="2CA79F1D">
      <w:pPr>
        <w:spacing w:line="360" w:lineRule="auto"/>
        <w:ind w:firstLine="420" w:firstLineChars="200"/>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rPr>
        <w:t>2.落实政府采购政策需满足的资格要求：</w:t>
      </w:r>
      <w:r>
        <w:rPr>
          <w:rFonts w:hint="eastAsia" w:ascii="宋体" w:hAnsi="宋体" w:cs="Times New Roman"/>
          <w:color w:val="auto"/>
          <w:szCs w:val="21"/>
          <w:highlight w:val="none"/>
          <w:lang w:eastAsia="zh-CN"/>
        </w:rPr>
        <w:t>□</w:t>
      </w:r>
      <w:r>
        <w:rPr>
          <w:rFonts w:hint="eastAsia" w:ascii="宋体" w:hAnsi="宋体" w:eastAsia="宋体" w:cs="Times New Roman"/>
          <w:color w:val="auto"/>
          <w:szCs w:val="21"/>
          <w:highlight w:val="none"/>
        </w:rPr>
        <w:t>专门面向中小企业采购的项目（供应商应为中小微企业、监狱企业、残疾人福利性单位)</w:t>
      </w:r>
      <w:r>
        <w:rPr>
          <w:rFonts w:hint="eastAsia" w:ascii="宋体" w:hAnsi="宋体" w:eastAsia="宋体" w:cs="Times New Roman"/>
          <w:color w:val="auto"/>
          <w:szCs w:val="21"/>
          <w:highlight w:val="none"/>
          <w:lang w:val="en-US" w:eastAsia="zh-CN"/>
        </w:rPr>
        <w:t xml:space="preserve"> </w:t>
      </w:r>
    </w:p>
    <w:p w14:paraId="3FC503F0">
      <w:pPr>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val="en-US" w:eastAsia="zh-CN"/>
        </w:rPr>
        <w:t xml:space="preserve"> </w:t>
      </w:r>
      <w:r>
        <w:rPr>
          <w:rFonts w:hint="eastAsia" w:ascii="宋体" w:hAnsi="宋体" w:eastAsia="宋体" w:cs="Times New Roman"/>
          <w:color w:val="auto"/>
          <w:szCs w:val="21"/>
          <w:highlight w:val="none"/>
        </w:rPr>
        <w:sym w:font="Wingdings 2" w:char="0052"/>
      </w:r>
      <w:r>
        <w:rPr>
          <w:rFonts w:hint="eastAsia" w:ascii="宋体" w:hAnsi="宋体"/>
          <w:b w:val="0"/>
          <w:bCs w:val="0"/>
          <w:color w:val="auto"/>
          <w:sz w:val="21"/>
          <w:szCs w:val="21"/>
          <w:highlight w:val="none"/>
          <w:lang w:val="en-US" w:eastAsia="zh-CN"/>
        </w:rPr>
        <w:t>分标1、分标2、分标3、分标4、分标5</w:t>
      </w:r>
      <w:r>
        <w:rPr>
          <w:rFonts w:hint="eastAsia" w:ascii="宋体" w:hAnsi="宋体" w:cs="Times New Roman"/>
          <w:color w:val="auto"/>
          <w:szCs w:val="21"/>
          <w:highlight w:val="none"/>
          <w:lang w:eastAsia="zh-CN"/>
        </w:rPr>
        <w:t>、</w:t>
      </w:r>
      <w:r>
        <w:rPr>
          <w:rFonts w:hint="eastAsia" w:ascii="宋体" w:hAnsi="宋体"/>
          <w:b w:val="0"/>
          <w:bCs w:val="0"/>
          <w:color w:val="auto"/>
          <w:sz w:val="21"/>
          <w:szCs w:val="21"/>
          <w:highlight w:val="none"/>
          <w:lang w:val="en-US" w:eastAsia="zh-CN"/>
        </w:rPr>
        <w:t>分标6</w:t>
      </w:r>
      <w:r>
        <w:rPr>
          <w:rFonts w:hint="eastAsia" w:ascii="宋体" w:hAnsi="宋体" w:eastAsia="宋体" w:cs="Times New Roman"/>
          <w:color w:val="auto"/>
          <w:szCs w:val="21"/>
          <w:highlight w:val="none"/>
        </w:rPr>
        <w:t>非专门面向中小企业采购的项目。</w:t>
      </w:r>
    </w:p>
    <w:p w14:paraId="7A7EE19C">
      <w:pPr>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3.本项目的特定资格要求：</w:t>
      </w:r>
      <w:bookmarkStart w:id="26" w:name="_Toc35393792"/>
      <w:bookmarkStart w:id="27" w:name="_Toc35393623"/>
      <w:r>
        <w:rPr>
          <w:rFonts w:hint="eastAsia" w:ascii="宋体" w:hAnsi="宋体" w:cs="Times New Roman"/>
          <w:color w:val="auto"/>
          <w:szCs w:val="21"/>
          <w:highlight w:val="none"/>
          <w:lang w:val="en-US" w:eastAsia="zh-CN"/>
        </w:rPr>
        <w:t>分标2投标人按《医疗器械监督管理条例》（国务院令第739号）医疗器械分类管理要求具备有效的医疗器械经营备案凭证或者经营许可证，且经营范围必须包含采购标的</w:t>
      </w:r>
      <w:r>
        <w:rPr>
          <w:rFonts w:hint="eastAsia"/>
          <w:color w:val="auto"/>
          <w:highlight w:val="none"/>
        </w:rPr>
        <w:t>第二类医疗器械</w:t>
      </w:r>
      <w:r>
        <w:rPr>
          <w:rFonts w:hint="eastAsia"/>
          <w:color w:val="auto"/>
          <w:highlight w:val="none"/>
          <w:lang w:val="en-US" w:eastAsia="zh-CN"/>
        </w:rPr>
        <w:t>产品</w:t>
      </w:r>
      <w:r>
        <w:rPr>
          <w:rFonts w:hint="eastAsia" w:ascii="宋体" w:hAnsi="宋体" w:cs="Times New Roman"/>
          <w:color w:val="auto"/>
          <w:szCs w:val="21"/>
          <w:highlight w:val="none"/>
          <w:lang w:val="en-US" w:eastAsia="zh-CN"/>
        </w:rPr>
        <w:t>[符合《医疗器械监督管理条例》第四十一条第二款规定的除外]；或者投标人具有《医疗器械监督管理条例》第四十三条规定的注册人凭证</w:t>
      </w:r>
      <w:r>
        <w:rPr>
          <w:rFonts w:hint="eastAsia" w:ascii="宋体" w:hAnsi="宋体" w:eastAsia="宋体" w:cs="Times New Roman"/>
          <w:color w:val="auto"/>
          <w:szCs w:val="21"/>
          <w:highlight w:val="none"/>
        </w:rPr>
        <w:t>。</w:t>
      </w:r>
    </w:p>
    <w:p w14:paraId="24C86E07">
      <w:pPr>
        <w:spacing w:line="360" w:lineRule="auto"/>
        <w:ind w:firstLine="361"/>
        <w:rPr>
          <w:rFonts w:ascii="黑体" w:hAnsi="黑体" w:eastAsia="黑体"/>
          <w:b/>
          <w:bCs/>
          <w:color w:val="auto"/>
          <w:sz w:val="24"/>
          <w:highlight w:val="none"/>
        </w:rPr>
      </w:pPr>
      <w:r>
        <w:rPr>
          <w:rFonts w:hint="eastAsia" w:ascii="黑体" w:hAnsi="黑体" w:eastAsia="黑体"/>
          <w:b/>
          <w:bCs/>
          <w:color w:val="auto"/>
          <w:sz w:val="24"/>
          <w:highlight w:val="none"/>
        </w:rPr>
        <w:t>三、获取招标文件</w:t>
      </w:r>
      <w:bookmarkEnd w:id="24"/>
      <w:bookmarkEnd w:id="25"/>
      <w:bookmarkEnd w:id="26"/>
      <w:bookmarkEnd w:id="27"/>
    </w:p>
    <w:p w14:paraId="38240C70">
      <w:pPr>
        <w:snapToGrid w:val="0"/>
        <w:spacing w:line="360" w:lineRule="auto"/>
        <w:ind w:firstLine="472" w:firstLineChars="225"/>
        <w:rPr>
          <w:rFonts w:ascii="宋体" w:hAnsi="宋体"/>
          <w:color w:val="auto"/>
          <w:szCs w:val="21"/>
          <w:highlight w:val="none"/>
        </w:rPr>
      </w:pPr>
      <w:bookmarkStart w:id="28" w:name="_Toc28359005"/>
      <w:bookmarkStart w:id="29" w:name="_Toc28359082"/>
      <w:bookmarkStart w:id="30" w:name="_Toc35393793"/>
      <w:bookmarkStart w:id="31" w:name="_Toc35393624"/>
      <w:r>
        <w:rPr>
          <w:rFonts w:hint="eastAsia" w:ascii="宋体" w:hAnsi="宋体"/>
          <w:color w:val="auto"/>
          <w:szCs w:val="21"/>
          <w:highlight w:val="none"/>
        </w:rPr>
        <w:t>时间：</w:t>
      </w:r>
      <w:r>
        <w:rPr>
          <w:rFonts w:hint="eastAsia" w:ascii="宋体" w:hAnsi="宋体"/>
          <w:color w:val="auto"/>
          <w:szCs w:val="21"/>
          <w:highlight w:val="none"/>
          <w:lang w:eastAsia="zh-CN"/>
        </w:rPr>
        <w:t>2026年</w:t>
      </w:r>
      <w:r>
        <w:rPr>
          <w:rFonts w:hint="eastAsia" w:ascii="宋体" w:hAnsi="宋体"/>
          <w:color w:val="auto"/>
          <w:szCs w:val="21"/>
          <w:highlight w:val="none"/>
          <w:lang w:val="en-US" w:eastAsia="zh-CN"/>
        </w:rPr>
        <w:t>9</w:t>
      </w:r>
      <w:r>
        <w:rPr>
          <w:rFonts w:hint="eastAsia" w:ascii="宋体" w:hAnsi="宋体"/>
          <w:color w:val="auto"/>
          <w:szCs w:val="21"/>
          <w:highlight w:val="none"/>
          <w:lang w:eastAsia="zh-CN"/>
        </w:rPr>
        <w:t>月</w:t>
      </w:r>
      <w:r>
        <w:rPr>
          <w:rFonts w:hint="eastAsia" w:ascii="宋体" w:hAnsi="宋体"/>
          <w:color w:val="auto"/>
          <w:szCs w:val="21"/>
          <w:highlight w:val="none"/>
          <w:lang w:val="en-US" w:eastAsia="zh-CN"/>
        </w:rPr>
        <w:t>4</w:t>
      </w:r>
      <w:r>
        <w:rPr>
          <w:rFonts w:hint="eastAsia" w:ascii="宋体" w:hAnsi="宋体"/>
          <w:color w:val="auto"/>
          <w:szCs w:val="21"/>
          <w:highlight w:val="none"/>
          <w:lang w:eastAsia="zh-CN"/>
        </w:rPr>
        <w:t>日</w:t>
      </w:r>
      <w:r>
        <w:rPr>
          <w:rFonts w:hint="eastAsia" w:ascii="宋体" w:hAnsi="宋体"/>
          <w:color w:val="auto"/>
          <w:szCs w:val="21"/>
          <w:highlight w:val="none"/>
        </w:rPr>
        <w:t>至</w:t>
      </w:r>
      <w:r>
        <w:rPr>
          <w:rFonts w:hint="eastAsia" w:ascii="宋体" w:hAnsi="宋体"/>
          <w:color w:val="auto"/>
          <w:szCs w:val="21"/>
          <w:highlight w:val="none"/>
          <w:lang w:eastAsia="zh-CN"/>
        </w:rPr>
        <w:t>2026年</w:t>
      </w:r>
      <w:r>
        <w:rPr>
          <w:rFonts w:hint="eastAsia" w:ascii="宋体" w:hAnsi="宋体"/>
          <w:color w:val="auto"/>
          <w:szCs w:val="21"/>
          <w:highlight w:val="none"/>
          <w:lang w:val="en-US" w:eastAsia="zh-CN"/>
        </w:rPr>
        <w:t>9</w:t>
      </w:r>
      <w:r>
        <w:rPr>
          <w:rFonts w:hint="eastAsia" w:ascii="宋体" w:hAnsi="宋体"/>
          <w:color w:val="auto"/>
          <w:szCs w:val="21"/>
          <w:highlight w:val="none"/>
          <w:lang w:eastAsia="zh-CN"/>
        </w:rPr>
        <w:t>月</w:t>
      </w:r>
      <w:r>
        <w:rPr>
          <w:rFonts w:hint="eastAsia" w:ascii="宋体" w:hAnsi="宋体"/>
          <w:color w:val="auto"/>
          <w:szCs w:val="21"/>
          <w:highlight w:val="none"/>
          <w:lang w:val="en-US" w:eastAsia="zh-CN"/>
        </w:rPr>
        <w:t>11</w:t>
      </w:r>
      <w:r>
        <w:rPr>
          <w:rFonts w:hint="eastAsia" w:ascii="宋体" w:hAnsi="宋体"/>
          <w:color w:val="auto"/>
          <w:szCs w:val="21"/>
          <w:highlight w:val="none"/>
        </w:rPr>
        <w:t>日，每天上午00:00至</w:t>
      </w:r>
      <w:r>
        <w:rPr>
          <w:rFonts w:hint="eastAsia" w:ascii="宋体" w:hAnsi="宋体"/>
          <w:color w:val="auto"/>
          <w:szCs w:val="21"/>
          <w:highlight w:val="none"/>
          <w:lang w:val="en-US" w:eastAsia="zh-CN"/>
        </w:rPr>
        <w:t>11</w:t>
      </w:r>
      <w:r>
        <w:rPr>
          <w:rFonts w:hint="eastAsia" w:ascii="宋体" w:hAnsi="宋体"/>
          <w:color w:val="auto"/>
          <w:szCs w:val="21"/>
          <w:highlight w:val="none"/>
        </w:rPr>
        <w:t>:</w:t>
      </w:r>
      <w:r>
        <w:rPr>
          <w:rFonts w:hint="eastAsia" w:ascii="宋体" w:hAnsi="宋体"/>
          <w:color w:val="auto"/>
          <w:szCs w:val="21"/>
          <w:highlight w:val="none"/>
          <w:lang w:val="en-US" w:eastAsia="zh-CN"/>
        </w:rPr>
        <w:t>59</w:t>
      </w:r>
      <w:r>
        <w:rPr>
          <w:rFonts w:hint="eastAsia" w:ascii="宋体" w:hAnsi="宋体"/>
          <w:color w:val="auto"/>
          <w:szCs w:val="21"/>
          <w:highlight w:val="none"/>
        </w:rPr>
        <w:t>，下午12:00至23:59（北京时间，法定节假日除外）。</w:t>
      </w:r>
    </w:p>
    <w:p w14:paraId="15525F72">
      <w:pPr>
        <w:snapToGrid w:val="0"/>
        <w:spacing w:line="360" w:lineRule="auto"/>
        <w:ind w:firstLine="472" w:firstLineChars="225"/>
        <w:rPr>
          <w:rFonts w:ascii="宋体" w:hAnsi="宋体"/>
          <w:color w:val="auto"/>
          <w:szCs w:val="21"/>
          <w:highlight w:val="none"/>
        </w:rPr>
      </w:pPr>
      <w:r>
        <w:rPr>
          <w:rFonts w:hint="eastAsia" w:ascii="宋体" w:hAnsi="宋体"/>
          <w:color w:val="auto"/>
          <w:szCs w:val="21"/>
          <w:highlight w:val="none"/>
        </w:rPr>
        <w:t>地点（网址）：</w:t>
      </w:r>
      <w:bookmarkStart w:id="32" w:name="OLE_LINK182"/>
      <w:r>
        <w:rPr>
          <w:rFonts w:hint="eastAsia" w:ascii="宋体" w:hAnsi="宋体"/>
          <w:color w:val="auto"/>
          <w:szCs w:val="21"/>
          <w:highlight w:val="none"/>
        </w:rPr>
        <w:t>广西政府采购云平台（</w:t>
      </w:r>
      <w:r>
        <w:rPr>
          <w:rFonts w:hint="eastAsia" w:ascii="宋体" w:hAnsi="宋体" w:cs="宋体"/>
          <w:color w:val="auto"/>
          <w:szCs w:val="21"/>
          <w:highlight w:val="none"/>
        </w:rPr>
        <w:t>https://www.gcy.zfcg.gxzf.gov.cn/</w:t>
      </w:r>
      <w:r>
        <w:rPr>
          <w:rFonts w:hint="eastAsia" w:ascii="宋体" w:hAnsi="宋体"/>
          <w:color w:val="auto"/>
          <w:szCs w:val="21"/>
          <w:highlight w:val="none"/>
        </w:rPr>
        <w:t>）</w:t>
      </w:r>
    </w:p>
    <w:bookmarkEnd w:id="32"/>
    <w:p w14:paraId="5A9FC0E0">
      <w:pPr>
        <w:snapToGrid w:val="0"/>
        <w:spacing w:line="360" w:lineRule="auto"/>
        <w:ind w:firstLine="472" w:firstLineChars="225"/>
        <w:rPr>
          <w:rFonts w:hint="eastAsia" w:ascii="宋体" w:hAnsi="宋体"/>
          <w:color w:val="auto"/>
          <w:szCs w:val="21"/>
          <w:highlight w:val="none"/>
        </w:rPr>
      </w:pPr>
      <w:r>
        <w:rPr>
          <w:rFonts w:hint="eastAsia" w:ascii="宋体" w:hAnsi="宋体"/>
          <w:color w:val="auto"/>
          <w:szCs w:val="21"/>
          <w:highlight w:val="none"/>
        </w:rPr>
        <w:t>方式:</w:t>
      </w:r>
      <w:bookmarkStart w:id="33" w:name="OLE_LINK183"/>
      <w:r>
        <w:rPr>
          <w:rFonts w:hint="eastAsia" w:ascii="宋体" w:hAnsi="宋体"/>
          <w:color w:val="auto"/>
          <w:szCs w:val="21"/>
          <w:highlight w:val="none"/>
        </w:rPr>
        <w:t>网上下载。本项目不发放纸质文件，潜在投标人可自行在广西政府采购云平台（https：</w:t>
      </w:r>
    </w:p>
    <w:p w14:paraId="3924B9A0">
      <w:pPr>
        <w:snapToGrid w:val="0"/>
        <w:spacing w:line="360" w:lineRule="auto"/>
        <w:rPr>
          <w:rFonts w:ascii="宋体" w:hAnsi="宋体"/>
          <w:color w:val="auto"/>
          <w:szCs w:val="21"/>
          <w:highlight w:val="none"/>
        </w:rPr>
      </w:pPr>
      <w:r>
        <w:rPr>
          <w:rFonts w:hint="eastAsia" w:ascii="宋体" w:hAnsi="宋体"/>
          <w:color w:val="auto"/>
          <w:szCs w:val="21"/>
          <w:highlight w:val="none"/>
        </w:rPr>
        <w:t>//www.gcy.zfcg.gxzf.gov.cn/）下载招标文件（操作路径：登录广西政府采购云平台-项目采购-获取采购文件一找到本项目一点击“申请获取采购文件”），电子版投标文件制作需要基于广西政府采购云平台获取的招标文件编制。</w:t>
      </w:r>
      <w:bookmarkEnd w:id="33"/>
    </w:p>
    <w:p w14:paraId="2F36F33B">
      <w:pPr>
        <w:snapToGrid w:val="0"/>
        <w:spacing w:line="360" w:lineRule="auto"/>
        <w:ind w:firstLine="472" w:firstLineChars="225"/>
        <w:rPr>
          <w:rFonts w:ascii="宋体" w:hAnsi="宋体"/>
          <w:color w:val="auto"/>
          <w:szCs w:val="21"/>
          <w:highlight w:val="none"/>
        </w:rPr>
      </w:pPr>
      <w:r>
        <w:rPr>
          <w:rFonts w:hint="eastAsia" w:ascii="宋体" w:hAnsi="宋体"/>
          <w:color w:val="auto"/>
          <w:szCs w:val="21"/>
          <w:highlight w:val="none"/>
        </w:rPr>
        <w:t>售价（元）：0</w:t>
      </w:r>
    </w:p>
    <w:p w14:paraId="0FFCE489">
      <w:pPr>
        <w:spacing w:line="360" w:lineRule="auto"/>
        <w:ind w:firstLine="361"/>
        <w:rPr>
          <w:rFonts w:ascii="黑体" w:hAnsi="黑体" w:eastAsia="黑体"/>
          <w:b/>
          <w:bCs/>
          <w:color w:val="auto"/>
          <w:sz w:val="24"/>
          <w:highlight w:val="none"/>
        </w:rPr>
      </w:pPr>
      <w:r>
        <w:rPr>
          <w:rFonts w:hint="eastAsia" w:ascii="黑体" w:hAnsi="黑体" w:eastAsia="黑体"/>
          <w:b/>
          <w:bCs/>
          <w:color w:val="auto"/>
          <w:sz w:val="24"/>
          <w:highlight w:val="none"/>
        </w:rPr>
        <w:t>四、提交投标文件</w:t>
      </w:r>
      <w:bookmarkEnd w:id="28"/>
      <w:bookmarkEnd w:id="29"/>
      <w:r>
        <w:rPr>
          <w:rFonts w:hint="eastAsia" w:ascii="黑体" w:hAnsi="黑体" w:eastAsia="黑体"/>
          <w:b/>
          <w:bCs/>
          <w:color w:val="auto"/>
          <w:sz w:val="24"/>
          <w:highlight w:val="none"/>
        </w:rPr>
        <w:t>截止时间、开标时间和地点</w:t>
      </w:r>
      <w:bookmarkEnd w:id="30"/>
      <w:bookmarkEnd w:id="31"/>
    </w:p>
    <w:p w14:paraId="038596FF">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提交投标文件截止时间：</w:t>
      </w:r>
      <w:r>
        <w:rPr>
          <w:rFonts w:hint="eastAsia" w:ascii="宋体" w:hAnsi="宋体"/>
          <w:bCs/>
          <w:color w:val="auto"/>
          <w:szCs w:val="21"/>
          <w:highlight w:val="none"/>
          <w:lang w:eastAsia="zh-CN"/>
        </w:rPr>
        <w:t>2026年</w:t>
      </w:r>
      <w:r>
        <w:rPr>
          <w:rFonts w:hint="eastAsia" w:ascii="宋体" w:hAnsi="宋体"/>
          <w:bCs/>
          <w:color w:val="auto"/>
          <w:szCs w:val="21"/>
          <w:highlight w:val="none"/>
          <w:lang w:val="en-US" w:eastAsia="zh-CN"/>
        </w:rPr>
        <w:t>9</w:t>
      </w:r>
      <w:r>
        <w:rPr>
          <w:rFonts w:hint="eastAsia" w:ascii="宋体" w:hAnsi="宋体"/>
          <w:bCs/>
          <w:color w:val="auto"/>
          <w:szCs w:val="21"/>
          <w:highlight w:val="none"/>
          <w:lang w:eastAsia="zh-CN"/>
        </w:rPr>
        <w:t>月</w:t>
      </w:r>
      <w:r>
        <w:rPr>
          <w:rFonts w:hint="eastAsia" w:ascii="宋体" w:hAnsi="宋体"/>
          <w:bCs/>
          <w:color w:val="auto"/>
          <w:szCs w:val="21"/>
          <w:highlight w:val="none"/>
          <w:lang w:val="en-US" w:eastAsia="zh-CN"/>
        </w:rPr>
        <w:t>28</w:t>
      </w:r>
      <w:r>
        <w:rPr>
          <w:rFonts w:hint="eastAsia" w:ascii="宋体" w:hAnsi="宋体"/>
          <w:bCs/>
          <w:color w:val="auto"/>
          <w:szCs w:val="21"/>
          <w:highlight w:val="none"/>
        </w:rPr>
        <w:t>日 09:</w:t>
      </w:r>
      <w:r>
        <w:rPr>
          <w:rFonts w:hint="eastAsia" w:ascii="宋体" w:hAnsi="宋体"/>
          <w:bCs/>
          <w:color w:val="auto"/>
          <w:szCs w:val="21"/>
          <w:highlight w:val="none"/>
          <w:lang w:val="en-US" w:eastAsia="zh-CN"/>
        </w:rPr>
        <w:t>0</w:t>
      </w:r>
      <w:r>
        <w:rPr>
          <w:rFonts w:hint="eastAsia" w:ascii="宋体" w:hAnsi="宋体"/>
          <w:bCs/>
          <w:color w:val="auto"/>
          <w:szCs w:val="21"/>
          <w:highlight w:val="none"/>
        </w:rPr>
        <w:t>0（北京时间）</w:t>
      </w:r>
    </w:p>
    <w:p w14:paraId="3984756D">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投标地点（网址）：广西政府采购云平台（https://www.gcy.zfcg.gxzf.gov.cn/）</w:t>
      </w:r>
    </w:p>
    <w:p w14:paraId="2595BE0B">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开标时间：</w:t>
      </w:r>
      <w:r>
        <w:rPr>
          <w:rFonts w:hint="eastAsia" w:ascii="宋体" w:hAnsi="宋体"/>
          <w:bCs/>
          <w:color w:val="auto"/>
          <w:szCs w:val="21"/>
          <w:highlight w:val="none"/>
          <w:lang w:eastAsia="zh-CN"/>
        </w:rPr>
        <w:t>2026年</w:t>
      </w:r>
      <w:r>
        <w:rPr>
          <w:rFonts w:hint="eastAsia" w:ascii="宋体" w:hAnsi="宋体"/>
          <w:bCs/>
          <w:color w:val="auto"/>
          <w:szCs w:val="21"/>
          <w:highlight w:val="none"/>
          <w:lang w:val="en-US" w:eastAsia="zh-CN"/>
        </w:rPr>
        <w:t>9</w:t>
      </w:r>
      <w:r>
        <w:rPr>
          <w:rFonts w:hint="eastAsia" w:ascii="宋体" w:hAnsi="宋体"/>
          <w:bCs/>
          <w:color w:val="auto"/>
          <w:szCs w:val="21"/>
          <w:highlight w:val="none"/>
          <w:lang w:eastAsia="zh-CN"/>
        </w:rPr>
        <w:t>月</w:t>
      </w:r>
      <w:r>
        <w:rPr>
          <w:rFonts w:hint="eastAsia" w:ascii="宋体" w:hAnsi="宋体"/>
          <w:bCs/>
          <w:color w:val="auto"/>
          <w:szCs w:val="21"/>
          <w:highlight w:val="none"/>
          <w:lang w:val="en-US" w:eastAsia="zh-CN"/>
        </w:rPr>
        <w:t>28</w:t>
      </w:r>
      <w:r>
        <w:rPr>
          <w:rFonts w:hint="eastAsia" w:ascii="宋体" w:hAnsi="宋体"/>
          <w:bCs/>
          <w:color w:val="auto"/>
          <w:szCs w:val="21"/>
          <w:highlight w:val="none"/>
        </w:rPr>
        <w:t>日09:</w:t>
      </w:r>
      <w:r>
        <w:rPr>
          <w:rFonts w:hint="eastAsia" w:ascii="宋体" w:hAnsi="宋体"/>
          <w:bCs/>
          <w:color w:val="auto"/>
          <w:szCs w:val="21"/>
          <w:highlight w:val="none"/>
          <w:lang w:val="en-US" w:eastAsia="zh-CN"/>
        </w:rPr>
        <w:t>0</w:t>
      </w:r>
      <w:r>
        <w:rPr>
          <w:rFonts w:hint="eastAsia" w:ascii="宋体" w:hAnsi="宋体"/>
          <w:bCs/>
          <w:color w:val="auto"/>
          <w:szCs w:val="21"/>
          <w:highlight w:val="none"/>
        </w:rPr>
        <w:t>0（北京时间）</w:t>
      </w:r>
    </w:p>
    <w:p w14:paraId="454D57EB">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开标地点：广西政府采购云平台电子开标大厅</w:t>
      </w:r>
    </w:p>
    <w:p w14:paraId="25301F3B">
      <w:pPr>
        <w:spacing w:line="360" w:lineRule="auto"/>
        <w:ind w:firstLine="361"/>
        <w:rPr>
          <w:rFonts w:ascii="黑体" w:hAnsi="黑体" w:eastAsia="黑体"/>
          <w:b/>
          <w:bCs/>
          <w:color w:val="auto"/>
          <w:sz w:val="24"/>
          <w:highlight w:val="none"/>
        </w:rPr>
      </w:pPr>
      <w:bookmarkStart w:id="34" w:name="_Toc28359084"/>
      <w:bookmarkStart w:id="35" w:name="_Toc28359007"/>
      <w:bookmarkStart w:id="36" w:name="_Toc35393625"/>
      <w:bookmarkStart w:id="37" w:name="_Toc35393794"/>
      <w:r>
        <w:rPr>
          <w:rFonts w:hint="eastAsia" w:ascii="黑体" w:hAnsi="黑体" w:eastAsia="黑体"/>
          <w:b/>
          <w:bCs/>
          <w:color w:val="auto"/>
          <w:sz w:val="24"/>
          <w:highlight w:val="none"/>
        </w:rPr>
        <w:t>五、公告期限</w:t>
      </w:r>
      <w:bookmarkEnd w:id="34"/>
      <w:bookmarkEnd w:id="35"/>
      <w:bookmarkEnd w:id="36"/>
      <w:bookmarkEnd w:id="37"/>
    </w:p>
    <w:p w14:paraId="3EC8D8D6">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自本公告发布之日起5个工作日。</w:t>
      </w:r>
    </w:p>
    <w:p w14:paraId="258F2327">
      <w:pPr>
        <w:spacing w:line="360" w:lineRule="auto"/>
        <w:ind w:firstLine="361"/>
        <w:rPr>
          <w:rFonts w:ascii="黑体" w:hAnsi="黑体" w:eastAsia="黑体"/>
          <w:b/>
          <w:bCs/>
          <w:color w:val="auto"/>
          <w:sz w:val="24"/>
          <w:highlight w:val="none"/>
        </w:rPr>
      </w:pPr>
      <w:bookmarkStart w:id="38" w:name="_Toc35393795"/>
      <w:bookmarkStart w:id="39" w:name="_Toc35393626"/>
      <w:r>
        <w:rPr>
          <w:rFonts w:hint="eastAsia" w:ascii="黑体" w:hAnsi="黑体" w:eastAsia="黑体"/>
          <w:b/>
          <w:bCs/>
          <w:color w:val="auto"/>
          <w:sz w:val="24"/>
          <w:highlight w:val="none"/>
        </w:rPr>
        <w:t>六、其他补充事宜</w:t>
      </w:r>
      <w:bookmarkEnd w:id="38"/>
      <w:bookmarkEnd w:id="39"/>
    </w:p>
    <w:p w14:paraId="7BE74B37">
      <w:pPr>
        <w:spacing w:line="360" w:lineRule="auto"/>
        <w:ind w:firstLine="420" w:firstLineChars="200"/>
        <w:rPr>
          <w:rFonts w:hint="eastAsia" w:ascii="宋体" w:hAnsi="宋体" w:eastAsia="宋体" w:cs="宋体"/>
          <w:color w:val="auto"/>
          <w:kern w:val="0"/>
          <w:szCs w:val="21"/>
          <w:highlight w:val="none"/>
          <w:lang w:eastAsia="zh-CN"/>
        </w:rPr>
      </w:pPr>
      <w:bookmarkStart w:id="40" w:name="_Hlk37429595"/>
      <w:bookmarkStart w:id="41" w:name="_Hlk37429585"/>
      <w:bookmarkStart w:id="42" w:name="OLE_LINK199"/>
      <w:r>
        <w:rPr>
          <w:rFonts w:hint="eastAsia" w:ascii="宋体" w:hAnsi="宋体" w:cs="宋体"/>
          <w:color w:val="auto"/>
          <w:kern w:val="0"/>
          <w:szCs w:val="21"/>
          <w:highlight w:val="none"/>
        </w:rPr>
        <w:t>1.投标保证金：本项目不需要缴纳投标保证金</w:t>
      </w:r>
      <w:r>
        <w:rPr>
          <w:rFonts w:hint="eastAsia" w:ascii="宋体" w:hAnsi="宋体" w:cs="宋体"/>
          <w:color w:val="auto"/>
          <w:kern w:val="0"/>
          <w:szCs w:val="21"/>
          <w:highlight w:val="none"/>
          <w:lang w:eastAsia="zh-CN"/>
        </w:rPr>
        <w:t>。</w:t>
      </w:r>
    </w:p>
    <w:p w14:paraId="5FF1B24E">
      <w:pPr>
        <w:numPr>
          <w:ilvl w:val="0"/>
          <w:numId w:val="0"/>
        </w:numPr>
        <w:spacing w:line="360" w:lineRule="auto"/>
        <w:ind w:left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2.</w:t>
      </w:r>
      <w:r>
        <w:rPr>
          <w:rFonts w:hint="eastAsia" w:ascii="宋体" w:hAnsi="宋体" w:cs="宋体"/>
          <w:color w:val="auto"/>
          <w:kern w:val="0"/>
          <w:szCs w:val="21"/>
          <w:highlight w:val="none"/>
        </w:rPr>
        <w:t>采购意向公开链接：https://zfcg.gxzf.gov.cn/site/detail?parentId=66485&amp;articleId=D7mGVi9Ld8wMyimctPcuAw==</w:t>
      </w:r>
    </w:p>
    <w:p w14:paraId="13AB78ED">
      <w:pPr>
        <w:spacing w:line="360" w:lineRule="auto"/>
        <w:ind w:firstLine="420" w:firstLineChars="200"/>
        <w:rPr>
          <w:rFonts w:hint="eastAsia" w:ascii="宋体" w:hAnsi="宋体" w:cs="宋体"/>
          <w:color w:val="auto"/>
          <w:kern w:val="0"/>
          <w:szCs w:val="21"/>
          <w:highlight w:val="none"/>
          <w:lang w:eastAsia="zh-CN"/>
        </w:rPr>
      </w:pPr>
      <w:r>
        <w:rPr>
          <w:rFonts w:hint="eastAsia" w:ascii="宋体" w:hAnsi="宋体" w:cs="宋体"/>
          <w:color w:val="auto"/>
          <w:kern w:val="0"/>
          <w:szCs w:val="21"/>
          <w:highlight w:val="none"/>
          <w:lang w:val="en-US" w:eastAsia="zh-CN"/>
        </w:rPr>
        <w:t>3.</w:t>
      </w:r>
      <w:r>
        <w:rPr>
          <w:rFonts w:hint="eastAsia" w:ascii="宋体" w:hAnsi="宋体" w:cs="宋体"/>
          <w:color w:val="auto"/>
          <w:kern w:val="0"/>
          <w:szCs w:val="21"/>
          <w:highlight w:val="none"/>
        </w:rPr>
        <w:t>网上查询地址</w:t>
      </w:r>
      <w:bookmarkEnd w:id="40"/>
      <w:bookmarkEnd w:id="41"/>
      <w:bookmarkStart w:id="43" w:name="_Hlk37429674"/>
      <w:r>
        <w:rPr>
          <w:rFonts w:hint="eastAsia" w:ascii="宋体" w:hAnsi="宋体" w:cs="宋体"/>
          <w:color w:val="auto"/>
          <w:kern w:val="0"/>
          <w:szCs w:val="21"/>
          <w:highlight w:val="none"/>
          <w:lang w:eastAsia="zh-CN"/>
        </w:rPr>
        <w:t>：中国政府采购网（http：//www.ccgp.gov.cn/）、广西政府采购网(https://zfcg.gxzf.gov.cn/)、全国公共资源交易平台（广西·百色）（http：//ggzy.jgswj.gxzf.gov.cn/bsggzy/）。</w:t>
      </w:r>
    </w:p>
    <w:p w14:paraId="0DFA7312">
      <w:pPr>
        <w:spacing w:line="360" w:lineRule="auto"/>
        <w:ind w:firstLine="420" w:firstLineChars="200"/>
        <w:rPr>
          <w:rFonts w:ascii="宋体" w:hAnsi="宋体" w:cs="宋体"/>
          <w:color w:val="auto"/>
          <w:kern w:val="0"/>
          <w:szCs w:val="21"/>
          <w:highlight w:val="none"/>
        </w:rPr>
      </w:pP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w:t>
      </w:r>
      <w:r>
        <w:rPr>
          <w:rFonts w:hint="eastAsia" w:ascii="宋体" w:hAnsi="宋体" w:cs="宋体"/>
          <w:color w:val="auto"/>
          <w:kern w:val="0"/>
          <w:szCs w:val="21"/>
          <w:highlight w:val="none"/>
        </w:rPr>
        <w:t>本项目需要落实的政府采购政策：</w:t>
      </w:r>
      <w:bookmarkStart w:id="44" w:name="PO_3000001867_PM023"/>
    </w:p>
    <w:bookmarkEnd w:id="44"/>
    <w:p w14:paraId="5249264B">
      <w:pPr>
        <w:spacing w:line="360" w:lineRule="auto"/>
        <w:ind w:left="0" w:leftChars="0" w:firstLine="478" w:firstLineChars="228"/>
        <w:rPr>
          <w:rFonts w:ascii="宋体" w:hAnsi="宋体" w:cs="宋体"/>
          <w:color w:val="auto"/>
          <w:kern w:val="0"/>
          <w:szCs w:val="21"/>
          <w:highlight w:val="none"/>
        </w:rPr>
      </w:pPr>
      <w:r>
        <w:rPr>
          <w:rFonts w:hint="eastAsia" w:ascii="宋体" w:hAnsi="宋体" w:cs="宋体"/>
          <w:color w:val="auto"/>
          <w:kern w:val="0"/>
          <w:szCs w:val="21"/>
          <w:highlight w:val="none"/>
        </w:rPr>
        <w:t>（1）政府采购促进中小企业发展。</w:t>
      </w:r>
    </w:p>
    <w:p w14:paraId="7CDCD71F">
      <w:pPr>
        <w:spacing w:line="360" w:lineRule="auto"/>
        <w:ind w:left="0" w:leftChars="0" w:firstLine="478" w:firstLineChars="228"/>
        <w:rPr>
          <w:rFonts w:ascii="宋体" w:hAnsi="宋体" w:cs="宋体"/>
          <w:color w:val="auto"/>
          <w:kern w:val="0"/>
          <w:szCs w:val="21"/>
          <w:highlight w:val="none"/>
        </w:rPr>
      </w:pPr>
      <w:r>
        <w:rPr>
          <w:rFonts w:hint="eastAsia" w:ascii="宋体" w:hAnsi="宋体" w:cs="宋体"/>
          <w:color w:val="auto"/>
          <w:kern w:val="0"/>
          <w:szCs w:val="21"/>
          <w:highlight w:val="none"/>
        </w:rPr>
        <w:t>（2）政府采购支持采用本国产品的政策。</w:t>
      </w:r>
    </w:p>
    <w:p w14:paraId="54EF9E0C">
      <w:pPr>
        <w:spacing w:line="360" w:lineRule="auto"/>
        <w:ind w:left="0" w:leftChars="0" w:firstLine="478" w:firstLineChars="228"/>
        <w:rPr>
          <w:rFonts w:ascii="宋体" w:hAnsi="宋体" w:cs="宋体"/>
          <w:color w:val="auto"/>
          <w:kern w:val="0"/>
          <w:szCs w:val="21"/>
          <w:highlight w:val="none"/>
        </w:rPr>
      </w:pPr>
      <w:r>
        <w:rPr>
          <w:rFonts w:hint="eastAsia" w:ascii="宋体" w:hAnsi="宋体" w:cs="宋体"/>
          <w:color w:val="auto"/>
          <w:kern w:val="0"/>
          <w:szCs w:val="21"/>
          <w:highlight w:val="none"/>
        </w:rPr>
        <w:t>（3）强制采购节能产品。优先采购节能产品、环境标志产品。</w:t>
      </w:r>
    </w:p>
    <w:p w14:paraId="4FAF4894">
      <w:pPr>
        <w:spacing w:line="360" w:lineRule="auto"/>
        <w:ind w:left="0" w:leftChars="0" w:firstLine="478" w:firstLineChars="228"/>
        <w:rPr>
          <w:rFonts w:ascii="宋体" w:hAnsi="宋体" w:cs="宋体"/>
          <w:color w:val="auto"/>
          <w:kern w:val="0"/>
          <w:szCs w:val="21"/>
          <w:highlight w:val="none"/>
        </w:rPr>
      </w:pPr>
      <w:r>
        <w:rPr>
          <w:rFonts w:hint="eastAsia" w:ascii="宋体" w:hAnsi="宋体" w:cs="宋体"/>
          <w:color w:val="auto"/>
          <w:kern w:val="0"/>
          <w:szCs w:val="21"/>
          <w:highlight w:val="none"/>
        </w:rPr>
        <w:t>（4）政府采购促进残疾人就业政策。</w:t>
      </w:r>
    </w:p>
    <w:p w14:paraId="098D1949">
      <w:pPr>
        <w:spacing w:line="360" w:lineRule="auto"/>
        <w:ind w:left="0" w:leftChars="0" w:firstLine="478" w:firstLineChars="228"/>
        <w:rPr>
          <w:rFonts w:hint="eastAsia" w:ascii="宋体" w:hAnsi="宋体" w:cs="宋体"/>
          <w:color w:val="auto"/>
          <w:kern w:val="0"/>
          <w:szCs w:val="21"/>
          <w:highlight w:val="none"/>
        </w:rPr>
      </w:pPr>
      <w:r>
        <w:rPr>
          <w:rFonts w:hint="eastAsia" w:ascii="宋体" w:hAnsi="宋体" w:cs="宋体"/>
          <w:color w:val="auto"/>
          <w:kern w:val="0"/>
          <w:szCs w:val="21"/>
          <w:highlight w:val="none"/>
        </w:rPr>
        <w:t>（5）政府采购支持监狱企业发展。</w:t>
      </w:r>
    </w:p>
    <w:p w14:paraId="27A950D5">
      <w:pPr>
        <w:spacing w:line="360" w:lineRule="auto"/>
        <w:ind w:left="0" w:leftChars="0" w:firstLine="478" w:firstLineChars="228"/>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lang w:val="en-US" w:eastAsia="zh-CN"/>
        </w:rPr>
        <w:t>6）</w:t>
      </w:r>
      <w:r>
        <w:rPr>
          <w:rFonts w:hint="eastAsia" w:ascii="宋体" w:hAnsi="宋体" w:cs="宋体"/>
          <w:color w:val="auto"/>
          <w:kern w:val="0"/>
          <w:szCs w:val="21"/>
          <w:highlight w:val="none"/>
        </w:rPr>
        <w:t>政府</w:t>
      </w:r>
      <w:r>
        <w:rPr>
          <w:rFonts w:hint="eastAsia" w:ascii="宋体" w:hAnsi="宋体" w:eastAsia="宋体" w:cs="宋体"/>
          <w:color w:val="auto"/>
          <w:kern w:val="0"/>
          <w:szCs w:val="21"/>
          <w:highlight w:val="none"/>
        </w:rPr>
        <w:t>采购</w:t>
      </w:r>
      <w:r>
        <w:rPr>
          <w:rFonts w:hint="eastAsia" w:ascii="宋体" w:hAnsi="宋体" w:eastAsia="宋体" w:cs="宋体"/>
          <w:color w:val="auto"/>
          <w:kern w:val="0"/>
          <w:szCs w:val="21"/>
          <w:highlight w:val="none"/>
          <w:lang w:eastAsia="zh-CN"/>
        </w:rPr>
        <w:t>支持创新政府采购政策。</w:t>
      </w:r>
    </w:p>
    <w:p w14:paraId="1500F48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3E58F798">
      <w:pPr>
        <w:spacing w:line="360" w:lineRule="auto"/>
        <w:ind w:firstLine="420" w:firstLineChars="200"/>
        <w:rPr>
          <w:rFonts w:ascii="宋体" w:hAnsi="宋体" w:cs="宋体"/>
          <w:color w:val="auto"/>
          <w:kern w:val="0"/>
          <w:szCs w:val="21"/>
          <w:highlight w:val="none"/>
        </w:rPr>
      </w:pP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.对在“信用中国”网站(www.creditchina.gov.cn) 、中国政府采购网(www.ccgp.gov.cn)被列入失信被执行人、</w:t>
      </w:r>
      <w:r>
        <w:rPr>
          <w:rFonts w:hint="eastAsia" w:ascii="宋体" w:hAnsi="宋体" w:cs="宋体"/>
          <w:color w:val="auto"/>
          <w:szCs w:val="21"/>
          <w:highlight w:val="none"/>
          <w:lang w:eastAsia="zh-CN"/>
        </w:rPr>
        <w:t>重大税收违法失信主体名单</w:t>
      </w:r>
      <w:r>
        <w:rPr>
          <w:rFonts w:hint="eastAsia" w:ascii="宋体" w:hAnsi="宋体" w:cs="宋体"/>
          <w:color w:val="auto"/>
          <w:szCs w:val="21"/>
          <w:highlight w:val="none"/>
        </w:rPr>
        <w:t>、政府采购严重违法失信行为记录名单及其他不符合《中华人民共和国政府采购法》第二十二条规定条件的供应商，不得参与政府采购活动。</w:t>
      </w:r>
    </w:p>
    <w:bookmarkEnd w:id="43"/>
    <w:p w14:paraId="14408836">
      <w:pPr>
        <w:spacing w:line="360" w:lineRule="auto"/>
        <w:ind w:firstLine="422" w:firstLineChars="200"/>
        <w:rPr>
          <w:rFonts w:ascii="宋体" w:hAnsi="宋体" w:cs="宋体"/>
          <w:b/>
          <w:bCs/>
          <w:color w:val="auto"/>
          <w:kern w:val="0"/>
          <w:szCs w:val="21"/>
          <w:highlight w:val="none"/>
        </w:rPr>
      </w:pPr>
      <w:r>
        <w:rPr>
          <w:rFonts w:hint="eastAsia" w:ascii="宋体" w:hAnsi="宋体" w:cs="宋体"/>
          <w:b/>
          <w:bCs/>
          <w:color w:val="auto"/>
          <w:szCs w:val="21"/>
          <w:highlight w:val="none"/>
          <w:lang w:val="en-US" w:eastAsia="zh-CN"/>
        </w:rPr>
        <w:t>7</w:t>
      </w:r>
      <w:r>
        <w:rPr>
          <w:rFonts w:hint="eastAsia" w:ascii="宋体" w:hAnsi="宋体" w:cs="宋体"/>
          <w:b/>
          <w:bCs/>
          <w:color w:val="auto"/>
          <w:szCs w:val="21"/>
          <w:highlight w:val="none"/>
        </w:rPr>
        <w:t>.在线投标的有关说明</w:t>
      </w:r>
      <w:r>
        <w:rPr>
          <w:rFonts w:hint="eastAsia" w:ascii="宋体" w:hAnsi="宋体" w:cs="宋体"/>
          <w:b/>
          <w:bCs/>
          <w:color w:val="auto"/>
          <w:kern w:val="0"/>
          <w:szCs w:val="21"/>
          <w:highlight w:val="none"/>
        </w:rPr>
        <w:t>：</w:t>
      </w:r>
    </w:p>
    <w:p w14:paraId="36EFBCC4">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投标文件提交方式：本项目为全流程电子化项目，通过广西政府采购云平台（https://www.gcy.zfcg.gxzf.gov.cn/）实行在线电子投标，供应商应先安装广西政府采购云平台新版客户端（新版客户端下载路径：广西政府采购网（访问地址http://zfcg.gxzf.gov.cn/）—办事服务—下载专区），并按照本项目招标文件和广西政府采购云平台的要求编制、加密后在投标截止时间前通过网络上传至广西政府采购云平台，投标人在广西政府采购云平台提交电子版投标文件时，请填写参加远程开标活动经办人联系方式。</w:t>
      </w:r>
    </w:p>
    <w:p w14:paraId="44DE5211">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（2）未进行网上注册并办理数字证书（CA认证）的供应商将无法参与本项目政府采购活动，潜在投标人应当在投标截止时间前，完成电子交易平台上的CA数字证书办理及投标文件的提交。</w:t>
      </w:r>
    </w:p>
    <w:p w14:paraId="27196A40">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（3）为确保网上操作合法、有效和安全，请投标人确保在电子投标过程中能够对相关数据电文进行加密和使用电子签章，妥善保管CA数字证书并使用有效的CA数字证书参与整个招标活动。</w:t>
      </w:r>
    </w:p>
    <w:p w14:paraId="40BE75C5">
      <w:pPr>
        <w:spacing w:line="360" w:lineRule="auto"/>
        <w:ind w:firstLine="422" w:firstLineChars="200"/>
        <w:rPr>
          <w:rFonts w:ascii="宋体" w:hAnsi="宋体" w:cs="宋体"/>
          <w:bCs/>
          <w:color w:val="auto"/>
          <w:szCs w:val="21"/>
          <w:highlight w:val="none"/>
          <w:u w:val="single"/>
        </w:rPr>
      </w:pPr>
      <w:r>
        <w:rPr>
          <w:rFonts w:hint="eastAsia" w:ascii="宋体" w:hAnsi="宋体" w:cs="宋体"/>
          <w:b/>
          <w:color w:val="auto"/>
          <w:szCs w:val="21"/>
          <w:highlight w:val="none"/>
          <w:u w:val="single"/>
        </w:rPr>
        <w:t>注：投标人应当在投标截止时间前完成电子投标文件的上传、递交，投标截止时间前可以补充、修改或者撤回投标文件。补充或者修改投标文件的，应当先行撤回原文件，补充、修改后重新上传、递交。投标截止时间前未完成上传、递交的，视为撤回投标文件。投标截止时间以后上传递交的投标文件广西政府采购云平台将予以拒收。</w:t>
      </w:r>
    </w:p>
    <w:p w14:paraId="3A6F18DF">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（4）CA证书在线解密：投标人投标时，需携带制作投标文件时用来加密的有效数字证书（CA认证）登录广西政府采购云平台电子开标大厅现场按规定时间对加密的投标文件进行解密。</w:t>
      </w:r>
    </w:p>
    <w:p w14:paraId="17DF1BF2">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5）若对项目采购电子交易系统操作有疑问，可登录广西政府采购云平台（https://www.gcy.zfcg.gxzf.gov.cn/），点击右侧咨询小采，获取采小蜜智能服务管家帮助，或拨打广西政府采购云平台服务热线95763获取热线服务帮助。</w:t>
      </w:r>
    </w:p>
    <w:p w14:paraId="1750F307">
      <w:pPr>
        <w:spacing w:line="360" w:lineRule="auto"/>
        <w:ind w:firstLine="420" w:firstLineChars="200"/>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8.</w:t>
      </w:r>
      <w:r>
        <w:rPr>
          <w:rFonts w:hint="eastAsia" w:hAnsi="宋体" w:cs="宋体"/>
          <w:bCs/>
          <w:color w:val="auto"/>
          <w:highlight w:val="none"/>
        </w:rPr>
        <w:t>投标人对多个分标进行投标的中标数量约定：</w:t>
      </w:r>
      <w:r>
        <w:rPr>
          <w:rFonts w:hint="eastAsia" w:cs="宋体"/>
          <w:color w:val="auto"/>
          <w:highlight w:val="none"/>
          <w:shd w:val="clear" w:color="auto" w:fill="FFFFFF"/>
        </w:rPr>
        <w:t>本项目采用兼投兼中原则。</w:t>
      </w:r>
      <w:r>
        <w:rPr>
          <w:rFonts w:hint="eastAsia" w:hAnsi="宋体" w:cs="宋体"/>
          <w:bCs/>
          <w:color w:val="auto"/>
          <w:highlight w:val="none"/>
        </w:rPr>
        <w:t>投标人可以同时投任意一个或多个分标，</w:t>
      </w:r>
      <w:r>
        <w:rPr>
          <w:rFonts w:hint="eastAsia" w:hAnsi="宋体" w:cs="宋体"/>
          <w:bCs/>
          <w:color w:val="auto"/>
          <w:highlight w:val="none"/>
          <w:lang w:val="en-US" w:eastAsia="zh-CN"/>
        </w:rPr>
        <w:t>亦可同时中标多个</w:t>
      </w:r>
      <w:r>
        <w:rPr>
          <w:rFonts w:hint="eastAsia" w:hAnsi="宋体" w:cs="宋体"/>
          <w:bCs/>
          <w:color w:val="auto"/>
          <w:highlight w:val="none"/>
        </w:rPr>
        <w:t>分标。评审时按“分标</w:t>
      </w:r>
      <w:r>
        <w:rPr>
          <w:rFonts w:hint="eastAsia" w:hAnsi="宋体" w:cs="宋体"/>
          <w:bCs/>
          <w:color w:val="auto"/>
          <w:highlight w:val="none"/>
          <w:lang w:val="en-US" w:eastAsia="zh-CN"/>
        </w:rPr>
        <w:t>1</w:t>
      </w:r>
      <w:r>
        <w:rPr>
          <w:rFonts w:hint="eastAsia" w:hAnsi="宋体" w:cs="宋体"/>
          <w:bCs/>
          <w:color w:val="auto"/>
          <w:highlight w:val="none"/>
        </w:rPr>
        <w:t>→分标</w:t>
      </w:r>
      <w:r>
        <w:rPr>
          <w:rFonts w:hint="eastAsia" w:hAnsi="宋体" w:cs="宋体"/>
          <w:bCs/>
          <w:color w:val="auto"/>
          <w:highlight w:val="none"/>
          <w:lang w:val="en-US" w:eastAsia="zh-CN"/>
        </w:rPr>
        <w:t>2</w:t>
      </w:r>
      <w:r>
        <w:rPr>
          <w:rFonts w:hint="eastAsia" w:hAnsi="宋体" w:cs="宋体"/>
          <w:bCs/>
          <w:color w:val="auto"/>
          <w:highlight w:val="none"/>
        </w:rPr>
        <w:t>→分标</w:t>
      </w:r>
      <w:r>
        <w:rPr>
          <w:rFonts w:hint="eastAsia" w:hAnsi="宋体" w:cs="宋体"/>
          <w:bCs/>
          <w:color w:val="auto"/>
          <w:highlight w:val="none"/>
          <w:lang w:val="en-US" w:eastAsia="zh-CN"/>
        </w:rPr>
        <w:t>3</w:t>
      </w:r>
      <w:r>
        <w:rPr>
          <w:rFonts w:hint="eastAsia" w:hAnsi="宋体" w:cs="宋体"/>
          <w:bCs/>
          <w:color w:val="auto"/>
          <w:highlight w:val="none"/>
        </w:rPr>
        <w:t>→分标</w:t>
      </w:r>
      <w:r>
        <w:rPr>
          <w:rFonts w:hint="eastAsia" w:hAnsi="宋体" w:cs="宋体"/>
          <w:bCs/>
          <w:color w:val="auto"/>
          <w:highlight w:val="none"/>
          <w:lang w:val="en-US" w:eastAsia="zh-CN"/>
        </w:rPr>
        <w:t>4</w:t>
      </w:r>
      <w:r>
        <w:rPr>
          <w:rFonts w:hint="eastAsia" w:hAnsi="宋体" w:cs="宋体"/>
          <w:bCs/>
          <w:color w:val="auto"/>
          <w:highlight w:val="none"/>
        </w:rPr>
        <w:t>→分标</w:t>
      </w:r>
      <w:r>
        <w:rPr>
          <w:rFonts w:hint="eastAsia" w:hAnsi="宋体" w:cs="宋体"/>
          <w:bCs/>
          <w:color w:val="auto"/>
          <w:highlight w:val="none"/>
          <w:lang w:val="en-US" w:eastAsia="zh-CN"/>
        </w:rPr>
        <w:t>5</w:t>
      </w:r>
      <w:r>
        <w:rPr>
          <w:rFonts w:hint="eastAsia" w:hAnsi="宋体" w:cs="宋体"/>
          <w:bCs/>
          <w:color w:val="auto"/>
          <w:highlight w:val="none"/>
        </w:rPr>
        <w:t>→分标</w:t>
      </w:r>
      <w:r>
        <w:rPr>
          <w:rFonts w:hint="eastAsia" w:hAnsi="宋体" w:cs="宋体"/>
          <w:bCs/>
          <w:color w:val="auto"/>
          <w:highlight w:val="none"/>
          <w:lang w:val="en-US" w:eastAsia="zh-CN"/>
        </w:rPr>
        <w:t>6</w:t>
      </w:r>
      <w:r>
        <w:rPr>
          <w:rFonts w:hint="eastAsia" w:hAnsi="宋体" w:cs="宋体"/>
          <w:bCs/>
          <w:color w:val="auto"/>
          <w:highlight w:val="none"/>
        </w:rPr>
        <w:t>”的顺序评审。如某分标因中标人放弃中标资格、质疑或投诉等原因导致评审结果变更的，不影响其他分标评审</w:t>
      </w:r>
      <w:r>
        <w:rPr>
          <w:rFonts w:hint="eastAsia" w:hAnsi="宋体" w:cs="宋体"/>
          <w:b/>
          <w:color w:val="auto"/>
          <w:highlight w:val="none"/>
        </w:rPr>
        <w:t>（推荐）</w:t>
      </w:r>
      <w:r>
        <w:rPr>
          <w:rFonts w:hint="eastAsia" w:hAnsi="宋体" w:cs="宋体"/>
          <w:bCs/>
          <w:color w:val="auto"/>
          <w:highlight w:val="none"/>
        </w:rPr>
        <w:t>结果。</w:t>
      </w:r>
    </w:p>
    <w:p w14:paraId="2897D88E">
      <w:pPr>
        <w:spacing w:line="360" w:lineRule="auto"/>
        <w:ind w:firstLine="420" w:firstLineChars="200"/>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9.</w:t>
      </w:r>
      <w:r>
        <w:rPr>
          <w:rFonts w:hint="eastAsia" w:ascii="宋体" w:hAnsi="宋体" w:cs="宋体"/>
          <w:color w:val="auto"/>
          <w:kern w:val="0"/>
          <w:szCs w:val="21"/>
          <w:highlight w:val="none"/>
        </w:rPr>
        <w:t>评审说明：</w:t>
      </w:r>
      <w:r>
        <w:rPr>
          <w:rFonts w:hint="eastAsia" w:ascii="宋体" w:hAnsi="宋体" w:cs="宋体"/>
          <w:b/>
          <w:bCs/>
          <w:color w:val="auto"/>
          <w:kern w:val="0"/>
          <w:szCs w:val="21"/>
          <w:highlight w:val="none"/>
        </w:rPr>
        <w:t>本项目为远程异地全流程电子评标</w:t>
      </w:r>
      <w:r>
        <w:rPr>
          <w:rFonts w:hint="eastAsia" w:ascii="宋体" w:hAnsi="宋体" w:cs="宋体"/>
          <w:b/>
          <w:bCs/>
          <w:color w:val="auto"/>
          <w:kern w:val="0"/>
          <w:szCs w:val="21"/>
          <w:highlight w:val="none"/>
          <w:lang w:eastAsia="zh-CN"/>
        </w:rPr>
        <w:t>。</w:t>
      </w:r>
    </w:p>
    <w:bookmarkEnd w:id="42"/>
    <w:p w14:paraId="6B03CFFA">
      <w:pPr>
        <w:spacing w:line="360" w:lineRule="auto"/>
        <w:ind w:firstLine="361"/>
        <w:rPr>
          <w:rFonts w:ascii="黑体" w:hAnsi="黑体" w:eastAsia="黑体"/>
          <w:b/>
          <w:bCs/>
          <w:color w:val="auto"/>
          <w:sz w:val="24"/>
          <w:highlight w:val="none"/>
        </w:rPr>
      </w:pPr>
      <w:bookmarkStart w:id="45" w:name="_Toc28359085"/>
      <w:bookmarkStart w:id="46" w:name="_Toc35393627"/>
      <w:bookmarkStart w:id="47" w:name="_Toc28359008"/>
      <w:bookmarkStart w:id="48" w:name="_Toc35393796"/>
      <w:r>
        <w:rPr>
          <w:rFonts w:hint="eastAsia" w:ascii="黑体" w:hAnsi="黑体" w:eastAsia="黑体"/>
          <w:b/>
          <w:bCs/>
          <w:color w:val="auto"/>
          <w:sz w:val="24"/>
          <w:highlight w:val="none"/>
        </w:rPr>
        <w:t>七、对本次招标提出询问，请按以下方式联系。</w:t>
      </w:r>
      <w:bookmarkEnd w:id="45"/>
      <w:bookmarkEnd w:id="46"/>
      <w:bookmarkEnd w:id="47"/>
      <w:bookmarkEnd w:id="48"/>
    </w:p>
    <w:p w14:paraId="066FF3BD">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1.采购人信息</w:t>
      </w:r>
    </w:p>
    <w:p w14:paraId="6B96189B">
      <w:pPr>
        <w:spacing w:line="360" w:lineRule="auto"/>
        <w:ind w:firstLine="630" w:firstLineChars="300"/>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rPr>
        <w:t>名称：</w:t>
      </w:r>
      <w:bookmarkStart w:id="49" w:name="OLE_LINK141"/>
      <w:r>
        <w:rPr>
          <w:rFonts w:hint="eastAsia" w:ascii="宋体" w:hAnsi="宋体" w:cs="宋体"/>
          <w:color w:val="auto"/>
          <w:kern w:val="0"/>
          <w:szCs w:val="21"/>
          <w:highlight w:val="none"/>
          <w:lang w:eastAsia="zh-CN"/>
        </w:rPr>
        <w:t>右江民族医学院</w:t>
      </w:r>
    </w:p>
    <w:bookmarkEnd w:id="49"/>
    <w:p w14:paraId="15FADCDE">
      <w:pPr>
        <w:spacing w:line="360" w:lineRule="auto"/>
        <w:ind w:firstLine="630" w:firstLineChars="300"/>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rPr>
        <w:t>地址：</w:t>
      </w:r>
      <w:bookmarkStart w:id="50" w:name="OLE_LINK204"/>
      <w:r>
        <w:rPr>
          <w:rFonts w:hint="eastAsia" w:ascii="宋体" w:hAnsi="宋体" w:cs="宋体"/>
          <w:color w:val="auto"/>
          <w:kern w:val="0"/>
          <w:szCs w:val="21"/>
          <w:highlight w:val="none"/>
          <w:lang w:eastAsia="zh-CN"/>
        </w:rPr>
        <w:t>百色市城乡路98号</w:t>
      </w:r>
    </w:p>
    <w:bookmarkEnd w:id="50"/>
    <w:p w14:paraId="5F452AF2">
      <w:pPr>
        <w:spacing w:line="360" w:lineRule="auto"/>
        <w:ind w:firstLine="630" w:firstLineChars="300"/>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rPr>
        <w:t>项目联系人：</w:t>
      </w:r>
      <w:r>
        <w:rPr>
          <w:rFonts w:hint="eastAsia" w:ascii="宋体" w:hAnsi="宋体" w:cs="宋体"/>
          <w:color w:val="auto"/>
          <w:kern w:val="0"/>
          <w:szCs w:val="21"/>
          <w:highlight w:val="none"/>
          <w:lang w:eastAsia="zh-CN"/>
        </w:rPr>
        <w:t>黄新开</w:t>
      </w:r>
    </w:p>
    <w:p w14:paraId="6859DFD8">
      <w:pPr>
        <w:spacing w:line="360" w:lineRule="auto"/>
        <w:ind w:firstLine="630" w:firstLineChars="300"/>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rPr>
        <w:t>项目联系方式：</w:t>
      </w:r>
      <w:bookmarkStart w:id="51" w:name="OLE_LINK202"/>
      <w:r>
        <w:rPr>
          <w:rFonts w:hint="eastAsia" w:ascii="宋体" w:hAnsi="宋体" w:cs="宋体"/>
          <w:color w:val="auto"/>
          <w:kern w:val="0"/>
          <w:szCs w:val="21"/>
          <w:highlight w:val="none"/>
          <w:lang w:val="en-US" w:eastAsia="zh-CN"/>
        </w:rPr>
        <w:t>0776-2961007</w:t>
      </w:r>
    </w:p>
    <w:bookmarkEnd w:id="51"/>
    <w:p w14:paraId="629AEB3D">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2.采购代理机构信息</w:t>
      </w:r>
    </w:p>
    <w:p w14:paraId="45CA96F0">
      <w:pPr>
        <w:spacing w:line="360" w:lineRule="auto"/>
        <w:ind w:firstLine="630" w:firstLineChars="300"/>
        <w:rPr>
          <w:rFonts w:hint="default" w:ascii="宋体" w:hAnsi="宋体" w:eastAsia="宋体"/>
          <w:color w:val="auto"/>
          <w:szCs w:val="21"/>
          <w:highlight w:val="none"/>
          <w:lang w:val="en-US" w:eastAsia="zh-CN"/>
        </w:rPr>
      </w:pPr>
      <w:r>
        <w:rPr>
          <w:rFonts w:hint="default" w:ascii="宋体" w:hAnsi="宋体" w:eastAsia="宋体"/>
          <w:color w:val="auto"/>
          <w:szCs w:val="21"/>
          <w:highlight w:val="none"/>
          <w:lang w:val="en-US" w:eastAsia="zh-CN"/>
        </w:rPr>
        <w:t>名称：</w:t>
      </w:r>
      <w:r>
        <w:rPr>
          <w:rFonts w:hint="eastAsia" w:ascii="宋体" w:hAnsi="宋体"/>
          <w:color w:val="auto"/>
          <w:szCs w:val="21"/>
          <w:highlight w:val="none"/>
          <w:lang w:val="en-US" w:eastAsia="zh-CN"/>
        </w:rPr>
        <w:t>广西众联工程项目管理有限公司</w:t>
      </w:r>
      <w:r>
        <w:rPr>
          <w:rFonts w:hint="default" w:ascii="宋体" w:hAnsi="宋体" w:eastAsia="宋体"/>
          <w:color w:val="auto"/>
          <w:szCs w:val="21"/>
          <w:highlight w:val="none"/>
          <w:lang w:val="en-US" w:eastAsia="zh-CN"/>
        </w:rPr>
        <w:t>             </w:t>
      </w:r>
    </w:p>
    <w:p w14:paraId="70D787F3">
      <w:pPr>
        <w:spacing w:line="360" w:lineRule="auto"/>
        <w:ind w:firstLine="630" w:firstLineChars="300"/>
        <w:rPr>
          <w:rFonts w:hint="default" w:ascii="宋体" w:hAnsi="宋体" w:eastAsia="宋体"/>
          <w:color w:val="auto"/>
          <w:szCs w:val="21"/>
          <w:highlight w:val="none"/>
          <w:lang w:val="en-US" w:eastAsia="zh-CN"/>
        </w:rPr>
      </w:pPr>
      <w:r>
        <w:rPr>
          <w:rFonts w:hint="default" w:ascii="宋体" w:hAnsi="宋体" w:eastAsia="宋体"/>
          <w:color w:val="auto"/>
          <w:szCs w:val="21"/>
          <w:highlight w:val="none"/>
          <w:lang w:val="en-US" w:eastAsia="zh-CN"/>
        </w:rPr>
        <w:t>地址：南宁市江南区白沙大道53号松宇时代14A层              </w:t>
      </w:r>
    </w:p>
    <w:p w14:paraId="0F95961A">
      <w:pPr>
        <w:spacing w:line="360" w:lineRule="auto"/>
        <w:ind w:firstLine="630" w:firstLineChars="300"/>
        <w:rPr>
          <w:rFonts w:hint="default" w:ascii="宋体" w:hAnsi="宋体" w:eastAsia="宋体"/>
          <w:color w:val="auto"/>
          <w:szCs w:val="21"/>
          <w:highlight w:val="none"/>
          <w:lang w:val="en-US" w:eastAsia="zh-CN"/>
        </w:rPr>
      </w:pPr>
      <w:r>
        <w:rPr>
          <w:rFonts w:hint="default" w:ascii="宋体" w:hAnsi="宋体" w:eastAsia="宋体"/>
          <w:color w:val="auto"/>
          <w:szCs w:val="21"/>
          <w:highlight w:val="none"/>
          <w:lang w:val="en-US" w:eastAsia="zh-CN"/>
        </w:rPr>
        <w:t>项目联系人：</w:t>
      </w:r>
      <w:r>
        <w:rPr>
          <w:rFonts w:hint="eastAsia" w:ascii="宋体" w:hAnsi="宋体"/>
          <w:color w:val="auto"/>
          <w:szCs w:val="21"/>
          <w:highlight w:val="none"/>
          <w:lang w:val="en-US" w:eastAsia="zh-CN"/>
        </w:rPr>
        <w:t>戚一燕</w:t>
      </w:r>
      <w:r>
        <w:rPr>
          <w:rFonts w:hint="default" w:ascii="宋体" w:hAnsi="宋体" w:eastAsia="宋体"/>
          <w:color w:val="auto"/>
          <w:szCs w:val="21"/>
          <w:highlight w:val="none"/>
          <w:lang w:val="en-US" w:eastAsia="zh-CN"/>
        </w:rPr>
        <w:t>、</w:t>
      </w:r>
      <w:r>
        <w:rPr>
          <w:rFonts w:hint="eastAsia" w:ascii="宋体" w:hAnsi="宋体"/>
          <w:color w:val="auto"/>
          <w:szCs w:val="21"/>
          <w:highlight w:val="none"/>
          <w:lang w:val="en-US" w:eastAsia="zh-CN"/>
        </w:rPr>
        <w:t>易洪磊、</w:t>
      </w:r>
      <w:r>
        <w:rPr>
          <w:rFonts w:hint="default" w:ascii="宋体" w:hAnsi="宋体" w:eastAsia="宋体"/>
          <w:color w:val="auto"/>
          <w:szCs w:val="21"/>
          <w:highlight w:val="none"/>
          <w:lang w:val="en-US" w:eastAsia="zh-CN"/>
        </w:rPr>
        <w:t>包鹏、戚程              </w:t>
      </w:r>
    </w:p>
    <w:p w14:paraId="50677295">
      <w:pPr>
        <w:spacing w:line="360" w:lineRule="auto"/>
        <w:ind w:firstLine="630" w:firstLineChars="300"/>
        <w:rPr>
          <w:rFonts w:hint="default" w:ascii="宋体" w:hAnsi="宋体" w:eastAsia="宋体"/>
          <w:color w:val="auto"/>
          <w:szCs w:val="21"/>
          <w:highlight w:val="none"/>
          <w:lang w:val="en-US" w:eastAsia="zh-CN"/>
        </w:rPr>
      </w:pPr>
      <w:r>
        <w:rPr>
          <w:rFonts w:hint="default" w:ascii="宋体" w:hAnsi="宋体" w:eastAsia="宋体"/>
          <w:color w:val="auto"/>
          <w:szCs w:val="21"/>
          <w:highlight w:val="none"/>
          <w:lang w:val="en-US" w:eastAsia="zh-CN"/>
        </w:rPr>
        <w:t>项目联系方式：</w:t>
      </w:r>
      <w:r>
        <w:rPr>
          <w:rFonts w:hint="eastAsia" w:ascii="宋体" w:hAnsi="宋体"/>
          <w:color w:val="auto"/>
          <w:szCs w:val="21"/>
          <w:highlight w:val="none"/>
          <w:lang w:val="en-US" w:eastAsia="zh-CN"/>
        </w:rPr>
        <w:t>0771-4308370</w:t>
      </w:r>
      <w:r>
        <w:rPr>
          <w:rFonts w:hint="default" w:ascii="宋体" w:hAnsi="宋体" w:eastAsia="宋体"/>
          <w:color w:val="auto"/>
          <w:szCs w:val="21"/>
          <w:highlight w:val="none"/>
          <w:lang w:val="en-US" w:eastAsia="zh-CN"/>
        </w:rPr>
        <w:t> </w:t>
      </w:r>
    </w:p>
    <w:p w14:paraId="71B56601">
      <w:pPr>
        <w:spacing w:line="360" w:lineRule="auto"/>
        <w:jc w:val="left"/>
        <w:rPr>
          <w:rFonts w:ascii="宋体" w:hAnsi="宋体" w:cs="宋体"/>
          <w:color w:val="auto"/>
          <w:szCs w:val="21"/>
          <w:highlight w:val="none"/>
        </w:rPr>
      </w:pPr>
    </w:p>
    <w:bookmarkEnd w:id="6"/>
    <w:p w14:paraId="1E054617">
      <w:pPr>
        <w:pStyle w:val="2"/>
        <w:bidi w:val="0"/>
        <w:jc w:val="center"/>
        <w:rPr>
          <w:rFonts w:hAnsi="宋体" w:cs="宋体"/>
          <w:b/>
          <w:color w:val="auto"/>
          <w:sz w:val="36"/>
          <w:highlight w:val="none"/>
        </w:rPr>
      </w:pPr>
      <w:r>
        <w:rPr>
          <w:rFonts w:hint="eastAsia" w:hAnsi="宋体" w:cs="宋体"/>
          <w:color w:val="auto"/>
          <w:szCs w:val="21"/>
          <w:highlight w:val="none"/>
        </w:rPr>
        <w:br w:type="page"/>
      </w:r>
      <w:bookmarkStart w:id="52" w:name="_Toc532545042"/>
      <w:bookmarkStart w:id="53" w:name="_Toc28626"/>
      <w:bookmarkStart w:id="54" w:name="_Toc4656"/>
      <w:bookmarkStart w:id="55" w:name="_Toc22518"/>
      <w:bookmarkStart w:id="56" w:name="_Toc30982"/>
      <w:bookmarkStart w:id="57" w:name="_Toc32271"/>
      <w:r>
        <w:rPr>
          <w:rFonts w:hint="eastAsia" w:hAnsi="宋体" w:cs="宋体"/>
          <w:b/>
          <w:color w:val="auto"/>
          <w:sz w:val="36"/>
          <w:highlight w:val="none"/>
        </w:rPr>
        <w:t xml:space="preserve">第二章  </w:t>
      </w:r>
      <w:bookmarkEnd w:id="52"/>
      <w:r>
        <w:rPr>
          <w:rFonts w:hint="eastAsia" w:hAnsi="宋体" w:cs="宋体"/>
          <w:b/>
          <w:color w:val="auto"/>
          <w:sz w:val="36"/>
          <w:highlight w:val="none"/>
        </w:rPr>
        <w:t>采购需求</w:t>
      </w:r>
      <w:bookmarkEnd w:id="53"/>
      <w:bookmarkEnd w:id="54"/>
      <w:bookmarkEnd w:id="55"/>
      <w:bookmarkEnd w:id="56"/>
      <w:bookmarkEnd w:id="57"/>
    </w:p>
    <w:p w14:paraId="32A2BD83">
      <w:pPr>
        <w:adjustRightInd w:val="0"/>
        <w:spacing w:line="450" w:lineRule="exact"/>
        <w:ind w:firstLine="316"/>
        <w:rPr>
          <w:rFonts w:ascii="宋体" w:hAnsi="宋体" w:cs="宋体"/>
          <w:b/>
          <w:color w:val="auto"/>
          <w:szCs w:val="21"/>
          <w:highlight w:val="none"/>
        </w:rPr>
      </w:pPr>
      <w:r>
        <w:rPr>
          <w:rFonts w:hint="eastAsia" w:ascii="宋体" w:hAnsi="宋体" w:cs="宋体"/>
          <w:b/>
          <w:color w:val="auto"/>
          <w:szCs w:val="21"/>
          <w:highlight w:val="none"/>
        </w:rPr>
        <w:t>说明：</w:t>
      </w:r>
    </w:p>
    <w:p w14:paraId="7F502603">
      <w:pPr>
        <w:spacing w:line="450" w:lineRule="exact"/>
        <w:ind w:firstLine="424" w:firstLineChars="202"/>
        <w:jc w:val="left"/>
        <w:rPr>
          <w:rFonts w:hint="eastAsia" w:ascii="宋体" w:hAnsi="宋体" w:eastAsia="宋体" w:cs="宋体"/>
          <w:color w:val="auto"/>
          <w:highlight w:val="none"/>
          <w:lang w:eastAsia="zh-CN"/>
        </w:rPr>
      </w:pPr>
      <w:r>
        <w:rPr>
          <w:rFonts w:hint="eastAsia" w:ascii="宋体" w:hAnsi="宋体" w:cs="宋体"/>
          <w:color w:val="auto"/>
          <w:highlight w:val="none"/>
        </w:rPr>
        <w:t>1. 为落实政府采购政策需满足的要求</w:t>
      </w:r>
      <w:r>
        <w:rPr>
          <w:rFonts w:hint="eastAsia" w:ascii="宋体" w:hAnsi="宋体" w:cs="宋体"/>
          <w:color w:val="auto"/>
          <w:highlight w:val="none"/>
          <w:lang w:eastAsia="zh-CN"/>
        </w:rPr>
        <w:t>：</w:t>
      </w:r>
    </w:p>
    <w:p w14:paraId="5E8601AE">
      <w:pPr>
        <w:spacing w:line="450" w:lineRule="exact"/>
        <w:ind w:firstLine="424" w:firstLineChars="202"/>
        <w:jc w:val="left"/>
        <w:rPr>
          <w:rFonts w:hint="eastAsia" w:ascii="宋体" w:hAnsi="宋体" w:cs="宋体"/>
          <w:color w:val="auto"/>
          <w:highlight w:val="none"/>
          <w:lang w:val="en-US" w:eastAsia="zh-CN"/>
        </w:rPr>
      </w:pPr>
      <w:r>
        <w:rPr>
          <w:rFonts w:hint="eastAsia" w:ascii="宋体" w:hAnsi="宋体" w:cs="宋体"/>
          <w:color w:val="auto"/>
          <w:highlight w:val="none"/>
        </w:rPr>
        <w:t>（1）本招标文件所称中小企业必须符合《政府采购促进中小企业发展管理办法》（财库〔2020〕46号）的规定。</w:t>
      </w:r>
      <w:r>
        <w:rPr>
          <w:rFonts w:hint="eastAsia" w:ascii="宋体" w:hAnsi="宋体" w:cs="宋体"/>
          <w:color w:val="auto"/>
          <w:highlight w:val="none"/>
          <w:lang w:eastAsia="zh-CN"/>
        </w:rPr>
        <w:t>本项目属于</w:t>
      </w:r>
      <w:r>
        <w:rPr>
          <w:rFonts w:hint="eastAsia" w:ascii="宋体" w:hAnsi="宋体" w:cs="宋体"/>
          <w:color w:val="auto"/>
          <w:highlight w:val="none"/>
          <w:lang w:val="en-US" w:eastAsia="zh-CN"/>
        </w:rPr>
        <w:t>服务</w:t>
      </w:r>
      <w:r>
        <w:rPr>
          <w:rFonts w:hint="eastAsia" w:ascii="宋体" w:hAnsi="宋体" w:cs="宋体"/>
          <w:color w:val="auto"/>
          <w:highlight w:val="none"/>
          <w:lang w:eastAsia="zh-CN"/>
        </w:rPr>
        <w:t>采购项目。中小企业划分标准详见附件</w:t>
      </w:r>
      <w:r>
        <w:rPr>
          <w:rFonts w:hint="eastAsia" w:ascii="宋体" w:hAnsi="宋体" w:cs="宋体"/>
          <w:color w:val="auto"/>
          <w:highlight w:val="none"/>
          <w:lang w:val="en-US" w:eastAsia="zh-CN"/>
        </w:rPr>
        <w:t>1。</w:t>
      </w:r>
    </w:p>
    <w:p w14:paraId="5218B0FC">
      <w:pPr>
        <w:spacing w:line="450" w:lineRule="exact"/>
        <w:ind w:firstLine="424" w:firstLineChars="202"/>
        <w:jc w:val="left"/>
        <w:rPr>
          <w:rFonts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eastAsia="zh-CN"/>
        </w:rPr>
        <w:t>本招标文件所称本国产品标准</w:t>
      </w:r>
      <w:r>
        <w:rPr>
          <w:rFonts w:hint="eastAsia" w:ascii="宋体" w:hAnsi="宋体" w:cs="宋体"/>
          <w:color w:val="auto"/>
          <w:highlight w:val="none"/>
        </w:rPr>
        <w:t>必须符合《国务院办公厅关于在政府采购中实施本国产品标准及相关政策的通知》（国办发〔2025〕34号）的规定。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77D93381">
      <w:pPr>
        <w:spacing w:line="450" w:lineRule="exact"/>
        <w:ind w:firstLine="424" w:firstLineChars="202"/>
        <w:jc w:val="left"/>
        <w:rPr>
          <w:rFonts w:hint="eastAsia" w:ascii="宋体" w:hAnsi="宋体" w:eastAsia="宋体" w:cs="宋体"/>
          <w:color w:val="auto"/>
          <w:highlight w:val="none"/>
        </w:rPr>
      </w:pPr>
      <w:r>
        <w:rPr>
          <w:rFonts w:hint="eastAsia" w:ascii="宋体" w:hAnsi="宋体" w:cs="宋体"/>
          <w:color w:val="auto"/>
          <w:highlight w:val="none"/>
          <w:lang w:eastAsia="zh-CN"/>
        </w:rPr>
        <w:t>（</w:t>
      </w:r>
      <w:r>
        <w:rPr>
          <w:rFonts w:hint="eastAsia" w:ascii="宋体" w:hAnsi="宋体" w:cs="宋体"/>
          <w:color w:val="auto"/>
          <w:highlight w:val="none"/>
          <w:lang w:val="en-US" w:eastAsia="zh-CN"/>
        </w:rPr>
        <w:t>3</w:t>
      </w:r>
      <w:r>
        <w:rPr>
          <w:rFonts w:hint="eastAsia" w:ascii="宋体" w:hAnsi="宋体" w:cs="宋体"/>
          <w:color w:val="auto"/>
          <w:highlight w:val="none"/>
          <w:lang w:eastAsia="zh-CN"/>
        </w:rPr>
        <w:t>）</w:t>
      </w:r>
      <w:r>
        <w:rPr>
          <w:rFonts w:hint="eastAsia" w:ascii="宋体" w:hAnsi="宋体" w:cs="宋体"/>
          <w:color w:val="auto"/>
          <w:highlight w:val="none"/>
        </w:rPr>
        <w:t>根据《财政部 发展改</w:t>
      </w:r>
      <w:r>
        <w:rPr>
          <w:rFonts w:hint="eastAsia" w:ascii="宋体" w:hAnsi="宋体" w:eastAsia="宋体" w:cs="宋体"/>
          <w:color w:val="auto"/>
          <w:highlight w:val="none"/>
        </w:rPr>
        <w:t>革委 生态环境部 市场监管总局关于调整优化节能产品、环境标志产品政府采购执行机制的通知》</w:t>
      </w:r>
      <w:bookmarkStart w:id="58" w:name="OLE_LINK20"/>
      <w:r>
        <w:rPr>
          <w:rFonts w:hint="eastAsia" w:ascii="宋体" w:hAnsi="宋体" w:eastAsia="宋体" w:cs="宋体"/>
          <w:color w:val="auto"/>
          <w:highlight w:val="none"/>
        </w:rPr>
        <w:t>（财库〔2019〕9号）</w:t>
      </w:r>
      <w:bookmarkEnd w:id="58"/>
      <w:r>
        <w:rPr>
          <w:rFonts w:hint="eastAsia" w:ascii="宋体" w:hAnsi="宋体" w:eastAsia="宋体" w:cs="宋体"/>
          <w:color w:val="auto"/>
          <w:highlight w:val="none"/>
        </w:rPr>
        <w:t>和《</w:t>
      </w:r>
      <w:bookmarkStart w:id="59" w:name="OLE_LINK19"/>
      <w:r>
        <w:rPr>
          <w:rFonts w:hint="eastAsia" w:ascii="宋体" w:hAnsi="宋体" w:eastAsia="宋体" w:cs="宋体"/>
          <w:color w:val="auto"/>
          <w:highlight w:val="none"/>
        </w:rPr>
        <w:t>关于印发节能产品政府采购品目清单的通知</w:t>
      </w:r>
      <w:bookmarkEnd w:id="59"/>
      <w:r>
        <w:rPr>
          <w:rFonts w:hint="eastAsia" w:ascii="宋体" w:hAnsi="宋体" w:eastAsia="宋体" w:cs="宋体"/>
          <w:color w:val="auto"/>
          <w:highlight w:val="none"/>
        </w:rPr>
        <w:t>》（财库〔2019〕19号）的规定，采购需求中的产品属于节能产品政府采购品目清单内标注“★”的，投标人的投标货物必须使用政府强制采购的节能产品，投标人必须在投标文件中提供所投标产品有效期内的节能产品认证证书复印件（加盖投标人公章），否则投标文件作无效处理。如本项目包含的货物属于品目清单内非标注“★”的产品时，应优先采购，具体详见“第四章 评标方法和评标标准”。</w:t>
      </w:r>
    </w:p>
    <w:p w14:paraId="359D92E7">
      <w:pPr>
        <w:spacing w:line="450" w:lineRule="exact"/>
        <w:ind w:firstLine="424" w:firstLineChars="202"/>
        <w:jc w:val="left"/>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根据《中华人民共和国网络安全法》、《关于调整网络安全专用产品安全管理有关事项的公告》（2023年 第1号）、关于调整《网络关键设备和网络安全专用产品目录》的公告（2023年第2号）、《国家认监委 工业和信息化部 公安部 国家互联网信息办公室关于发布承担网络关键设备和网络安全专用产品安全认证和安全检测任务机构名录（第一批）的公告》（2018年第12号）、《关于统一发布网络关键设备和网络安全专用产品安全认证和安全检测结果的公告》（2022年第1号）：采购需求中的产品属于列入《网络关键设备和网络安全专用产品目录》的网络安全专用产品的，应当按照《信息安全技术网络安全专用产品安全技术要求》等相关国家标准的强制性要求进行安全认证或者安全检测，投标人必须在投标文件中提供由具备资格的机构出具的安全认证合格证书或者安全检测合格的检测报告（加盖投标人公章），否则投标文件作无效处理。</w:t>
      </w:r>
    </w:p>
    <w:p w14:paraId="5087D66F">
      <w:pPr>
        <w:spacing w:line="450" w:lineRule="exact"/>
        <w:ind w:firstLine="424" w:firstLineChars="202"/>
        <w:jc w:val="left"/>
        <w:rPr>
          <w:rFonts w:hint="default" w:ascii="宋体" w:hAnsi="宋体" w:eastAsia="宋体" w:cs="宋体"/>
          <w:b/>
          <w:bCs/>
          <w:color w:val="auto"/>
          <w:highlight w:val="none"/>
          <w:lang w:val="en-US" w:eastAsia="zh-CN"/>
        </w:rPr>
      </w:pPr>
      <w:r>
        <w:rPr>
          <w:rFonts w:hint="eastAsia" w:ascii="宋体" w:hAnsi="宋体" w:cs="宋体"/>
          <w:color w:val="auto"/>
          <w:highlight w:val="none"/>
        </w:rPr>
        <w:t>2.“实质性</w:t>
      </w:r>
      <w:r>
        <w:rPr>
          <w:rFonts w:hint="eastAsia" w:ascii="宋体" w:hAnsi="宋体" w:eastAsia="宋体" w:cs="宋体"/>
          <w:color w:val="auto"/>
          <w:highlight w:val="none"/>
        </w:rPr>
        <w:t>要求”是指招标文件中已经指明不满足则投标无效的条款，或者不能负偏离的条款，</w:t>
      </w:r>
      <w:r>
        <w:rPr>
          <w:rFonts w:hint="eastAsia" w:ascii="宋体" w:hAnsi="宋体" w:eastAsia="宋体" w:cs="宋体"/>
          <w:b/>
          <w:bCs/>
          <w:color w:val="auto"/>
          <w:highlight w:val="none"/>
        </w:rPr>
        <w:t>或者采购需求中</w:t>
      </w:r>
      <w:r>
        <w:rPr>
          <w:rFonts w:hint="eastAsia" w:ascii="宋体" w:hAnsi="宋体" w:cs="宋体"/>
          <w:b/>
          <w:bCs/>
          <w:color w:val="auto"/>
          <w:highlight w:val="none"/>
          <w:lang w:val="en-US" w:eastAsia="zh-CN"/>
        </w:rPr>
        <w:t>标注</w:t>
      </w:r>
      <w:r>
        <w:rPr>
          <w:rFonts w:hint="eastAsia" w:ascii="宋体" w:hAnsi="宋体" w:eastAsia="宋体" w:cs="宋体"/>
          <w:b/>
          <w:bCs/>
          <w:color w:val="auto"/>
          <w:highlight w:val="none"/>
        </w:rPr>
        <w:t>“</w:t>
      </w:r>
      <w:bookmarkStart w:id="60" w:name="OLE_LINK10"/>
      <w:r>
        <w:rPr>
          <w:rFonts w:hint="eastAsia" w:ascii="宋体" w:hAnsi="宋体" w:eastAsia="宋体" w:cs="宋体"/>
          <w:b/>
          <w:bCs/>
          <w:color w:val="auto"/>
          <w:highlight w:val="none"/>
        </w:rPr>
        <w:t>▲</w:t>
      </w:r>
      <w:bookmarkEnd w:id="60"/>
      <w:r>
        <w:rPr>
          <w:rFonts w:hint="eastAsia" w:ascii="宋体" w:hAnsi="宋体" w:eastAsia="宋体" w:cs="宋体"/>
          <w:b/>
          <w:bCs/>
          <w:color w:val="auto"/>
          <w:highlight w:val="none"/>
        </w:rPr>
        <w:t>”的条款。采购需求中</w:t>
      </w:r>
      <w:r>
        <w:rPr>
          <w:rFonts w:hint="eastAsia" w:ascii="宋体" w:hAnsi="宋体" w:cs="宋体"/>
          <w:b/>
          <w:bCs/>
          <w:color w:val="auto"/>
          <w:highlight w:val="none"/>
          <w:lang w:val="en-US" w:eastAsia="zh-CN"/>
        </w:rPr>
        <w:t>标注</w:t>
      </w:r>
      <w:r>
        <w:rPr>
          <w:rFonts w:hint="eastAsia" w:ascii="宋体" w:hAnsi="宋体" w:eastAsia="宋体" w:cs="宋体"/>
          <w:b/>
          <w:bCs/>
          <w:color w:val="auto"/>
          <w:highlight w:val="none"/>
          <w:lang w:val="en-US" w:eastAsia="zh-CN"/>
        </w:rPr>
        <w:t>“●”参数为重要</w:t>
      </w:r>
      <w:r>
        <w:rPr>
          <w:rFonts w:hint="eastAsia" w:ascii="宋体" w:hAnsi="宋体" w:cs="宋体"/>
          <w:b/>
          <w:bCs/>
          <w:color w:val="auto"/>
          <w:highlight w:val="none"/>
          <w:lang w:val="en-US" w:eastAsia="zh-CN"/>
        </w:rPr>
        <w:t>技术</w:t>
      </w:r>
      <w:r>
        <w:rPr>
          <w:rFonts w:hint="eastAsia" w:ascii="宋体" w:hAnsi="宋体" w:eastAsia="宋体" w:cs="宋体"/>
          <w:b/>
          <w:bCs/>
          <w:color w:val="auto"/>
          <w:highlight w:val="none"/>
          <w:lang w:val="en-US" w:eastAsia="zh-CN"/>
        </w:rPr>
        <w:t>参数。</w:t>
      </w:r>
      <w:r>
        <w:rPr>
          <w:rFonts w:hint="eastAsia" w:ascii="宋体" w:hAnsi="宋体" w:cs="宋体"/>
          <w:b/>
          <w:bCs/>
          <w:color w:val="auto"/>
          <w:highlight w:val="none"/>
          <w:lang w:val="en-US" w:eastAsia="zh-CN"/>
        </w:rPr>
        <w:t>未标注</w:t>
      </w:r>
      <w:r>
        <w:rPr>
          <w:rFonts w:hint="eastAsia" w:ascii="宋体" w:hAnsi="宋体" w:eastAsia="宋体" w:cs="宋体"/>
          <w:b/>
          <w:bCs/>
          <w:color w:val="auto"/>
          <w:highlight w:val="none"/>
        </w:rPr>
        <w:t>“▲”</w:t>
      </w:r>
      <w:r>
        <w:rPr>
          <w:rFonts w:hint="eastAsia" w:ascii="宋体" w:hAnsi="宋体" w:eastAsia="宋体" w:cs="宋体"/>
          <w:b/>
          <w:bCs/>
          <w:color w:val="auto"/>
          <w:highlight w:val="none"/>
          <w:lang w:eastAsia="zh-CN"/>
        </w:rPr>
        <w:t>及</w:t>
      </w:r>
      <w:r>
        <w:rPr>
          <w:rFonts w:hint="eastAsia" w:ascii="宋体" w:hAnsi="宋体" w:eastAsia="宋体" w:cs="宋体"/>
          <w:b/>
          <w:bCs/>
          <w:color w:val="auto"/>
          <w:highlight w:val="none"/>
          <w:lang w:val="en-US" w:eastAsia="zh-CN"/>
        </w:rPr>
        <w:t>“●”的参数为一般参数。</w:t>
      </w:r>
    </w:p>
    <w:p w14:paraId="09272244">
      <w:pPr>
        <w:spacing w:line="450" w:lineRule="exact"/>
        <w:ind w:firstLine="424" w:firstLineChars="202"/>
        <w:jc w:val="left"/>
        <w:rPr>
          <w:rFonts w:hint="eastAsia" w:ascii="宋体" w:hAnsi="宋体" w:cs="宋体"/>
          <w:color w:val="auto"/>
          <w:highlight w:val="none"/>
        </w:rPr>
      </w:pPr>
      <w:r>
        <w:rPr>
          <w:rFonts w:hint="eastAsia" w:ascii="宋体" w:hAnsi="宋体" w:cs="宋体"/>
          <w:color w:val="auto"/>
          <w:highlight w:val="none"/>
          <w:lang w:val="en-US" w:eastAsia="zh-CN"/>
        </w:rPr>
        <w:t>3</w:t>
      </w:r>
      <w:r>
        <w:rPr>
          <w:rFonts w:hint="eastAsia" w:ascii="宋体" w:hAnsi="宋体" w:cs="宋体"/>
          <w:color w:val="auto"/>
          <w:highlight w:val="none"/>
        </w:rPr>
        <w:t>.采购需求中出现的品牌、型号或者</w:t>
      </w:r>
      <w:r>
        <w:rPr>
          <w:rFonts w:hint="eastAsia" w:ascii="宋体" w:hAnsi="宋体" w:cs="宋体"/>
          <w:color w:val="auto"/>
          <w:highlight w:val="none"/>
          <w:lang w:val="en-US" w:eastAsia="zh-CN"/>
        </w:rPr>
        <w:t>制造商（</w:t>
      </w:r>
      <w:r>
        <w:rPr>
          <w:rFonts w:hint="eastAsia" w:ascii="宋体" w:hAnsi="宋体" w:cs="宋体"/>
          <w:color w:val="auto"/>
          <w:highlight w:val="none"/>
        </w:rPr>
        <w:t>生产厂家</w:t>
      </w:r>
      <w:r>
        <w:rPr>
          <w:rFonts w:hint="eastAsia" w:ascii="宋体" w:hAnsi="宋体" w:cs="宋体"/>
          <w:color w:val="auto"/>
          <w:highlight w:val="none"/>
          <w:lang w:eastAsia="zh-CN"/>
        </w:rPr>
        <w:t>）</w:t>
      </w:r>
      <w:r>
        <w:rPr>
          <w:rFonts w:hint="eastAsia" w:ascii="宋体" w:hAnsi="宋体" w:cs="宋体"/>
          <w:color w:val="auto"/>
          <w:highlight w:val="none"/>
        </w:rPr>
        <w:t>仅起参考作用，不属于指定品牌、型号或者</w:t>
      </w:r>
      <w:r>
        <w:rPr>
          <w:rFonts w:hint="eastAsia" w:ascii="宋体" w:hAnsi="宋体" w:cs="宋体"/>
          <w:color w:val="auto"/>
          <w:highlight w:val="none"/>
          <w:lang w:val="en-US" w:eastAsia="zh-CN"/>
        </w:rPr>
        <w:t>制造商（</w:t>
      </w:r>
      <w:r>
        <w:rPr>
          <w:rFonts w:hint="eastAsia" w:ascii="宋体" w:hAnsi="宋体" w:cs="宋体"/>
          <w:color w:val="auto"/>
          <w:highlight w:val="none"/>
        </w:rPr>
        <w:t>生产厂家</w:t>
      </w:r>
      <w:r>
        <w:rPr>
          <w:rFonts w:hint="eastAsia" w:ascii="宋体" w:hAnsi="宋体" w:cs="宋体"/>
          <w:color w:val="auto"/>
          <w:highlight w:val="none"/>
          <w:lang w:eastAsia="zh-CN"/>
        </w:rPr>
        <w:t>）</w:t>
      </w:r>
      <w:r>
        <w:rPr>
          <w:rFonts w:hint="eastAsia" w:ascii="宋体" w:hAnsi="宋体" w:cs="宋体"/>
          <w:color w:val="auto"/>
          <w:highlight w:val="none"/>
        </w:rPr>
        <w:t>的情形。投标人可参照或者选用其他相当的品牌、型号或者</w:t>
      </w:r>
      <w:r>
        <w:rPr>
          <w:rFonts w:hint="eastAsia" w:ascii="宋体" w:hAnsi="宋体" w:cs="宋体"/>
          <w:color w:val="auto"/>
          <w:highlight w:val="none"/>
          <w:lang w:val="en-US" w:eastAsia="zh-CN"/>
        </w:rPr>
        <w:t>制造商（</w:t>
      </w:r>
      <w:r>
        <w:rPr>
          <w:rFonts w:hint="eastAsia" w:ascii="宋体" w:hAnsi="宋体" w:cs="宋体"/>
          <w:color w:val="auto"/>
          <w:highlight w:val="none"/>
        </w:rPr>
        <w:t>生产厂家</w:t>
      </w:r>
      <w:r>
        <w:rPr>
          <w:rFonts w:hint="eastAsia" w:ascii="宋体" w:hAnsi="宋体" w:cs="宋体"/>
          <w:color w:val="auto"/>
          <w:highlight w:val="none"/>
          <w:lang w:eastAsia="zh-CN"/>
        </w:rPr>
        <w:t>）</w:t>
      </w:r>
      <w:r>
        <w:rPr>
          <w:rFonts w:hint="eastAsia" w:ascii="宋体" w:hAnsi="宋体" w:cs="宋体"/>
          <w:color w:val="auto"/>
          <w:highlight w:val="none"/>
        </w:rPr>
        <w:t>替代，但选用的投标产品技术参数及配置必须满足实质性</w:t>
      </w:r>
      <w:r>
        <w:rPr>
          <w:rFonts w:hint="eastAsia" w:ascii="宋体" w:hAnsi="宋体" w:eastAsia="宋体" w:cs="宋体"/>
          <w:color w:val="auto"/>
          <w:highlight w:val="none"/>
        </w:rPr>
        <w:t>要求</w:t>
      </w:r>
      <w:r>
        <w:rPr>
          <w:rFonts w:hint="eastAsia" w:ascii="宋体" w:hAnsi="宋体" w:cs="宋体"/>
          <w:color w:val="auto"/>
          <w:highlight w:val="none"/>
        </w:rPr>
        <w:t>。</w:t>
      </w:r>
    </w:p>
    <w:p w14:paraId="532E999E">
      <w:pPr>
        <w:spacing w:line="450" w:lineRule="exact"/>
        <w:ind w:firstLine="424" w:firstLineChars="202"/>
        <w:jc w:val="left"/>
        <w:rPr>
          <w:rFonts w:hint="eastAsia" w:ascii="宋体" w:hAnsi="宋体" w:cs="宋体"/>
          <w:color w:val="auto"/>
          <w:highlight w:val="none"/>
        </w:rPr>
      </w:pPr>
      <w:bookmarkStart w:id="61" w:name="OLE_LINK95"/>
      <w:bookmarkStart w:id="62" w:name="OLE_LINK96"/>
      <w:r>
        <w:rPr>
          <w:rFonts w:hint="eastAsia" w:ascii="宋体" w:hAnsi="宋体" w:cs="宋体"/>
          <w:color w:val="auto"/>
          <w:highlight w:val="none"/>
          <w:lang w:val="en-US" w:eastAsia="zh-CN"/>
        </w:rPr>
        <w:t>4</w:t>
      </w:r>
      <w:r>
        <w:rPr>
          <w:rFonts w:hint="eastAsia" w:ascii="宋体" w:hAnsi="宋体" w:cs="宋体"/>
          <w:color w:val="auto"/>
          <w:highlight w:val="none"/>
        </w:rPr>
        <w:t>.“技术参数及性能（配置）要求”中的数值符号执行规则：中文描述的大于、小于、低于、高于均不含本数，仅等于为本数，各符号偏离情况明确如下：</w:t>
      </w:r>
    </w:p>
    <w:p w14:paraId="3DBD83CC">
      <w:pPr>
        <w:spacing w:line="450" w:lineRule="exact"/>
        <w:ind w:firstLine="424" w:firstLineChars="202"/>
        <w:jc w:val="left"/>
        <w:rPr>
          <w:rFonts w:hint="eastAsia" w:ascii="宋体" w:hAnsi="宋体" w:cs="宋体"/>
          <w:color w:val="auto"/>
          <w:highlight w:val="none"/>
        </w:rPr>
      </w:pPr>
      <w:r>
        <w:rPr>
          <w:rFonts w:hint="eastAsia" w:ascii="宋体" w:hAnsi="宋体" w:cs="宋体"/>
          <w:color w:val="auto"/>
          <w:highlight w:val="none"/>
        </w:rPr>
        <w:t xml:space="preserve"> 针对参数要求符号“≥”（大于等于，含本数）：响应数值“=”为无偏离，响应数值“＞”为无偏离，响应数值“＜”为负偏离；</w:t>
      </w:r>
    </w:p>
    <w:p w14:paraId="3F97088F">
      <w:pPr>
        <w:spacing w:line="450" w:lineRule="exact"/>
        <w:ind w:firstLine="424" w:firstLineChars="202"/>
        <w:jc w:val="left"/>
        <w:rPr>
          <w:rFonts w:hint="eastAsia" w:ascii="宋体" w:hAnsi="宋体" w:cs="宋体"/>
          <w:color w:val="auto"/>
          <w:highlight w:val="none"/>
        </w:rPr>
      </w:pPr>
      <w:r>
        <w:rPr>
          <w:rFonts w:hint="eastAsia" w:ascii="宋体" w:hAnsi="宋体" w:cs="宋体"/>
          <w:color w:val="auto"/>
          <w:highlight w:val="none"/>
        </w:rPr>
        <w:t xml:space="preserve"> 针对参数要求符号“≤”（小于等于，含本数）：响应数值“=”为无偏离，响应数值“＜”为无偏离，响应数值“＞”为负偏离；</w:t>
      </w:r>
    </w:p>
    <w:p w14:paraId="705EA1B5">
      <w:pPr>
        <w:spacing w:line="450" w:lineRule="exact"/>
        <w:ind w:firstLine="424" w:firstLineChars="202"/>
        <w:jc w:val="left"/>
        <w:rPr>
          <w:rFonts w:hint="eastAsia" w:ascii="宋体" w:hAnsi="宋体" w:cs="宋体"/>
          <w:color w:val="auto"/>
          <w:highlight w:val="none"/>
        </w:rPr>
      </w:pPr>
      <w:r>
        <w:rPr>
          <w:rFonts w:hint="eastAsia" w:ascii="宋体" w:hAnsi="宋体" w:cs="宋体"/>
          <w:color w:val="auto"/>
          <w:highlight w:val="none"/>
        </w:rPr>
        <w:t>投标人响应参数时，必须明确填报具体响应数值，不得模糊响应、空值响应。</w:t>
      </w:r>
    </w:p>
    <w:bookmarkEnd w:id="61"/>
    <w:bookmarkEnd w:id="62"/>
    <w:p w14:paraId="18FF675D">
      <w:pPr>
        <w:spacing w:line="450" w:lineRule="exact"/>
        <w:ind w:firstLine="424" w:firstLineChars="202"/>
        <w:jc w:val="left"/>
        <w:rPr>
          <w:rFonts w:hint="eastAsia" w:ascii="宋体" w:hAnsi="宋体" w:cs="宋体"/>
          <w:color w:val="auto"/>
          <w:highlight w:val="none"/>
        </w:rPr>
      </w:pPr>
      <w:r>
        <w:rPr>
          <w:rFonts w:hint="eastAsia" w:ascii="宋体" w:hAnsi="宋体" w:cs="宋体"/>
          <w:color w:val="auto"/>
          <w:highlight w:val="none"/>
          <w:lang w:val="en-US" w:eastAsia="zh-CN"/>
        </w:rPr>
        <w:t>5</w:t>
      </w:r>
      <w:r>
        <w:rPr>
          <w:rFonts w:hint="eastAsia" w:ascii="宋体" w:hAnsi="宋体" w:cs="宋体"/>
          <w:color w:val="auto"/>
          <w:highlight w:val="none"/>
        </w:rPr>
        <w:t>.凡在“技术参数及性能（配置）要求”中表述为“标配”或“标准配置”的设备，投标人应在</w:t>
      </w:r>
      <w:r>
        <w:rPr>
          <w:rFonts w:hint="eastAsia" w:ascii="宋体" w:hAnsi="宋体" w:cs="宋体"/>
          <w:color w:val="auto"/>
          <w:highlight w:val="none"/>
          <w:lang w:val="en-US" w:eastAsia="zh-CN"/>
        </w:rPr>
        <w:t>开标一览</w:t>
      </w:r>
      <w:r>
        <w:rPr>
          <w:rFonts w:hint="eastAsia" w:ascii="宋体" w:hAnsi="宋体" w:cs="宋体"/>
          <w:color w:val="auto"/>
          <w:highlight w:val="none"/>
        </w:rPr>
        <w:t>表中将其标配参数详细列明。</w:t>
      </w:r>
    </w:p>
    <w:p w14:paraId="360FC47B">
      <w:pPr>
        <w:spacing w:line="450" w:lineRule="exact"/>
        <w:ind w:firstLine="424" w:firstLineChars="202"/>
        <w:jc w:val="left"/>
        <w:rPr>
          <w:rFonts w:ascii="宋体" w:hAnsi="宋体" w:cs="宋体"/>
          <w:color w:val="auto"/>
          <w:highlight w:val="none"/>
        </w:rPr>
      </w:pPr>
      <w:r>
        <w:rPr>
          <w:rFonts w:hint="eastAsia" w:ascii="宋体" w:hAnsi="宋体" w:cs="宋体"/>
          <w:color w:val="auto"/>
          <w:highlight w:val="none"/>
          <w:lang w:val="en-US" w:eastAsia="zh-CN"/>
        </w:rPr>
        <w:t>6</w:t>
      </w:r>
      <w:r>
        <w:rPr>
          <w:rFonts w:hint="eastAsia" w:ascii="宋体" w:hAnsi="宋体" w:cs="宋体"/>
          <w:color w:val="auto"/>
          <w:highlight w:val="none"/>
        </w:rPr>
        <w:t>.投标人必须对投标文件中提供的证明材料和资质文件真实性负责，如出现虚假应标情况，投标人除了应接受有关部门的处罚外，还应依据《中华人民共和国民法典》的相关条款来进行赔偿。</w:t>
      </w:r>
    </w:p>
    <w:p w14:paraId="00CA2DD2">
      <w:pPr>
        <w:pStyle w:val="2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20"/>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7</w:t>
      </w:r>
      <w:r>
        <w:rPr>
          <w:rFonts w:hint="eastAsia" w:ascii="宋体" w:hAnsi="宋体" w:eastAsia="宋体" w:cs="宋体"/>
          <w:color w:val="auto"/>
          <w:sz w:val="21"/>
          <w:szCs w:val="21"/>
          <w:highlight w:val="none"/>
        </w:rPr>
        <w:t>.投标人应保证所提供货物在使用时不会侵犯任何第三方的专利权、商标权、工业设计权或者其他权利。如投标人违反上述规定，则投标人应负责消除</w:t>
      </w:r>
      <w:r>
        <w:rPr>
          <w:rFonts w:hint="eastAsia" w:cs="宋体"/>
          <w:color w:val="auto"/>
          <w:sz w:val="21"/>
          <w:szCs w:val="21"/>
          <w:highlight w:val="none"/>
          <w:lang w:eastAsia="zh-CN"/>
        </w:rPr>
        <w:t>采购人</w:t>
      </w:r>
      <w:r>
        <w:rPr>
          <w:rFonts w:hint="eastAsia" w:ascii="宋体" w:hAnsi="宋体" w:eastAsia="宋体" w:cs="宋体"/>
          <w:color w:val="auto"/>
          <w:sz w:val="21"/>
          <w:szCs w:val="21"/>
          <w:highlight w:val="none"/>
        </w:rPr>
        <w:t>拥有并使用投标人交付的货物、软件、技术资料等所存在的全部法律</w:t>
      </w:r>
      <w:r>
        <w:rPr>
          <w:rFonts w:hint="eastAsia" w:cs="宋体"/>
          <w:color w:val="auto"/>
          <w:sz w:val="21"/>
          <w:szCs w:val="21"/>
          <w:highlight w:val="none"/>
          <w:lang w:eastAsia="zh-CN"/>
        </w:rPr>
        <w:t>责任</w:t>
      </w:r>
      <w:r>
        <w:rPr>
          <w:rFonts w:hint="eastAsia" w:ascii="宋体" w:hAnsi="宋体" w:eastAsia="宋体" w:cs="宋体"/>
          <w:color w:val="auto"/>
          <w:sz w:val="21"/>
          <w:szCs w:val="21"/>
          <w:highlight w:val="none"/>
        </w:rPr>
        <w:t>，并赔偿</w:t>
      </w:r>
      <w:r>
        <w:rPr>
          <w:rFonts w:hint="eastAsia" w:cs="宋体"/>
          <w:color w:val="auto"/>
          <w:sz w:val="21"/>
          <w:szCs w:val="21"/>
          <w:highlight w:val="none"/>
          <w:lang w:val="en-US" w:eastAsia="zh-CN"/>
        </w:rPr>
        <w:t>采购人</w:t>
      </w:r>
      <w:r>
        <w:rPr>
          <w:rFonts w:hint="eastAsia" w:ascii="宋体" w:hAnsi="宋体" w:eastAsia="宋体" w:cs="宋体"/>
          <w:color w:val="auto"/>
          <w:sz w:val="21"/>
          <w:szCs w:val="21"/>
          <w:highlight w:val="none"/>
        </w:rPr>
        <w:t>的损失。如</w:t>
      </w:r>
      <w:r>
        <w:rPr>
          <w:rFonts w:hint="eastAsia" w:cs="宋体"/>
          <w:color w:val="auto"/>
          <w:sz w:val="21"/>
          <w:szCs w:val="21"/>
          <w:highlight w:val="none"/>
          <w:lang w:eastAsia="zh-CN"/>
        </w:rPr>
        <w:t>采购人</w:t>
      </w:r>
      <w:r>
        <w:rPr>
          <w:rFonts w:hint="eastAsia" w:ascii="宋体" w:hAnsi="宋体" w:eastAsia="宋体" w:cs="宋体"/>
          <w:color w:val="auto"/>
          <w:sz w:val="21"/>
          <w:szCs w:val="21"/>
          <w:highlight w:val="none"/>
        </w:rPr>
        <w:t>因使用投标人交付的货物构成侵权的，则由投标人承担全部责任。</w:t>
      </w:r>
    </w:p>
    <w:p w14:paraId="17B47728">
      <w:pPr>
        <w:pStyle w:val="2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投标人对多个分标进行投标的中标数量约定：本项目采用兼投兼中原则。投标人可以同时投任意一个或多个分标，亦可同时中标多个分标。评审时按“分标1→分标2→分标3→分标4→分标5→分标6”的顺序评审。如某分标因中标人放弃中标资格、质疑或投诉等原因导致评审结果变更的，不影响其他分标评审（推荐）结果</w:t>
      </w:r>
      <w:r>
        <w:rPr>
          <w:rFonts w:hint="eastAsia" w:ascii="宋体" w:hAnsi="宋体" w:eastAsia="宋体" w:cs="宋体"/>
          <w:color w:val="auto"/>
          <w:sz w:val="21"/>
          <w:szCs w:val="21"/>
          <w:highlight w:val="none"/>
        </w:rPr>
        <w:t>。</w:t>
      </w:r>
    </w:p>
    <w:p w14:paraId="0A0A3D22">
      <w:pPr>
        <w:pStyle w:val="2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20"/>
        <w:rPr>
          <w:rFonts w:hint="default" w:ascii="宋体" w:hAnsi="宋体" w:eastAsia="宋体" w:cs="宋体"/>
          <w:b/>
          <w:bCs/>
          <w:color w:val="auto"/>
          <w:sz w:val="21"/>
          <w:szCs w:val="21"/>
          <w:highlight w:val="none"/>
          <w:lang w:val="en-US" w:eastAsia="zh-CN"/>
        </w:rPr>
      </w:pPr>
      <w:r>
        <w:rPr>
          <w:rFonts w:hint="eastAsia" w:cs="宋体"/>
          <w:b/>
          <w:bCs/>
          <w:color w:val="auto"/>
          <w:sz w:val="21"/>
          <w:szCs w:val="21"/>
          <w:highlight w:val="none"/>
          <w:lang w:val="en-US" w:eastAsia="zh-CN"/>
        </w:rPr>
        <w:t>分标1：</w:t>
      </w:r>
    </w:p>
    <w:tbl>
      <w:tblPr>
        <w:tblStyle w:val="28"/>
        <w:tblW w:w="945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62"/>
        <w:gridCol w:w="1119"/>
        <w:gridCol w:w="499"/>
        <w:gridCol w:w="582"/>
        <w:gridCol w:w="5606"/>
        <w:gridCol w:w="1085"/>
      </w:tblGrid>
      <w:tr w14:paraId="4A7D78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5" w:hRule="atLeast"/>
          <w:jc w:val="center"/>
        </w:trPr>
        <w:tc>
          <w:tcPr>
            <w:tcW w:w="9453" w:type="dxa"/>
            <w:gridSpan w:val="6"/>
            <w:tcBorders>
              <w:top w:val="single" w:color="000000" w:sz="4" w:space="0"/>
              <w:left w:val="single" w:color="auto" w:sz="4" w:space="0"/>
              <w:bottom w:val="single" w:color="000000" w:sz="4" w:space="0"/>
              <w:right w:val="single" w:color="000000" w:sz="4" w:space="0"/>
            </w:tcBorders>
            <w:vAlign w:val="center"/>
          </w:tcPr>
          <w:p w14:paraId="658AC8CD">
            <w:pPr>
              <w:keepNext w:val="0"/>
              <w:keepLines w:val="0"/>
              <w:widowControl w:val="0"/>
              <w:suppressLineNumbers w:val="0"/>
              <w:wordWrap/>
              <w:adjustRightInd/>
              <w:snapToGrid/>
              <w:spacing w:before="0" w:beforeAutospacing="0" w:after="0" w:afterAutospacing="0" w:line="320" w:lineRule="exact"/>
              <w:ind w:left="0" w:leftChars="0" w:right="0" w:firstLine="0" w:firstLineChars="0"/>
              <w:jc w:val="center"/>
              <w:textAlignment w:val="auto"/>
              <w:outlineLvl w:val="9"/>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一、技术要求</w:t>
            </w:r>
          </w:p>
        </w:tc>
      </w:tr>
      <w:tr w14:paraId="6CB2D5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76D2CE86">
            <w:pPr>
              <w:keepNext w:val="0"/>
              <w:keepLines w:val="0"/>
              <w:widowControl w:val="0"/>
              <w:suppressLineNumbers w:val="0"/>
              <w:wordWrap/>
              <w:adjustRightInd/>
              <w:snapToGrid/>
              <w:spacing w:before="0" w:beforeAutospacing="0" w:after="0" w:afterAutospacing="0" w:line="320" w:lineRule="exact"/>
              <w:ind w:left="0" w:leftChars="0" w:right="0" w:rightChars="0" w:firstLine="0" w:firstLineChars="0"/>
              <w:jc w:val="center"/>
              <w:textAlignment w:val="auto"/>
              <w:outlineLvl w:val="9"/>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sz w:val="21"/>
                <w:szCs w:val="21"/>
                <w:highlight w:val="none"/>
              </w:rPr>
              <w:t>序号</w:t>
            </w:r>
          </w:p>
        </w:tc>
        <w:tc>
          <w:tcPr>
            <w:tcW w:w="1119" w:type="dxa"/>
            <w:tcBorders>
              <w:top w:val="single" w:color="000000" w:sz="4" w:space="0"/>
              <w:left w:val="nil"/>
              <w:bottom w:val="single" w:color="000000" w:sz="4" w:space="0"/>
              <w:right w:val="single" w:color="000000" w:sz="4" w:space="0"/>
            </w:tcBorders>
            <w:shd w:val="clear" w:color="auto" w:fill="auto"/>
            <w:vAlign w:val="center"/>
          </w:tcPr>
          <w:p w14:paraId="6D8F556E">
            <w:pPr>
              <w:keepNext w:val="0"/>
              <w:keepLines w:val="0"/>
              <w:widowControl w:val="0"/>
              <w:suppressLineNumbers w:val="0"/>
              <w:wordWrap/>
              <w:adjustRightInd/>
              <w:snapToGrid/>
              <w:spacing w:before="0" w:beforeAutospacing="0" w:after="0" w:afterAutospacing="0" w:line="320" w:lineRule="exact"/>
              <w:ind w:left="0" w:leftChars="0" w:right="0" w:rightChars="0" w:firstLine="0" w:firstLineChars="0"/>
              <w:jc w:val="center"/>
              <w:textAlignment w:val="auto"/>
              <w:outlineLvl w:val="9"/>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0"/>
                <w:sz w:val="21"/>
                <w:szCs w:val="21"/>
                <w:highlight w:val="none"/>
                <w:lang w:eastAsia="zh-CN"/>
              </w:rPr>
              <w:t>标的</w:t>
            </w:r>
            <w:r>
              <w:rPr>
                <w:rFonts w:hint="eastAsia" w:ascii="宋体" w:hAnsi="宋体" w:eastAsia="宋体" w:cs="宋体"/>
                <w:b/>
                <w:bCs/>
                <w:color w:val="auto"/>
                <w:sz w:val="21"/>
                <w:szCs w:val="21"/>
                <w:highlight w:val="none"/>
              </w:rPr>
              <w:t>名称</w:t>
            </w:r>
          </w:p>
        </w:tc>
        <w:tc>
          <w:tcPr>
            <w:tcW w:w="499" w:type="dxa"/>
            <w:tcBorders>
              <w:top w:val="single" w:color="000000" w:sz="4" w:space="0"/>
              <w:left w:val="nil"/>
              <w:bottom w:val="single" w:color="000000" w:sz="4" w:space="0"/>
              <w:right w:val="single" w:color="000000" w:sz="4" w:space="0"/>
            </w:tcBorders>
            <w:shd w:val="clear" w:color="auto" w:fill="auto"/>
            <w:vAlign w:val="center"/>
          </w:tcPr>
          <w:p w14:paraId="303193B1">
            <w:pPr>
              <w:keepNext w:val="0"/>
              <w:keepLines w:val="0"/>
              <w:widowControl w:val="0"/>
              <w:suppressLineNumbers w:val="0"/>
              <w:wordWrap/>
              <w:adjustRightInd/>
              <w:snapToGrid/>
              <w:spacing w:before="0" w:beforeAutospacing="0" w:after="0" w:afterAutospacing="0" w:line="320" w:lineRule="exact"/>
              <w:ind w:left="0" w:leftChars="0" w:right="0" w:rightChars="0" w:firstLine="0" w:firstLineChars="0"/>
              <w:jc w:val="center"/>
              <w:textAlignment w:val="auto"/>
              <w:outlineLvl w:val="9"/>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sz w:val="21"/>
                <w:szCs w:val="21"/>
                <w:highlight w:val="none"/>
              </w:rPr>
              <w:t>数量</w:t>
            </w:r>
          </w:p>
        </w:tc>
        <w:tc>
          <w:tcPr>
            <w:tcW w:w="582" w:type="dxa"/>
            <w:tcBorders>
              <w:top w:val="single" w:color="000000" w:sz="4" w:space="0"/>
              <w:left w:val="nil"/>
              <w:bottom w:val="single" w:color="000000" w:sz="4" w:space="0"/>
              <w:right w:val="single" w:color="000000" w:sz="4" w:space="0"/>
            </w:tcBorders>
            <w:shd w:val="clear" w:color="auto" w:fill="auto"/>
            <w:vAlign w:val="center"/>
          </w:tcPr>
          <w:p w14:paraId="4CAF2879">
            <w:pPr>
              <w:keepNext w:val="0"/>
              <w:keepLines w:val="0"/>
              <w:widowControl w:val="0"/>
              <w:suppressLineNumbers w:val="0"/>
              <w:wordWrap/>
              <w:adjustRightInd/>
              <w:snapToGrid/>
              <w:spacing w:before="0" w:beforeAutospacing="0" w:after="0" w:afterAutospacing="0" w:line="320" w:lineRule="exact"/>
              <w:ind w:left="0" w:leftChars="0" w:right="0" w:rightChars="0" w:firstLine="0" w:firstLineChars="0"/>
              <w:jc w:val="center"/>
              <w:textAlignment w:val="auto"/>
              <w:outlineLvl w:val="9"/>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sz w:val="21"/>
                <w:szCs w:val="21"/>
                <w:highlight w:val="none"/>
              </w:rPr>
              <w:t>单位</w:t>
            </w:r>
          </w:p>
        </w:tc>
        <w:tc>
          <w:tcPr>
            <w:tcW w:w="5606" w:type="dxa"/>
            <w:tcBorders>
              <w:top w:val="single" w:color="000000" w:sz="4" w:space="0"/>
              <w:left w:val="nil"/>
              <w:bottom w:val="single" w:color="000000" w:sz="4" w:space="0"/>
              <w:right w:val="single" w:color="auto" w:sz="4" w:space="0"/>
            </w:tcBorders>
            <w:shd w:val="clear" w:color="auto" w:fill="auto"/>
            <w:vAlign w:val="center"/>
          </w:tcPr>
          <w:p w14:paraId="27A3EE80">
            <w:pPr>
              <w:keepNext w:val="0"/>
              <w:keepLines w:val="0"/>
              <w:widowControl w:val="0"/>
              <w:suppressLineNumbers w:val="0"/>
              <w:wordWrap/>
              <w:adjustRightInd/>
              <w:snapToGrid/>
              <w:spacing w:before="0" w:beforeAutospacing="0" w:after="0" w:afterAutospacing="0" w:line="320" w:lineRule="exact"/>
              <w:ind w:left="0" w:leftChars="0" w:right="0" w:rightChars="0" w:firstLine="0" w:firstLineChars="0"/>
              <w:jc w:val="center"/>
              <w:textAlignment w:val="auto"/>
              <w:outlineLvl w:val="9"/>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技术参数及性能（配置）要求</w:t>
            </w:r>
          </w:p>
        </w:tc>
        <w:tc>
          <w:tcPr>
            <w:tcW w:w="1085" w:type="dxa"/>
            <w:tcBorders>
              <w:top w:val="single" w:color="000000" w:sz="4" w:space="0"/>
              <w:left w:val="single" w:color="auto" w:sz="4" w:space="0"/>
              <w:bottom w:val="single" w:color="000000" w:sz="4" w:space="0"/>
              <w:right w:val="single" w:color="000000" w:sz="4" w:space="0"/>
            </w:tcBorders>
            <w:shd w:val="clear" w:color="auto" w:fill="auto"/>
            <w:vAlign w:val="center"/>
          </w:tcPr>
          <w:p w14:paraId="6F3D10F7">
            <w:pPr>
              <w:keepNext w:val="0"/>
              <w:keepLines w:val="0"/>
              <w:widowControl w:val="0"/>
              <w:suppressLineNumbers w:val="0"/>
              <w:wordWrap/>
              <w:adjustRightInd/>
              <w:snapToGrid/>
              <w:spacing w:before="0" w:beforeAutospacing="0" w:after="0" w:afterAutospacing="0" w:line="320" w:lineRule="exact"/>
              <w:ind w:left="0" w:leftChars="0" w:right="0" w:rightChars="0" w:firstLine="0" w:firstLineChars="0"/>
              <w:jc w:val="center"/>
              <w:textAlignment w:val="auto"/>
              <w:outlineLvl w:val="9"/>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采购标的对应中小企业划分所属行业</w:t>
            </w:r>
          </w:p>
        </w:tc>
      </w:tr>
      <w:tr w14:paraId="2D9BAA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453" w:type="dxa"/>
            <w:gridSpan w:val="6"/>
            <w:tcBorders>
              <w:top w:val="single" w:color="000000" w:sz="4" w:space="0"/>
              <w:left w:val="single" w:color="auto" w:sz="4" w:space="0"/>
              <w:bottom w:val="single" w:color="000000" w:sz="4" w:space="0"/>
              <w:right w:val="single" w:color="000000" w:sz="4" w:space="0"/>
            </w:tcBorders>
            <w:shd w:val="clear" w:color="auto" w:fill="auto"/>
            <w:vAlign w:val="center"/>
          </w:tcPr>
          <w:p w14:paraId="4A4E74A5">
            <w:pPr>
              <w:keepNext w:val="0"/>
              <w:keepLines w:val="0"/>
              <w:widowControl w:val="0"/>
              <w:suppressLineNumbers w:val="0"/>
              <w:wordWrap/>
              <w:adjustRightInd/>
              <w:snapToGrid/>
              <w:spacing w:before="0" w:beforeAutospacing="0" w:after="0" w:afterAutospacing="0" w:line="320" w:lineRule="exact"/>
              <w:ind w:left="0" w:leftChars="0" w:right="0" w:rightChars="0" w:firstLine="0" w:firstLineChars="0"/>
              <w:jc w:val="left"/>
              <w:textAlignment w:val="auto"/>
              <w:outlineLvl w:val="9"/>
              <w:rPr>
                <w:rFonts w:hint="eastAsia" w:ascii="宋体" w:hAnsi="宋体" w:eastAsia="宋体" w:cs="宋体"/>
                <w:b/>
                <w:bCs/>
                <w:color w:val="auto"/>
                <w:sz w:val="21"/>
                <w:szCs w:val="21"/>
                <w:highlight w:val="none"/>
                <w:lang w:eastAsia="zh-CN"/>
              </w:rPr>
            </w:pPr>
            <w:r>
              <w:rPr>
                <w:rFonts w:hint="eastAsia" w:ascii="宋体" w:hAnsi="宋体" w:cs="宋体"/>
                <w:b/>
                <w:bCs/>
                <w:color w:val="auto"/>
                <w:sz w:val="21"/>
                <w:szCs w:val="21"/>
                <w:highlight w:val="none"/>
                <w:lang w:val="en-US" w:eastAsia="zh-CN"/>
              </w:rPr>
              <w:t>（一）、</w:t>
            </w:r>
            <w:r>
              <w:rPr>
                <w:rFonts w:hint="eastAsia" w:ascii="宋体" w:hAnsi="宋体" w:eastAsia="宋体" w:cs="宋体"/>
                <w:b/>
                <w:bCs/>
                <w:color w:val="auto"/>
                <w:sz w:val="21"/>
                <w:szCs w:val="21"/>
                <w:highlight w:val="none"/>
                <w:lang w:eastAsia="zh-CN"/>
              </w:rPr>
              <w:t>实验室信息管理一体化平台</w:t>
            </w:r>
          </w:p>
        </w:tc>
      </w:tr>
      <w:tr w14:paraId="2760DE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52AFED0E">
            <w:pPr>
              <w:keepNext w:val="0"/>
              <w:keepLines w:val="0"/>
              <w:widowControl w:val="0"/>
              <w:suppressLineNumbers w:val="0"/>
              <w:wordWrap/>
              <w:adjustRightInd/>
              <w:snapToGrid/>
              <w:spacing w:before="0" w:beforeAutospacing="0" w:after="0" w:afterAutospacing="0" w:line="320" w:lineRule="exact"/>
              <w:ind w:left="0" w:leftChars="0" w:right="0" w:rightChars="0" w:firstLine="0" w:firstLineChars="0"/>
              <w:jc w:val="center"/>
              <w:textAlignment w:val="auto"/>
              <w:outlineLvl w:val="9"/>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1</w:t>
            </w:r>
          </w:p>
        </w:tc>
        <w:tc>
          <w:tcPr>
            <w:tcW w:w="1119" w:type="dxa"/>
            <w:tcBorders>
              <w:top w:val="single" w:color="000000" w:sz="4" w:space="0"/>
              <w:left w:val="nil"/>
              <w:bottom w:val="single" w:color="000000" w:sz="4" w:space="0"/>
              <w:right w:val="single" w:color="000000" w:sz="4" w:space="0"/>
            </w:tcBorders>
            <w:shd w:val="clear" w:color="auto" w:fill="auto"/>
            <w:vAlign w:val="center"/>
          </w:tcPr>
          <w:p w14:paraId="2812A471">
            <w:pPr>
              <w:keepNext w:val="0"/>
              <w:keepLines w:val="0"/>
              <w:suppressLineNumbers w:val="0"/>
              <w:spacing w:before="0" w:beforeAutospacing="0" w:after="0" w:afterAutospacing="0" w:line="360" w:lineRule="auto"/>
              <w:ind w:left="0" w:right="0"/>
              <w:rPr>
                <w:rFonts w:hint="eastAsia" w:ascii="宋体" w:hAnsi="宋体" w:eastAsia="宋体" w:cs="宋体"/>
                <w:color w:val="auto"/>
                <w:kern w:val="2"/>
                <w:sz w:val="21"/>
                <w:szCs w:val="21"/>
                <w:highlight w:val="none"/>
                <w:shd w:val="clear" w:color="auto" w:fill="FFFFFF"/>
                <w:lang w:val="en-US" w:eastAsia="zh-CN" w:bidi="ar-SA"/>
              </w:rPr>
            </w:pPr>
            <w:r>
              <w:rPr>
                <w:rFonts w:hint="eastAsia" w:ascii="宋体" w:hAnsi="宋体" w:eastAsia="宋体" w:cs="宋体"/>
                <w:color w:val="auto"/>
                <w:sz w:val="21"/>
                <w:szCs w:val="21"/>
                <w:highlight w:val="none"/>
                <w:shd w:val="clear" w:color="auto" w:fill="FFFFFF"/>
              </w:rPr>
              <w:t>基本要求</w:t>
            </w:r>
          </w:p>
        </w:tc>
        <w:tc>
          <w:tcPr>
            <w:tcW w:w="499" w:type="dxa"/>
            <w:tcBorders>
              <w:top w:val="single" w:color="000000" w:sz="4" w:space="0"/>
              <w:left w:val="nil"/>
              <w:bottom w:val="single" w:color="000000" w:sz="4" w:space="0"/>
              <w:right w:val="single" w:color="000000" w:sz="4" w:space="0"/>
            </w:tcBorders>
            <w:shd w:val="clear" w:color="auto" w:fill="auto"/>
            <w:vAlign w:val="center"/>
          </w:tcPr>
          <w:p w14:paraId="29C2D502">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shd w:val="clear" w:color="auto" w:fill="FFFFFF"/>
                <w:lang w:val="en-US" w:eastAsia="zh-CN" w:bidi="ar-SA"/>
              </w:rPr>
            </w:pPr>
            <w:r>
              <w:rPr>
                <w:rFonts w:hint="eastAsia" w:ascii="宋体" w:hAnsi="宋体" w:eastAsia="宋体" w:cs="宋体"/>
                <w:color w:val="auto"/>
                <w:sz w:val="21"/>
                <w:szCs w:val="21"/>
                <w:highlight w:val="none"/>
                <w:shd w:val="clear" w:color="auto" w:fill="FFFFFF"/>
              </w:rPr>
              <w:t>1</w:t>
            </w:r>
          </w:p>
        </w:tc>
        <w:tc>
          <w:tcPr>
            <w:tcW w:w="582" w:type="dxa"/>
            <w:tcBorders>
              <w:top w:val="single" w:color="000000" w:sz="4" w:space="0"/>
              <w:left w:val="nil"/>
              <w:bottom w:val="single" w:color="000000" w:sz="4" w:space="0"/>
              <w:right w:val="single" w:color="000000" w:sz="4" w:space="0"/>
            </w:tcBorders>
            <w:shd w:val="clear" w:color="auto" w:fill="auto"/>
            <w:vAlign w:val="center"/>
          </w:tcPr>
          <w:p w14:paraId="2B11D74A">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shd w:val="clear" w:color="auto" w:fill="FFFFFF"/>
                <w:lang w:val="en-US" w:eastAsia="zh-CN" w:bidi="ar-SA"/>
              </w:rPr>
            </w:pPr>
            <w:r>
              <w:rPr>
                <w:rFonts w:hint="eastAsia" w:ascii="宋体" w:hAnsi="宋体" w:eastAsia="宋体" w:cs="宋体"/>
                <w:color w:val="auto"/>
                <w:sz w:val="21"/>
                <w:szCs w:val="21"/>
                <w:highlight w:val="none"/>
                <w:shd w:val="clear" w:color="auto" w:fill="FFFFFF"/>
              </w:rPr>
              <w:t>项</w:t>
            </w:r>
          </w:p>
        </w:tc>
        <w:tc>
          <w:tcPr>
            <w:tcW w:w="5606" w:type="dxa"/>
            <w:tcBorders>
              <w:top w:val="single" w:color="000000" w:sz="4" w:space="0"/>
              <w:left w:val="nil"/>
              <w:bottom w:val="single" w:color="000000" w:sz="4" w:space="0"/>
              <w:right w:val="single" w:color="auto" w:sz="4" w:space="0"/>
            </w:tcBorders>
            <w:shd w:val="clear" w:color="auto" w:fill="auto"/>
            <w:vAlign w:val="center"/>
          </w:tcPr>
          <w:p w14:paraId="213DE33A">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1.浏览器适配：采用B/S系统架构，支持最新Edge（10及以上）浏览器，并兼容Firefox、Google Chrome、Safari等主流内核浏览器，确保各类用户通过WEB浏览器均可正常完成浏览、操作，无兼容性异常。</w:t>
            </w:r>
          </w:p>
          <w:p w14:paraId="090F15A9">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cs="宋体"/>
                <w:color w:val="auto"/>
                <w:highlight w:val="none"/>
              </w:rPr>
              <w:t>▲</w:t>
            </w:r>
            <w:r>
              <w:rPr>
                <w:rFonts w:hint="eastAsia" w:ascii="宋体" w:hAnsi="宋体" w:eastAsia="宋体" w:cs="宋体"/>
                <w:color w:val="auto"/>
                <w:sz w:val="21"/>
                <w:szCs w:val="21"/>
                <w:highlight w:val="none"/>
                <w:shd w:val="clear" w:color="auto" w:fill="FFFFFF"/>
              </w:rPr>
              <w:t>2.一体化平台架构：本项目所涉仪器预约管理、危化品管理、实验动物管理、生物样本库管理等系统，须采用一体化平台架构及统一登录授权模式，一次授权即可登录权限范围内所有子系统，支持基于一体化平台实现各子系统间的无缝跳转，子系统可独立运行且保障全域数据互通，适配多部门分工负责、协同办公的业务场景；同时为提升科研转化率及科研项目转化成果，平台须实现科研数据与实验样本数据的互联互通，支持一体化平台直接调用实验样本相关数据，保障数据调用的实时性、准确性与安全性。</w:t>
            </w:r>
          </w:p>
          <w:p w14:paraId="0DA6EA3C">
            <w:pPr>
              <w:pStyle w:val="11"/>
              <w:keepNext w:val="0"/>
              <w:keepLines w:val="0"/>
              <w:suppressLineNumbers w:val="0"/>
              <w:spacing w:before="0" w:beforeAutospacing="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highlight w:val="none"/>
                <w:lang w:val="en-US" w:eastAsia="zh-CN"/>
              </w:rPr>
              <w:t>●</w:t>
            </w:r>
            <w:r>
              <w:rPr>
                <w:rFonts w:hint="eastAsia" w:ascii="宋体" w:hAnsi="宋体" w:eastAsia="宋体" w:cs="宋体"/>
                <w:color w:val="auto"/>
                <w:sz w:val="21"/>
                <w:szCs w:val="21"/>
                <w:highlight w:val="none"/>
                <w:shd w:val="clear" w:color="auto" w:fill="FFFFFF"/>
              </w:rPr>
              <w:t>3.系统兼容主流国产化软硬件环境，确保系统全面适配国产化软硬件环境，符合相关安全管理规范，保障系统长期稳定运行与自主可控，投标人或制造商所投软件产品应与主流国产芯片（</w:t>
            </w:r>
            <w:r>
              <w:rPr>
                <w:rFonts w:hint="eastAsia" w:ascii="宋体" w:hAnsi="宋体" w:eastAsia="宋体" w:cs="宋体"/>
                <w:color w:val="auto"/>
                <w:sz w:val="21"/>
                <w:szCs w:val="21"/>
                <w:highlight w:val="none"/>
                <w:shd w:val="clear" w:color="auto" w:fill="FFFFFF"/>
                <w:lang w:val="en-US" w:eastAsia="zh-CN"/>
              </w:rPr>
              <w:t>包含但不限于</w:t>
            </w:r>
            <w:r>
              <w:rPr>
                <w:rFonts w:hint="eastAsia" w:ascii="宋体" w:hAnsi="宋体" w:eastAsia="宋体" w:cs="宋体"/>
                <w:color w:val="auto"/>
                <w:sz w:val="21"/>
                <w:szCs w:val="21"/>
                <w:highlight w:val="none"/>
                <w:shd w:val="clear" w:color="auto" w:fill="FFFFFF"/>
              </w:rPr>
              <w:t>鲲鹏、飞腾、龙芯、兆芯等）、国产服务器操作系统（</w:t>
            </w:r>
            <w:r>
              <w:rPr>
                <w:rFonts w:hint="eastAsia" w:ascii="宋体" w:hAnsi="宋体" w:eastAsia="宋体" w:cs="宋体"/>
                <w:color w:val="auto"/>
                <w:sz w:val="21"/>
                <w:szCs w:val="21"/>
                <w:highlight w:val="none"/>
                <w:shd w:val="clear" w:color="auto" w:fill="FFFFFF"/>
                <w:lang w:val="en-US" w:eastAsia="zh-CN"/>
              </w:rPr>
              <w:t>包含但不限于</w:t>
            </w:r>
            <w:r>
              <w:rPr>
                <w:rFonts w:hint="eastAsia" w:ascii="宋体" w:hAnsi="宋体" w:eastAsia="宋体" w:cs="宋体"/>
                <w:color w:val="auto"/>
                <w:sz w:val="21"/>
                <w:szCs w:val="21"/>
                <w:highlight w:val="none"/>
                <w:shd w:val="clear" w:color="auto" w:fill="FFFFFF"/>
              </w:rPr>
              <w:t>银河麒麟、统信等）及国产数据库（</w:t>
            </w:r>
            <w:r>
              <w:rPr>
                <w:rFonts w:hint="eastAsia" w:ascii="宋体" w:hAnsi="宋体" w:eastAsia="宋体" w:cs="宋体"/>
                <w:color w:val="auto"/>
                <w:sz w:val="21"/>
                <w:szCs w:val="21"/>
                <w:highlight w:val="none"/>
                <w:shd w:val="clear" w:color="auto" w:fill="FFFFFF"/>
                <w:lang w:val="en-US" w:eastAsia="zh-CN"/>
              </w:rPr>
              <w:t>包含但不限于</w:t>
            </w:r>
            <w:r>
              <w:rPr>
                <w:rFonts w:hint="eastAsia" w:ascii="宋体" w:hAnsi="宋体" w:eastAsia="宋体" w:cs="宋体"/>
                <w:color w:val="auto"/>
                <w:sz w:val="21"/>
                <w:szCs w:val="21"/>
                <w:highlight w:val="none"/>
                <w:shd w:val="clear" w:color="auto" w:fill="FFFFFF"/>
              </w:rPr>
              <w:t>达梦、人大金仓、OceanBase等）兼容适配。</w:t>
            </w:r>
          </w:p>
          <w:p w14:paraId="5D0E25AC">
            <w:pPr>
              <w:pStyle w:val="11"/>
              <w:keepNext w:val="0"/>
              <w:keepLines w:val="0"/>
              <w:suppressLineNumbers w:val="0"/>
              <w:spacing w:before="0" w:beforeAutospacing="0" w:afterAutospacing="0"/>
              <w:ind w:left="0" w:right="0"/>
              <w:rPr>
                <w:rFonts w:hint="default" w:ascii="宋体" w:hAnsi="宋体" w:eastAsia="宋体" w:cs="宋体"/>
                <w:color w:val="auto"/>
                <w:sz w:val="21"/>
                <w:szCs w:val="21"/>
                <w:highlight w:val="none"/>
                <w:shd w:val="clear" w:color="auto" w:fill="FFFFFF"/>
                <w:lang w:val="en-US" w:eastAsia="zh-CN"/>
              </w:rPr>
            </w:pPr>
            <w:r>
              <w:rPr>
                <w:rFonts w:hint="eastAsia" w:ascii="宋体" w:hAnsi="宋体" w:cs="宋体"/>
                <w:color w:val="auto"/>
                <w:sz w:val="21"/>
                <w:szCs w:val="21"/>
                <w:highlight w:val="none"/>
                <w:shd w:val="clear" w:color="auto" w:fill="FFFFFF"/>
                <w:lang w:val="en-US" w:eastAsia="zh-CN"/>
              </w:rPr>
              <w:t>4.本项目招标文件未包含服务器、存储、网络等基础硬件环境，该部分硬件资源、机房环境及配套网络由采购人提供，中标人负责终端对接、调试。</w:t>
            </w:r>
          </w:p>
        </w:tc>
        <w:tc>
          <w:tcPr>
            <w:tcW w:w="1085" w:type="dxa"/>
            <w:tcBorders>
              <w:top w:val="single" w:color="000000" w:sz="4" w:space="0"/>
              <w:left w:val="single" w:color="auto" w:sz="4" w:space="0"/>
              <w:bottom w:val="single" w:color="000000" w:sz="4" w:space="0"/>
              <w:right w:val="single" w:color="000000" w:sz="4" w:space="0"/>
            </w:tcBorders>
            <w:shd w:val="clear" w:color="auto" w:fill="auto"/>
            <w:vAlign w:val="center"/>
          </w:tcPr>
          <w:p w14:paraId="09058F0B">
            <w:pPr>
              <w:keepNext w:val="0"/>
              <w:keepLines w:val="0"/>
              <w:widowControl w:val="0"/>
              <w:suppressLineNumbers w:val="0"/>
              <w:wordWrap/>
              <w:adjustRightInd/>
              <w:snapToGrid/>
              <w:spacing w:before="0" w:beforeAutospacing="0" w:after="0" w:afterAutospacing="0" w:line="320" w:lineRule="exact"/>
              <w:ind w:left="0" w:leftChars="0" w:right="0" w:rightChars="0" w:firstLine="0" w:firstLineChars="0"/>
              <w:jc w:val="center"/>
              <w:textAlignment w:val="auto"/>
              <w:outlineLvl w:val="9"/>
              <w:rPr>
                <w:rFonts w:hint="default" w:ascii="宋体" w:hAnsi="宋体" w:eastAsia="宋体" w:cs="宋体"/>
                <w:b/>
                <w:bCs/>
                <w:color w:val="auto"/>
                <w:sz w:val="21"/>
                <w:szCs w:val="21"/>
                <w:highlight w:val="none"/>
                <w:lang w:val="en-US" w:eastAsia="zh-CN"/>
              </w:rPr>
            </w:pPr>
            <w:r>
              <w:rPr>
                <w:rFonts w:hint="eastAsia"/>
                <w:color w:val="auto"/>
                <w:sz w:val="21"/>
                <w:szCs w:val="21"/>
                <w:highlight w:val="none"/>
              </w:rPr>
              <w:t>软件和信息技术服务业</w:t>
            </w:r>
          </w:p>
        </w:tc>
      </w:tr>
      <w:tr w14:paraId="10A178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9453" w:type="dxa"/>
            <w:gridSpan w:val="6"/>
            <w:tcBorders>
              <w:top w:val="single" w:color="000000" w:sz="4" w:space="0"/>
              <w:left w:val="single" w:color="auto" w:sz="4" w:space="0"/>
              <w:bottom w:val="single" w:color="000000" w:sz="4" w:space="0"/>
              <w:right w:val="single" w:color="000000" w:sz="4" w:space="0"/>
            </w:tcBorders>
            <w:vAlign w:val="center"/>
          </w:tcPr>
          <w:p w14:paraId="2AD3AFA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eastAsia" w:ascii="宋体" w:hAnsi="宋体" w:eastAsia="宋体" w:cs="宋体"/>
                <w:color w:val="auto"/>
                <w:kern w:val="0"/>
                <w:sz w:val="21"/>
                <w:szCs w:val="21"/>
                <w:highlight w:val="none"/>
                <w:lang w:val="en-US"/>
              </w:rPr>
            </w:pPr>
            <w:r>
              <w:rPr>
                <w:rFonts w:hint="eastAsia" w:ascii="宋体" w:hAnsi="宋体" w:cs="宋体"/>
                <w:color w:val="auto"/>
                <w:sz w:val="21"/>
                <w:szCs w:val="21"/>
                <w:highlight w:val="none"/>
                <w:shd w:val="clear" w:color="auto" w:fill="FFFFFF"/>
                <w:lang w:val="en-US" w:eastAsia="zh-CN"/>
              </w:rPr>
              <w:t>（二）、</w:t>
            </w:r>
            <w:r>
              <w:rPr>
                <w:rFonts w:hint="eastAsia" w:ascii="宋体" w:hAnsi="宋体" w:eastAsia="宋体" w:cs="宋体"/>
                <w:color w:val="auto"/>
                <w:sz w:val="21"/>
                <w:szCs w:val="21"/>
                <w:highlight w:val="none"/>
                <w:shd w:val="clear" w:color="auto" w:fill="FFFFFF"/>
              </w:rPr>
              <w:t>仪器预约管理</w:t>
            </w:r>
          </w:p>
        </w:tc>
      </w:tr>
      <w:tr w14:paraId="7A45C0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vAlign w:val="center"/>
          </w:tcPr>
          <w:p w14:paraId="6CF44A40">
            <w:pPr>
              <w:keepNext w:val="0"/>
              <w:keepLines w:val="0"/>
              <w:suppressLineNumbers w:val="0"/>
              <w:bidi w:val="0"/>
              <w:spacing w:before="0" w:beforeAutospacing="0" w:after="0" w:afterAutospacing="0"/>
              <w:ind w:left="0" w:right="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w:t>
            </w:r>
          </w:p>
        </w:tc>
        <w:tc>
          <w:tcPr>
            <w:tcW w:w="1119" w:type="dxa"/>
            <w:tcBorders>
              <w:top w:val="single" w:color="000000" w:sz="4" w:space="0"/>
              <w:left w:val="nil"/>
              <w:bottom w:val="single" w:color="000000" w:sz="4" w:space="0"/>
              <w:right w:val="single" w:color="000000" w:sz="4" w:space="0"/>
            </w:tcBorders>
            <w:vAlign w:val="center"/>
          </w:tcPr>
          <w:p w14:paraId="5EAE359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shd w:val="clear" w:color="auto" w:fill="FFFFFF"/>
              </w:rPr>
              <w:t>仪器预约管理系统</w:t>
            </w:r>
          </w:p>
        </w:tc>
        <w:tc>
          <w:tcPr>
            <w:tcW w:w="499" w:type="dxa"/>
            <w:tcBorders>
              <w:top w:val="single" w:color="000000" w:sz="4" w:space="0"/>
              <w:left w:val="nil"/>
              <w:bottom w:val="single" w:color="000000" w:sz="4" w:space="0"/>
              <w:right w:val="single" w:color="000000" w:sz="4" w:space="0"/>
            </w:tcBorders>
            <w:vAlign w:val="center"/>
          </w:tcPr>
          <w:p w14:paraId="3CE14F9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2"/>
                <w:sz w:val="21"/>
                <w:szCs w:val="21"/>
                <w:highlight w:val="none"/>
                <w:vertAlign w:val="baseline"/>
                <w:lang w:val="en-US" w:eastAsia="zh-CN" w:bidi="ar-SA"/>
              </w:rPr>
              <w:t>1</w:t>
            </w:r>
          </w:p>
        </w:tc>
        <w:tc>
          <w:tcPr>
            <w:tcW w:w="582" w:type="dxa"/>
            <w:tcBorders>
              <w:top w:val="single" w:color="000000" w:sz="4" w:space="0"/>
              <w:left w:val="nil"/>
              <w:bottom w:val="single" w:color="000000" w:sz="4" w:space="0"/>
              <w:right w:val="single" w:color="000000" w:sz="4" w:space="0"/>
            </w:tcBorders>
            <w:vAlign w:val="center"/>
          </w:tcPr>
          <w:p w14:paraId="6769067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套</w:t>
            </w:r>
          </w:p>
        </w:tc>
        <w:tc>
          <w:tcPr>
            <w:tcW w:w="5606" w:type="dxa"/>
            <w:tcBorders>
              <w:top w:val="single" w:color="000000" w:sz="4" w:space="0"/>
              <w:left w:val="nil"/>
              <w:bottom w:val="single" w:color="000000" w:sz="4" w:space="0"/>
              <w:right w:val="single" w:color="auto" w:sz="4" w:space="0"/>
            </w:tcBorders>
            <w:vAlign w:val="center"/>
          </w:tcPr>
          <w:p w14:paraId="3CE9D69F">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1.信息发布及数据可视化平台</w:t>
            </w:r>
          </w:p>
          <w:p w14:paraId="55B62721">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（1）栏目管理：内置通知公告、新闻动态、中心介绍、常用功能快捷入口等基础内容模块。</w:t>
            </w:r>
          </w:p>
          <w:p w14:paraId="2626C22E">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（2）公共信息发布：管理员可手工发布新闻公告、规章制度、实验室资源、仪器使用须知等公共信息。</w:t>
            </w:r>
          </w:p>
          <w:p w14:paraId="115B56BF">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（3）核心数据可视化：首页按需展示仪器总数、仪器总价值、年使用机时、仪器使用排行等核心数据。</w:t>
            </w:r>
          </w:p>
          <w:p w14:paraId="20F0FC22">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2. 使用者工作区</w:t>
            </w:r>
          </w:p>
          <w:p w14:paraId="21F18D31">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（1）个人工作台：按角色适配功能，区分管理员与预约者工作台。</w:t>
            </w:r>
          </w:p>
          <w:p w14:paraId="4D5D74E1">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（2）个人信息详情：支持用户直观查看个人相关信息，涵盖个人基本信息、预约记录、仪器操作资格证书、个人积分及增减明细、黑名单历史记录等。</w:t>
            </w:r>
          </w:p>
          <w:p w14:paraId="2E857506">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（3）课题组管理：支持课题组负责人添加/移除课题组成员；可直观查看课题组成员详细信息、课题组所有仪器使用记录。</w:t>
            </w:r>
          </w:p>
          <w:p w14:paraId="15D4A56A">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3. 预约及配置管理</w:t>
            </w:r>
          </w:p>
          <w:p w14:paraId="2151A367">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（1）仪器基础管理：</w:t>
            </w:r>
          </w:p>
          <w:p w14:paraId="6DF15DFF">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①</w:t>
            </w:r>
            <w:r>
              <w:rPr>
                <w:rFonts w:hint="eastAsia" w:ascii="宋体" w:hAnsi="宋体" w:eastAsia="宋体" w:cs="宋体"/>
                <w:color w:val="auto"/>
                <w:sz w:val="21"/>
                <w:szCs w:val="21"/>
                <w:highlight w:val="none"/>
                <w:shd w:val="clear" w:color="auto" w:fill="FFFFFF"/>
              </w:rPr>
              <w:t xml:space="preserve"> 仪器信息管理：支持仪器添加、修改、删除、查询等操作，登记仪器基本信息，信息填写完整可编辑。</w:t>
            </w:r>
          </w:p>
          <w:p w14:paraId="62767400">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②</w:t>
            </w:r>
            <w:r>
              <w:rPr>
                <w:rFonts w:hint="eastAsia" w:ascii="宋体" w:hAnsi="宋体" w:eastAsia="宋体" w:cs="宋体"/>
                <w:color w:val="auto"/>
                <w:sz w:val="21"/>
                <w:szCs w:val="21"/>
                <w:highlight w:val="none"/>
                <w:shd w:val="clear" w:color="auto" w:fill="FFFFFF"/>
              </w:rPr>
              <w:t xml:space="preserve"> 仪器详情：展示仪器状态、仪器编码、维修报废状态、仪器名称、型号等信息，点击可查看仪器详情。</w:t>
            </w:r>
          </w:p>
          <w:p w14:paraId="173EF26A">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③</w:t>
            </w:r>
            <w:r>
              <w:rPr>
                <w:rFonts w:hint="eastAsia" w:ascii="宋体" w:hAnsi="宋体" w:eastAsia="宋体" w:cs="宋体"/>
                <w:color w:val="auto"/>
                <w:sz w:val="21"/>
                <w:szCs w:val="21"/>
                <w:highlight w:val="none"/>
                <w:shd w:val="clear" w:color="auto" w:fill="FFFFFF"/>
              </w:rPr>
              <w:t>仪器资料管理：支持上传、删除仪器相关资料，包括文档、操作手册等，用户可在线查看、下载各类资料。</w:t>
            </w:r>
          </w:p>
          <w:p w14:paraId="21E84F8E">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④</w:t>
            </w:r>
            <w:r>
              <w:rPr>
                <w:rFonts w:hint="eastAsia" w:ascii="宋体" w:hAnsi="宋体" w:eastAsia="宋体" w:cs="宋体"/>
                <w:color w:val="auto"/>
                <w:sz w:val="21"/>
                <w:szCs w:val="21"/>
                <w:highlight w:val="none"/>
                <w:shd w:val="clear" w:color="auto" w:fill="FFFFFF"/>
              </w:rPr>
              <w:t>保养管理：支持设定仪器保养周期、初次启用时间，添加保养记录，生成可追溯的保养台账，支持导出打印；</w:t>
            </w:r>
          </w:p>
          <w:p w14:paraId="01B6A3BF">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⑤</w:t>
            </w:r>
            <w:r>
              <w:rPr>
                <w:rFonts w:hint="eastAsia" w:ascii="宋体" w:hAnsi="宋体" w:eastAsia="宋体" w:cs="宋体"/>
                <w:color w:val="auto"/>
                <w:sz w:val="21"/>
                <w:szCs w:val="21"/>
                <w:highlight w:val="none"/>
                <w:shd w:val="clear" w:color="auto" w:fill="FFFFFF"/>
              </w:rPr>
              <w:t>校准管理：支持设定仪器校准周期、初次启用时间，添加校准记录，生成校准台账；</w:t>
            </w:r>
          </w:p>
          <w:p w14:paraId="27647BD9">
            <w:pPr>
              <w:pStyle w:val="10"/>
              <w:keepNext w:val="0"/>
              <w:keepLines w:val="0"/>
              <w:suppressLineNumbers w:val="0"/>
              <w:spacing w:before="0" w:beforeAutospacing="0" w:after="0" w:afterAutospacing="0"/>
              <w:ind w:left="0" w:right="0"/>
              <w:rPr>
                <w:rFonts w:hint="eastAsia" w:eastAsia="宋体"/>
                <w:color w:val="auto"/>
                <w:highlight w:val="none"/>
                <w:lang w:eastAsia="zh-CN"/>
              </w:rPr>
            </w:pPr>
            <w:r>
              <w:rPr>
                <w:rFonts w:hint="eastAsia" w:ascii="宋体" w:hAnsi="宋体" w:cs="宋体"/>
                <w:color w:val="auto"/>
                <w:sz w:val="21"/>
                <w:szCs w:val="21"/>
                <w:highlight w:val="none"/>
                <w:shd w:val="clear" w:color="auto" w:fill="FFFFFF"/>
                <w:lang w:val="en-US" w:eastAsia="zh-CN"/>
              </w:rPr>
              <w:t>⑥</w:t>
            </w:r>
            <w:r>
              <w:rPr>
                <w:rFonts w:hint="eastAsia" w:ascii="宋体" w:hAnsi="宋体" w:eastAsia="宋体" w:cs="宋体"/>
                <w:color w:val="auto"/>
                <w:sz w:val="21"/>
                <w:szCs w:val="21"/>
                <w:highlight w:val="none"/>
                <w:shd w:val="clear" w:color="auto" w:fill="FFFFFF"/>
              </w:rPr>
              <w:t>维修管理：支持用户上报仪器故障，记录故障时间、</w:t>
            </w:r>
            <w:r>
              <w:rPr>
                <w:rFonts w:hint="eastAsia"/>
                <w:color w:val="auto"/>
                <w:highlight w:val="none"/>
              </w:rPr>
              <w:t>故障描述</w:t>
            </w:r>
            <w:r>
              <w:rPr>
                <w:rFonts w:hint="eastAsia"/>
                <w:color w:val="auto"/>
                <w:highlight w:val="none"/>
                <w:lang w:eastAsia="zh-CN"/>
              </w:rPr>
              <w:t>。</w:t>
            </w:r>
          </w:p>
          <w:p w14:paraId="488A3EAF">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（2）预约规则与开放设置管理：</w:t>
            </w:r>
          </w:p>
          <w:p w14:paraId="66ADBAEB">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①</w:t>
            </w:r>
            <w:r>
              <w:rPr>
                <w:rFonts w:hint="eastAsia" w:ascii="宋体" w:hAnsi="宋体" w:eastAsia="宋体" w:cs="宋体"/>
                <w:color w:val="auto"/>
                <w:sz w:val="21"/>
                <w:szCs w:val="21"/>
                <w:highlight w:val="none"/>
                <w:shd w:val="clear" w:color="auto" w:fill="FFFFFF"/>
              </w:rPr>
              <w:t>个性化开放设置：可针对每台仪器个性化设置开放时间段、特殊时间段、开放用户范围、提前预约时间、是否强制培训、收费标准等。</w:t>
            </w:r>
          </w:p>
          <w:p w14:paraId="1080092E">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②</w:t>
            </w:r>
            <w:r>
              <w:rPr>
                <w:rFonts w:hint="eastAsia" w:ascii="宋体" w:hAnsi="宋体" w:eastAsia="宋体" w:cs="宋体"/>
                <w:color w:val="auto"/>
                <w:sz w:val="21"/>
                <w:szCs w:val="21"/>
                <w:highlight w:val="none"/>
                <w:shd w:val="clear" w:color="auto" w:fill="FFFFFF"/>
              </w:rPr>
              <w:t xml:space="preserve"> 预约类型：支持仪器预约和送样预约两种类型。</w:t>
            </w:r>
          </w:p>
          <w:p w14:paraId="390B9448">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③</w:t>
            </w:r>
            <w:r>
              <w:rPr>
                <w:rFonts w:hint="eastAsia" w:ascii="宋体" w:hAnsi="宋体" w:eastAsia="宋体" w:cs="宋体"/>
                <w:color w:val="auto"/>
                <w:sz w:val="21"/>
                <w:szCs w:val="21"/>
                <w:highlight w:val="none"/>
                <w:shd w:val="clear" w:color="auto" w:fill="FFFFFF"/>
              </w:rPr>
              <w:t xml:space="preserve"> 控制方式：支持对仪器进行多种控制方式，适配不同业务场景；支持人脸识别、扫码等多种上机、下机认证方式，可与智能硬件联动。</w:t>
            </w:r>
          </w:p>
          <w:p w14:paraId="73045881">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（3）用户在线预约管理：</w:t>
            </w:r>
          </w:p>
          <w:p w14:paraId="069C76E4">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①</w:t>
            </w:r>
            <w:r>
              <w:rPr>
                <w:rFonts w:hint="eastAsia" w:ascii="宋体" w:hAnsi="宋体" w:eastAsia="宋体" w:cs="宋体"/>
                <w:color w:val="auto"/>
                <w:sz w:val="21"/>
                <w:szCs w:val="21"/>
                <w:highlight w:val="none"/>
                <w:shd w:val="clear" w:color="auto" w:fill="FFFFFF"/>
              </w:rPr>
              <w:t xml:space="preserve"> 仪器搜索：支持通过仪器名称、型号、类别、所属平台等关键字模糊查询、分类检索仪器。</w:t>
            </w:r>
          </w:p>
          <w:p w14:paraId="1F3B6F17">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②</w:t>
            </w:r>
            <w:r>
              <w:rPr>
                <w:rFonts w:hint="eastAsia" w:ascii="宋体" w:hAnsi="宋体" w:eastAsia="宋体" w:cs="宋体"/>
                <w:color w:val="auto"/>
                <w:sz w:val="21"/>
                <w:szCs w:val="21"/>
                <w:highlight w:val="none"/>
                <w:shd w:val="clear" w:color="auto" w:fill="FFFFFF"/>
              </w:rPr>
              <w:t>预约操作：用户可通过日历视图查看仪器预约情况。</w:t>
            </w:r>
          </w:p>
          <w:p w14:paraId="512E2E11">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③</w:t>
            </w:r>
            <w:r>
              <w:rPr>
                <w:rFonts w:hint="eastAsia" w:ascii="宋体" w:hAnsi="宋体" w:eastAsia="宋体" w:cs="宋体"/>
                <w:color w:val="auto"/>
                <w:sz w:val="21"/>
                <w:szCs w:val="21"/>
                <w:highlight w:val="none"/>
                <w:shd w:val="clear" w:color="auto" w:fill="FFFFFF"/>
              </w:rPr>
              <w:t xml:space="preserve"> 预约信息生成：用户发起预约后，系统自动生成预约开始时间、结束时间、课题组信息、经费卡信息、预约人、联系电话、预估费用。</w:t>
            </w:r>
          </w:p>
          <w:p w14:paraId="4C046781">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highlight w:val="none"/>
                <w:lang w:val="en-US" w:eastAsia="zh-CN"/>
              </w:rPr>
              <w:t>●</w:t>
            </w:r>
            <w:r>
              <w:rPr>
                <w:rFonts w:hint="eastAsia" w:ascii="宋体" w:hAnsi="宋体" w:cs="宋体"/>
                <w:color w:val="auto"/>
                <w:sz w:val="21"/>
                <w:szCs w:val="21"/>
                <w:highlight w:val="none"/>
                <w:shd w:val="clear" w:color="auto" w:fill="FFFFFF"/>
                <w:lang w:val="en-US" w:eastAsia="zh-CN"/>
              </w:rPr>
              <w:t>④</w:t>
            </w:r>
            <w:r>
              <w:rPr>
                <w:rFonts w:hint="eastAsia" w:ascii="宋体" w:hAnsi="宋体" w:eastAsia="宋体" w:cs="宋体"/>
                <w:color w:val="auto"/>
                <w:sz w:val="21"/>
                <w:szCs w:val="21"/>
                <w:highlight w:val="none"/>
                <w:shd w:val="clear" w:color="auto" w:fill="FFFFFF"/>
              </w:rPr>
              <w:t>预约资格管控：</w:t>
            </w:r>
          </w:p>
          <w:p w14:paraId="2D69367B">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eastAsia="zh-CN"/>
              </w:rPr>
            </w:pPr>
            <w:r>
              <w:rPr>
                <w:rFonts w:hint="eastAsia" w:ascii="宋体" w:hAnsi="宋体" w:eastAsia="宋体" w:cs="宋体"/>
                <w:color w:val="auto"/>
                <w:sz w:val="21"/>
                <w:szCs w:val="21"/>
                <w:highlight w:val="none"/>
                <w:shd w:val="clear" w:color="auto" w:fill="FFFFFF"/>
              </w:rPr>
              <w:t>支持对仪器使用设置资质要求，用户需在预约前通过对应仪器培训考试，可与考试培训系统（如RESTful API、WebService等通用接口协议）实现资质联动，取得合格电子证书后方可进行预约，证书具有时效性，超时后需重新培训审核</w:t>
            </w:r>
            <w:r>
              <w:rPr>
                <w:rFonts w:hint="eastAsia" w:ascii="宋体" w:hAnsi="宋体" w:cs="宋体"/>
                <w:color w:val="auto"/>
                <w:sz w:val="21"/>
                <w:szCs w:val="21"/>
                <w:highlight w:val="none"/>
                <w:shd w:val="clear" w:color="auto" w:fill="FFFFFF"/>
                <w:lang w:eastAsia="zh-CN"/>
              </w:rPr>
              <w:t>。</w:t>
            </w:r>
          </w:p>
          <w:p w14:paraId="742F5CE9">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（4）仪器使用管理：</w:t>
            </w:r>
          </w:p>
          <w:p w14:paraId="19AFE077">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①</w:t>
            </w:r>
            <w:r>
              <w:rPr>
                <w:rFonts w:hint="eastAsia" w:ascii="宋体" w:hAnsi="宋体" w:eastAsia="宋体" w:cs="宋体"/>
                <w:color w:val="auto"/>
                <w:sz w:val="21"/>
                <w:szCs w:val="21"/>
                <w:highlight w:val="none"/>
                <w:shd w:val="clear" w:color="auto" w:fill="FFFFFF"/>
              </w:rPr>
              <w:t xml:space="preserve"> 上机管理：</w:t>
            </w:r>
          </w:p>
          <w:p w14:paraId="246FC765">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支持移动端扫码或人脸识别等多种身份认证方式，认证通过后可联动智能硬件控制仪器电源开启或关闭，记录上机时间、操作人员信息；</w:t>
            </w:r>
          </w:p>
          <w:p w14:paraId="221C7596">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②</w:t>
            </w:r>
            <w:r>
              <w:rPr>
                <w:rFonts w:hint="eastAsia" w:ascii="宋体" w:hAnsi="宋体" w:eastAsia="宋体" w:cs="宋体"/>
                <w:color w:val="auto"/>
                <w:sz w:val="21"/>
                <w:szCs w:val="21"/>
                <w:highlight w:val="none"/>
                <w:shd w:val="clear" w:color="auto" w:fill="FFFFFF"/>
              </w:rPr>
              <w:t xml:space="preserve"> 日历概览：</w:t>
            </w:r>
          </w:p>
          <w:p w14:paraId="385D22A1">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支持通过日历视图展示本周所有仪器的预约概况，直观显示每日各仪器的预约情况。</w:t>
            </w:r>
          </w:p>
          <w:p w14:paraId="12F1F4AE">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（5）计费管理：</w:t>
            </w:r>
          </w:p>
          <w:p w14:paraId="6E333D18">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highlight w:val="none"/>
              </w:rPr>
              <w:t>▲</w:t>
            </w:r>
            <w:r>
              <w:rPr>
                <w:rFonts w:hint="eastAsia" w:ascii="宋体" w:hAnsi="宋体" w:cs="宋体"/>
                <w:color w:val="auto"/>
                <w:sz w:val="21"/>
                <w:szCs w:val="21"/>
                <w:highlight w:val="none"/>
                <w:shd w:val="clear" w:color="auto" w:fill="FFFFFF"/>
                <w:lang w:val="en-US" w:eastAsia="zh-CN"/>
              </w:rPr>
              <w:t>①</w:t>
            </w:r>
            <w:r>
              <w:rPr>
                <w:rFonts w:hint="eastAsia" w:ascii="宋体" w:hAnsi="宋体" w:eastAsia="宋体" w:cs="宋体"/>
                <w:color w:val="auto"/>
                <w:sz w:val="21"/>
                <w:szCs w:val="21"/>
                <w:highlight w:val="none"/>
                <w:shd w:val="clear" w:color="auto" w:fill="FFFFFF"/>
              </w:rPr>
              <w:t>组合计费：</w:t>
            </w:r>
          </w:p>
          <w:p w14:paraId="403BFA70">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支持综合计费、按预约时长计费、按使用时长计费、按使用次数计费、按阶梯计费等多种组合计费方式。</w:t>
            </w:r>
          </w:p>
          <w:p w14:paraId="5CD54CC2">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②</w:t>
            </w:r>
            <w:r>
              <w:rPr>
                <w:rFonts w:hint="eastAsia" w:ascii="宋体" w:hAnsi="宋体" w:eastAsia="宋体" w:cs="宋体"/>
                <w:color w:val="auto"/>
                <w:sz w:val="21"/>
                <w:szCs w:val="21"/>
                <w:highlight w:val="none"/>
                <w:shd w:val="clear" w:color="auto" w:fill="FFFFFF"/>
              </w:rPr>
              <w:t xml:space="preserve"> 计费账单管理：</w:t>
            </w:r>
          </w:p>
          <w:p w14:paraId="2706279A">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系统根据仪器使用时长、计费规则自动生成计费账单，明确记录使用时间、使用人、仪器名称、金额等信息；</w:t>
            </w:r>
          </w:p>
          <w:p w14:paraId="46C50783">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③</w:t>
            </w:r>
            <w:r>
              <w:rPr>
                <w:rFonts w:hint="eastAsia" w:ascii="宋体" w:hAnsi="宋体" w:eastAsia="宋体" w:cs="宋体"/>
                <w:color w:val="auto"/>
                <w:sz w:val="21"/>
                <w:szCs w:val="21"/>
                <w:highlight w:val="none"/>
                <w:shd w:val="clear" w:color="auto" w:fill="FFFFFF"/>
              </w:rPr>
              <w:t>信誉积分：</w:t>
            </w:r>
          </w:p>
          <w:p w14:paraId="5350BF84">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建立完善的信誉积分体系，用户初始拥有固定积分，联动违约机制，对合规操作给予积分奖励，对违约行为实施积分扣除。</w:t>
            </w:r>
          </w:p>
          <w:p w14:paraId="6262336F">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（6）人员与权限管理：</w:t>
            </w:r>
          </w:p>
          <w:p w14:paraId="657EEC4E">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①</w:t>
            </w:r>
            <w:r>
              <w:rPr>
                <w:rFonts w:hint="eastAsia" w:ascii="宋体" w:hAnsi="宋体" w:eastAsia="宋体" w:cs="宋体"/>
                <w:color w:val="auto"/>
                <w:sz w:val="21"/>
                <w:szCs w:val="21"/>
                <w:highlight w:val="none"/>
                <w:shd w:val="clear" w:color="auto" w:fill="FFFFFF"/>
              </w:rPr>
              <w:t xml:space="preserve"> 权限体系：用户-角色-权限三级架构，可针对不同人员设置独立权限。</w:t>
            </w:r>
          </w:p>
          <w:p w14:paraId="5411CA75">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②</w:t>
            </w:r>
            <w:r>
              <w:rPr>
                <w:rFonts w:hint="eastAsia" w:ascii="宋体" w:hAnsi="宋体" w:eastAsia="宋体" w:cs="宋体"/>
                <w:color w:val="auto"/>
                <w:sz w:val="21"/>
                <w:szCs w:val="21"/>
                <w:highlight w:val="none"/>
                <w:shd w:val="clear" w:color="auto" w:fill="FFFFFF"/>
              </w:rPr>
              <w:t xml:space="preserve"> 多角色管理：支持同时拥有多个角色，适配操作者身兼多职的场景。</w:t>
            </w:r>
          </w:p>
          <w:p w14:paraId="720AB7F9">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③</w:t>
            </w:r>
            <w:r>
              <w:rPr>
                <w:rFonts w:hint="eastAsia" w:ascii="宋体" w:hAnsi="宋体" w:eastAsia="宋体" w:cs="宋体"/>
                <w:color w:val="auto"/>
                <w:sz w:val="21"/>
                <w:szCs w:val="21"/>
                <w:highlight w:val="none"/>
                <w:shd w:val="clear" w:color="auto" w:fill="FFFFFF"/>
              </w:rPr>
              <w:t xml:space="preserve"> 用户管理：支持添加、修改、删除用户信息，支持批量导入用户信息。</w:t>
            </w:r>
          </w:p>
          <w:p w14:paraId="64DAE63C">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（7）移动端功能：</w:t>
            </w:r>
          </w:p>
          <w:p w14:paraId="0D197626">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①</w:t>
            </w:r>
            <w:r>
              <w:rPr>
                <w:rFonts w:hint="eastAsia" w:ascii="宋体" w:hAnsi="宋体" w:eastAsia="宋体" w:cs="宋体"/>
                <w:color w:val="auto"/>
                <w:sz w:val="21"/>
                <w:szCs w:val="21"/>
                <w:highlight w:val="none"/>
                <w:shd w:val="clear" w:color="auto" w:fill="FFFFFF"/>
              </w:rPr>
              <w:t>核心操作支持：支持移动端进行仪器搜索、仪器预约、送样预约操作，可通过手机端选择仪器、选择预约时段，填写预约信息，操作与电脑端同步。</w:t>
            </w:r>
          </w:p>
          <w:p w14:paraId="42331164">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②</w:t>
            </w:r>
            <w:r>
              <w:rPr>
                <w:rFonts w:hint="eastAsia" w:ascii="宋体" w:hAnsi="宋体" w:eastAsia="宋体" w:cs="宋体"/>
                <w:color w:val="auto"/>
                <w:sz w:val="21"/>
                <w:szCs w:val="21"/>
                <w:highlight w:val="none"/>
                <w:shd w:val="clear" w:color="auto" w:fill="FFFFFF"/>
              </w:rPr>
              <w:t>审核与通知：支持移动端接收预约审核、仪器状态等消息通知；有权限的管理员、仪器负责人可通过移动端进行预约审核、接样确认等操作。</w:t>
            </w:r>
          </w:p>
          <w:p w14:paraId="403E9394">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③</w:t>
            </w:r>
            <w:r>
              <w:rPr>
                <w:rFonts w:hint="eastAsia" w:ascii="宋体" w:hAnsi="宋体" w:eastAsia="宋体" w:cs="宋体"/>
                <w:color w:val="auto"/>
                <w:sz w:val="21"/>
                <w:szCs w:val="21"/>
                <w:highlight w:val="none"/>
                <w:shd w:val="clear" w:color="auto" w:fill="FFFFFF"/>
              </w:rPr>
              <w:t xml:space="preserve"> 上机认证：支持移动端扫码进行身份识别验证，与智能硬件联动，认证通过后控制仪器电源开启或关闭，记录上下机操作信息，实现仪器使用的便捷管控。</w:t>
            </w:r>
          </w:p>
          <w:p w14:paraId="43E89FFC">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highlight w:val="none"/>
              </w:rPr>
              <w:t>▲</w:t>
            </w:r>
            <w:r>
              <w:rPr>
                <w:rFonts w:hint="eastAsia" w:ascii="宋体" w:hAnsi="宋体" w:cs="宋体"/>
                <w:color w:val="auto"/>
                <w:sz w:val="21"/>
                <w:szCs w:val="21"/>
                <w:highlight w:val="none"/>
                <w:shd w:val="clear" w:color="auto" w:fill="FFFFFF"/>
                <w:lang w:val="en-US" w:eastAsia="zh-CN"/>
              </w:rPr>
              <w:t>④</w:t>
            </w:r>
            <w:r>
              <w:rPr>
                <w:rFonts w:hint="eastAsia" w:ascii="宋体" w:hAnsi="宋体" w:eastAsia="宋体" w:cs="宋体"/>
                <w:color w:val="auto"/>
                <w:sz w:val="21"/>
                <w:szCs w:val="21"/>
                <w:highlight w:val="none"/>
                <w:shd w:val="clear" w:color="auto" w:fill="FFFFFF"/>
              </w:rPr>
              <w:t xml:space="preserve"> 个人查询：支持移动端查看个人预约记录、预约节点等信息，随时随地了解相关情况。</w:t>
            </w:r>
          </w:p>
          <w:p w14:paraId="3E31052D">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（8）统计看板与查询统计：</w:t>
            </w:r>
          </w:p>
          <w:p w14:paraId="136E4603">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①</w:t>
            </w:r>
            <w:r>
              <w:rPr>
                <w:rFonts w:hint="eastAsia" w:ascii="宋体" w:hAnsi="宋体" w:eastAsia="宋体" w:cs="宋体"/>
                <w:color w:val="auto"/>
                <w:sz w:val="21"/>
                <w:szCs w:val="21"/>
                <w:highlight w:val="none"/>
                <w:shd w:val="clear" w:color="auto" w:fill="FFFFFF"/>
              </w:rPr>
              <w:t>统计看板：详细记录平台所有仪器使用记录、人员预约记录，展示核心指标；</w:t>
            </w:r>
          </w:p>
          <w:p w14:paraId="790B9941">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shd w:val="clear" w:color="auto" w:fill="FFFFFF"/>
                <w:lang w:val="en-US" w:eastAsia="zh-CN"/>
              </w:rPr>
              <w:t>②</w:t>
            </w:r>
            <w:r>
              <w:rPr>
                <w:rFonts w:hint="eastAsia" w:ascii="宋体" w:hAnsi="宋体" w:eastAsia="宋体" w:cs="宋体"/>
                <w:color w:val="auto"/>
                <w:sz w:val="21"/>
                <w:szCs w:val="21"/>
                <w:highlight w:val="none"/>
                <w:shd w:val="clear" w:color="auto" w:fill="FFFFFF"/>
              </w:rPr>
              <w:t>查询统计：支持按预约人、仪器、时间段、课题组等条件，查询预约明细、使用明细、计费明细。</w:t>
            </w:r>
          </w:p>
        </w:tc>
        <w:tc>
          <w:tcPr>
            <w:tcW w:w="1085" w:type="dxa"/>
            <w:tcBorders>
              <w:top w:val="single" w:color="000000" w:sz="4" w:space="0"/>
              <w:left w:val="single" w:color="auto" w:sz="4" w:space="0"/>
              <w:bottom w:val="single" w:color="000000" w:sz="4" w:space="0"/>
              <w:right w:val="single" w:color="000000" w:sz="4" w:space="0"/>
            </w:tcBorders>
            <w:vAlign w:val="center"/>
          </w:tcPr>
          <w:p w14:paraId="50A8A21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b w:val="0"/>
                <w:bCs w:val="0"/>
                <w:color w:val="auto"/>
                <w:sz w:val="21"/>
                <w:szCs w:val="21"/>
                <w:highlight w:val="none"/>
                <w:u w:val="none"/>
              </w:rPr>
            </w:pPr>
            <w:r>
              <w:rPr>
                <w:rFonts w:hint="eastAsia"/>
                <w:color w:val="auto"/>
                <w:sz w:val="21"/>
                <w:szCs w:val="21"/>
                <w:highlight w:val="none"/>
              </w:rPr>
              <w:t>软件和信息技术服务业</w:t>
            </w:r>
          </w:p>
        </w:tc>
      </w:tr>
      <w:tr w14:paraId="3EA103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453" w:type="dxa"/>
            <w:gridSpan w:val="6"/>
            <w:tcBorders>
              <w:top w:val="single" w:color="000000" w:sz="4" w:space="0"/>
              <w:left w:val="single" w:color="auto" w:sz="4" w:space="0"/>
              <w:bottom w:val="single" w:color="000000" w:sz="4" w:space="0"/>
              <w:right w:val="single" w:color="000000" w:sz="4" w:space="0"/>
            </w:tcBorders>
            <w:vAlign w:val="center"/>
          </w:tcPr>
          <w:p w14:paraId="6D2D879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eastAsia" w:ascii="宋体" w:hAnsi="宋体" w:eastAsia="宋体" w:cs="宋体"/>
                <w:color w:val="auto"/>
                <w:spacing w:val="-6"/>
                <w:kern w:val="2"/>
                <w:sz w:val="21"/>
                <w:szCs w:val="21"/>
                <w:highlight w:val="none"/>
                <w:vertAlign w:val="baseline"/>
                <w:lang w:val="en-US" w:eastAsia="zh-CN" w:bidi="ar-SA"/>
              </w:rPr>
            </w:pPr>
            <w:r>
              <w:rPr>
                <w:rFonts w:hint="eastAsia" w:ascii="宋体" w:hAnsi="宋体" w:cs="宋体"/>
                <w:color w:val="auto"/>
                <w:sz w:val="21"/>
                <w:szCs w:val="21"/>
                <w:highlight w:val="none"/>
                <w:shd w:val="clear" w:color="auto" w:fill="FFFFFF"/>
                <w:lang w:val="en-US" w:eastAsia="zh-CN" w:bidi="ar"/>
              </w:rPr>
              <w:t>（三）、</w:t>
            </w:r>
            <w:r>
              <w:rPr>
                <w:rFonts w:hint="eastAsia" w:ascii="宋体" w:hAnsi="宋体" w:eastAsia="宋体" w:cs="宋体"/>
                <w:color w:val="auto"/>
                <w:sz w:val="21"/>
                <w:szCs w:val="21"/>
                <w:highlight w:val="none"/>
                <w:shd w:val="clear" w:color="auto" w:fill="FFFFFF"/>
                <w:lang w:bidi="ar"/>
              </w:rPr>
              <w:t>危化品管理</w:t>
            </w:r>
          </w:p>
        </w:tc>
      </w:tr>
      <w:tr w14:paraId="260CD5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4A1FF657">
            <w:pPr>
              <w:keepNext w:val="0"/>
              <w:keepLines w:val="0"/>
              <w:suppressLineNumbers w:val="0"/>
              <w:bidi w:val="0"/>
              <w:spacing w:before="0" w:beforeAutospacing="0" w:after="0" w:afterAutospacing="0"/>
              <w:ind w:left="0" w:leftChars="0" w:right="0" w:right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1</w:t>
            </w:r>
          </w:p>
        </w:tc>
        <w:tc>
          <w:tcPr>
            <w:tcW w:w="1119" w:type="dxa"/>
            <w:tcBorders>
              <w:top w:val="single" w:color="000000" w:sz="4" w:space="0"/>
              <w:left w:val="nil"/>
              <w:bottom w:val="single" w:color="000000" w:sz="4" w:space="0"/>
              <w:right w:val="single" w:color="000000" w:sz="4" w:space="0"/>
            </w:tcBorders>
            <w:shd w:val="clear" w:color="auto" w:fill="auto"/>
            <w:vAlign w:val="center"/>
          </w:tcPr>
          <w:p w14:paraId="75751E8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color w:val="auto"/>
                <w:kern w:val="2"/>
                <w:sz w:val="21"/>
                <w:szCs w:val="21"/>
                <w:highlight w:val="none"/>
                <w:vertAlign w:val="baseline"/>
                <w:lang w:val="en-US" w:eastAsia="zh-CN" w:bidi="ar-SA"/>
              </w:rPr>
            </w:pPr>
            <w:r>
              <w:rPr>
                <w:rFonts w:hint="eastAsia" w:ascii="宋体" w:hAnsi="宋体" w:eastAsia="宋体" w:cs="宋体"/>
                <w:color w:val="auto"/>
                <w:sz w:val="21"/>
                <w:szCs w:val="21"/>
                <w:highlight w:val="none"/>
                <w:shd w:val="clear" w:color="auto" w:fill="FFFFFF"/>
                <w:lang w:bidi="ar"/>
              </w:rPr>
              <w:t>危化品管理系统</w:t>
            </w:r>
          </w:p>
        </w:tc>
        <w:tc>
          <w:tcPr>
            <w:tcW w:w="499" w:type="dxa"/>
            <w:tcBorders>
              <w:top w:val="single" w:color="000000" w:sz="4" w:space="0"/>
              <w:left w:val="nil"/>
              <w:bottom w:val="single" w:color="000000" w:sz="4" w:space="0"/>
              <w:right w:val="single" w:color="000000" w:sz="4" w:space="0"/>
            </w:tcBorders>
            <w:shd w:val="clear" w:color="auto" w:fill="auto"/>
            <w:vAlign w:val="center"/>
          </w:tcPr>
          <w:p w14:paraId="3E02A67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w:t>
            </w:r>
          </w:p>
        </w:tc>
        <w:tc>
          <w:tcPr>
            <w:tcW w:w="582" w:type="dxa"/>
            <w:tcBorders>
              <w:top w:val="single" w:color="000000" w:sz="4" w:space="0"/>
              <w:left w:val="nil"/>
              <w:bottom w:val="single" w:color="000000" w:sz="4" w:space="0"/>
              <w:right w:val="single" w:color="000000" w:sz="4" w:space="0"/>
            </w:tcBorders>
            <w:shd w:val="clear" w:color="auto" w:fill="auto"/>
            <w:vAlign w:val="center"/>
          </w:tcPr>
          <w:p w14:paraId="0297037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color w:val="auto"/>
                <w:kern w:val="2"/>
                <w:sz w:val="21"/>
                <w:szCs w:val="21"/>
                <w:highlight w:val="none"/>
                <w:vertAlign w:val="baseline"/>
                <w:lang w:val="en-US" w:eastAsia="zh-CN" w:bidi="ar-SA"/>
              </w:rPr>
            </w:pPr>
            <w:r>
              <w:rPr>
                <w:rFonts w:hint="eastAsia" w:ascii="宋体" w:hAnsi="宋体" w:eastAsia="宋体" w:cs="宋体"/>
                <w:color w:val="auto"/>
                <w:kern w:val="2"/>
                <w:sz w:val="21"/>
                <w:szCs w:val="21"/>
                <w:highlight w:val="none"/>
                <w:vertAlign w:val="baseline"/>
                <w:lang w:val="en-US" w:eastAsia="zh-CN" w:bidi="ar-SA"/>
              </w:rPr>
              <w:t>套</w:t>
            </w:r>
          </w:p>
        </w:tc>
        <w:tc>
          <w:tcPr>
            <w:tcW w:w="5606" w:type="dxa"/>
            <w:tcBorders>
              <w:top w:val="single" w:color="000000" w:sz="4" w:space="0"/>
              <w:left w:val="nil"/>
              <w:bottom w:val="single" w:color="000000" w:sz="4" w:space="0"/>
              <w:right w:val="single" w:color="auto" w:sz="4" w:space="0"/>
            </w:tcBorders>
            <w:shd w:val="clear" w:color="auto" w:fill="auto"/>
            <w:vAlign w:val="center"/>
          </w:tcPr>
          <w:p w14:paraId="5E80D9DF">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（一）电脑端功能参数</w:t>
            </w:r>
          </w:p>
          <w:p w14:paraId="523969B3">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1. 系统首页</w:t>
            </w:r>
          </w:p>
          <w:p w14:paraId="4B624C32">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（1）信息统计区域需直观展示各类存储容器的数量，统计数据实时更新。</w:t>
            </w:r>
          </w:p>
          <w:p w14:paraId="60354799">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（2）首页展示标准化操作指引，引导用户完成开门申请、验证、取用、归还、登记全流程操作。</w:t>
            </w:r>
          </w:p>
          <w:p w14:paraId="4025EDAC">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（3）展示统计各类报警数量（如超期未登记、使用量异常、蓝牙锁离线、未关门、蓝牙锁电量低、试剂过期等）。</w:t>
            </w:r>
          </w:p>
          <w:p w14:paraId="4FD19B34">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2. 危化品管理</w:t>
            </w:r>
          </w:p>
          <w:p w14:paraId="4CBE7591">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（1）区域和容器管理：支持以列表形式展示存储区域与容器配置，可新建/编辑/删除/禁用存储区域、存储容器，可对容器内的分区进行精细化管理，设置分区编码、分区名称等。</w:t>
            </w:r>
          </w:p>
          <w:p w14:paraId="669B9874">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（2）危化品筛选：支持按危化品名称、CAS号、危险级别、状态、类型等多条件筛选。</w:t>
            </w:r>
          </w:p>
          <w:p w14:paraId="47968156">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（3）危化品全生命周期管理：支持查看试剂信息与全流程操作日志，支持在线编辑试剂信息、提交申领申请、查看操作日志、提交报废申请。</w:t>
            </w:r>
          </w:p>
          <w:p w14:paraId="00F63E13">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highlight w:val="none"/>
              </w:rPr>
              <w:t>▲</w:t>
            </w:r>
            <w:r>
              <w:rPr>
                <w:rFonts w:hint="eastAsia" w:ascii="宋体" w:hAnsi="宋体" w:eastAsia="宋体" w:cs="宋体"/>
                <w:color w:val="auto"/>
                <w:sz w:val="21"/>
                <w:szCs w:val="21"/>
                <w:highlight w:val="none"/>
                <w:shd w:val="clear" w:color="auto" w:fill="FFFFFF"/>
              </w:rPr>
              <w:t>（4）支持批量打印标签：可对选中的危化品批量打印标签，标签内容需包含危化品名称、CAS号、规格、存储位置、标签号等关键信息。</w:t>
            </w:r>
          </w:p>
          <w:p w14:paraId="5CE031F4">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（5）支持批量导入危化品，以及导出危化品清单。</w:t>
            </w:r>
          </w:p>
          <w:p w14:paraId="1DA3129B">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3. 数据记录管理</w:t>
            </w:r>
          </w:p>
          <w:p w14:paraId="5EFBA63D">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（1）领用申请记录：完整留存所有领用申请的全流程信息，包含申请单号、申请人、申请时间、审批节点、危化品明细、领用用途等。</w:t>
            </w:r>
          </w:p>
          <w:p w14:paraId="251E86DD">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（2）久置统计与管理：支持久置规则可视化配置，可一键开启久置标记功能，自定义设置久置时长阈值，配置定时检查任务。</w:t>
            </w:r>
          </w:p>
          <w:p w14:paraId="3D2E9571">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（3）入库记录：完整留存所有危化品入库记录，包含入库人、批次号、入库数量、入库时间、验证时间、存储位置等信息，支持查看批次详情记录，多条件筛选查询与导出。</w:t>
            </w:r>
          </w:p>
          <w:p w14:paraId="62E1F81C">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（4）报废记录：完整留存所有危化品报废全流程记录，包含操作人员、试剂名称、容器编号、报废数量、报废时间、存储位置、报废原因、审批记录等信息。</w:t>
            </w:r>
          </w:p>
          <w:p w14:paraId="496F851A">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（5）盘点记录：支持管理员新建盘点任务、登记盘点信息，完成后自动生成标准化盘点记录。</w:t>
            </w:r>
          </w:p>
          <w:p w14:paraId="466BA24D">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4. 标签管理</w:t>
            </w:r>
          </w:p>
          <w:p w14:paraId="04A65981">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（1）标签列表完整展示当前系统内所有在用标签的信息，包含试剂名称、CAS号、规格、危险等级、标签号、存放位置等信息。</w:t>
            </w:r>
          </w:p>
          <w:p w14:paraId="670E51D4">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（2）支持标签标准化打印功能，支持单条打印与批量打印。</w:t>
            </w:r>
          </w:p>
          <w:p w14:paraId="06262A6A">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（3）系统支持按预设规则自动生成唯一化标签，通过标签与对应危化品信息的一对一精准绑定。</w:t>
            </w:r>
          </w:p>
          <w:p w14:paraId="397A8FC2">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5. 报警管理</w:t>
            </w:r>
          </w:p>
          <w:p w14:paraId="209D4926">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highlight w:val="none"/>
                <w:lang w:val="en-US" w:eastAsia="zh-CN"/>
              </w:rPr>
              <w:t>●</w:t>
            </w:r>
            <w:r>
              <w:rPr>
                <w:rFonts w:hint="eastAsia" w:ascii="宋体" w:hAnsi="宋体" w:eastAsia="宋体" w:cs="宋体"/>
                <w:color w:val="auto"/>
                <w:sz w:val="21"/>
                <w:szCs w:val="21"/>
                <w:highlight w:val="none"/>
                <w:shd w:val="clear" w:color="auto" w:fill="FFFFFF"/>
              </w:rPr>
              <w:t>（1）系统内置全场景智能报警规则，报警类型覆盖未关门、使用量异常、超期未登记、蓝牙锁电量低、蓝牙锁离线等风险。</w:t>
            </w:r>
          </w:p>
          <w:p w14:paraId="557ACA00">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（2）支持报警全流程闭环处理，可在线填写处理说明、更新处理状态、取消报警，处理过程全程留痕；自动生成报警统计报表。</w:t>
            </w:r>
          </w:p>
          <w:p w14:paraId="43969F9F">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6.</w:t>
            </w:r>
            <w:r>
              <w:rPr>
                <w:rFonts w:hint="eastAsia" w:ascii="宋体" w:hAnsi="宋体" w:eastAsia="宋体" w:cs="宋体"/>
                <w:color w:val="auto"/>
                <w:sz w:val="21"/>
                <w:szCs w:val="21"/>
                <w:highlight w:val="none"/>
                <w:shd w:val="clear" w:color="auto" w:fill="FFFFFF"/>
              </w:rPr>
              <w:t xml:space="preserve"> 统计管理</w:t>
            </w:r>
          </w:p>
          <w:p w14:paraId="616E317F">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（1）库存统计：支持按课题组、危化品类型、存储位置等多维度统计库存数量，以表格形式展示。</w:t>
            </w:r>
          </w:p>
          <w:p w14:paraId="5A059D6F">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（2）久置统计：支持按学院、课题组、试剂名称或CAS号等多维度统计久置试剂信息。</w:t>
            </w:r>
          </w:p>
          <w:p w14:paraId="7247E36F">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（3）领用/出库统计：基于领用申请记录，支持按时间、审批状态、领用人等维度统计领用次数、数量。</w:t>
            </w:r>
          </w:p>
          <w:p w14:paraId="7FDD32D9">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（二）手机端功能参数</w:t>
            </w:r>
          </w:p>
          <w:p w14:paraId="06B8E8D7">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1. 用户可在手机端便捷提交危化品领用、归还、报废等申请。</w:t>
            </w:r>
          </w:p>
          <w:p w14:paraId="76B3C85F">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2. 审批功能：待审批事项实时推送至手机端，用户可查看申请详情并进行通过/驳回操作，操作记录同步至系统。</w:t>
            </w:r>
          </w:p>
          <w:p w14:paraId="0E8E4DC9">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3. 个人台账查看：支持查看本人的开关门记录、领用记录、待办事项等。</w:t>
            </w:r>
          </w:p>
          <w:p w14:paraId="3E5778F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rightChars="0" w:firstLine="0" w:firstLine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shd w:val="clear" w:color="auto" w:fill="FFFFFF"/>
              </w:rPr>
              <w:t>4. 消息提醒：系统消息及时推送，用户可点击消息直接进入处理页面。</w:t>
            </w:r>
          </w:p>
        </w:tc>
        <w:tc>
          <w:tcPr>
            <w:tcW w:w="1085" w:type="dxa"/>
            <w:tcBorders>
              <w:top w:val="single" w:color="000000" w:sz="4" w:space="0"/>
              <w:left w:val="single" w:color="auto" w:sz="4" w:space="0"/>
              <w:bottom w:val="single" w:color="000000" w:sz="4" w:space="0"/>
              <w:right w:val="single" w:color="000000" w:sz="4" w:space="0"/>
            </w:tcBorders>
            <w:shd w:val="clear" w:color="auto" w:fill="auto"/>
            <w:vAlign w:val="center"/>
          </w:tcPr>
          <w:p w14:paraId="2A2B6E1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pacing w:val="-6"/>
                <w:kern w:val="2"/>
                <w:sz w:val="21"/>
                <w:szCs w:val="21"/>
                <w:highlight w:val="none"/>
                <w:vertAlign w:val="baseline"/>
                <w:lang w:val="en-US" w:eastAsia="zh-CN" w:bidi="ar-SA"/>
              </w:rPr>
            </w:pPr>
            <w:r>
              <w:rPr>
                <w:rFonts w:hint="eastAsia"/>
                <w:color w:val="auto"/>
                <w:sz w:val="21"/>
                <w:szCs w:val="21"/>
                <w:highlight w:val="none"/>
              </w:rPr>
              <w:t>软件和信息技术服务业</w:t>
            </w:r>
          </w:p>
        </w:tc>
      </w:tr>
      <w:tr w14:paraId="74572E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453" w:type="dxa"/>
            <w:gridSpan w:val="6"/>
            <w:tcBorders>
              <w:top w:val="single" w:color="000000" w:sz="4" w:space="0"/>
              <w:left w:val="single" w:color="auto" w:sz="4" w:space="0"/>
              <w:bottom w:val="single" w:color="000000" w:sz="4" w:space="0"/>
              <w:right w:val="single" w:color="000000" w:sz="4" w:space="0"/>
            </w:tcBorders>
            <w:vAlign w:val="center"/>
          </w:tcPr>
          <w:p w14:paraId="1890E45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eastAsia" w:ascii="宋体" w:hAnsi="宋体" w:eastAsia="宋体" w:cs="宋体"/>
                <w:b w:val="0"/>
                <w:bCs w:val="0"/>
                <w:color w:val="auto"/>
                <w:sz w:val="21"/>
                <w:szCs w:val="21"/>
                <w:highlight w:val="none"/>
                <w:u w:val="none"/>
              </w:rPr>
            </w:pPr>
            <w:r>
              <w:rPr>
                <w:rFonts w:hint="eastAsia" w:ascii="宋体" w:hAnsi="宋体" w:cs="宋体"/>
                <w:color w:val="auto"/>
                <w:sz w:val="21"/>
                <w:szCs w:val="21"/>
                <w:highlight w:val="none"/>
                <w:shd w:val="clear" w:color="auto" w:fill="FFFFFF"/>
                <w:lang w:val="en-US" w:eastAsia="zh-CN" w:bidi="ar"/>
              </w:rPr>
              <w:t>（四）、</w:t>
            </w:r>
            <w:r>
              <w:rPr>
                <w:rFonts w:hint="eastAsia" w:ascii="宋体" w:hAnsi="宋体" w:eastAsia="宋体" w:cs="宋体"/>
                <w:color w:val="auto"/>
                <w:sz w:val="21"/>
                <w:szCs w:val="21"/>
                <w:highlight w:val="none"/>
                <w:shd w:val="clear" w:color="auto" w:fill="FFFFFF"/>
                <w:lang w:bidi="ar"/>
              </w:rPr>
              <w:t>实验动物管理</w:t>
            </w:r>
          </w:p>
        </w:tc>
      </w:tr>
      <w:tr w14:paraId="6A84F0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vAlign w:val="center"/>
          </w:tcPr>
          <w:p w14:paraId="06608979">
            <w:pPr>
              <w:keepNext w:val="0"/>
              <w:keepLines w:val="0"/>
              <w:suppressLineNumbers w:val="0"/>
              <w:bidi w:val="0"/>
              <w:spacing w:before="0" w:beforeAutospacing="0" w:after="0" w:afterAutospacing="0"/>
              <w:ind w:left="0" w:right="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w:t>
            </w:r>
          </w:p>
        </w:tc>
        <w:tc>
          <w:tcPr>
            <w:tcW w:w="1119" w:type="dxa"/>
            <w:tcBorders>
              <w:top w:val="single" w:color="000000" w:sz="4" w:space="0"/>
              <w:left w:val="nil"/>
              <w:bottom w:val="single" w:color="000000" w:sz="4" w:space="0"/>
              <w:right w:val="single" w:color="000000" w:sz="4" w:space="0"/>
            </w:tcBorders>
            <w:shd w:val="clear" w:color="auto" w:fill="auto"/>
            <w:vAlign w:val="center"/>
          </w:tcPr>
          <w:p w14:paraId="6877DC2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rPr>
                <w:rFonts w:hint="eastAsia" w:ascii="宋体" w:hAnsi="宋体" w:eastAsia="宋体" w:cs="宋体"/>
                <w:color w:val="auto"/>
                <w:kern w:val="2"/>
                <w:sz w:val="21"/>
                <w:szCs w:val="21"/>
                <w:highlight w:val="none"/>
                <w:vertAlign w:val="baseline"/>
                <w:lang w:val="en-US" w:eastAsia="zh-CN" w:bidi="ar-SA"/>
              </w:rPr>
            </w:pPr>
            <w:r>
              <w:rPr>
                <w:rFonts w:hint="eastAsia" w:ascii="宋体" w:hAnsi="宋体" w:eastAsia="宋体" w:cs="宋体"/>
                <w:color w:val="auto"/>
                <w:sz w:val="21"/>
                <w:szCs w:val="21"/>
                <w:highlight w:val="none"/>
                <w:shd w:val="clear" w:color="auto" w:fill="FFFFFF"/>
                <w:lang w:bidi="ar"/>
              </w:rPr>
              <w:t>实验动物管理系统</w:t>
            </w:r>
          </w:p>
        </w:tc>
        <w:tc>
          <w:tcPr>
            <w:tcW w:w="499" w:type="dxa"/>
            <w:tcBorders>
              <w:top w:val="single" w:color="000000" w:sz="4" w:space="0"/>
              <w:left w:val="nil"/>
              <w:bottom w:val="single" w:color="000000" w:sz="4" w:space="0"/>
              <w:right w:val="single" w:color="000000" w:sz="4" w:space="0"/>
            </w:tcBorders>
            <w:shd w:val="clear" w:color="auto" w:fill="auto"/>
            <w:vAlign w:val="center"/>
          </w:tcPr>
          <w:p w14:paraId="25E11CC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w:t>
            </w:r>
          </w:p>
        </w:tc>
        <w:tc>
          <w:tcPr>
            <w:tcW w:w="582" w:type="dxa"/>
            <w:tcBorders>
              <w:top w:val="single" w:color="000000" w:sz="4" w:space="0"/>
              <w:left w:val="nil"/>
              <w:bottom w:val="single" w:color="000000" w:sz="4" w:space="0"/>
              <w:right w:val="single" w:color="000000" w:sz="4" w:space="0"/>
            </w:tcBorders>
            <w:shd w:val="clear" w:color="auto" w:fill="auto"/>
            <w:vAlign w:val="center"/>
          </w:tcPr>
          <w:p w14:paraId="7213ADF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rPr>
                <w:rFonts w:hint="eastAsia" w:ascii="宋体" w:hAnsi="宋体" w:eastAsia="宋体" w:cs="宋体"/>
                <w:color w:val="auto"/>
                <w:kern w:val="2"/>
                <w:sz w:val="21"/>
                <w:szCs w:val="21"/>
                <w:highlight w:val="none"/>
                <w:vertAlign w:val="baseline"/>
                <w:lang w:val="en-US" w:eastAsia="zh-CN" w:bidi="ar-SA"/>
              </w:rPr>
            </w:pPr>
            <w:r>
              <w:rPr>
                <w:rFonts w:hint="eastAsia" w:ascii="宋体" w:hAnsi="宋体" w:eastAsia="宋体" w:cs="宋体"/>
                <w:color w:val="auto"/>
                <w:kern w:val="2"/>
                <w:sz w:val="21"/>
                <w:szCs w:val="21"/>
                <w:highlight w:val="none"/>
                <w:vertAlign w:val="baseline"/>
                <w:lang w:val="en-US" w:eastAsia="zh-CN" w:bidi="ar-SA"/>
              </w:rPr>
              <w:t>套</w:t>
            </w:r>
          </w:p>
        </w:tc>
        <w:tc>
          <w:tcPr>
            <w:tcW w:w="5606" w:type="dxa"/>
            <w:tcBorders>
              <w:top w:val="single" w:color="000000" w:sz="4" w:space="0"/>
              <w:left w:val="nil"/>
              <w:bottom w:val="single" w:color="000000" w:sz="4" w:space="0"/>
              <w:right w:val="single" w:color="auto" w:sz="4" w:space="0"/>
            </w:tcBorders>
            <w:vAlign w:val="center"/>
          </w:tcPr>
          <w:p w14:paraId="0E3618EA">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highlight w:val="none"/>
              </w:rPr>
              <w:t>▲</w:t>
            </w:r>
            <w:r>
              <w:rPr>
                <w:rFonts w:hint="eastAsia" w:ascii="宋体" w:hAnsi="宋体" w:eastAsia="宋体" w:cs="宋体"/>
                <w:color w:val="auto"/>
                <w:sz w:val="21"/>
                <w:szCs w:val="21"/>
                <w:highlight w:val="none"/>
                <w:shd w:val="clear" w:color="auto" w:fill="FFFFFF"/>
              </w:rPr>
              <w:t>1.动物伦理管理</w:t>
            </w:r>
          </w:p>
          <w:p w14:paraId="4E23A8A8">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（1）预申请管理：支持动物福利伦理预申请在线提交，提供标准化福利伦理申请模板；申请提交时需校验申请人电子签名，支持对申请内容进行批注；支持伦理意见书单独/批量下载、上传归档。</w:t>
            </w:r>
          </w:p>
          <w:p w14:paraId="43063893">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2）正式申请管理：支持动物福利伦理正式申请在线提交与全流程线上审批，审批流程支持初审、驳回、终审等多级审核；正式申请提交时需校验申请人电子签名，审批通过后生成唯一伦理批号编号；支持伦理证明在线下载、上传归档，实现伦理文件的规范化管理与全流程追溯。</w:t>
            </w:r>
          </w:p>
          <w:p w14:paraId="541FDC21">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2.笼位申请管理</w:t>
            </w:r>
          </w:p>
          <w:p w14:paraId="7E261074">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1）申请与审核管理：支持用户在线提交笼位预约申请，系统在提交时自动进行双重校验：校验用户当前信用积分是否低于设定的最低阈值；校验用户是否已通过福利伦理正式申请并获得有效伦理批号。通过双重校验后，管理员根据动物房实际笼位资源情况、用户实验动物情况及用户笼位预计使用时间段进行笼位预分配；审批通过自动锁定对应笼位资源，驳回需填写驳回理由并同步通知申请人；预约被驳回后，支持申请人修正信息后重新提交，关联原预约记录便于追溯。</w:t>
            </w:r>
          </w:p>
          <w:p w14:paraId="6E1E0ECA">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（2）变更与结束管理：支持实验人员在线申请变更笼位数量、调整实验期限等信息，审批通过后自动更新笼位资源配置；支持实验人员主动提交实验结束申请，审批通过后自动释放对应笼位资源。</w:t>
            </w:r>
          </w:p>
          <w:p w14:paraId="0B683686">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3.饲养管理</w:t>
            </w:r>
          </w:p>
          <w:p w14:paraId="6F08D985">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（1）动物接收与检疫管理</w:t>
            </w:r>
          </w:p>
          <w:p w14:paraId="27991607">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①</w:t>
            </w:r>
            <w:r>
              <w:rPr>
                <w:rFonts w:hint="eastAsia" w:ascii="宋体" w:hAnsi="宋体" w:eastAsia="宋体" w:cs="宋体"/>
                <w:color w:val="auto"/>
                <w:sz w:val="21"/>
                <w:szCs w:val="21"/>
                <w:highlight w:val="none"/>
                <w:shd w:val="clear" w:color="auto" w:fill="FFFFFF"/>
              </w:rPr>
              <w:t>动物接收：笼位预约申请单审核通过后，用户在线下接收动物时可同步在线记录接收信息，支持录入动物品种品系、性别、数量、动物合格证等基础信息；支持一次性接收多批次动物，完成接收后自动将动物状态标记为“检疫待分配”。</w:t>
            </w:r>
          </w:p>
          <w:p w14:paraId="7F3B68E7">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②</w:t>
            </w:r>
            <w:r>
              <w:rPr>
                <w:rFonts w:hint="eastAsia" w:ascii="宋体" w:hAnsi="宋体" w:eastAsia="宋体" w:cs="宋体"/>
                <w:color w:val="auto"/>
                <w:sz w:val="21"/>
                <w:szCs w:val="21"/>
                <w:highlight w:val="none"/>
                <w:shd w:val="clear" w:color="auto" w:fill="FFFFFF"/>
              </w:rPr>
              <w:t>动物检疫：支持检疫结果在线登记，检疫合格可记录检疫信息，触发笼位分配或将动物状态更新为“待入笼”；检疫不合格可记录退回原因，终止对应流程。</w:t>
            </w:r>
          </w:p>
          <w:p w14:paraId="54CF6CB1">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（2）笼位管理</w:t>
            </w:r>
          </w:p>
          <w:p w14:paraId="5EEC159D">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①</w:t>
            </w:r>
            <w:r>
              <w:rPr>
                <w:rFonts w:hint="eastAsia" w:ascii="宋体" w:hAnsi="宋体" w:eastAsia="宋体" w:cs="宋体"/>
                <w:color w:val="auto"/>
                <w:sz w:val="21"/>
                <w:szCs w:val="21"/>
                <w:highlight w:val="none"/>
                <w:shd w:val="clear" w:color="auto" w:fill="FFFFFF"/>
              </w:rPr>
              <w:t>构建“楼栋-楼层-房间-动物架-动物笼”五级层级化笼位空间结构。</w:t>
            </w:r>
          </w:p>
          <w:p w14:paraId="77A9E323">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②</w:t>
            </w:r>
            <w:r>
              <w:rPr>
                <w:rFonts w:hint="eastAsia" w:ascii="宋体" w:hAnsi="宋体" w:eastAsia="宋体" w:cs="宋体"/>
                <w:color w:val="auto"/>
                <w:sz w:val="21"/>
                <w:szCs w:val="21"/>
                <w:highlight w:val="none"/>
                <w:shd w:val="clear" w:color="auto" w:fill="FFFFFF"/>
              </w:rPr>
              <w:t>支持对笼架名称、管理员、单价、笼架类型、收费方式等信息进行新增、编辑、删除、查询；支持自主设置笼位最大容量限制、笼架归属权。</w:t>
            </w:r>
          </w:p>
          <w:p w14:paraId="2C2969EF">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③</w:t>
            </w:r>
            <w:r>
              <w:rPr>
                <w:rFonts w:hint="eastAsia" w:ascii="宋体" w:hAnsi="宋体" w:eastAsia="宋体" w:cs="宋体"/>
                <w:color w:val="auto"/>
                <w:sz w:val="21"/>
                <w:szCs w:val="21"/>
                <w:highlight w:val="none"/>
                <w:shd w:val="clear" w:color="auto" w:fill="FFFFFF"/>
              </w:rPr>
              <w:t>笼位矩阵信息与巡检终端实时互通，支持对某个笼位操作编辑、入笼、移笼、出库等操作，支持查看该笼位中的实验动物基本信息、动物与笼位的历史操作记录。</w:t>
            </w:r>
          </w:p>
          <w:p w14:paraId="102E716F">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④</w:t>
            </w:r>
            <w:r>
              <w:rPr>
                <w:rFonts w:hint="eastAsia" w:ascii="宋体" w:hAnsi="宋体" w:eastAsia="宋体" w:cs="宋体"/>
                <w:color w:val="auto"/>
                <w:sz w:val="21"/>
                <w:szCs w:val="21"/>
                <w:highlight w:val="none"/>
                <w:shd w:val="clear" w:color="auto" w:fill="FFFFFF"/>
              </w:rPr>
              <w:t>支持生成并打印笼位二维码，实现笼位扫码便捷管理。</w:t>
            </w:r>
          </w:p>
          <w:p w14:paraId="1AB8F8A0">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（3）巡检管理</w:t>
            </w:r>
          </w:p>
          <w:p w14:paraId="07431F9C">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支持巡检员选择巡检区域，并记录以下信息：环境信息设施信息、饲养信息以及笼具信息。同时支持上传附件作为补充材料。系统支持复制上一条已填写信息的功能，可在其基础上修改后直接提交。</w:t>
            </w:r>
          </w:p>
          <w:p w14:paraId="5E636E72">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（4）动物处理</w:t>
            </w:r>
          </w:p>
          <w:p w14:paraId="11868D0C">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①</w:t>
            </w:r>
            <w:r>
              <w:rPr>
                <w:rFonts w:hint="eastAsia" w:ascii="宋体" w:hAnsi="宋体" w:eastAsia="宋体" w:cs="宋体"/>
                <w:color w:val="auto"/>
                <w:sz w:val="21"/>
                <w:szCs w:val="21"/>
                <w:highlight w:val="none"/>
                <w:shd w:val="clear" w:color="auto" w:fill="FFFFFF"/>
              </w:rPr>
              <w:t>动物移笼：基于可视化笼位空间结构，支持对动物进行笼位更换、合笼、分笼等操作。可根据实际需求，选择按“只”或按“笼”进行单个或批量移笼，系统自动更新动物位置信息并生成操作记录，操作数据可多端同步。</w:t>
            </w:r>
          </w:p>
          <w:p w14:paraId="5762622A">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highlight w:val="none"/>
              </w:rPr>
              <w:t>▲</w:t>
            </w:r>
            <w:r>
              <w:rPr>
                <w:rFonts w:hint="eastAsia" w:ascii="宋体" w:hAnsi="宋体" w:cs="宋体"/>
                <w:color w:val="auto"/>
                <w:sz w:val="21"/>
                <w:szCs w:val="21"/>
                <w:highlight w:val="none"/>
                <w:shd w:val="clear" w:color="auto" w:fill="FFFFFF"/>
                <w:lang w:val="en-US" w:eastAsia="zh-CN"/>
              </w:rPr>
              <w:t>②</w:t>
            </w:r>
            <w:r>
              <w:rPr>
                <w:rFonts w:hint="eastAsia" w:ascii="宋体" w:hAnsi="宋体" w:eastAsia="宋体" w:cs="宋体"/>
                <w:color w:val="auto"/>
                <w:sz w:val="21"/>
                <w:szCs w:val="21"/>
                <w:highlight w:val="none"/>
                <w:shd w:val="clear" w:color="auto" w:fill="FFFFFF"/>
              </w:rPr>
              <w:t>动物出库：基于可视化笼位空间结构，支持对动物进行出库操作，可按“只”或按“笼”进行单个或批量处理。出库类型包括自然死亡、内部淘汰、实验处死等，系统完整记录出库原因、时间及操作人信息，操作数据可多端同步。</w:t>
            </w:r>
          </w:p>
          <w:p w14:paraId="5048B16B">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4.操作记录管理</w:t>
            </w:r>
          </w:p>
          <w:p w14:paraId="012B2D5E">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（1）入笼记录：记录项目名称、动物入笼时间、笼位信息、操作人、入笼类型、动物编号等。</w:t>
            </w:r>
          </w:p>
          <w:p w14:paraId="5425B86A">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（2）检疫记录：记录检疫时间、检疫项目、检疫状态、检疫负责人及检疫明细。</w:t>
            </w:r>
          </w:p>
          <w:p w14:paraId="2A49F541">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（3）移笼记录：记录移笼操作时间、来源笼位、目标笼位、移笼数量、操作人等。</w:t>
            </w:r>
          </w:p>
          <w:p w14:paraId="6EA9060F">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（4）巡检记录：记录巡检时间、巡检区域、巡检人、环境信息、设施状态、饲养情况等。</w:t>
            </w:r>
          </w:p>
          <w:p w14:paraId="608FB05F">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（5）违规记录：记录违规时间、违规人员、违规类型、违规图片、处理措施等。</w:t>
            </w:r>
          </w:p>
          <w:p w14:paraId="6022EDE5">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5.基础配置管理</w:t>
            </w:r>
          </w:p>
          <w:p w14:paraId="5F7A8565">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（1）动物房间管理：支持“楼栋-楼层-房间”多层级可视化管理，可对楼栋、楼层、房间基础信息进行新增、编辑、删除、查询操作，实现动物饲养空间的规范化管控。</w:t>
            </w:r>
          </w:p>
          <w:p w14:paraId="6E884C5B">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2）笼架管理：系统支持动物笼架基础信息统一维护，可对笼架名称、责任管理员、笼架类型、收费方式等信息执行新增、编辑、删除、查询操作；支持根据管理需求自主设置笼位最大容量限制，支持从已生成笼位信息中选取设置测试笼位，支持自定义配置笼位归属项，可关联绑定对应科室、课题组，充分适配动物中心多样化业务管控与资源分配场景。</w:t>
            </w:r>
          </w:p>
          <w:p w14:paraId="1F9B899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shd w:val="clear" w:color="auto" w:fill="FFFFFF"/>
              </w:rPr>
              <w:t>（3）基础数据管理：支持动物品种品系、检疫项目的基础信息维护，可对对应信息进行新增、编辑、删除、查询操作，实现基础数据的标准化管理。</w:t>
            </w:r>
          </w:p>
        </w:tc>
        <w:tc>
          <w:tcPr>
            <w:tcW w:w="1085" w:type="dxa"/>
            <w:tcBorders>
              <w:top w:val="single" w:color="000000" w:sz="4" w:space="0"/>
              <w:left w:val="single" w:color="auto" w:sz="4" w:space="0"/>
              <w:bottom w:val="single" w:color="000000" w:sz="4" w:space="0"/>
              <w:right w:val="single" w:color="000000" w:sz="4" w:space="0"/>
            </w:tcBorders>
            <w:vAlign w:val="center"/>
          </w:tcPr>
          <w:p w14:paraId="23AD400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b w:val="0"/>
                <w:bCs w:val="0"/>
                <w:color w:val="auto"/>
                <w:sz w:val="21"/>
                <w:szCs w:val="21"/>
                <w:highlight w:val="none"/>
                <w:u w:val="none"/>
              </w:rPr>
            </w:pPr>
            <w:r>
              <w:rPr>
                <w:rFonts w:hint="eastAsia"/>
                <w:color w:val="auto"/>
                <w:sz w:val="21"/>
                <w:szCs w:val="21"/>
                <w:highlight w:val="none"/>
              </w:rPr>
              <w:t>软件和信息技术服务业</w:t>
            </w:r>
          </w:p>
        </w:tc>
      </w:tr>
      <w:tr w14:paraId="35FD9B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453" w:type="dxa"/>
            <w:gridSpan w:val="6"/>
            <w:tcBorders>
              <w:top w:val="single" w:color="000000" w:sz="4" w:space="0"/>
              <w:left w:val="single" w:color="auto" w:sz="4" w:space="0"/>
              <w:bottom w:val="single" w:color="000000" w:sz="4" w:space="0"/>
              <w:right w:val="single" w:color="000000" w:sz="4" w:space="0"/>
            </w:tcBorders>
            <w:vAlign w:val="center"/>
          </w:tcPr>
          <w:p w14:paraId="25EB175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eastAsia" w:ascii="宋体" w:hAnsi="宋体" w:eastAsia="宋体" w:cs="宋体"/>
                <w:b w:val="0"/>
                <w:bCs w:val="0"/>
                <w:color w:val="auto"/>
                <w:sz w:val="21"/>
                <w:szCs w:val="21"/>
                <w:highlight w:val="none"/>
                <w:u w:val="none"/>
              </w:rPr>
            </w:pPr>
            <w:r>
              <w:rPr>
                <w:rFonts w:hint="eastAsia" w:ascii="宋体" w:hAnsi="宋体" w:cs="宋体"/>
                <w:color w:val="auto"/>
                <w:sz w:val="21"/>
                <w:szCs w:val="21"/>
                <w:highlight w:val="none"/>
                <w:shd w:val="clear" w:color="auto" w:fill="FFFFFF"/>
                <w:lang w:val="en-US" w:eastAsia="zh-CN"/>
              </w:rPr>
              <w:t>（五）、</w:t>
            </w:r>
            <w:r>
              <w:rPr>
                <w:rFonts w:hint="eastAsia" w:ascii="宋体" w:hAnsi="宋体" w:eastAsia="宋体" w:cs="宋体"/>
                <w:color w:val="auto"/>
                <w:sz w:val="21"/>
                <w:szCs w:val="21"/>
                <w:highlight w:val="none"/>
                <w:shd w:val="clear" w:color="auto" w:fill="FFFFFF"/>
              </w:rPr>
              <w:t>生物样本库管理</w:t>
            </w:r>
          </w:p>
        </w:tc>
      </w:tr>
      <w:tr w14:paraId="1DCC00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vAlign w:val="center"/>
          </w:tcPr>
          <w:p w14:paraId="38DABCF8">
            <w:pPr>
              <w:keepNext w:val="0"/>
              <w:keepLines w:val="0"/>
              <w:suppressLineNumbers w:val="0"/>
              <w:bidi w:val="0"/>
              <w:spacing w:before="0" w:beforeAutospacing="0" w:after="0" w:afterAutospacing="0"/>
              <w:ind w:left="0" w:right="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w:t>
            </w:r>
          </w:p>
        </w:tc>
        <w:tc>
          <w:tcPr>
            <w:tcW w:w="1119" w:type="dxa"/>
            <w:tcBorders>
              <w:top w:val="single" w:color="000000" w:sz="4" w:space="0"/>
              <w:left w:val="nil"/>
              <w:bottom w:val="single" w:color="000000" w:sz="4" w:space="0"/>
              <w:right w:val="single" w:color="000000" w:sz="4" w:space="0"/>
            </w:tcBorders>
            <w:shd w:val="clear" w:color="auto" w:fill="auto"/>
            <w:vAlign w:val="center"/>
          </w:tcPr>
          <w:p w14:paraId="4BC5E28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rPr>
                <w:rFonts w:hint="eastAsia" w:ascii="宋体" w:hAnsi="宋体" w:eastAsia="宋体" w:cs="宋体"/>
                <w:color w:val="auto"/>
                <w:kern w:val="2"/>
                <w:sz w:val="21"/>
                <w:szCs w:val="21"/>
                <w:highlight w:val="none"/>
                <w:vertAlign w:val="baseline"/>
                <w:lang w:val="en-US" w:eastAsia="zh-CN" w:bidi="ar-SA"/>
              </w:rPr>
            </w:pPr>
            <w:r>
              <w:rPr>
                <w:rFonts w:hint="eastAsia" w:ascii="宋体" w:hAnsi="宋体" w:eastAsia="宋体" w:cs="宋体"/>
                <w:color w:val="auto"/>
                <w:sz w:val="21"/>
                <w:szCs w:val="21"/>
                <w:highlight w:val="none"/>
                <w:shd w:val="clear" w:color="auto" w:fill="FFFFFF"/>
                <w:lang w:bidi="ar"/>
              </w:rPr>
              <w:t>生物样本库管理系统</w:t>
            </w:r>
          </w:p>
        </w:tc>
        <w:tc>
          <w:tcPr>
            <w:tcW w:w="499" w:type="dxa"/>
            <w:tcBorders>
              <w:top w:val="single" w:color="000000" w:sz="4" w:space="0"/>
              <w:left w:val="nil"/>
              <w:bottom w:val="single" w:color="000000" w:sz="4" w:space="0"/>
              <w:right w:val="single" w:color="000000" w:sz="4" w:space="0"/>
            </w:tcBorders>
            <w:shd w:val="clear" w:color="auto" w:fill="auto"/>
            <w:vAlign w:val="center"/>
          </w:tcPr>
          <w:p w14:paraId="1F8C2B7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w:t>
            </w:r>
          </w:p>
        </w:tc>
        <w:tc>
          <w:tcPr>
            <w:tcW w:w="582" w:type="dxa"/>
            <w:tcBorders>
              <w:top w:val="single" w:color="000000" w:sz="4" w:space="0"/>
              <w:left w:val="nil"/>
              <w:bottom w:val="single" w:color="000000" w:sz="4" w:space="0"/>
              <w:right w:val="single" w:color="000000" w:sz="4" w:space="0"/>
            </w:tcBorders>
            <w:shd w:val="clear" w:color="auto" w:fill="auto"/>
            <w:vAlign w:val="center"/>
          </w:tcPr>
          <w:p w14:paraId="6D9F914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rPr>
                <w:rFonts w:hint="eastAsia" w:ascii="宋体" w:hAnsi="宋体" w:eastAsia="宋体" w:cs="宋体"/>
                <w:color w:val="auto"/>
                <w:kern w:val="2"/>
                <w:sz w:val="21"/>
                <w:szCs w:val="21"/>
                <w:highlight w:val="none"/>
                <w:vertAlign w:val="baseline"/>
                <w:lang w:val="en-US" w:eastAsia="zh-CN" w:bidi="ar-SA"/>
              </w:rPr>
            </w:pPr>
            <w:r>
              <w:rPr>
                <w:rFonts w:hint="eastAsia" w:ascii="宋体" w:hAnsi="宋体" w:eastAsia="宋体" w:cs="宋体"/>
                <w:color w:val="auto"/>
                <w:kern w:val="2"/>
                <w:sz w:val="21"/>
                <w:szCs w:val="21"/>
                <w:highlight w:val="none"/>
                <w:vertAlign w:val="baseline"/>
                <w:lang w:val="en-US" w:eastAsia="zh-CN" w:bidi="ar-SA"/>
              </w:rPr>
              <w:t>套</w:t>
            </w:r>
          </w:p>
        </w:tc>
        <w:tc>
          <w:tcPr>
            <w:tcW w:w="5606" w:type="dxa"/>
            <w:tcBorders>
              <w:top w:val="single" w:color="000000" w:sz="4" w:space="0"/>
              <w:left w:val="nil"/>
              <w:bottom w:val="single" w:color="000000" w:sz="4" w:space="0"/>
              <w:right w:val="single" w:color="auto" w:sz="4" w:space="0"/>
            </w:tcBorders>
            <w:vAlign w:val="center"/>
          </w:tcPr>
          <w:p w14:paraId="52D7099B">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b w:val="0"/>
                <w:bCs w:val="0"/>
                <w:color w:val="auto"/>
                <w:kern w:val="0"/>
                <w:sz w:val="21"/>
                <w:szCs w:val="21"/>
                <w:highlight w:val="none"/>
                <w:shd w:val="clear" w:color="auto" w:fill="FFFFFF"/>
                <w:lang w:val="en-US" w:eastAsia="zh-CN" w:bidi="ar-SA"/>
              </w:rPr>
              <w:t>1</w:t>
            </w:r>
            <w:r>
              <w:rPr>
                <w:rFonts w:hint="eastAsia" w:ascii="宋体" w:hAnsi="宋体" w:eastAsia="宋体" w:cs="宋体"/>
                <w:color w:val="auto"/>
                <w:sz w:val="21"/>
                <w:szCs w:val="21"/>
                <w:highlight w:val="none"/>
                <w:shd w:val="clear" w:color="auto" w:fill="FFFFFF"/>
                <w:lang w:val="en-US" w:eastAsia="zh-CN"/>
              </w:rPr>
              <w:t>．系统首页</w:t>
            </w:r>
          </w:p>
          <w:p w14:paraId="12B2EEF0">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(1)系统首页内容可根据操作人员角色权限不同展示对应内容，操作人员可根据工作业务情况进行首页布局设置，支持首页个性化布局配置，可自主调整首页模块位置。在系统全局管理层面，需要提供快速查询样本、查找功能菜单、切换用户权限、待办信息提醒、系统风格配置的功能；</w:t>
            </w:r>
          </w:p>
          <w:p w14:paraId="7CB5A315">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rPr>
              <w:t>(2)系统需提供常用功能的入口，并可在当前页面跳转完成操作。需要根据当前用户对其待办事项进行提醒。能够根据操作人员权限，进行样本、来源、流程、课题或容器维度数据</w:t>
            </w:r>
            <w:r>
              <w:rPr>
                <w:rFonts w:hint="eastAsia" w:ascii="宋体" w:hAnsi="宋体" w:eastAsia="宋体" w:cs="宋体"/>
                <w:color w:val="auto"/>
                <w:sz w:val="21"/>
                <w:szCs w:val="21"/>
                <w:highlight w:val="none"/>
                <w:shd w:val="clear" w:color="auto" w:fill="FFFFFF"/>
                <w:lang w:val="en-US" w:eastAsia="zh-CN"/>
              </w:rPr>
              <w:t>统计，支持预警信息展示，联动消息提醒，可操作跳转列表展示用户反馈信息。</w:t>
            </w:r>
          </w:p>
          <w:p w14:paraId="66AEBBD2">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2．科研应用功能体系</w:t>
            </w:r>
          </w:p>
          <w:p w14:paraId="43B4F240">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●（1）课题组管理</w:t>
            </w:r>
          </w:p>
          <w:p w14:paraId="033119DA">
            <w:pPr>
              <w:keepNext w:val="0"/>
              <w:keepLines w:val="0"/>
              <w:suppressLineNumbers w:val="0"/>
              <w:spacing w:before="0" w:beforeAutospacing="0" w:after="0" w:afterAutospacing="0"/>
              <w:ind w:left="0" w:right="0"/>
              <w:rPr>
                <w:rFonts w:hint="eastAsia" w:ascii="宋体" w:hAnsi="宋体" w:eastAsia="宋体" w:cs="宋体"/>
                <w:b/>
                <w:bCs/>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课题组管理模块支持对科研项目从创建、执行到资源统筹的全流程精细化管控。用户可在样本类型规划中直接定义每种样本的采集和存储要去，并关联具体的制备方案与存储容器等信息。可对课题的基础信息进行规范登记，可按课题组的维度来明确容器归属并进行管理，通过合理划分权限和隔离数据确保样本管理合规。可与人员管理模块关联以快速选取成员，同时能通过清晰的信息列表展示成员的基本信息。支持课题组成员权限划分，支持自动记录课题组创建、课题组成员增减、课题组信息修改等关键操作。</w:t>
            </w:r>
            <w:r>
              <w:rPr>
                <w:rFonts w:hint="eastAsia" w:ascii="宋体" w:hAnsi="宋体" w:eastAsia="宋体" w:cs="宋体"/>
                <w:b/>
                <w:bCs/>
                <w:color w:val="auto"/>
                <w:sz w:val="21"/>
                <w:szCs w:val="21"/>
                <w:highlight w:val="none"/>
                <w:shd w:val="clear" w:color="auto" w:fill="FFFFFF"/>
                <w:lang w:val="en-US" w:eastAsia="zh-CN"/>
              </w:rPr>
              <w:t>（需根据技术参数要求提供系统视频演示）</w:t>
            </w:r>
          </w:p>
          <w:p w14:paraId="27992C9F">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（2）项目管理</w:t>
            </w:r>
          </w:p>
          <w:p w14:paraId="5FFC5F9D">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①系统支持项目立项流程，支持对项目信息规范化登记，支持关联归属课题组的选择与课题编号的设定，可对项目相关信息进行结构化录入，具备按项目样本共享机制的配置功能，支持多样化共享模式的设定，支持项目样本合规内容</w:t>
            </w:r>
            <w:r>
              <w:rPr>
                <w:rFonts w:hint="eastAsia" w:ascii="宋体" w:hAnsi="宋体" w:eastAsia="宋体" w:cs="宋体"/>
                <w:color w:val="auto"/>
                <w:sz w:val="21"/>
                <w:szCs w:val="21"/>
                <w:highlight w:val="none"/>
                <w:shd w:val="clear" w:color="auto" w:fill="FFFFFF"/>
              </w:rPr>
              <w:t>管理，支持对伦理批件、研究方案、知情同意模板、项目资料、成果报</w:t>
            </w:r>
            <w:r>
              <w:rPr>
                <w:rFonts w:hint="eastAsia" w:ascii="宋体" w:hAnsi="宋体" w:eastAsia="宋体" w:cs="宋体"/>
                <w:color w:val="auto"/>
                <w:sz w:val="21"/>
                <w:szCs w:val="21"/>
                <w:highlight w:val="none"/>
                <w:shd w:val="clear" w:color="auto" w:fill="FFFFFF"/>
                <w:lang w:val="en-US" w:eastAsia="zh-CN"/>
              </w:rPr>
              <w:t>告等文件的结构化管理。</w:t>
            </w:r>
          </w:p>
          <w:p w14:paraId="5C7E8B9D">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②系统可根据项目研究情况设置保藏计划，以便样本库统筹和分配存储资源。项目运行过程中系统支持追踪项目各个实施阶段以及当前的收样情况，可从多维度对项目的执行情况进行统计分析。支持项目样本存储形式的定义功能，可对样本的长期保藏或临时性存储状态进行设定；</w:t>
            </w:r>
          </w:p>
          <w:p w14:paraId="6F366883">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③支持项目立项审批，样本库管理人员对申请保藏的项目信息进行审批。支持添加/删除项目成员，项目成员间共享项目数据。可按项目的维度来明确容器归属并进行管理。可设置项目的随访管理计划。支持查看项目关联的捐献者情况。</w:t>
            </w:r>
          </w:p>
          <w:p w14:paraId="7F58248A">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（3）随访管理</w:t>
            </w:r>
          </w:p>
          <w:p w14:paraId="629B510E">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①支持对样本来源进行随访计划制定，支持根据随访计划时间，设定随访提醒时间进行随访提醒。支持自定义随访表单，自由配置随访表单内容。可通过多维度筛选，呈现记录随访记录的相关信息。</w:t>
            </w:r>
          </w:p>
          <w:p w14:paraId="48FE7299">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②为了保证随访的时效性并简化随访操作，需要支持随访记录在移动端进行登记。并能够通知指定人员进行随访。</w:t>
            </w:r>
          </w:p>
          <w:p w14:paraId="5356668A">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●（4）科研知识库</w:t>
            </w:r>
          </w:p>
          <w:p w14:paraId="72F00BD5">
            <w:pPr>
              <w:keepNext w:val="0"/>
              <w:keepLines w:val="0"/>
              <w:suppressLineNumbers w:val="0"/>
              <w:spacing w:before="0" w:beforeAutospacing="0" w:after="0" w:afterAutospacing="0"/>
              <w:ind w:left="0" w:right="0"/>
              <w:rPr>
                <w:rFonts w:hint="eastAsia" w:ascii="宋体" w:hAnsi="宋体" w:eastAsia="宋体" w:cs="宋体"/>
                <w:b/>
                <w:bCs/>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系统支持对知识内容进行权限层级设定，支持知识内容的新增功能，可对知识分类、知识版本、知识名称、知识来源、关键词等信息进行添加与编辑。具备内容分类功能，可按照预设的多级分类体系（如法律法规、国标和团标、科研资料、认可体系文件、操作标准和规范、数据记录等）对内容进行归类并展示。知识的访问权限需要受控,支持知识的内容版本管理，记录每篇内容的修改历史,支持在知识列表页面直接阅览知识正文，同时，阅览页面可自动展示水印，且水印内容能根据用户的具体需求进行灵活调整。</w:t>
            </w:r>
            <w:r>
              <w:rPr>
                <w:rFonts w:hint="eastAsia" w:ascii="宋体" w:hAnsi="宋体" w:eastAsia="宋体" w:cs="宋体"/>
                <w:b/>
                <w:bCs/>
                <w:color w:val="auto"/>
                <w:sz w:val="21"/>
                <w:szCs w:val="21"/>
                <w:highlight w:val="none"/>
                <w:shd w:val="clear" w:color="auto" w:fill="FFFFFF"/>
                <w:lang w:val="en-US" w:eastAsia="zh-CN"/>
              </w:rPr>
              <w:t>（需根据技术参数要求提供系统视频演示）</w:t>
            </w:r>
          </w:p>
          <w:p w14:paraId="0679CF62">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（5）科研成果管理</w:t>
            </w:r>
          </w:p>
          <w:p w14:paraId="02218D6F">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科研成果管理需覆盖科研论文、学术著作等全类型成果，分类展示各类型成果数量。列表集成成果信息，从编号、名称到作者、归属组织，清晰呈现成果的状态。需要支持对论文、专利等多种成果类型进行规范化登记。系统定义成果类型、归属项目、名称、状态、第一作者等核心字段，支持描述样本来源与使用情况，保证科研产出与样本资源间的溯源关联。</w:t>
            </w:r>
          </w:p>
          <w:p w14:paraId="7C70E152">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3．业务流程功能体系</w:t>
            </w:r>
          </w:p>
          <w:p w14:paraId="098107B4">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（1）标本采集与制备</w:t>
            </w:r>
          </w:p>
          <w:p w14:paraId="5E6A080F">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①手术排班：标本取样列表模块通过对接手麻系统，自动拉取相关信息，呈现待取样数据，支持标本选择登记或删除操作。</w:t>
            </w:r>
          </w:p>
          <w:p w14:paraId="0AA4C51D">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②检验科研医嘱：系统支持对接医嘱系统拉取下医嘱时间、科室、科研医嘱名称等数据，覆盖门诊、住院等患者就诊类型构建手术场景下标本采集全流程管理。</w:t>
            </w:r>
          </w:p>
          <w:p w14:paraId="53AC5E15">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③支持通过扫码枪快速录入样本信息，同时支持对样本的归属组织进行选择，涵盖科室、课题、样本库等类别，支持通过样本模板录入，选择制备方案系统自动生成标本信息、样本数量、容量等信息。</w:t>
            </w:r>
          </w:p>
          <w:p w14:paraId="124DE7DA">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④标本登记后支持发起转运任务，可关联采集单、出库单等单据，明确标本转运数量，同时内置转运规范构建从任务创建、单据关联到规范指引的全流程管理。</w:t>
            </w:r>
          </w:p>
          <w:p w14:paraId="71551E94">
            <w:pPr>
              <w:keepNext w:val="0"/>
              <w:keepLines w:val="0"/>
              <w:suppressLineNumbers w:val="0"/>
              <w:spacing w:before="0" w:beforeAutospacing="0" w:after="0" w:afterAutospacing="0"/>
              <w:ind w:left="0" w:right="0"/>
              <w:rPr>
                <w:rFonts w:hint="eastAsia" w:ascii="宋体" w:hAnsi="宋体" w:eastAsia="宋体" w:cs="宋体"/>
                <w:b/>
                <w:bCs/>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⑤要求系统的标本登记和制备操作必须简单易用，每个节点的点击次数保证在三步以内完成，系统支持按照标本归属配置处理方案，自动拉取样本分装全量信息。适配不同冻存盒规格与存储需求；结合可视化整盘扫描、样本位置拖动调整。在标本处理过程中，支持扫码记录时间，可填写采集、接收、处理、暂存等时间信息。制备过程中能够批量录入扩展数据，</w:t>
            </w:r>
            <w:r>
              <w:rPr>
                <w:rFonts w:hint="eastAsia" w:ascii="宋体" w:hAnsi="宋体" w:cs="宋体"/>
                <w:color w:val="auto"/>
                <w:sz w:val="21"/>
                <w:szCs w:val="21"/>
                <w:highlight w:val="none"/>
                <w:shd w:val="clear" w:color="auto" w:fill="FFFFFF"/>
                <w:lang w:val="en-US" w:eastAsia="zh-CN"/>
              </w:rPr>
              <w:t>或者</w:t>
            </w:r>
            <w:r>
              <w:rPr>
                <w:rFonts w:hint="eastAsia" w:ascii="宋体" w:hAnsi="宋体" w:eastAsia="宋体" w:cs="宋体"/>
                <w:color w:val="auto"/>
                <w:sz w:val="21"/>
                <w:szCs w:val="21"/>
                <w:highlight w:val="none"/>
                <w:shd w:val="clear" w:color="auto" w:fill="FFFFFF"/>
                <w:lang w:val="en-US" w:eastAsia="zh-CN"/>
              </w:rPr>
              <w:t>批量录入同一种类型的扩展数据，避免每个样本都需要录入一次等复杂操作。需要支持备注信息的统一填写。</w:t>
            </w:r>
            <w:r>
              <w:rPr>
                <w:rFonts w:hint="eastAsia" w:ascii="宋体" w:hAnsi="宋体" w:eastAsia="宋体" w:cs="宋体"/>
                <w:b/>
                <w:bCs/>
                <w:color w:val="auto"/>
                <w:sz w:val="21"/>
                <w:szCs w:val="21"/>
                <w:highlight w:val="none"/>
                <w:shd w:val="clear" w:color="auto" w:fill="FFFFFF"/>
                <w:lang w:val="en-US" w:eastAsia="zh-CN"/>
              </w:rPr>
              <w:t>（需根据技术参数要求提供系统视频演示）</w:t>
            </w:r>
          </w:p>
          <w:p w14:paraId="36D09E7C">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（2）样本运输与交接</w:t>
            </w:r>
          </w:p>
          <w:p w14:paraId="5ECFF891">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系统可根据业务要求，选择标本登记或标本处理后发起转运任务，支持通过列表的形式展示转运任务列表，清晰呈现转运信息，支持接收、撤销、查看操作。支持转运规范配置功能，可自定义规范名称与内容，通过预设模板，为不同类型样本转运提供操作指导。</w:t>
            </w:r>
          </w:p>
          <w:p w14:paraId="4E19D4F0">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（3）样本入库与存储</w:t>
            </w:r>
          </w:p>
          <w:p w14:paraId="290A2541">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①系统支持样本登记后多种状态显示，包括：待存储、已存储、待归还、已归档等。支持选位置入库，存储页面可视化展示，支持待存储样本自定义排序功能，支持自动推荐库位管理，存储位置条件可自定义设置；支持一键推荐冻存盒位置，一键推荐空盒位置。系统支持样本满盒时入库位置自动查找分配功能，支持打印入库单详情和入库样本信息，并可自定义打印模板设定。</w:t>
            </w:r>
          </w:p>
          <w:p w14:paraId="1F01404A">
            <w:pPr>
              <w:keepNext w:val="0"/>
              <w:keepLines w:val="0"/>
              <w:suppressLineNumbers w:val="0"/>
              <w:spacing w:before="0" w:beforeAutospacing="0" w:after="0" w:afterAutospacing="0"/>
              <w:ind w:left="0" w:right="0"/>
              <w:rPr>
                <w:rFonts w:hint="eastAsia" w:ascii="宋体" w:hAnsi="宋体" w:eastAsia="宋体" w:cs="宋体"/>
                <w:b/>
                <w:bCs/>
                <w:color w:val="auto"/>
                <w:sz w:val="21"/>
                <w:szCs w:val="21"/>
                <w:highlight w:val="none"/>
                <w:shd w:val="clear" w:color="auto" w:fill="FFFFFF"/>
                <w:lang w:val="en-US" w:eastAsia="zh-CN"/>
              </w:rPr>
            </w:pPr>
            <w:r>
              <w:rPr>
                <w:rFonts w:hint="eastAsia" w:ascii="宋体" w:hAnsi="宋体" w:eastAsia="宋体" w:cs="宋体"/>
                <w:color w:val="auto"/>
                <w:highlight w:val="none"/>
                <w:lang w:val="en-US" w:eastAsia="zh-CN"/>
              </w:rPr>
              <w:t>●</w:t>
            </w:r>
            <w:r>
              <w:rPr>
                <w:rFonts w:hint="eastAsia" w:cs="宋体"/>
                <w:color w:val="auto"/>
                <w:sz w:val="21"/>
                <w:szCs w:val="21"/>
                <w:highlight w:val="none"/>
                <w:shd w:val="clear" w:color="auto" w:fill="FFFFFF"/>
                <w:lang w:val="en-US" w:eastAsia="zh-CN"/>
              </w:rPr>
              <w:t>②</w:t>
            </w:r>
            <w:r>
              <w:rPr>
                <w:rFonts w:hint="eastAsia" w:ascii="宋体" w:hAnsi="宋体" w:eastAsia="宋体" w:cs="宋体"/>
                <w:color w:val="auto"/>
                <w:sz w:val="21"/>
                <w:szCs w:val="21"/>
                <w:highlight w:val="none"/>
                <w:shd w:val="clear" w:color="auto" w:fill="FFFFFF"/>
              </w:rPr>
              <w:t>系统支持样本信息模板导入功能，用户可将标准化整理的样本数据通过预设模板文件快速导入系统，适配大规模样本登记场景。导入时需要同时导入样本和来源，并且需要支</w:t>
            </w:r>
            <w:r>
              <w:rPr>
                <w:rFonts w:hint="eastAsia" w:ascii="宋体" w:hAnsi="宋体" w:eastAsia="宋体" w:cs="宋体"/>
                <w:color w:val="auto"/>
                <w:sz w:val="21"/>
                <w:szCs w:val="21"/>
                <w:highlight w:val="none"/>
                <w:shd w:val="clear" w:color="auto" w:fill="FFFFFF"/>
                <w:lang w:val="en-US" w:eastAsia="zh-CN"/>
              </w:rPr>
              <w:t>持样本来源数据的自动补全。</w:t>
            </w:r>
            <w:r>
              <w:rPr>
                <w:rFonts w:hint="eastAsia" w:ascii="宋体" w:hAnsi="宋体" w:eastAsia="宋体" w:cs="宋体"/>
                <w:b/>
                <w:bCs/>
                <w:color w:val="auto"/>
                <w:sz w:val="21"/>
                <w:szCs w:val="21"/>
                <w:highlight w:val="none"/>
                <w:shd w:val="clear" w:color="auto" w:fill="FFFFFF"/>
                <w:lang w:val="en-US" w:eastAsia="zh-CN"/>
              </w:rPr>
              <w:t>（需根据技术参数要求提供系统视频演示）</w:t>
            </w:r>
          </w:p>
          <w:p w14:paraId="45E5EA00">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③支持创建入库单后，选定容器中的位置信息，对容器位置进行锁定，防止其他操作占用位置。需支持对接生物资源保藏智能辅助终端（接口插卡：TF card 插槽</w:t>
            </w:r>
            <w:r>
              <w:rPr>
                <w:rFonts w:hint="eastAsia" w:ascii="宋体" w:hAnsi="宋体" w:eastAsia="宋体" w:cs="宋体"/>
                <w:color w:val="auto"/>
                <w:sz w:val="21"/>
                <w:szCs w:val="21"/>
                <w:highlight w:val="none"/>
                <w:shd w:val="clear" w:color="auto" w:fill="FFFFFF"/>
                <w:lang w:val="en-US" w:eastAsia="zh-CN"/>
              </w:rPr>
              <w:tab/>
            </w:r>
          </w:p>
          <w:p w14:paraId="23F0D8B7">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USBx2：USB host</w:t>
            </w:r>
            <w:r>
              <w:rPr>
                <w:rFonts w:hint="eastAsia" w:ascii="宋体" w:hAnsi="宋体" w:eastAsia="宋体" w:cs="宋体"/>
                <w:color w:val="auto"/>
                <w:sz w:val="21"/>
                <w:szCs w:val="21"/>
                <w:highlight w:val="none"/>
                <w:shd w:val="clear" w:color="auto" w:fill="FFFFFF"/>
                <w:lang w:val="en-US" w:eastAsia="zh-CN"/>
              </w:rPr>
              <w:tab/>
            </w:r>
            <w:r>
              <w:rPr>
                <w:rFonts w:hint="eastAsia" w:ascii="宋体" w:hAnsi="宋体" w:eastAsia="宋体" w:cs="宋体"/>
                <w:color w:val="auto"/>
                <w:sz w:val="21"/>
                <w:szCs w:val="21"/>
                <w:highlight w:val="none"/>
                <w:shd w:val="clear" w:color="auto" w:fill="FFFFFF"/>
                <w:lang w:val="en-US" w:eastAsia="zh-CN"/>
              </w:rPr>
              <w:tab/>
            </w:r>
            <w:r>
              <w:rPr>
                <w:rFonts w:hint="eastAsia" w:ascii="宋体" w:hAnsi="宋体" w:eastAsia="宋体" w:cs="宋体"/>
                <w:color w:val="auto"/>
                <w:sz w:val="21"/>
                <w:szCs w:val="21"/>
                <w:highlight w:val="none"/>
                <w:shd w:val="clear" w:color="auto" w:fill="FFFFFF"/>
                <w:lang w:val="en-US" w:eastAsia="zh-CN"/>
              </w:rPr>
              <w:tab/>
            </w:r>
          </w:p>
          <w:p w14:paraId="71B55F05">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Micro USB：Micro USB OTG</w:t>
            </w:r>
          </w:p>
          <w:p w14:paraId="1A7BEB3B">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HDMI：HDMI output</w:t>
            </w:r>
            <w:r>
              <w:rPr>
                <w:rFonts w:hint="eastAsia" w:ascii="宋体" w:hAnsi="宋体" w:eastAsia="宋体" w:cs="宋体"/>
                <w:color w:val="auto"/>
                <w:sz w:val="21"/>
                <w:szCs w:val="21"/>
                <w:highlight w:val="none"/>
                <w:shd w:val="clear" w:color="auto" w:fill="FFFFFF"/>
                <w:lang w:val="en-US" w:eastAsia="zh-CN"/>
              </w:rPr>
              <w:tab/>
            </w:r>
            <w:r>
              <w:rPr>
                <w:rFonts w:hint="eastAsia" w:ascii="宋体" w:hAnsi="宋体" w:eastAsia="宋体" w:cs="宋体"/>
                <w:color w:val="auto"/>
                <w:sz w:val="21"/>
                <w:szCs w:val="21"/>
                <w:highlight w:val="none"/>
                <w:shd w:val="clear" w:color="auto" w:fill="FFFFFF"/>
                <w:lang w:val="en-US" w:eastAsia="zh-CN"/>
              </w:rPr>
              <w:tab/>
            </w:r>
            <w:r>
              <w:rPr>
                <w:rFonts w:hint="eastAsia" w:ascii="宋体" w:hAnsi="宋体" w:eastAsia="宋体" w:cs="宋体"/>
                <w:color w:val="auto"/>
                <w:sz w:val="21"/>
                <w:szCs w:val="21"/>
                <w:highlight w:val="none"/>
                <w:shd w:val="clear" w:color="auto" w:fill="FFFFFF"/>
                <w:lang w:val="en-US" w:eastAsia="zh-CN"/>
              </w:rPr>
              <w:tab/>
            </w:r>
          </w:p>
          <w:p w14:paraId="23CA2174">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RJ45：以太网口</w:t>
            </w:r>
            <w:r>
              <w:rPr>
                <w:rFonts w:hint="eastAsia" w:ascii="宋体" w:hAnsi="宋体" w:eastAsia="宋体" w:cs="宋体"/>
                <w:color w:val="auto"/>
                <w:sz w:val="21"/>
                <w:szCs w:val="21"/>
                <w:highlight w:val="none"/>
                <w:shd w:val="clear" w:color="auto" w:fill="FFFFFF"/>
                <w:lang w:val="en-US" w:eastAsia="zh-CN"/>
              </w:rPr>
              <w:tab/>
            </w:r>
            <w:r>
              <w:rPr>
                <w:rFonts w:hint="eastAsia" w:ascii="宋体" w:hAnsi="宋体" w:eastAsia="宋体" w:cs="宋体"/>
                <w:color w:val="auto"/>
                <w:sz w:val="21"/>
                <w:szCs w:val="21"/>
                <w:highlight w:val="none"/>
                <w:shd w:val="clear" w:color="auto" w:fill="FFFFFF"/>
                <w:lang w:val="en-US" w:eastAsia="zh-CN"/>
              </w:rPr>
              <w:tab/>
            </w:r>
            <w:r>
              <w:rPr>
                <w:rFonts w:hint="eastAsia" w:ascii="宋体" w:hAnsi="宋体" w:eastAsia="宋体" w:cs="宋体"/>
                <w:color w:val="auto"/>
                <w:sz w:val="21"/>
                <w:szCs w:val="21"/>
                <w:highlight w:val="none"/>
                <w:shd w:val="clear" w:color="auto" w:fill="FFFFFF"/>
                <w:lang w:val="en-US" w:eastAsia="zh-CN"/>
              </w:rPr>
              <w:tab/>
            </w:r>
          </w:p>
          <w:p w14:paraId="5FE96335">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串口：USB 接口类型串口，扩展更多功能</w:t>
            </w:r>
            <w:r>
              <w:rPr>
                <w:rFonts w:hint="eastAsia" w:ascii="宋体" w:hAnsi="宋体" w:eastAsia="宋体" w:cs="宋体"/>
                <w:color w:val="auto"/>
                <w:sz w:val="21"/>
                <w:szCs w:val="21"/>
                <w:highlight w:val="none"/>
                <w:shd w:val="clear" w:color="auto" w:fill="FFFFFF"/>
                <w:lang w:val="en-US" w:eastAsia="zh-CN"/>
              </w:rPr>
              <w:tab/>
            </w:r>
            <w:r>
              <w:rPr>
                <w:rFonts w:hint="eastAsia" w:ascii="宋体" w:hAnsi="宋体" w:eastAsia="宋体" w:cs="宋体"/>
                <w:color w:val="auto"/>
                <w:sz w:val="21"/>
                <w:szCs w:val="21"/>
                <w:highlight w:val="none"/>
                <w:shd w:val="clear" w:color="auto" w:fill="FFFFFF"/>
                <w:lang w:val="en-US" w:eastAsia="zh-CN"/>
              </w:rPr>
              <w:tab/>
            </w:r>
            <w:r>
              <w:rPr>
                <w:rFonts w:hint="eastAsia" w:ascii="宋体" w:hAnsi="宋体" w:eastAsia="宋体" w:cs="宋体"/>
                <w:color w:val="auto"/>
                <w:sz w:val="21"/>
                <w:szCs w:val="21"/>
                <w:highlight w:val="none"/>
                <w:shd w:val="clear" w:color="auto" w:fill="FFFFFF"/>
                <w:lang w:val="en-US" w:eastAsia="zh-CN"/>
              </w:rPr>
              <w:tab/>
            </w:r>
          </w:p>
          <w:p w14:paraId="5B5EE9A4">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DC：DC电源12V输入</w:t>
            </w:r>
            <w:r>
              <w:rPr>
                <w:rFonts w:hint="eastAsia" w:ascii="宋体" w:hAnsi="宋体" w:eastAsia="宋体" w:cs="宋体"/>
                <w:color w:val="auto"/>
                <w:sz w:val="21"/>
                <w:szCs w:val="21"/>
                <w:highlight w:val="none"/>
                <w:shd w:val="clear" w:color="auto" w:fill="FFFFFF"/>
                <w:lang w:val="en-US" w:eastAsia="zh-CN"/>
              </w:rPr>
              <w:tab/>
            </w:r>
            <w:r>
              <w:rPr>
                <w:rFonts w:hint="eastAsia" w:ascii="宋体" w:hAnsi="宋体" w:eastAsia="宋体" w:cs="宋体"/>
                <w:color w:val="auto"/>
                <w:sz w:val="21"/>
                <w:szCs w:val="21"/>
                <w:highlight w:val="none"/>
                <w:shd w:val="clear" w:color="auto" w:fill="FFFFFF"/>
                <w:lang w:val="en-US" w:eastAsia="zh-CN"/>
              </w:rPr>
              <w:tab/>
            </w:r>
            <w:r>
              <w:rPr>
                <w:rFonts w:hint="eastAsia" w:ascii="宋体" w:hAnsi="宋体" w:eastAsia="宋体" w:cs="宋体"/>
                <w:color w:val="auto"/>
                <w:sz w:val="21"/>
                <w:szCs w:val="21"/>
                <w:highlight w:val="none"/>
                <w:shd w:val="clear" w:color="auto" w:fill="FFFFFF"/>
                <w:lang w:val="en-US" w:eastAsia="zh-CN"/>
              </w:rPr>
              <w:tab/>
            </w:r>
          </w:p>
          <w:p w14:paraId="13CBDF29">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耳机：3.5mm立体声耳机输出），终端匹配任何品牌冰箱，并实时通信，用户在存储设备旁边即可按照终端位置操作要入库样本，在终端上点击执行完成后，系统中入库单即可执行完成操作。</w:t>
            </w:r>
          </w:p>
          <w:p w14:paraId="28AAA8A9">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④对于未签署知情同意书样本进行管控和预警，对 “未签署同意书”“传染性为是” 的样本高亮标记，快速识别风险样本。样本来源信息支持关联患者诊疗全流程，相关样本模块串联同来源、同课题、同家系样本，知情同意模块记录授权类型与状态。</w:t>
            </w:r>
          </w:p>
          <w:p w14:paraId="32D481D2">
            <w:pPr>
              <w:keepNext w:val="0"/>
              <w:keepLines w:val="0"/>
              <w:suppressLineNumbers w:val="0"/>
              <w:spacing w:before="0" w:beforeAutospacing="0" w:after="0" w:afterAutospacing="0"/>
              <w:ind w:left="0" w:right="0"/>
              <w:rPr>
                <w:rFonts w:hint="eastAsia" w:ascii="宋体" w:hAnsi="宋体" w:eastAsia="宋体" w:cs="宋体"/>
                <w:b/>
                <w:bCs/>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⑤系统支持样本信息全流程追溯，需要能够明确追溯到样本的采集时间、登记时间、制备时间、入库时间、出库时间、归档时间；系统需要支持对样本的生命周期和位置变动记录进行追溯；需要支持同批次样本的信息对照功能，并能够快速定位到样本的存储位置。</w:t>
            </w:r>
            <w:r>
              <w:rPr>
                <w:rFonts w:hint="eastAsia" w:ascii="宋体" w:hAnsi="宋体" w:eastAsia="宋体" w:cs="宋体"/>
                <w:b/>
                <w:bCs/>
                <w:color w:val="auto"/>
                <w:sz w:val="21"/>
                <w:szCs w:val="21"/>
                <w:highlight w:val="none"/>
                <w:shd w:val="clear" w:color="auto" w:fill="FFFFFF"/>
                <w:lang w:val="en-US" w:eastAsia="zh-CN"/>
              </w:rPr>
              <w:t>（需根据技术参数要求提供系统视频演示）</w:t>
            </w:r>
          </w:p>
          <w:p w14:paraId="3812E6B6">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（4）样本出库流程</w:t>
            </w:r>
          </w:p>
          <w:p w14:paraId="626069E9">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①样本可按照实际业务场景支持自存样本出库、共享样本申请出库、质控样本抽样出库等多种方式，出库申请需嵌入人类遗传资源审批流程，支持多级审核(课题组+样本库)。系统可根据知情同意书授权范围进行样本出库自动审核。如未签署知情同意或知情同意书撤销时，相关样本锁定，不可出库。签署特定知情同意书样本，系统自动校对出库课题信息，若不是本课题，则不可出库使用。</w:t>
            </w:r>
          </w:p>
          <w:p w14:paraId="7A2C6A52">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②支持出库样本锁定，创建出库单后，对容器样本进行锁定，防止其他人对该样本进行操作。支持样本出库冻融次数记录，支持样本出库选择销毁或归还操作，并记录相关信息。系统可将出库单发送至相关存储设备对应的生物资源保藏智能辅助终端（接口插卡：TF card 插槽</w:t>
            </w:r>
            <w:r>
              <w:rPr>
                <w:rFonts w:hint="eastAsia" w:ascii="宋体" w:hAnsi="宋体" w:eastAsia="宋体" w:cs="宋体"/>
                <w:color w:val="auto"/>
                <w:sz w:val="21"/>
                <w:szCs w:val="21"/>
                <w:highlight w:val="none"/>
                <w:shd w:val="clear" w:color="auto" w:fill="FFFFFF"/>
                <w:lang w:val="en-US" w:eastAsia="zh-CN"/>
              </w:rPr>
              <w:tab/>
            </w:r>
          </w:p>
          <w:p w14:paraId="0551C961">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USBx2：USB host</w:t>
            </w:r>
            <w:r>
              <w:rPr>
                <w:rFonts w:hint="eastAsia" w:ascii="宋体" w:hAnsi="宋体" w:eastAsia="宋体" w:cs="宋体"/>
                <w:color w:val="auto"/>
                <w:sz w:val="21"/>
                <w:szCs w:val="21"/>
                <w:highlight w:val="none"/>
                <w:shd w:val="clear" w:color="auto" w:fill="FFFFFF"/>
                <w:lang w:val="en-US" w:eastAsia="zh-CN"/>
              </w:rPr>
              <w:tab/>
            </w:r>
            <w:r>
              <w:rPr>
                <w:rFonts w:hint="eastAsia" w:ascii="宋体" w:hAnsi="宋体" w:eastAsia="宋体" w:cs="宋体"/>
                <w:color w:val="auto"/>
                <w:sz w:val="21"/>
                <w:szCs w:val="21"/>
                <w:highlight w:val="none"/>
                <w:shd w:val="clear" w:color="auto" w:fill="FFFFFF"/>
                <w:lang w:val="en-US" w:eastAsia="zh-CN"/>
              </w:rPr>
              <w:tab/>
            </w:r>
            <w:r>
              <w:rPr>
                <w:rFonts w:hint="eastAsia" w:ascii="宋体" w:hAnsi="宋体" w:eastAsia="宋体" w:cs="宋体"/>
                <w:color w:val="auto"/>
                <w:sz w:val="21"/>
                <w:szCs w:val="21"/>
                <w:highlight w:val="none"/>
                <w:shd w:val="clear" w:color="auto" w:fill="FFFFFF"/>
                <w:lang w:val="en-US" w:eastAsia="zh-CN"/>
              </w:rPr>
              <w:tab/>
            </w:r>
          </w:p>
          <w:p w14:paraId="0FB98A6C">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Micro USB：Micro USB OTG</w:t>
            </w:r>
          </w:p>
          <w:p w14:paraId="40FFB27F">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HDMI：HDMI output</w:t>
            </w:r>
            <w:r>
              <w:rPr>
                <w:rFonts w:hint="eastAsia" w:ascii="宋体" w:hAnsi="宋体" w:eastAsia="宋体" w:cs="宋体"/>
                <w:color w:val="auto"/>
                <w:sz w:val="21"/>
                <w:szCs w:val="21"/>
                <w:highlight w:val="none"/>
                <w:shd w:val="clear" w:color="auto" w:fill="FFFFFF"/>
                <w:lang w:val="en-US" w:eastAsia="zh-CN"/>
              </w:rPr>
              <w:tab/>
            </w:r>
            <w:r>
              <w:rPr>
                <w:rFonts w:hint="eastAsia" w:ascii="宋体" w:hAnsi="宋体" w:eastAsia="宋体" w:cs="宋体"/>
                <w:color w:val="auto"/>
                <w:sz w:val="21"/>
                <w:szCs w:val="21"/>
                <w:highlight w:val="none"/>
                <w:shd w:val="clear" w:color="auto" w:fill="FFFFFF"/>
                <w:lang w:val="en-US" w:eastAsia="zh-CN"/>
              </w:rPr>
              <w:tab/>
            </w:r>
            <w:r>
              <w:rPr>
                <w:rFonts w:hint="eastAsia" w:ascii="宋体" w:hAnsi="宋体" w:eastAsia="宋体" w:cs="宋体"/>
                <w:color w:val="auto"/>
                <w:sz w:val="21"/>
                <w:szCs w:val="21"/>
                <w:highlight w:val="none"/>
                <w:shd w:val="clear" w:color="auto" w:fill="FFFFFF"/>
                <w:lang w:val="en-US" w:eastAsia="zh-CN"/>
              </w:rPr>
              <w:tab/>
            </w:r>
          </w:p>
          <w:p w14:paraId="00316DBA">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RJ45：以太网口</w:t>
            </w:r>
            <w:r>
              <w:rPr>
                <w:rFonts w:hint="eastAsia" w:ascii="宋体" w:hAnsi="宋体" w:eastAsia="宋体" w:cs="宋体"/>
                <w:color w:val="auto"/>
                <w:sz w:val="21"/>
                <w:szCs w:val="21"/>
                <w:highlight w:val="none"/>
                <w:shd w:val="clear" w:color="auto" w:fill="FFFFFF"/>
                <w:lang w:val="en-US" w:eastAsia="zh-CN"/>
              </w:rPr>
              <w:tab/>
            </w:r>
            <w:r>
              <w:rPr>
                <w:rFonts w:hint="eastAsia" w:ascii="宋体" w:hAnsi="宋体" w:eastAsia="宋体" w:cs="宋体"/>
                <w:color w:val="auto"/>
                <w:sz w:val="21"/>
                <w:szCs w:val="21"/>
                <w:highlight w:val="none"/>
                <w:shd w:val="clear" w:color="auto" w:fill="FFFFFF"/>
                <w:lang w:val="en-US" w:eastAsia="zh-CN"/>
              </w:rPr>
              <w:tab/>
            </w:r>
            <w:r>
              <w:rPr>
                <w:rFonts w:hint="eastAsia" w:ascii="宋体" w:hAnsi="宋体" w:eastAsia="宋体" w:cs="宋体"/>
                <w:color w:val="auto"/>
                <w:sz w:val="21"/>
                <w:szCs w:val="21"/>
                <w:highlight w:val="none"/>
                <w:shd w:val="clear" w:color="auto" w:fill="FFFFFF"/>
                <w:lang w:val="en-US" w:eastAsia="zh-CN"/>
              </w:rPr>
              <w:tab/>
            </w:r>
          </w:p>
          <w:p w14:paraId="56665459">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串口：USB 接口类型串口，扩展更多功能</w:t>
            </w:r>
            <w:r>
              <w:rPr>
                <w:rFonts w:hint="eastAsia" w:ascii="宋体" w:hAnsi="宋体" w:eastAsia="宋体" w:cs="宋体"/>
                <w:color w:val="auto"/>
                <w:sz w:val="21"/>
                <w:szCs w:val="21"/>
                <w:highlight w:val="none"/>
                <w:shd w:val="clear" w:color="auto" w:fill="FFFFFF"/>
                <w:lang w:val="en-US" w:eastAsia="zh-CN"/>
              </w:rPr>
              <w:tab/>
            </w:r>
            <w:r>
              <w:rPr>
                <w:rFonts w:hint="eastAsia" w:ascii="宋体" w:hAnsi="宋体" w:eastAsia="宋体" w:cs="宋体"/>
                <w:color w:val="auto"/>
                <w:sz w:val="21"/>
                <w:szCs w:val="21"/>
                <w:highlight w:val="none"/>
                <w:shd w:val="clear" w:color="auto" w:fill="FFFFFF"/>
                <w:lang w:val="en-US" w:eastAsia="zh-CN"/>
              </w:rPr>
              <w:tab/>
            </w:r>
            <w:r>
              <w:rPr>
                <w:rFonts w:hint="eastAsia" w:ascii="宋体" w:hAnsi="宋体" w:eastAsia="宋体" w:cs="宋体"/>
                <w:color w:val="auto"/>
                <w:sz w:val="21"/>
                <w:szCs w:val="21"/>
                <w:highlight w:val="none"/>
                <w:shd w:val="clear" w:color="auto" w:fill="FFFFFF"/>
                <w:lang w:val="en-US" w:eastAsia="zh-CN"/>
              </w:rPr>
              <w:tab/>
            </w:r>
          </w:p>
          <w:p w14:paraId="483B31F4">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DC：DC电源12V输入</w:t>
            </w:r>
            <w:r>
              <w:rPr>
                <w:rFonts w:hint="eastAsia" w:ascii="宋体" w:hAnsi="宋体" w:eastAsia="宋体" w:cs="宋体"/>
                <w:color w:val="auto"/>
                <w:sz w:val="21"/>
                <w:szCs w:val="21"/>
                <w:highlight w:val="none"/>
                <w:shd w:val="clear" w:color="auto" w:fill="FFFFFF"/>
                <w:lang w:val="en-US" w:eastAsia="zh-CN"/>
              </w:rPr>
              <w:tab/>
            </w:r>
            <w:r>
              <w:rPr>
                <w:rFonts w:hint="eastAsia" w:ascii="宋体" w:hAnsi="宋体" w:eastAsia="宋体" w:cs="宋体"/>
                <w:color w:val="auto"/>
                <w:sz w:val="21"/>
                <w:szCs w:val="21"/>
                <w:highlight w:val="none"/>
                <w:shd w:val="clear" w:color="auto" w:fill="FFFFFF"/>
                <w:lang w:val="en-US" w:eastAsia="zh-CN"/>
              </w:rPr>
              <w:tab/>
            </w:r>
            <w:r>
              <w:rPr>
                <w:rFonts w:hint="eastAsia" w:ascii="宋体" w:hAnsi="宋体" w:eastAsia="宋体" w:cs="宋体"/>
                <w:color w:val="auto"/>
                <w:sz w:val="21"/>
                <w:szCs w:val="21"/>
                <w:highlight w:val="none"/>
                <w:shd w:val="clear" w:color="auto" w:fill="FFFFFF"/>
                <w:lang w:val="en-US" w:eastAsia="zh-CN"/>
              </w:rPr>
              <w:tab/>
            </w:r>
          </w:p>
          <w:p w14:paraId="592ADC86">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耳机：3.5mm立体声耳机输出），核查出库样本信息。</w:t>
            </w:r>
          </w:p>
          <w:p w14:paraId="7ECE9AAF">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③样本出库提交的时候支持判断样本是否过期，若过期需要先发起流程并生成延期申请单，支持查看取出未归还样本操作记录，归还样本信息时，允许对样本信息进行分装、提取等操作。支持原位置放回，保留出库样本的存储位置信息，允许将样本放回到原始位置。系统支持新位置放回，用户自主选择新位置将样本重新存储。支持样本归还时记录样本容量，支持衍生样本归还。</w:t>
            </w:r>
          </w:p>
          <w:p w14:paraId="7350074C">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（5）样本调拨管理</w:t>
            </w:r>
          </w:p>
          <w:p w14:paraId="28A2094E">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系统支持样本归属调拨，可将待存储、已存储样本修改样本归属人及归属项目；可在出库之后同步发起转运，可根据用户的业务情况，先执行样本调拨，后进行容器归属变更；</w:t>
            </w:r>
          </w:p>
          <w:p w14:paraId="33EA7A43">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●（6）使用反馈和评价</w:t>
            </w:r>
          </w:p>
          <w:p w14:paraId="41618A59">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系统支持按出库信息由样本使用部门对样本进行评价和反馈，支持样本质量反馈或样本上机质控报告反馈两种反馈类型，从外观检查、保存温度到总体评价，覆盖样本全维度质量信息采集。</w:t>
            </w:r>
          </w:p>
          <w:p w14:paraId="13A20AAC">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（7）样本销毁与归档</w:t>
            </w:r>
          </w:p>
          <w:p w14:paraId="3D6743A5">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系统支持销毁操作管理，对不合格、过期、未签署知情同意书等样本需要定期进行销毁。支持打印销毁单据，并可对销毁打印模板内容进行自定义设定。支持销毁样本锁定，创建销毁单后，对容器样本进行锁定，防止其他人对该样本进行操作。</w:t>
            </w:r>
          </w:p>
          <w:p w14:paraId="69169A84">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4．系统资源功能体系</w:t>
            </w:r>
          </w:p>
          <w:p w14:paraId="0050E50C">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（1）通知与公告</w:t>
            </w:r>
          </w:p>
          <w:p w14:paraId="38552333">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①支持公告管理，展示系统发布公告列表，支持公告首页推送显示。</w:t>
            </w:r>
          </w:p>
          <w:p w14:paraId="33513B4B">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②支持公告添加、发布、详情查看功能。历史公告信息可支持查询。</w:t>
            </w:r>
          </w:p>
          <w:p w14:paraId="4ADBA78A">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（2）样本来源（捐献者）管理</w:t>
            </w:r>
          </w:p>
          <w:p w14:paraId="7A0AFE01">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支持通过多维度条件精准检索，对 “未签署” 知情同意书的样本高亮标记。支持通过接口同步或手动录入就诊信息。支持知情同意书分类签署和撤销，支持知情同意书功能对接高拍仪（标准USB接口或TWAIN/UVC等通用协议等方式对接）设备，实现电子信息化自动记录。</w:t>
            </w:r>
          </w:p>
          <w:p w14:paraId="23EA6391">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（3）存储容器管理</w:t>
            </w:r>
          </w:p>
          <w:p w14:paraId="4F89BE36">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●①系统能以图形化方式模拟显示实际存储空间（冰箱、液氮罐、自动化液氮罐、自动化冷库、蜡块切片柜等）的各级结构（包括设备、冻存架、冻存盒），并设置各级存储空间的规格大小。</w:t>
            </w:r>
          </w:p>
          <w:p w14:paraId="7848A844">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②系统支持用户自定义存储空间结构；自定义命名层、架、盒、孔位位置，更直观识别样本位置，方便盘库。支持树形结构和可视化界面同时展示，并支持联动操作，需要支持容器的灵活可配置，包括添加删除架子、盒子等操作</w:t>
            </w:r>
          </w:p>
          <w:p w14:paraId="26B9EBC2">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③系统不限制容器数量和样本数量且可扩展；支持样本一键转移功能，可批量样本转移，可按项目的维度来明确容器归属并进行管理，具备可视化图形显示存储空间功能，可展示出全部冰箱、液氮罐等空间百分比情况。</w:t>
            </w:r>
          </w:p>
          <w:p w14:paraId="70C20D61">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④系统支持容器供应商管理，可进行查看、编辑、拉黑、扣分、删除等操作。</w:t>
            </w:r>
          </w:p>
          <w:p w14:paraId="259BA32C">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⑤系统支持容器品牌管理模块，通过搜索品牌，展示多种品牌及对应型号信息实现容器品牌型号的规范管理。</w:t>
            </w:r>
          </w:p>
          <w:p w14:paraId="5201AD2F">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（4）调查问卷</w:t>
            </w:r>
          </w:p>
          <w:p w14:paraId="14F6C3DC">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系统支持问卷调查管理，可进行编辑、统计、生成二维码、删除操作。支持生成对应问卷的二维码及访问地址，方便用户通过扫码快速访问问卷，提升问卷填写的便捷性与参与度。</w:t>
            </w:r>
          </w:p>
          <w:p w14:paraId="0C1F8497">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5．质量管控功能体系</w:t>
            </w:r>
          </w:p>
          <w:p w14:paraId="498E6182">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（1）质控项目和方案</w:t>
            </w:r>
          </w:p>
          <w:p w14:paraId="6A92802B">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①系统支持质控项目配置，可通过质控类型、状态、质控点筛选，展示质控项目、类型、指标数量、状态、说明等信息。</w:t>
            </w:r>
          </w:p>
          <w:p w14:paraId="52EBF061">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②支持新增样本质控项目，能录入项目名称、类型、具体质控项目，设置指标名称、参考范围、检测方法、设备、试剂、处理方法等判定规则，明确合格与否的判定结果，保障样本质控的规范化与精准性。系统支持质控方案配置，新增质控方案时，能设置方案相关指标及样本信息准确性、完整性等在内的质控项目。</w:t>
            </w:r>
          </w:p>
          <w:p w14:paraId="4ACB514F">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（2）质控计划</w:t>
            </w:r>
          </w:p>
          <w:p w14:paraId="4BD39BD3">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系统支持质控任务配置，可通过质控信息设置质控任务构建基础框架。在抽样规则设置上，提供随机抽样、指定课题、指定容器、存储时间等多种抽样范围选项，还可设置抽样数量、同一来源样本限制、最大值及执行频率、周期等。</w:t>
            </w:r>
          </w:p>
          <w:p w14:paraId="780D0F80">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（3）质控出库</w:t>
            </w:r>
          </w:p>
          <w:p w14:paraId="014252D6">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系统支持质控出库，可查看样本概要，能填写出库申请单信息，如出库类型、使用部门、出库原因、申请数量、说明、附件，选择取出类型等，完善出库流程各环节信息。</w:t>
            </w:r>
          </w:p>
          <w:p w14:paraId="3977FF89">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（4）质控结果</w:t>
            </w:r>
          </w:p>
          <w:p w14:paraId="302ED5F1">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①系统支持质控结果录入功能，展示质控计划名称、类型、出库数量、申请人、申请时间、出库执行人、出库时间等信息，可进行质控结果录入操作。录入时，能针不同样本类型，填写详细质控指标，实现对质控结果的全面、精准录入。</w:t>
            </w:r>
          </w:p>
          <w:p w14:paraId="1E5CEFA8">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②完成质控结果录入后，对质控结果进行查看与留存，为后续质控工作追溯与管理提供依据。支持质控报告展示，可生成包含自动生成报告编码，以及质控结果，还有结论说明、检测者、审核人等信息的质控报告。</w:t>
            </w:r>
          </w:p>
          <w:p w14:paraId="6CA9A671">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（5）预警管理</w:t>
            </w:r>
          </w:p>
          <w:p w14:paraId="4BB1B035">
            <w:pPr>
              <w:keepNext w:val="0"/>
              <w:keepLines w:val="0"/>
              <w:suppressLineNumbers w:val="0"/>
              <w:spacing w:before="0" w:beforeAutospacing="0" w:after="0" w:afterAutospacing="0"/>
              <w:ind w:left="0" w:right="0"/>
              <w:rPr>
                <w:rFonts w:hint="eastAsia" w:ascii="宋体" w:hAnsi="宋体" w:eastAsia="宋体" w:cs="宋体"/>
                <w:b/>
                <w:bCs/>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①系统支持采集后未制备，超期未入库，过期样本，冻融次数，物料安全，样本剩余容量，容器可用容量，未签署知情同意书、已签署知情同意书但未上传附件等提醒，自主设置需要报警的项目。支持根据用户预警条件自定义设置。</w:t>
            </w:r>
            <w:r>
              <w:rPr>
                <w:rFonts w:hint="eastAsia" w:ascii="宋体" w:hAnsi="宋体" w:eastAsia="宋体" w:cs="宋体"/>
                <w:b/>
                <w:bCs/>
                <w:color w:val="auto"/>
                <w:sz w:val="21"/>
                <w:szCs w:val="21"/>
                <w:highlight w:val="none"/>
                <w:shd w:val="clear" w:color="auto" w:fill="FFFFFF"/>
                <w:lang w:val="en-US" w:eastAsia="zh-CN"/>
              </w:rPr>
              <w:t>（需根据技术参数要求提供系统视频演示）</w:t>
            </w:r>
          </w:p>
          <w:p w14:paraId="56CC35CB">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②系统支持预警功能提醒，按照样本类型及项目设置样本库存预警提醒容器容量预警提醒。支持特殊项目关闭库存预警。预警项目需要可以通知到责任人进行处理。</w:t>
            </w:r>
          </w:p>
          <w:p w14:paraId="16134ABC">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6．统计分析</w:t>
            </w:r>
          </w:p>
          <w:p w14:paraId="44220FA2">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●(1)系统支持统计样本信息明细台账、出入库明细、样本销毁记录、项目样本汇总、待存储的样本未入库等信息，可按照时间范围、课题等条件查询；相关报表支持按周期统计、按周期更新、导出为文件等功能；</w:t>
            </w:r>
          </w:p>
          <w:p w14:paraId="0A3EE41E">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(2)系统支持课题间对比表，查看各个课题下样本类型数量和病例数量；支持各个课题合计统计；支持报表导出，明细导出功能。</w:t>
            </w:r>
          </w:p>
          <w:p w14:paraId="660B5D31">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(3)系统支持各个课题或科室按照入库量、出库量及转运率的统计，可进行报表导出。</w:t>
            </w:r>
          </w:p>
          <w:p w14:paraId="7CC4E5A9">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(4)系统支持按照存储时间段统计各个样本类型样本量，可按照课题或科室进行筛选查询；支持报表导出功能。</w:t>
            </w:r>
          </w:p>
          <w:p w14:paraId="3DEEE181">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(5)系统支持按照疾病或临床信息数据统计在库例数、在库样本量，支持报表和图表形式切换，可进行导出。</w:t>
            </w:r>
          </w:p>
          <w:p w14:paraId="67AF14F6">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(6)系统支持按照标本类型查看存储数量、例数、在库数量、出库数量等统计，支持报表和图表切换，可进行导出。</w:t>
            </w:r>
          </w:p>
          <w:p w14:paraId="144105D3">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7．系统设置</w:t>
            </w:r>
          </w:p>
          <w:p w14:paraId="46D194BD">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（1）用户管理体系</w:t>
            </w:r>
          </w:p>
          <w:p w14:paraId="7F4161B1">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①系统支持根据用户实际岗位职责为其选择对应岗位。系统各个业务逻辑中，支持按项目库为主体进行操作，每个业务页面先呈现对应账号的项目库，然后根据项目库展示业务数据；账号权限支持切换，切换后的数据按照新权限进行展示。</w:t>
            </w:r>
          </w:p>
          <w:p w14:paraId="5465C317">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②系统支持角色管理，可通过角色名称、权限模块、权限菜单筛选，可对不同角色进行权限配置。权限控制需要细化到功能按钮级别。支持根据不同容器设置外部人员访问出入库数据权限，通过角色权限限制外部人员操作。</w:t>
            </w:r>
          </w:p>
          <w:p w14:paraId="18788512">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③系统需要支持对不同类型的用户进行管控，包括样本库工作人员、项目成员、合作单位和外部成员等，不同类型的成员赋予不同的操作权限。系统需要支持项目成员和外部成员注册账号，注册完成之后由管理员进行审核确认，审核通过后才能分配角色和权限，并能够限制外部成员的访问范围。</w:t>
            </w:r>
            <w:r>
              <w:rPr>
                <w:rFonts w:hint="eastAsia" w:ascii="宋体" w:hAnsi="宋体" w:eastAsia="宋体" w:cs="宋体"/>
                <w:b/>
                <w:bCs/>
                <w:color w:val="auto"/>
                <w:sz w:val="21"/>
                <w:szCs w:val="21"/>
                <w:highlight w:val="none"/>
                <w:shd w:val="clear" w:color="auto" w:fill="FFFFFF"/>
                <w:lang w:val="en-US" w:eastAsia="zh-CN"/>
              </w:rPr>
              <w:t>（需根据技术参数要求提供系统视频演示）</w:t>
            </w:r>
          </w:p>
          <w:p w14:paraId="51287D08">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（2）审批管理</w:t>
            </w:r>
          </w:p>
          <w:p w14:paraId="04B546BA">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①系统支持灵活审批流设置，从样本采集申请、转运任务发起，到标本处理登记、存储配置、出入库、销毁等关键节点，均可嵌入审批流程。可按照组织架构层级审批，支持回退，并可选择审批人员，可精准设置多级审批流程。</w:t>
            </w:r>
          </w:p>
          <w:p w14:paraId="5D659F05">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②系统支持通过消息通知的方式通知相关审批人，发起审批流之后立刻生成提醒消息，避免因为不知情延长审批周期。支持在审批模块用户点击查看按钮查看审批表单信息。支持在审批模块用户点击审批按钮，查看全流程审批信息，包括下一级审批人和相应的审批状态及抄送人。</w:t>
            </w:r>
          </w:p>
          <w:p w14:paraId="36C52831">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（3）系统参数管理</w:t>
            </w:r>
          </w:p>
          <w:p w14:paraId="2B348271">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①系统支持自定义扩展字段，当样本类型或来源类型有其他信息定义时，可采用扩展字段自定义方式，可自定义表单信息、字段名称、字段值，字段形式排版布局也可用户自定义。</w:t>
            </w:r>
          </w:p>
          <w:p w14:paraId="72CD60C0">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②样本来源类型管理，系统除了需要支持人类的样本保藏外，还需要支持对菌毒种、微生物、动植物等多种样本来源类型的管理，可以自定义样本来源属性，用以区分不同的样本源。</w:t>
            </w:r>
          </w:p>
          <w:p w14:paraId="26E7F6F8">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③编码规则设置，用户自定义编码规则，不需要用户调整已有的编码规则；可以配置多个编码规则，用户自主设置默认的编码规则；编码规则可以包括样本类型、日期、管号、流水号等等，支持特殊的符号的编码。</w:t>
            </w:r>
          </w:p>
          <w:p w14:paraId="4D54F349">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④自定义查询方案：高级查询页面支持搜索结果对比的功能，可以将搜索结果加入到对照组，形成搜索结果对比。</w:t>
            </w:r>
          </w:p>
          <w:p w14:paraId="5F50E007">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⑤打印方案设置，标签打印可以根据编码规则打印条形码、二维码等；系统支持用户自定义标签内容，标签内容简洁、清晰、便于辨认；支持单个打印或者批量打印标签，用户自定义标签显示内容。</w:t>
            </w:r>
          </w:p>
          <w:p w14:paraId="50D5A013">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⑥导入模板设置，支持自定义导入模板；模板中的字段信息可以自定义，根据需求配置导入项，减少冗余信息的录入，提高信息录入的效率和准确性。</w:t>
            </w:r>
          </w:p>
          <w:p w14:paraId="76EECE56">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⑦系统需要支持对患者信息进行脱敏的逻辑，并且能够灵活的开关脱敏功能。至少需要支持对患者姓名、联系方式、地址、身份证号等四个敏感信息的脱敏。</w:t>
            </w:r>
          </w:p>
          <w:p w14:paraId="28CDBB51">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（4）器官、标本、样本管理</w:t>
            </w:r>
          </w:p>
          <w:p w14:paraId="55AE9BF4">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①系统提供完整的标本体系和样本体系，各项目可以自主选择使用的样本类型；提供三级联动的样本类型管理功能。标本数据信息支持列表展示，关联样本数量清晰呈现。支持填写标本相关信息和要求，关联样本并设置启用/停用状态，系统内置符合国标的编码体系，也允许灵活自定义调整 。</w:t>
            </w:r>
          </w:p>
          <w:p w14:paraId="7F3B2B2B">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②系统支持通过名称检索、状态筛选、编码及名称组合查询精准定位样本类型；在同一页面支持通过树状图的形式分类梳理血液、全血等样本谱系，需要支持多级样本类型。</w:t>
            </w:r>
          </w:p>
          <w:p w14:paraId="1312A69F">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（5）分析前变量</w:t>
            </w:r>
          </w:p>
          <w:p w14:paraId="263FB1A4">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①系统支持按归属（如院内、项目等）划分制备方案，支持按名称、常用、归属项目等维度精准筛选方案，同时支持为方案配置采集参数，定义取材器官、部位、份数及容量等信息；支持按方案名称查询，能快速定位目标 SPREC方案，支持样本资源储存条件、样本采集制备关键参数定义。</w:t>
            </w:r>
          </w:p>
          <w:p w14:paraId="32E90390">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②系统支持制备规范管理，系统支持详细编写分步骤的处理流程，并清晰定义各环节相关的角色名称及其具体职责。</w:t>
            </w:r>
          </w:p>
          <w:p w14:paraId="752C7CC6">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8．移动端</w:t>
            </w:r>
          </w:p>
          <w:p w14:paraId="2CAE609D">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（1）首页</w:t>
            </w:r>
          </w:p>
          <w:p w14:paraId="632D6FBF">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①系统支持移动端管理，具备审批流程模块，可及时处理标本登记等审批事项，提升工作效率。</w:t>
            </w:r>
          </w:p>
          <w:p w14:paraId="32C8588B">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②移动端支持消息通知功能，可及时推送关键预警信息，如冰箱温度报警、出入库审批等。通过 “未读”“已读”状态标识，能清晰区分消息处理情况。</w:t>
            </w:r>
          </w:p>
          <w:p w14:paraId="1F55B522">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（2）预警管理</w:t>
            </w:r>
          </w:p>
          <w:p w14:paraId="46AD511C">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系统移动端支持预警管理功能，在预警列表中展示多种类型的预警情况，点击进入预警清单，可查看具体预警信息并能够快速处理。</w:t>
            </w:r>
          </w:p>
          <w:p w14:paraId="383F065C">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●（3）待办事项管理</w:t>
            </w:r>
          </w:p>
          <w:p w14:paraId="62989399">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系统移动端支持待办事项管理功能，能在页面分类展示课题审批、样本出入库、销毁、采集申请及交接、出入库执行与交接、转运接收、随访计划、知情同意、物料出库、系统预警等多种待办任务，清晰了解待办任务的具体情况并能够快速定位到目标。</w:t>
            </w:r>
            <w:r>
              <w:rPr>
                <w:rFonts w:hint="eastAsia" w:ascii="宋体" w:hAnsi="宋体" w:eastAsia="宋体" w:cs="宋体"/>
                <w:b/>
                <w:bCs/>
                <w:color w:val="auto"/>
                <w:sz w:val="21"/>
                <w:szCs w:val="21"/>
                <w:highlight w:val="none"/>
                <w:shd w:val="clear" w:color="auto" w:fill="FFFFFF"/>
                <w:lang w:val="en-US" w:eastAsia="zh-CN"/>
              </w:rPr>
              <w:t>（需根据技术参数要求提供系统视频演示）</w:t>
            </w:r>
          </w:p>
          <w:p w14:paraId="1021876E">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公告管理</w:t>
            </w:r>
          </w:p>
          <w:p w14:paraId="3DE0491B">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系统移动端支持公告管理，可展示系统公告列表，包含公告标题、时间，并标注 “未读”“已读” 状态，方便用户区分已查看和未查看的公告。</w:t>
            </w:r>
          </w:p>
          <w:p w14:paraId="2F87044D">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（5）业务流程</w:t>
            </w:r>
          </w:p>
          <w:p w14:paraId="5441CDAB">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①系统移动端支持标本采集功能，可展示检验科研医嘱或手术排班列表，支持对医嘱进行删除、核对、标本登记操作，支持采样任务功能，可录入采样信息，确定采样类型，采集量、份数。确保采样任务相关信息的完整性与准确性。</w:t>
            </w:r>
          </w:p>
          <w:p w14:paraId="4BDCEDCB">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②系统移动端支持标本采集登记功能，支持采样拍照，照片可实时同步到系统并保存在样本信息中。可直接拍照上传知情同意相关内容，支持录入样本来源信息。</w:t>
            </w:r>
          </w:p>
          <w:p w14:paraId="20898707">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③移动端支持标本转运功能，对任务进行查看、撤销、接收等操作。呈现转运记录和转运基本信息，并能添加或删除转运记录，同时有转运规范提示。</w:t>
            </w:r>
          </w:p>
          <w:p w14:paraId="662289BA">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④系统移动端支持已存储样本功能，可展示样本详细信息，方便用户直观了解样本的基本情况。同时，支持通过样本编码或唯一码进行搜索。</w:t>
            </w:r>
          </w:p>
          <w:p w14:paraId="16559376">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（6）样本来源管理</w:t>
            </w:r>
          </w:p>
          <w:p w14:paraId="0BD5AFF4">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shd w:val="clear" w:color="auto" w:fill="FFFFFF"/>
                <w:lang w:val="en-US" w:eastAsia="zh-CN"/>
              </w:rPr>
              <w:t>系统移动端支持样本来源管理功能，可展示样本来源列表，还能通过编码号搜索样本来源。样本来源详情页面，呈现样本来源的基本信息并可进行清空和登记操作。</w:t>
            </w:r>
          </w:p>
        </w:tc>
        <w:tc>
          <w:tcPr>
            <w:tcW w:w="1085" w:type="dxa"/>
            <w:tcBorders>
              <w:top w:val="single" w:color="000000" w:sz="4" w:space="0"/>
              <w:left w:val="single" w:color="auto" w:sz="4" w:space="0"/>
              <w:bottom w:val="single" w:color="000000" w:sz="4" w:space="0"/>
              <w:right w:val="single" w:color="000000" w:sz="4" w:space="0"/>
            </w:tcBorders>
            <w:vAlign w:val="center"/>
          </w:tcPr>
          <w:p w14:paraId="50B6D2C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b w:val="0"/>
                <w:bCs w:val="0"/>
                <w:color w:val="auto"/>
                <w:sz w:val="21"/>
                <w:szCs w:val="21"/>
                <w:highlight w:val="none"/>
                <w:u w:val="none"/>
              </w:rPr>
            </w:pPr>
            <w:r>
              <w:rPr>
                <w:rFonts w:hint="eastAsia"/>
                <w:color w:val="auto"/>
                <w:sz w:val="21"/>
                <w:szCs w:val="21"/>
                <w:highlight w:val="none"/>
              </w:rPr>
              <w:t>软件和信息技术服务业</w:t>
            </w:r>
          </w:p>
        </w:tc>
      </w:tr>
      <w:tr w14:paraId="2D023E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453" w:type="dxa"/>
            <w:gridSpan w:val="6"/>
            <w:tcBorders>
              <w:top w:val="single" w:color="000000" w:sz="4" w:space="0"/>
              <w:left w:val="single" w:color="auto" w:sz="4" w:space="0"/>
              <w:bottom w:val="single" w:color="000000" w:sz="4" w:space="0"/>
              <w:right w:val="single" w:color="000000" w:sz="4" w:space="0"/>
            </w:tcBorders>
            <w:vAlign w:val="center"/>
          </w:tcPr>
          <w:p w14:paraId="57D40AF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eastAsia" w:ascii="宋体" w:hAnsi="宋体" w:eastAsia="宋体" w:cs="宋体"/>
                <w:b w:val="0"/>
                <w:bCs w:val="0"/>
                <w:color w:val="auto"/>
                <w:sz w:val="21"/>
                <w:szCs w:val="21"/>
                <w:highlight w:val="none"/>
                <w:u w:val="none"/>
              </w:rPr>
            </w:pPr>
            <w:r>
              <w:rPr>
                <w:rFonts w:hint="eastAsia" w:ascii="宋体" w:hAnsi="宋体" w:cs="宋体"/>
                <w:color w:val="auto"/>
                <w:sz w:val="21"/>
                <w:szCs w:val="21"/>
                <w:highlight w:val="none"/>
                <w:shd w:val="clear" w:color="auto" w:fill="FFFFFF"/>
                <w:lang w:val="en-US" w:eastAsia="zh-CN"/>
              </w:rPr>
              <w:t>六、</w:t>
            </w:r>
            <w:r>
              <w:rPr>
                <w:rFonts w:hint="eastAsia" w:ascii="宋体" w:hAnsi="宋体" w:eastAsia="宋体" w:cs="宋体"/>
                <w:color w:val="auto"/>
                <w:sz w:val="21"/>
                <w:szCs w:val="21"/>
                <w:highlight w:val="none"/>
                <w:shd w:val="clear" w:color="auto" w:fill="FFFFFF"/>
              </w:rPr>
              <w:t>智能硬件</w:t>
            </w:r>
          </w:p>
        </w:tc>
      </w:tr>
      <w:tr w14:paraId="183836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vAlign w:val="center"/>
          </w:tcPr>
          <w:p w14:paraId="08E568AD">
            <w:pPr>
              <w:keepNext w:val="0"/>
              <w:keepLines w:val="0"/>
              <w:suppressLineNumbers w:val="0"/>
              <w:bidi w:val="0"/>
              <w:spacing w:before="0" w:beforeAutospacing="0" w:after="0" w:afterAutospacing="0"/>
              <w:ind w:left="0" w:right="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w:t>
            </w:r>
          </w:p>
        </w:tc>
        <w:tc>
          <w:tcPr>
            <w:tcW w:w="1119" w:type="dxa"/>
            <w:tcBorders>
              <w:top w:val="single" w:color="000000" w:sz="4" w:space="0"/>
              <w:left w:val="nil"/>
              <w:bottom w:val="single" w:color="000000" w:sz="4" w:space="0"/>
              <w:right w:val="single" w:color="000000" w:sz="4" w:space="0"/>
            </w:tcBorders>
            <w:shd w:val="clear" w:color="auto" w:fill="auto"/>
            <w:vAlign w:val="center"/>
          </w:tcPr>
          <w:p w14:paraId="2CC8E482">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color w:val="auto"/>
                <w:kern w:val="2"/>
                <w:sz w:val="21"/>
                <w:szCs w:val="21"/>
                <w:highlight w:val="none"/>
                <w:shd w:val="clear" w:color="auto" w:fill="FFFFFF"/>
                <w:lang w:val="en-US" w:eastAsia="zh-CN" w:bidi="ar"/>
              </w:rPr>
            </w:pPr>
            <w:r>
              <w:rPr>
                <w:rFonts w:hint="eastAsia" w:ascii="宋体" w:hAnsi="宋体" w:eastAsia="宋体" w:cs="宋体"/>
                <w:color w:val="auto"/>
                <w:sz w:val="21"/>
                <w:szCs w:val="21"/>
                <w:highlight w:val="none"/>
                <w:shd w:val="clear" w:color="auto" w:fill="FFFFFF"/>
                <w:lang w:bidi="ar"/>
              </w:rPr>
              <w:t>危化品柜智能专用锁</w:t>
            </w:r>
          </w:p>
        </w:tc>
        <w:tc>
          <w:tcPr>
            <w:tcW w:w="499" w:type="dxa"/>
            <w:tcBorders>
              <w:top w:val="single" w:color="000000" w:sz="4" w:space="0"/>
              <w:left w:val="nil"/>
              <w:bottom w:val="single" w:color="000000" w:sz="4" w:space="0"/>
              <w:right w:val="single" w:color="000000" w:sz="4" w:space="0"/>
            </w:tcBorders>
            <w:shd w:val="clear" w:color="auto" w:fill="auto"/>
            <w:vAlign w:val="center"/>
          </w:tcPr>
          <w:p w14:paraId="0A92EFBB">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shd w:val="clear" w:color="auto" w:fill="FFFFFF"/>
                <w:lang w:val="en-US" w:eastAsia="zh-CN" w:bidi="ar-SA"/>
              </w:rPr>
            </w:pPr>
            <w:r>
              <w:rPr>
                <w:rFonts w:hint="eastAsia" w:ascii="宋体" w:hAnsi="宋体" w:eastAsia="宋体" w:cs="宋体"/>
                <w:color w:val="auto"/>
                <w:sz w:val="21"/>
                <w:szCs w:val="21"/>
                <w:highlight w:val="none"/>
                <w:shd w:val="clear" w:color="auto" w:fill="FFFFFF"/>
              </w:rPr>
              <w:t>8</w:t>
            </w:r>
          </w:p>
        </w:tc>
        <w:tc>
          <w:tcPr>
            <w:tcW w:w="582" w:type="dxa"/>
            <w:tcBorders>
              <w:top w:val="single" w:color="000000" w:sz="4" w:space="0"/>
              <w:left w:val="nil"/>
              <w:bottom w:val="single" w:color="000000" w:sz="4" w:space="0"/>
              <w:right w:val="single" w:color="000000" w:sz="4" w:space="0"/>
            </w:tcBorders>
            <w:shd w:val="clear" w:color="auto" w:fill="auto"/>
            <w:vAlign w:val="center"/>
          </w:tcPr>
          <w:p w14:paraId="67697AD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rPr>
                <w:rFonts w:hint="eastAsia" w:ascii="宋体" w:hAnsi="宋体" w:eastAsia="宋体" w:cs="宋体"/>
                <w:color w:val="auto"/>
                <w:kern w:val="2"/>
                <w:sz w:val="21"/>
                <w:szCs w:val="21"/>
                <w:highlight w:val="none"/>
                <w:vertAlign w:val="baseline"/>
                <w:lang w:val="en-US" w:eastAsia="zh-CN" w:bidi="ar-SA"/>
              </w:rPr>
            </w:pPr>
            <w:r>
              <w:rPr>
                <w:rFonts w:hint="eastAsia" w:ascii="宋体" w:hAnsi="宋体" w:eastAsia="宋体" w:cs="宋体"/>
                <w:color w:val="auto"/>
                <w:kern w:val="2"/>
                <w:sz w:val="21"/>
                <w:szCs w:val="21"/>
                <w:highlight w:val="none"/>
                <w:vertAlign w:val="baseline"/>
                <w:lang w:val="en-US" w:eastAsia="zh-CN" w:bidi="ar-SA"/>
              </w:rPr>
              <w:t>台</w:t>
            </w:r>
          </w:p>
        </w:tc>
        <w:tc>
          <w:tcPr>
            <w:tcW w:w="5606" w:type="dxa"/>
            <w:tcBorders>
              <w:top w:val="single" w:color="000000" w:sz="4" w:space="0"/>
              <w:left w:val="nil"/>
              <w:bottom w:val="single" w:color="000000" w:sz="4" w:space="0"/>
              <w:right w:val="single" w:color="auto" w:sz="4" w:space="0"/>
            </w:tcBorders>
            <w:shd w:val="clear" w:color="auto" w:fill="auto"/>
            <w:vAlign w:val="center"/>
          </w:tcPr>
          <w:p w14:paraId="55FA06FD">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1.锁体结构：采用全金属材质，配置双锁舌安全结构；锁体表面喷涂</w:t>
            </w:r>
            <w:r>
              <w:rPr>
                <w:rFonts w:hint="eastAsia" w:ascii="宋体" w:hAnsi="宋体" w:cs="宋体"/>
                <w:color w:val="auto"/>
                <w:szCs w:val="21"/>
                <w:highlight w:val="none"/>
                <w:shd w:val="clear" w:color="auto" w:fill="FFFFFF"/>
              </w:rPr>
              <w:t>含氟聚合物防腐涂层</w:t>
            </w:r>
            <w:r>
              <w:rPr>
                <w:rFonts w:hint="eastAsia" w:ascii="宋体" w:hAnsi="宋体" w:eastAsia="宋体" w:cs="宋体"/>
                <w:color w:val="auto"/>
                <w:sz w:val="21"/>
                <w:szCs w:val="21"/>
                <w:highlight w:val="none"/>
                <w:shd w:val="clear" w:color="auto" w:fill="FFFFFF"/>
              </w:rPr>
              <w:t>防腐涂料，具备强酸强碱耐受性能；</w:t>
            </w:r>
          </w:p>
          <w:p w14:paraId="6E98D47A">
            <w:pPr>
              <w:keepNext w:val="0"/>
              <w:keepLines w:val="0"/>
              <w:suppressLineNumbers w:val="0"/>
              <w:spacing w:before="0" w:beforeAutospacing="0" w:after="0" w:afterAutospacing="0"/>
              <w:ind w:left="0" w:right="0"/>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z w:val="21"/>
                <w:szCs w:val="21"/>
                <w:highlight w:val="none"/>
                <w:shd w:val="clear" w:color="auto" w:fill="FFFFFF"/>
              </w:rPr>
              <w:t>2.解锁方式：</w:t>
            </w:r>
            <w:r>
              <w:rPr>
                <w:rFonts w:hint="eastAsia" w:ascii="宋体" w:hAnsi="宋体" w:cs="宋体"/>
                <w:color w:val="auto"/>
                <w:szCs w:val="21"/>
                <w:highlight w:val="none"/>
                <w:shd w:val="clear" w:color="auto" w:fill="FFFFFF"/>
              </w:rPr>
              <w:t>支持人脸识别/密码</w:t>
            </w:r>
            <w:r>
              <w:rPr>
                <w:rFonts w:hint="eastAsia" w:ascii="宋体" w:hAnsi="宋体" w:eastAsia="宋体" w:cs="宋体"/>
                <w:color w:val="auto"/>
                <w:sz w:val="21"/>
                <w:szCs w:val="21"/>
                <w:highlight w:val="none"/>
                <w:shd w:val="clear" w:color="auto" w:fill="FFFFFF"/>
                <w:lang w:eastAsia="zh-CN"/>
              </w:rPr>
              <w:t>。</w:t>
            </w:r>
          </w:p>
        </w:tc>
        <w:tc>
          <w:tcPr>
            <w:tcW w:w="1085" w:type="dxa"/>
            <w:tcBorders>
              <w:top w:val="single" w:color="000000" w:sz="4" w:space="0"/>
              <w:left w:val="single" w:color="auto" w:sz="4" w:space="0"/>
              <w:bottom w:val="single" w:color="000000" w:sz="4" w:space="0"/>
              <w:right w:val="single" w:color="000000" w:sz="4" w:space="0"/>
            </w:tcBorders>
            <w:vAlign w:val="center"/>
          </w:tcPr>
          <w:p w14:paraId="4C5492A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b w:val="0"/>
                <w:bCs w:val="0"/>
                <w:color w:val="auto"/>
                <w:sz w:val="21"/>
                <w:szCs w:val="21"/>
                <w:highlight w:val="none"/>
                <w:u w:val="none"/>
              </w:rPr>
            </w:pPr>
            <w:r>
              <w:rPr>
                <w:rFonts w:hint="eastAsia" w:ascii="宋体" w:hAnsi="宋体" w:eastAsia="宋体" w:cs="宋体"/>
                <w:b w:val="0"/>
                <w:bCs w:val="0"/>
                <w:color w:val="auto"/>
                <w:sz w:val="21"/>
                <w:szCs w:val="21"/>
                <w:highlight w:val="none"/>
                <w:u w:val="none"/>
              </w:rPr>
              <w:t>工业</w:t>
            </w:r>
          </w:p>
        </w:tc>
      </w:tr>
      <w:tr w14:paraId="32BCA8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vAlign w:val="center"/>
          </w:tcPr>
          <w:p w14:paraId="0BC99564">
            <w:pPr>
              <w:keepNext w:val="0"/>
              <w:keepLines w:val="0"/>
              <w:suppressLineNumbers w:val="0"/>
              <w:bidi w:val="0"/>
              <w:spacing w:before="0" w:beforeAutospacing="0" w:after="0" w:afterAutospacing="0"/>
              <w:ind w:left="0" w:right="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w:t>
            </w:r>
          </w:p>
        </w:tc>
        <w:tc>
          <w:tcPr>
            <w:tcW w:w="1119" w:type="dxa"/>
            <w:tcBorders>
              <w:top w:val="single" w:color="000000" w:sz="4" w:space="0"/>
              <w:left w:val="nil"/>
              <w:bottom w:val="single" w:color="000000" w:sz="4" w:space="0"/>
              <w:right w:val="single" w:color="000000" w:sz="4" w:space="0"/>
            </w:tcBorders>
            <w:shd w:val="clear" w:color="auto" w:fill="auto"/>
            <w:vAlign w:val="center"/>
          </w:tcPr>
          <w:p w14:paraId="1B5B6644">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color w:val="auto"/>
                <w:kern w:val="2"/>
                <w:sz w:val="21"/>
                <w:szCs w:val="21"/>
                <w:highlight w:val="none"/>
                <w:shd w:val="clear" w:color="auto" w:fill="FFFFFF"/>
                <w:lang w:val="en-US" w:eastAsia="zh-CN" w:bidi="ar"/>
              </w:rPr>
            </w:pPr>
            <w:r>
              <w:rPr>
                <w:rFonts w:hint="eastAsia" w:ascii="宋体" w:hAnsi="宋体" w:eastAsia="宋体" w:cs="宋体"/>
                <w:color w:val="auto"/>
                <w:sz w:val="21"/>
                <w:szCs w:val="21"/>
                <w:highlight w:val="none"/>
                <w:shd w:val="clear" w:color="auto" w:fill="FFFFFF"/>
                <w:lang w:bidi="ar"/>
              </w:rPr>
              <w:t>智能危化品管理终端</w:t>
            </w:r>
          </w:p>
        </w:tc>
        <w:tc>
          <w:tcPr>
            <w:tcW w:w="499" w:type="dxa"/>
            <w:tcBorders>
              <w:top w:val="single" w:color="000000" w:sz="4" w:space="0"/>
              <w:left w:val="nil"/>
              <w:bottom w:val="single" w:color="000000" w:sz="4" w:space="0"/>
              <w:right w:val="single" w:color="000000" w:sz="4" w:space="0"/>
            </w:tcBorders>
            <w:shd w:val="clear" w:color="auto" w:fill="auto"/>
            <w:vAlign w:val="center"/>
          </w:tcPr>
          <w:p w14:paraId="45C13E6F">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shd w:val="clear" w:color="auto" w:fill="FFFFFF"/>
                <w:lang w:val="en-US" w:eastAsia="zh-CN" w:bidi="ar-SA"/>
              </w:rPr>
            </w:pPr>
            <w:r>
              <w:rPr>
                <w:rFonts w:hint="eastAsia" w:ascii="宋体" w:hAnsi="宋体" w:eastAsia="宋体" w:cs="宋体"/>
                <w:color w:val="auto"/>
                <w:sz w:val="21"/>
                <w:szCs w:val="21"/>
                <w:highlight w:val="none"/>
                <w:shd w:val="clear" w:color="auto" w:fill="FFFFFF"/>
              </w:rPr>
              <w:t>2</w:t>
            </w:r>
          </w:p>
        </w:tc>
        <w:tc>
          <w:tcPr>
            <w:tcW w:w="582" w:type="dxa"/>
            <w:tcBorders>
              <w:top w:val="single" w:color="000000" w:sz="4" w:space="0"/>
              <w:left w:val="nil"/>
              <w:bottom w:val="single" w:color="000000" w:sz="4" w:space="0"/>
              <w:right w:val="single" w:color="000000" w:sz="4" w:space="0"/>
            </w:tcBorders>
            <w:shd w:val="clear" w:color="auto" w:fill="auto"/>
            <w:vAlign w:val="center"/>
          </w:tcPr>
          <w:p w14:paraId="351E2AC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rPr>
                <w:rFonts w:hint="eastAsia" w:ascii="宋体" w:hAnsi="宋体" w:eastAsia="宋体" w:cs="宋体"/>
                <w:color w:val="auto"/>
                <w:kern w:val="2"/>
                <w:sz w:val="21"/>
                <w:szCs w:val="21"/>
                <w:highlight w:val="none"/>
                <w:vertAlign w:val="baseline"/>
                <w:lang w:val="en-US" w:eastAsia="zh-CN" w:bidi="ar-SA"/>
              </w:rPr>
            </w:pPr>
            <w:r>
              <w:rPr>
                <w:rFonts w:hint="eastAsia" w:ascii="宋体" w:hAnsi="宋体" w:eastAsia="宋体" w:cs="宋体"/>
                <w:color w:val="auto"/>
                <w:kern w:val="2"/>
                <w:sz w:val="21"/>
                <w:szCs w:val="21"/>
                <w:highlight w:val="none"/>
                <w:vertAlign w:val="baseline"/>
                <w:lang w:val="en-US" w:eastAsia="zh-CN" w:bidi="ar-SA"/>
              </w:rPr>
              <w:t>台</w:t>
            </w:r>
          </w:p>
        </w:tc>
        <w:tc>
          <w:tcPr>
            <w:tcW w:w="5606" w:type="dxa"/>
            <w:tcBorders>
              <w:top w:val="single" w:color="000000" w:sz="4" w:space="0"/>
              <w:left w:val="nil"/>
              <w:bottom w:val="single" w:color="000000" w:sz="4" w:space="0"/>
              <w:right w:val="single" w:color="auto" w:sz="4" w:space="0"/>
            </w:tcBorders>
            <w:shd w:val="clear" w:color="auto" w:fill="auto"/>
            <w:vAlign w:val="center"/>
          </w:tcPr>
          <w:p w14:paraId="7EBFF854">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1.显示屏：≥15.6英寸1080P IPS屏，支持触控操作，屏幕角度可调节；</w:t>
            </w:r>
          </w:p>
          <w:p w14:paraId="19A154A2">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2.终端机底座：采用≥3mm厚铝合金材质，表面经氧化处理，具备稳定配重及抗腐蚀能力；</w:t>
            </w:r>
          </w:p>
          <w:p w14:paraId="4323C344">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3.秤盘：采用铝合金包裹PC材质，秤盘尺寸≥390mm×27</w:t>
            </w:r>
            <w:r>
              <w:rPr>
                <w:rFonts w:hint="eastAsia" w:ascii="宋体" w:hAnsi="宋体" w:cs="宋体"/>
                <w:color w:val="auto"/>
                <w:sz w:val="21"/>
                <w:szCs w:val="21"/>
                <w:highlight w:val="none"/>
                <w:shd w:val="clear" w:color="auto" w:fill="FFFFFF"/>
                <w:lang w:val="en-US" w:eastAsia="zh-CN"/>
              </w:rPr>
              <w:t>0</w:t>
            </w:r>
            <w:r>
              <w:rPr>
                <w:rFonts w:hint="eastAsia" w:ascii="宋体" w:hAnsi="宋体" w:eastAsia="宋体" w:cs="宋体"/>
                <w:color w:val="auto"/>
                <w:sz w:val="21"/>
                <w:szCs w:val="21"/>
                <w:highlight w:val="none"/>
                <w:shd w:val="clear" w:color="auto" w:fill="FFFFFF"/>
              </w:rPr>
              <w:t>mm；</w:t>
            </w:r>
          </w:p>
          <w:p w14:paraId="07D099CD">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4.称重精度：1g～10kg；</w:t>
            </w:r>
          </w:p>
          <w:p w14:paraId="0F6AE73C">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5.摄像头：配备双目摄像头，支持角度调节，可实现戴口罩人脸识别用户身份；</w:t>
            </w:r>
          </w:p>
          <w:p w14:paraId="42918A6B">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6.身份识别：支持刷卡识别；</w:t>
            </w:r>
          </w:p>
          <w:p w14:paraId="56F82CA2">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7.二维码识别：可识别二维码标签，自动获取化学品商品信息（含品名、纯度、规格、品牌）并在屏幕显示；</w:t>
            </w:r>
          </w:p>
          <w:p w14:paraId="3A95E3B3">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8</w:t>
            </w:r>
            <w:r>
              <w:rPr>
                <w:rFonts w:hint="eastAsia" w:ascii="宋体" w:hAnsi="宋体" w:eastAsia="宋体" w:cs="宋体"/>
                <w:color w:val="auto"/>
                <w:sz w:val="21"/>
                <w:szCs w:val="21"/>
                <w:highlight w:val="none"/>
                <w:shd w:val="clear" w:color="auto" w:fill="FFFFFF"/>
                <w:lang w:eastAsia="zh-CN"/>
              </w:rPr>
              <w:t>.</w:t>
            </w:r>
            <w:r>
              <w:rPr>
                <w:rFonts w:hint="eastAsia" w:ascii="宋体" w:hAnsi="宋体" w:eastAsia="宋体" w:cs="宋体"/>
                <w:color w:val="auto"/>
                <w:sz w:val="21"/>
                <w:szCs w:val="21"/>
                <w:highlight w:val="none"/>
                <w:shd w:val="clear" w:color="auto" w:fill="FFFFFF"/>
              </w:rPr>
              <w:t>化学品使用量记录：支持两种方式：</w:t>
            </w:r>
          </w:p>
          <w:p w14:paraId="5D58CA37">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 xml:space="preserve"> （1）自动计算（登记精度不小于1g）；</w:t>
            </w:r>
          </w:p>
          <w:p w14:paraId="1530B913">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 xml:space="preserve"> （2）手动登记（最小可登记1μg使用量）；</w:t>
            </w:r>
          </w:p>
          <w:p w14:paraId="2EFBCA30">
            <w:pPr>
              <w:keepNext w:val="0"/>
              <w:keepLines w:val="0"/>
              <w:suppressLineNumbers w:val="0"/>
              <w:spacing w:before="0" w:beforeAutospacing="0" w:after="0" w:afterAutospacing="0"/>
              <w:ind w:left="0" w:right="0"/>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z w:val="21"/>
                <w:szCs w:val="21"/>
                <w:highlight w:val="none"/>
                <w:shd w:val="clear" w:color="auto" w:fill="FFFFFF"/>
              </w:rPr>
              <w:t>9</w:t>
            </w:r>
            <w:r>
              <w:rPr>
                <w:rFonts w:hint="eastAsia" w:ascii="宋体" w:hAnsi="宋体" w:eastAsia="宋体" w:cs="宋体"/>
                <w:color w:val="auto"/>
                <w:sz w:val="21"/>
                <w:szCs w:val="21"/>
                <w:highlight w:val="none"/>
                <w:shd w:val="clear" w:color="auto" w:fill="FFFFFF"/>
                <w:lang w:eastAsia="zh-CN"/>
              </w:rPr>
              <w:t>.</w:t>
            </w:r>
            <w:r>
              <w:rPr>
                <w:rFonts w:hint="eastAsia" w:ascii="宋体" w:hAnsi="宋体" w:eastAsia="宋体" w:cs="宋体"/>
                <w:color w:val="auto"/>
                <w:sz w:val="21"/>
                <w:szCs w:val="21"/>
                <w:highlight w:val="none"/>
                <w:shd w:val="clear" w:color="auto" w:fill="FFFFFF"/>
              </w:rPr>
              <w:t>剩余重量更新：记录化学品用量后，系统自动更新化学品剩余重量。</w:t>
            </w:r>
          </w:p>
        </w:tc>
        <w:tc>
          <w:tcPr>
            <w:tcW w:w="1085" w:type="dxa"/>
            <w:tcBorders>
              <w:top w:val="single" w:color="000000" w:sz="4" w:space="0"/>
              <w:left w:val="single" w:color="auto" w:sz="4" w:space="0"/>
              <w:bottom w:val="single" w:color="000000" w:sz="4" w:space="0"/>
              <w:right w:val="single" w:color="000000" w:sz="4" w:space="0"/>
            </w:tcBorders>
            <w:vAlign w:val="center"/>
          </w:tcPr>
          <w:p w14:paraId="57C2FDC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b w:val="0"/>
                <w:bCs w:val="0"/>
                <w:color w:val="auto"/>
                <w:sz w:val="21"/>
                <w:szCs w:val="21"/>
                <w:highlight w:val="none"/>
                <w:u w:val="none"/>
              </w:rPr>
            </w:pPr>
            <w:r>
              <w:rPr>
                <w:rFonts w:hint="eastAsia" w:ascii="宋体" w:hAnsi="宋体" w:eastAsia="宋体" w:cs="宋体"/>
                <w:b w:val="0"/>
                <w:bCs w:val="0"/>
                <w:color w:val="auto"/>
                <w:sz w:val="21"/>
                <w:szCs w:val="21"/>
                <w:highlight w:val="none"/>
                <w:u w:val="none"/>
              </w:rPr>
              <w:t>工业</w:t>
            </w:r>
          </w:p>
        </w:tc>
      </w:tr>
      <w:tr w14:paraId="6DAA73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vAlign w:val="center"/>
          </w:tcPr>
          <w:p w14:paraId="26FD88E0">
            <w:pPr>
              <w:keepNext w:val="0"/>
              <w:keepLines w:val="0"/>
              <w:suppressLineNumbers w:val="0"/>
              <w:bidi w:val="0"/>
              <w:spacing w:before="0" w:beforeAutospacing="0" w:after="0" w:afterAutospacing="0"/>
              <w:ind w:left="0" w:right="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w:t>
            </w:r>
          </w:p>
        </w:tc>
        <w:tc>
          <w:tcPr>
            <w:tcW w:w="1119" w:type="dxa"/>
            <w:tcBorders>
              <w:top w:val="single" w:color="000000" w:sz="4" w:space="0"/>
              <w:left w:val="nil"/>
              <w:bottom w:val="single" w:color="000000" w:sz="4" w:space="0"/>
              <w:right w:val="single" w:color="000000" w:sz="4" w:space="0"/>
            </w:tcBorders>
            <w:shd w:val="clear" w:color="auto" w:fill="auto"/>
            <w:vAlign w:val="center"/>
          </w:tcPr>
          <w:p w14:paraId="1C7F4EA2">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color w:val="auto"/>
                <w:kern w:val="2"/>
                <w:sz w:val="21"/>
                <w:szCs w:val="21"/>
                <w:highlight w:val="none"/>
                <w:shd w:val="clear" w:color="auto" w:fill="FFFFFF"/>
                <w:lang w:val="en-US" w:eastAsia="zh-CN" w:bidi="ar"/>
              </w:rPr>
            </w:pPr>
            <w:r>
              <w:rPr>
                <w:rFonts w:hint="eastAsia" w:ascii="宋体" w:hAnsi="宋体" w:eastAsia="宋体" w:cs="宋体"/>
                <w:color w:val="auto"/>
                <w:sz w:val="21"/>
                <w:szCs w:val="21"/>
                <w:highlight w:val="none"/>
                <w:shd w:val="clear" w:color="auto" w:fill="FFFFFF"/>
                <w:lang w:bidi="ar"/>
              </w:rPr>
              <w:t>应急钥匙</w:t>
            </w:r>
          </w:p>
        </w:tc>
        <w:tc>
          <w:tcPr>
            <w:tcW w:w="499" w:type="dxa"/>
            <w:tcBorders>
              <w:top w:val="single" w:color="000000" w:sz="4" w:space="0"/>
              <w:left w:val="nil"/>
              <w:bottom w:val="single" w:color="000000" w:sz="4" w:space="0"/>
              <w:right w:val="single" w:color="000000" w:sz="4" w:space="0"/>
            </w:tcBorders>
            <w:shd w:val="clear" w:color="auto" w:fill="auto"/>
            <w:vAlign w:val="center"/>
          </w:tcPr>
          <w:p w14:paraId="2A7730FF">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shd w:val="clear" w:color="auto" w:fill="FFFFFF"/>
                <w:lang w:val="en-US" w:eastAsia="zh-CN" w:bidi="ar-SA"/>
              </w:rPr>
            </w:pPr>
            <w:r>
              <w:rPr>
                <w:rFonts w:hint="eastAsia" w:ascii="宋体" w:hAnsi="宋体" w:eastAsia="宋体" w:cs="宋体"/>
                <w:color w:val="auto"/>
                <w:sz w:val="21"/>
                <w:szCs w:val="21"/>
                <w:highlight w:val="none"/>
                <w:shd w:val="clear" w:color="auto" w:fill="FFFFFF"/>
              </w:rPr>
              <w:t>2</w:t>
            </w:r>
          </w:p>
        </w:tc>
        <w:tc>
          <w:tcPr>
            <w:tcW w:w="582" w:type="dxa"/>
            <w:tcBorders>
              <w:top w:val="single" w:color="000000" w:sz="4" w:space="0"/>
              <w:left w:val="nil"/>
              <w:bottom w:val="single" w:color="000000" w:sz="4" w:space="0"/>
              <w:right w:val="single" w:color="000000" w:sz="4" w:space="0"/>
            </w:tcBorders>
            <w:shd w:val="clear" w:color="auto" w:fill="auto"/>
            <w:vAlign w:val="center"/>
          </w:tcPr>
          <w:p w14:paraId="27442D4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rPr>
                <w:rFonts w:hint="eastAsia" w:ascii="宋体" w:hAnsi="宋体" w:eastAsia="宋体" w:cs="宋体"/>
                <w:color w:val="auto"/>
                <w:kern w:val="2"/>
                <w:sz w:val="21"/>
                <w:szCs w:val="21"/>
                <w:highlight w:val="none"/>
                <w:vertAlign w:val="baseline"/>
                <w:lang w:val="en-US" w:eastAsia="zh-CN" w:bidi="ar-SA"/>
              </w:rPr>
            </w:pPr>
            <w:r>
              <w:rPr>
                <w:rFonts w:hint="eastAsia" w:ascii="宋体" w:hAnsi="宋体" w:eastAsia="宋体" w:cs="宋体"/>
                <w:color w:val="auto"/>
                <w:kern w:val="2"/>
                <w:sz w:val="21"/>
                <w:szCs w:val="21"/>
                <w:highlight w:val="none"/>
                <w:vertAlign w:val="baseline"/>
                <w:lang w:val="en-US" w:eastAsia="zh-CN" w:bidi="ar-SA"/>
              </w:rPr>
              <w:t>把</w:t>
            </w:r>
          </w:p>
        </w:tc>
        <w:tc>
          <w:tcPr>
            <w:tcW w:w="5606" w:type="dxa"/>
            <w:tcBorders>
              <w:top w:val="single" w:color="000000" w:sz="4" w:space="0"/>
              <w:left w:val="nil"/>
              <w:bottom w:val="single" w:color="000000" w:sz="4" w:space="0"/>
              <w:right w:val="single" w:color="auto" w:sz="4" w:space="0"/>
            </w:tcBorders>
            <w:shd w:val="clear" w:color="auto" w:fill="auto"/>
            <w:vAlign w:val="center"/>
          </w:tcPr>
          <w:p w14:paraId="31ABCFEF">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1.钥匙结构：外壳采用铝合金材质，内置可充电电池；配置≥2个USB母头（1个作为智能锁连接的数据输出口，1个作为应急充电口）、≥1个启动按键（用于激活钥匙进入工作状态）；配套≥1条USB 2.0转USB Type-C数据线，可用于连接智能锁或通过常规充电宝为钥匙供电；</w:t>
            </w:r>
          </w:p>
          <w:p w14:paraId="667D69B9">
            <w:pPr>
              <w:keepNext w:val="0"/>
              <w:keepLines w:val="0"/>
              <w:suppressLineNumbers w:val="0"/>
              <w:spacing w:before="0" w:beforeAutospacing="0" w:after="0" w:afterAutospacing="0"/>
              <w:ind w:left="0" w:right="0"/>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z w:val="21"/>
                <w:szCs w:val="21"/>
                <w:highlight w:val="none"/>
                <w:shd w:val="clear" w:color="auto" w:fill="FFFFFF"/>
              </w:rPr>
              <w:t>2.解锁形式：电子钥匙连接智能锁后，工作状态下可启动已授权柜体智能锁的备用电路完成应急解锁，同时自动存储解锁用户身份信息及解锁时间。</w:t>
            </w:r>
          </w:p>
        </w:tc>
        <w:tc>
          <w:tcPr>
            <w:tcW w:w="1085" w:type="dxa"/>
            <w:tcBorders>
              <w:top w:val="single" w:color="000000" w:sz="4" w:space="0"/>
              <w:left w:val="single" w:color="auto" w:sz="4" w:space="0"/>
              <w:bottom w:val="single" w:color="000000" w:sz="4" w:space="0"/>
              <w:right w:val="single" w:color="000000" w:sz="4" w:space="0"/>
            </w:tcBorders>
            <w:vAlign w:val="center"/>
          </w:tcPr>
          <w:p w14:paraId="3521925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b w:val="0"/>
                <w:bCs w:val="0"/>
                <w:color w:val="auto"/>
                <w:sz w:val="21"/>
                <w:szCs w:val="21"/>
                <w:highlight w:val="none"/>
                <w:u w:val="none"/>
              </w:rPr>
            </w:pPr>
            <w:r>
              <w:rPr>
                <w:rFonts w:hint="eastAsia" w:ascii="宋体" w:hAnsi="宋体" w:eastAsia="宋体" w:cs="宋体"/>
                <w:b w:val="0"/>
                <w:bCs w:val="0"/>
                <w:color w:val="auto"/>
                <w:sz w:val="21"/>
                <w:szCs w:val="21"/>
                <w:highlight w:val="none"/>
                <w:u w:val="none"/>
              </w:rPr>
              <w:t>工业</w:t>
            </w:r>
          </w:p>
        </w:tc>
      </w:tr>
      <w:tr w14:paraId="283374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vAlign w:val="center"/>
          </w:tcPr>
          <w:p w14:paraId="7A1E7E9C">
            <w:pPr>
              <w:keepNext w:val="0"/>
              <w:keepLines w:val="0"/>
              <w:suppressLineNumbers w:val="0"/>
              <w:bidi w:val="0"/>
              <w:spacing w:before="0" w:beforeAutospacing="0" w:after="0" w:afterAutospacing="0"/>
              <w:ind w:left="0" w:right="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w:t>
            </w:r>
          </w:p>
        </w:tc>
        <w:tc>
          <w:tcPr>
            <w:tcW w:w="1119" w:type="dxa"/>
            <w:tcBorders>
              <w:top w:val="single" w:color="000000" w:sz="4" w:space="0"/>
              <w:left w:val="nil"/>
              <w:bottom w:val="single" w:color="000000" w:sz="4" w:space="0"/>
              <w:right w:val="single" w:color="000000" w:sz="4" w:space="0"/>
            </w:tcBorders>
            <w:shd w:val="clear" w:color="auto" w:fill="auto"/>
            <w:vAlign w:val="center"/>
          </w:tcPr>
          <w:p w14:paraId="2F2A0A1E">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color w:val="auto"/>
                <w:kern w:val="2"/>
                <w:sz w:val="21"/>
                <w:szCs w:val="21"/>
                <w:highlight w:val="none"/>
                <w:shd w:val="clear" w:color="auto" w:fill="FFFFFF"/>
                <w:lang w:val="en-US" w:eastAsia="zh-CN" w:bidi="ar"/>
              </w:rPr>
            </w:pPr>
            <w:r>
              <w:rPr>
                <w:rFonts w:hint="eastAsia" w:ascii="宋体" w:hAnsi="宋体" w:eastAsia="宋体" w:cs="宋体"/>
                <w:color w:val="auto"/>
                <w:sz w:val="21"/>
                <w:szCs w:val="21"/>
                <w:highlight w:val="none"/>
                <w:shd w:val="clear" w:color="auto" w:fill="FFFFFF"/>
                <w:lang w:bidi="ar"/>
              </w:rPr>
              <w:t>智能锁网关</w:t>
            </w:r>
          </w:p>
        </w:tc>
        <w:tc>
          <w:tcPr>
            <w:tcW w:w="499" w:type="dxa"/>
            <w:tcBorders>
              <w:top w:val="single" w:color="000000" w:sz="4" w:space="0"/>
              <w:left w:val="nil"/>
              <w:bottom w:val="single" w:color="000000" w:sz="4" w:space="0"/>
              <w:right w:val="single" w:color="000000" w:sz="4" w:space="0"/>
            </w:tcBorders>
            <w:shd w:val="clear" w:color="auto" w:fill="auto"/>
            <w:vAlign w:val="center"/>
          </w:tcPr>
          <w:p w14:paraId="2C6776B4">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shd w:val="clear" w:color="auto" w:fill="FFFFFF"/>
                <w:lang w:val="en-US" w:eastAsia="zh-CN" w:bidi="ar-SA"/>
              </w:rPr>
            </w:pPr>
            <w:r>
              <w:rPr>
                <w:rFonts w:hint="eastAsia" w:ascii="宋体" w:hAnsi="宋体" w:eastAsia="宋体" w:cs="宋体"/>
                <w:color w:val="auto"/>
                <w:sz w:val="21"/>
                <w:szCs w:val="21"/>
                <w:highlight w:val="none"/>
                <w:shd w:val="clear" w:color="auto" w:fill="FFFFFF"/>
              </w:rPr>
              <w:t>2</w:t>
            </w:r>
          </w:p>
        </w:tc>
        <w:tc>
          <w:tcPr>
            <w:tcW w:w="582" w:type="dxa"/>
            <w:tcBorders>
              <w:top w:val="single" w:color="000000" w:sz="4" w:space="0"/>
              <w:left w:val="nil"/>
              <w:bottom w:val="single" w:color="000000" w:sz="4" w:space="0"/>
              <w:right w:val="single" w:color="000000" w:sz="4" w:space="0"/>
            </w:tcBorders>
            <w:shd w:val="clear" w:color="auto" w:fill="auto"/>
            <w:vAlign w:val="center"/>
          </w:tcPr>
          <w:p w14:paraId="04614F0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rPr>
                <w:rFonts w:hint="eastAsia" w:ascii="宋体" w:hAnsi="宋体" w:eastAsia="宋体" w:cs="宋体"/>
                <w:color w:val="auto"/>
                <w:kern w:val="2"/>
                <w:sz w:val="21"/>
                <w:szCs w:val="21"/>
                <w:highlight w:val="none"/>
                <w:vertAlign w:val="baseline"/>
                <w:lang w:val="en-US" w:eastAsia="zh-CN" w:bidi="ar-SA"/>
              </w:rPr>
            </w:pPr>
            <w:r>
              <w:rPr>
                <w:rFonts w:hint="eastAsia" w:ascii="宋体" w:hAnsi="宋体" w:eastAsia="宋体" w:cs="宋体"/>
                <w:color w:val="auto"/>
                <w:kern w:val="2"/>
                <w:sz w:val="21"/>
                <w:szCs w:val="21"/>
                <w:highlight w:val="none"/>
                <w:vertAlign w:val="baseline"/>
                <w:lang w:val="en-US" w:eastAsia="zh-CN" w:bidi="ar-SA"/>
              </w:rPr>
              <w:t>台</w:t>
            </w:r>
          </w:p>
        </w:tc>
        <w:tc>
          <w:tcPr>
            <w:tcW w:w="5606" w:type="dxa"/>
            <w:tcBorders>
              <w:top w:val="single" w:color="000000" w:sz="4" w:space="0"/>
              <w:left w:val="nil"/>
              <w:bottom w:val="single" w:color="000000" w:sz="4" w:space="0"/>
              <w:right w:val="single" w:color="auto" w:sz="4" w:space="0"/>
            </w:tcBorders>
            <w:shd w:val="clear" w:color="auto" w:fill="auto"/>
            <w:vAlign w:val="center"/>
          </w:tcPr>
          <w:p w14:paraId="6888C3D0">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1.支持接收用户控制指令并下发解锁指令；</w:t>
            </w:r>
          </w:p>
          <w:p w14:paraId="231F2D11">
            <w:pPr>
              <w:keepNext w:val="0"/>
              <w:keepLines w:val="0"/>
              <w:suppressLineNumbers w:val="0"/>
              <w:spacing w:before="0" w:beforeAutospacing="0" w:after="0" w:afterAutospacing="0"/>
              <w:ind w:left="0" w:right="0"/>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z w:val="21"/>
                <w:szCs w:val="21"/>
                <w:highlight w:val="none"/>
                <w:shd w:val="clear" w:color="auto" w:fill="FFFFFF"/>
              </w:rPr>
              <w:t>2.支持同时连接不低于6把智能锁。</w:t>
            </w:r>
          </w:p>
        </w:tc>
        <w:tc>
          <w:tcPr>
            <w:tcW w:w="1085" w:type="dxa"/>
            <w:tcBorders>
              <w:top w:val="single" w:color="000000" w:sz="4" w:space="0"/>
              <w:left w:val="single" w:color="auto" w:sz="4" w:space="0"/>
              <w:bottom w:val="single" w:color="000000" w:sz="4" w:space="0"/>
              <w:right w:val="single" w:color="000000" w:sz="4" w:space="0"/>
            </w:tcBorders>
            <w:vAlign w:val="center"/>
          </w:tcPr>
          <w:p w14:paraId="31CC6A1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b w:val="0"/>
                <w:bCs w:val="0"/>
                <w:color w:val="auto"/>
                <w:sz w:val="21"/>
                <w:szCs w:val="21"/>
                <w:highlight w:val="none"/>
                <w:u w:val="none"/>
              </w:rPr>
            </w:pPr>
            <w:r>
              <w:rPr>
                <w:rFonts w:hint="eastAsia" w:ascii="宋体" w:hAnsi="宋体" w:eastAsia="宋体" w:cs="宋体"/>
                <w:b w:val="0"/>
                <w:bCs w:val="0"/>
                <w:color w:val="auto"/>
                <w:sz w:val="21"/>
                <w:szCs w:val="21"/>
                <w:highlight w:val="none"/>
                <w:u w:val="none"/>
              </w:rPr>
              <w:t>工业</w:t>
            </w:r>
          </w:p>
        </w:tc>
      </w:tr>
      <w:tr w14:paraId="32F8DE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vAlign w:val="center"/>
          </w:tcPr>
          <w:p w14:paraId="49FB12C4">
            <w:pPr>
              <w:keepNext w:val="0"/>
              <w:keepLines w:val="0"/>
              <w:suppressLineNumbers w:val="0"/>
              <w:bidi w:val="0"/>
              <w:spacing w:before="0" w:beforeAutospacing="0" w:after="0" w:afterAutospacing="0"/>
              <w:ind w:left="0" w:right="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w:t>
            </w:r>
          </w:p>
        </w:tc>
        <w:tc>
          <w:tcPr>
            <w:tcW w:w="1119" w:type="dxa"/>
            <w:tcBorders>
              <w:top w:val="single" w:color="000000" w:sz="4" w:space="0"/>
              <w:left w:val="nil"/>
              <w:bottom w:val="single" w:color="000000" w:sz="4" w:space="0"/>
              <w:right w:val="single" w:color="000000" w:sz="4" w:space="0"/>
            </w:tcBorders>
            <w:shd w:val="clear" w:color="auto" w:fill="auto"/>
            <w:vAlign w:val="center"/>
          </w:tcPr>
          <w:p w14:paraId="1D6C4696">
            <w:pPr>
              <w:keepNext w:val="0"/>
              <w:keepLines w:val="0"/>
              <w:suppressLineNumbers w:val="0"/>
              <w:spacing w:before="0" w:beforeAutospacing="0" w:after="0" w:afterAutospacing="0" w:line="360" w:lineRule="auto"/>
              <w:ind w:left="0" w:right="0"/>
              <w:rPr>
                <w:rFonts w:hint="eastAsia" w:ascii="宋体" w:hAnsi="宋体" w:eastAsia="宋体" w:cs="宋体"/>
                <w:color w:val="auto"/>
                <w:kern w:val="2"/>
                <w:sz w:val="21"/>
                <w:szCs w:val="21"/>
                <w:highlight w:val="none"/>
                <w:shd w:val="clear" w:color="auto" w:fill="FFFFFF"/>
                <w:lang w:val="en-US" w:eastAsia="zh-CN" w:bidi="ar-SA"/>
              </w:rPr>
            </w:pPr>
            <w:r>
              <w:rPr>
                <w:rFonts w:hint="eastAsia" w:ascii="宋体" w:hAnsi="宋体" w:eastAsia="宋体" w:cs="宋体"/>
                <w:color w:val="auto"/>
                <w:sz w:val="21"/>
                <w:szCs w:val="21"/>
                <w:highlight w:val="none"/>
                <w:shd w:val="clear" w:color="auto" w:fill="FFFFFF"/>
              </w:rPr>
              <w:t>仪器控制终端</w:t>
            </w:r>
          </w:p>
        </w:tc>
        <w:tc>
          <w:tcPr>
            <w:tcW w:w="499" w:type="dxa"/>
            <w:tcBorders>
              <w:top w:val="single" w:color="000000" w:sz="4" w:space="0"/>
              <w:left w:val="nil"/>
              <w:bottom w:val="single" w:color="000000" w:sz="4" w:space="0"/>
              <w:right w:val="single" w:color="000000" w:sz="4" w:space="0"/>
            </w:tcBorders>
            <w:shd w:val="clear" w:color="auto" w:fill="auto"/>
            <w:vAlign w:val="center"/>
          </w:tcPr>
          <w:p w14:paraId="090377A8">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shd w:val="clear" w:color="auto" w:fill="FFFFFF"/>
                <w:lang w:val="en-US" w:eastAsia="zh-CN" w:bidi="ar-SA"/>
              </w:rPr>
            </w:pPr>
            <w:r>
              <w:rPr>
                <w:rFonts w:hint="eastAsia" w:ascii="宋体" w:hAnsi="宋体" w:eastAsia="宋体" w:cs="宋体"/>
                <w:color w:val="auto"/>
                <w:sz w:val="21"/>
                <w:szCs w:val="21"/>
                <w:highlight w:val="none"/>
                <w:shd w:val="clear" w:color="auto" w:fill="FFFFFF"/>
              </w:rPr>
              <w:t>50</w:t>
            </w:r>
          </w:p>
        </w:tc>
        <w:tc>
          <w:tcPr>
            <w:tcW w:w="582" w:type="dxa"/>
            <w:tcBorders>
              <w:top w:val="single" w:color="000000" w:sz="4" w:space="0"/>
              <w:left w:val="nil"/>
              <w:bottom w:val="single" w:color="000000" w:sz="4" w:space="0"/>
              <w:right w:val="single" w:color="000000" w:sz="4" w:space="0"/>
            </w:tcBorders>
            <w:shd w:val="clear" w:color="auto" w:fill="auto"/>
            <w:vAlign w:val="center"/>
          </w:tcPr>
          <w:p w14:paraId="26B584E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rPr>
                <w:rFonts w:hint="eastAsia" w:ascii="宋体" w:hAnsi="宋体" w:eastAsia="宋体" w:cs="宋体"/>
                <w:color w:val="auto"/>
                <w:kern w:val="2"/>
                <w:sz w:val="21"/>
                <w:szCs w:val="21"/>
                <w:highlight w:val="none"/>
                <w:vertAlign w:val="baseline"/>
                <w:lang w:val="en-US" w:eastAsia="zh-CN" w:bidi="ar-SA"/>
              </w:rPr>
            </w:pPr>
            <w:r>
              <w:rPr>
                <w:rFonts w:hint="eastAsia" w:ascii="宋体" w:hAnsi="宋体" w:eastAsia="宋体" w:cs="宋体"/>
                <w:color w:val="auto"/>
                <w:kern w:val="2"/>
                <w:sz w:val="21"/>
                <w:szCs w:val="21"/>
                <w:highlight w:val="none"/>
                <w:vertAlign w:val="baseline"/>
                <w:lang w:val="en-US" w:eastAsia="zh-CN" w:bidi="ar-SA"/>
              </w:rPr>
              <w:t>台</w:t>
            </w:r>
          </w:p>
        </w:tc>
        <w:tc>
          <w:tcPr>
            <w:tcW w:w="5606" w:type="dxa"/>
            <w:tcBorders>
              <w:top w:val="single" w:color="000000" w:sz="4" w:space="0"/>
              <w:left w:val="nil"/>
              <w:bottom w:val="single" w:color="000000" w:sz="4" w:space="0"/>
              <w:right w:val="single" w:color="auto" w:sz="4" w:space="0"/>
            </w:tcBorders>
            <w:shd w:val="clear" w:color="auto" w:fill="auto"/>
            <w:vAlign w:val="center"/>
          </w:tcPr>
          <w:p w14:paraId="71C36572">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1.用于控制中小型仪器设备，可通过扫码进行实验人员身份验证，通过蓝牙控制配套仪器设备的使用权限。</w:t>
            </w:r>
          </w:p>
          <w:p w14:paraId="35EB0365">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2.授权方式：蓝牙。</w:t>
            </w:r>
          </w:p>
          <w:p w14:paraId="7DAC162E">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3.数据传输能力：2 Mbps, 1 Mbps, 500 kbps, and 125 kbps。</w:t>
            </w:r>
          </w:p>
          <w:p w14:paraId="6C927551">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4.蓝牙频率范围：2.4G～2.48G (2401MHz～2479MHz）。</w:t>
            </w:r>
          </w:p>
          <w:p w14:paraId="3D1EA5F0">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5.蓝牙无线范围：30～100米（空旷处可达）。</w:t>
            </w:r>
          </w:p>
          <w:p w14:paraId="5631CBE1">
            <w:pPr>
              <w:keepNext w:val="0"/>
              <w:keepLines w:val="0"/>
              <w:suppressLineNumbers w:val="0"/>
              <w:spacing w:before="0" w:beforeAutospacing="0" w:after="0" w:afterAutospacing="0"/>
              <w:ind w:left="0" w:right="0"/>
              <w:rPr>
                <w:rFonts w:hint="eastAsia" w:ascii="宋体" w:hAnsi="宋体" w:eastAsia="宋体" w:cs="宋体"/>
                <w:color w:val="auto"/>
                <w:kern w:val="2"/>
                <w:sz w:val="21"/>
                <w:szCs w:val="21"/>
                <w:highlight w:val="none"/>
                <w:shd w:val="clear" w:color="auto" w:fill="FFFFFF"/>
                <w:lang w:val="en-US" w:eastAsia="zh-CN" w:bidi="ar-SA"/>
              </w:rPr>
            </w:pPr>
            <w:r>
              <w:rPr>
                <w:rFonts w:hint="eastAsia" w:ascii="宋体" w:hAnsi="宋体" w:eastAsia="宋体" w:cs="宋体"/>
                <w:color w:val="auto"/>
                <w:sz w:val="21"/>
                <w:szCs w:val="21"/>
                <w:highlight w:val="none"/>
                <w:shd w:val="clear" w:color="auto" w:fill="FFFFFF"/>
              </w:rPr>
              <w:t>6.额定电压/电流：AC100～240V，10A。</w:t>
            </w:r>
          </w:p>
        </w:tc>
        <w:tc>
          <w:tcPr>
            <w:tcW w:w="1085" w:type="dxa"/>
            <w:tcBorders>
              <w:top w:val="single" w:color="000000" w:sz="4" w:space="0"/>
              <w:left w:val="single" w:color="auto" w:sz="4" w:space="0"/>
              <w:bottom w:val="single" w:color="000000" w:sz="4" w:space="0"/>
              <w:right w:val="single" w:color="000000" w:sz="4" w:space="0"/>
            </w:tcBorders>
            <w:vAlign w:val="center"/>
          </w:tcPr>
          <w:p w14:paraId="69D4579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b w:val="0"/>
                <w:bCs w:val="0"/>
                <w:color w:val="auto"/>
                <w:sz w:val="21"/>
                <w:szCs w:val="21"/>
                <w:highlight w:val="none"/>
                <w:u w:val="none"/>
              </w:rPr>
            </w:pPr>
            <w:r>
              <w:rPr>
                <w:rFonts w:hint="eastAsia" w:ascii="宋体" w:hAnsi="宋体" w:eastAsia="宋体" w:cs="宋体"/>
                <w:b w:val="0"/>
                <w:bCs w:val="0"/>
                <w:color w:val="auto"/>
                <w:sz w:val="21"/>
                <w:szCs w:val="21"/>
                <w:highlight w:val="none"/>
                <w:u w:val="none"/>
              </w:rPr>
              <w:t>工业</w:t>
            </w:r>
          </w:p>
        </w:tc>
      </w:tr>
      <w:tr w14:paraId="5E4717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vAlign w:val="center"/>
          </w:tcPr>
          <w:p w14:paraId="6A593428">
            <w:pPr>
              <w:keepNext w:val="0"/>
              <w:keepLines w:val="0"/>
              <w:suppressLineNumbers w:val="0"/>
              <w:bidi w:val="0"/>
              <w:spacing w:before="0" w:beforeAutospacing="0" w:after="0" w:afterAutospacing="0"/>
              <w:ind w:left="0" w:right="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6</w:t>
            </w:r>
          </w:p>
        </w:tc>
        <w:tc>
          <w:tcPr>
            <w:tcW w:w="1119" w:type="dxa"/>
            <w:tcBorders>
              <w:top w:val="single" w:color="000000" w:sz="4" w:space="0"/>
              <w:left w:val="nil"/>
              <w:bottom w:val="single" w:color="000000" w:sz="4" w:space="0"/>
              <w:right w:val="single" w:color="000000" w:sz="4" w:space="0"/>
            </w:tcBorders>
            <w:shd w:val="clear" w:color="auto" w:fill="auto"/>
            <w:vAlign w:val="center"/>
          </w:tcPr>
          <w:p w14:paraId="0EBB6829">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color w:val="auto"/>
                <w:kern w:val="2"/>
                <w:sz w:val="21"/>
                <w:szCs w:val="21"/>
                <w:highlight w:val="none"/>
                <w:shd w:val="clear" w:color="auto" w:fill="FFFFFF"/>
                <w:lang w:val="en-US" w:eastAsia="zh-CN" w:bidi="ar"/>
              </w:rPr>
            </w:pPr>
            <w:r>
              <w:rPr>
                <w:rFonts w:hint="eastAsia" w:ascii="宋体" w:hAnsi="宋体" w:eastAsia="宋体" w:cs="宋体"/>
                <w:color w:val="auto"/>
                <w:sz w:val="21"/>
                <w:szCs w:val="21"/>
                <w:highlight w:val="none"/>
                <w:shd w:val="clear" w:color="auto" w:fill="FFFFFF"/>
                <w:lang w:bidi="ar"/>
              </w:rPr>
              <w:t>智能移动巡检平板</w:t>
            </w:r>
          </w:p>
        </w:tc>
        <w:tc>
          <w:tcPr>
            <w:tcW w:w="499" w:type="dxa"/>
            <w:tcBorders>
              <w:top w:val="single" w:color="000000" w:sz="4" w:space="0"/>
              <w:left w:val="nil"/>
              <w:bottom w:val="single" w:color="000000" w:sz="4" w:space="0"/>
              <w:right w:val="single" w:color="000000" w:sz="4" w:space="0"/>
            </w:tcBorders>
            <w:shd w:val="clear" w:color="auto" w:fill="auto"/>
            <w:vAlign w:val="center"/>
          </w:tcPr>
          <w:p w14:paraId="1DB4FE11">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shd w:val="clear" w:color="auto" w:fill="FFFFFF"/>
                <w:lang w:val="en-US" w:eastAsia="zh-CN" w:bidi="ar-SA"/>
              </w:rPr>
            </w:pPr>
            <w:r>
              <w:rPr>
                <w:rFonts w:hint="eastAsia" w:ascii="宋体" w:hAnsi="宋体" w:eastAsia="宋体" w:cs="宋体"/>
                <w:color w:val="auto"/>
                <w:sz w:val="21"/>
                <w:szCs w:val="21"/>
                <w:highlight w:val="none"/>
                <w:shd w:val="clear" w:color="auto" w:fill="FFFFFF"/>
              </w:rPr>
              <w:t>1</w:t>
            </w:r>
          </w:p>
        </w:tc>
        <w:tc>
          <w:tcPr>
            <w:tcW w:w="582" w:type="dxa"/>
            <w:tcBorders>
              <w:top w:val="single" w:color="000000" w:sz="4" w:space="0"/>
              <w:left w:val="nil"/>
              <w:bottom w:val="single" w:color="000000" w:sz="4" w:space="0"/>
              <w:right w:val="single" w:color="000000" w:sz="4" w:space="0"/>
            </w:tcBorders>
            <w:shd w:val="clear" w:color="auto" w:fill="auto"/>
            <w:vAlign w:val="center"/>
          </w:tcPr>
          <w:p w14:paraId="7CB74C2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rPr>
                <w:rFonts w:hint="eastAsia" w:ascii="宋体" w:hAnsi="宋体" w:eastAsia="宋体" w:cs="宋体"/>
                <w:color w:val="auto"/>
                <w:kern w:val="2"/>
                <w:sz w:val="21"/>
                <w:szCs w:val="21"/>
                <w:highlight w:val="none"/>
                <w:vertAlign w:val="baseline"/>
                <w:lang w:val="en-US" w:eastAsia="zh-CN" w:bidi="ar-SA"/>
              </w:rPr>
            </w:pPr>
            <w:r>
              <w:rPr>
                <w:rFonts w:hint="eastAsia" w:ascii="宋体" w:hAnsi="宋体" w:eastAsia="宋体" w:cs="宋体"/>
                <w:color w:val="auto"/>
                <w:kern w:val="2"/>
                <w:sz w:val="21"/>
                <w:szCs w:val="21"/>
                <w:highlight w:val="none"/>
                <w:vertAlign w:val="baseline"/>
                <w:lang w:val="en-US" w:eastAsia="zh-CN" w:bidi="ar-SA"/>
              </w:rPr>
              <w:t>台</w:t>
            </w:r>
          </w:p>
        </w:tc>
        <w:tc>
          <w:tcPr>
            <w:tcW w:w="5606" w:type="dxa"/>
            <w:tcBorders>
              <w:top w:val="single" w:color="000000" w:sz="4" w:space="0"/>
              <w:left w:val="nil"/>
              <w:bottom w:val="single" w:color="000000" w:sz="4" w:space="0"/>
              <w:right w:val="single" w:color="auto" w:sz="4" w:space="0"/>
            </w:tcBorders>
            <w:shd w:val="clear" w:color="auto" w:fill="auto"/>
            <w:vAlign w:val="center"/>
          </w:tcPr>
          <w:p w14:paraId="6853C455">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1.硬件规格：屏幕尺寸≥10.1英寸；存储容量≥128GB；摄像头≥500万像素；支持Wi-Fi连接。</w:t>
            </w:r>
          </w:p>
          <w:p w14:paraId="7B201EFA">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2.内置工作台模块，支持待办事项处理、个人中心管理，可在平板上处理动物分笼、动物合笼、动物入笼、任务待办等数据。</w:t>
            </w:r>
          </w:p>
          <w:p w14:paraId="05318998">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3.动物接收登记：确认动物接收分笼，实现动物个体档案创建及业务跟踪。</w:t>
            </w:r>
          </w:p>
          <w:p w14:paraId="49B4312F">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4.笼位管理：支持查看不同动物室不同笼架的矩阵视图，支持扫码或选中单个笼子查看相关笼位、动物信息；支持动物入笼、移笼、合笼、分笼、出库全流程现场操作，可批量完成移笼、分笼操作。</w:t>
            </w:r>
          </w:p>
          <w:p w14:paraId="64CA4811">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5.巡检记录：支持饲养员线上提交日常动物室巡检记录，包括动物室温湿度数据、动物数、异常反馈等。</w:t>
            </w:r>
          </w:p>
          <w:p w14:paraId="63AE388D">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6.异常上报：支持违规情况随手拍上报，现场记录异常情况并上传系统。</w:t>
            </w:r>
          </w:p>
          <w:p w14:paraId="11865823">
            <w:pPr>
              <w:keepNext w:val="0"/>
              <w:keepLines w:val="0"/>
              <w:suppressLineNumbers w:val="0"/>
              <w:spacing w:before="0" w:beforeAutospacing="0" w:after="0" w:afterAutospacing="0"/>
              <w:ind w:left="0" w:right="0"/>
              <w:rPr>
                <w:rFonts w:hint="eastAsia" w:ascii="宋体" w:hAnsi="宋体" w:eastAsia="宋体" w:cs="宋体"/>
                <w:color w:val="auto"/>
                <w:kern w:val="2"/>
                <w:sz w:val="21"/>
                <w:szCs w:val="21"/>
                <w:highlight w:val="none"/>
                <w:shd w:val="clear" w:color="auto" w:fill="FFFFFF"/>
                <w:lang w:val="en-US" w:eastAsia="zh-CN" w:bidi="ar-SA"/>
              </w:rPr>
            </w:pPr>
            <w:r>
              <w:rPr>
                <w:rFonts w:hint="eastAsia" w:ascii="宋体" w:hAnsi="宋体" w:eastAsia="宋体" w:cs="宋体"/>
                <w:color w:val="auto"/>
                <w:sz w:val="21"/>
                <w:szCs w:val="21"/>
                <w:highlight w:val="none"/>
                <w:shd w:val="clear" w:color="auto" w:fill="FFFFFF"/>
              </w:rPr>
              <w:t>7.动物处理：支持饲养员在平板上操作动物出库、动物移笼、动物异常反馈、动物档案信息查询等。</w:t>
            </w:r>
          </w:p>
        </w:tc>
        <w:tc>
          <w:tcPr>
            <w:tcW w:w="1085" w:type="dxa"/>
            <w:tcBorders>
              <w:top w:val="single" w:color="000000" w:sz="4" w:space="0"/>
              <w:left w:val="single" w:color="auto" w:sz="4" w:space="0"/>
              <w:bottom w:val="single" w:color="000000" w:sz="4" w:space="0"/>
              <w:right w:val="single" w:color="000000" w:sz="4" w:space="0"/>
            </w:tcBorders>
            <w:vAlign w:val="center"/>
          </w:tcPr>
          <w:p w14:paraId="66A3D86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b w:val="0"/>
                <w:bCs w:val="0"/>
                <w:color w:val="auto"/>
                <w:sz w:val="21"/>
                <w:szCs w:val="21"/>
                <w:highlight w:val="none"/>
                <w:u w:val="none"/>
              </w:rPr>
            </w:pPr>
            <w:r>
              <w:rPr>
                <w:rFonts w:hint="eastAsia" w:ascii="宋体" w:hAnsi="宋体" w:eastAsia="宋体" w:cs="宋体"/>
                <w:b w:val="0"/>
                <w:bCs w:val="0"/>
                <w:color w:val="auto"/>
                <w:sz w:val="21"/>
                <w:szCs w:val="21"/>
                <w:highlight w:val="none"/>
                <w:u w:val="none"/>
              </w:rPr>
              <w:t>工业</w:t>
            </w:r>
          </w:p>
        </w:tc>
      </w:tr>
      <w:tr w14:paraId="0F4938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2" w:hRule="atLeast"/>
          <w:jc w:val="center"/>
        </w:trPr>
        <w:tc>
          <w:tcPr>
            <w:tcW w:w="9453" w:type="dxa"/>
            <w:gridSpan w:val="6"/>
            <w:tcBorders>
              <w:top w:val="single" w:color="000000" w:sz="4" w:space="0"/>
              <w:left w:val="single" w:color="auto" w:sz="4" w:space="0"/>
              <w:bottom w:val="single" w:color="000000" w:sz="4" w:space="0"/>
              <w:right w:val="single" w:color="000000" w:sz="4" w:space="0"/>
            </w:tcBorders>
            <w:vAlign w:val="center"/>
          </w:tcPr>
          <w:p w14:paraId="183BA9DE">
            <w:pPr>
              <w:keepNext w:val="0"/>
              <w:keepLines w:val="0"/>
              <w:widowControl w:val="0"/>
              <w:suppressLineNumbers w:val="0"/>
              <w:wordWrap/>
              <w:adjustRightInd/>
              <w:snapToGrid/>
              <w:spacing w:before="0" w:beforeAutospacing="0" w:after="0" w:afterAutospacing="0" w:line="320" w:lineRule="exact"/>
              <w:ind w:left="0" w:leftChars="0" w:right="0" w:firstLine="0" w:firstLineChars="0"/>
              <w:jc w:val="center"/>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b/>
                <w:bCs/>
                <w:color w:val="auto"/>
                <w:sz w:val="21"/>
                <w:szCs w:val="21"/>
                <w:highlight w:val="none"/>
                <w:lang w:eastAsia="zh-CN"/>
              </w:rPr>
              <w:t>二、商务要求</w:t>
            </w:r>
          </w:p>
        </w:tc>
      </w:tr>
      <w:tr w14:paraId="6F95F9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57710672">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1</w:t>
            </w:r>
          </w:p>
        </w:tc>
        <w:tc>
          <w:tcPr>
            <w:tcW w:w="1119" w:type="dxa"/>
            <w:tcBorders>
              <w:left w:val="nil"/>
              <w:right w:val="single" w:color="000000" w:sz="4" w:space="0"/>
            </w:tcBorders>
            <w:shd w:val="clear" w:color="auto" w:fill="auto"/>
            <w:vAlign w:val="center"/>
          </w:tcPr>
          <w:p w14:paraId="69CD85C5">
            <w:pPr>
              <w:keepNext w:val="0"/>
              <w:keepLines w:val="0"/>
              <w:suppressLineNumbers w:val="0"/>
              <w:snapToGrid w:val="0"/>
              <w:spacing w:before="0" w:beforeAutospacing="0" w:after="0" w:afterAutospacing="0" w:line="400" w:lineRule="exact"/>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合同签订时间</w:t>
            </w:r>
          </w:p>
        </w:tc>
        <w:tc>
          <w:tcPr>
            <w:tcW w:w="7772" w:type="dxa"/>
            <w:gridSpan w:val="4"/>
            <w:tcBorders>
              <w:top w:val="single" w:color="000000" w:sz="4" w:space="0"/>
              <w:left w:val="nil"/>
              <w:bottom w:val="single" w:color="000000" w:sz="4" w:space="0"/>
              <w:right w:val="single" w:color="000000" w:sz="4" w:space="0"/>
            </w:tcBorders>
            <w:shd w:val="clear" w:color="auto" w:fill="auto"/>
            <w:vAlign w:val="center"/>
          </w:tcPr>
          <w:p w14:paraId="2EF47D33">
            <w:pPr>
              <w:pStyle w:val="14"/>
              <w:keepNext w:val="0"/>
              <w:keepLines w:val="0"/>
              <w:suppressLineNumbers w:val="0"/>
              <w:snapToGrid w:val="0"/>
              <w:spacing w:before="0" w:beforeAutospacing="0" w:after="0" w:afterAutospacing="0" w:line="400" w:lineRule="exact"/>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自</w:t>
            </w:r>
            <w:r>
              <w:rPr>
                <w:rFonts w:hint="eastAsia" w:ascii="宋体" w:hAnsi="宋体" w:eastAsia="宋体" w:cs="宋体"/>
                <w:color w:val="auto"/>
                <w:sz w:val="21"/>
                <w:szCs w:val="21"/>
                <w:highlight w:val="none"/>
                <w:lang w:val="en-US" w:eastAsia="zh-CN"/>
              </w:rPr>
              <w:t>中标</w:t>
            </w:r>
            <w:r>
              <w:rPr>
                <w:rFonts w:hint="eastAsia" w:ascii="宋体" w:hAnsi="宋体" w:eastAsia="宋体" w:cs="宋体"/>
                <w:color w:val="auto"/>
                <w:sz w:val="21"/>
                <w:szCs w:val="21"/>
                <w:highlight w:val="none"/>
              </w:rPr>
              <w:t>通知书发出之日起</w:t>
            </w:r>
            <w:r>
              <w:rPr>
                <w:rFonts w:hint="eastAsia" w:ascii="宋体" w:hAnsi="宋体" w:eastAsia="宋体" w:cs="宋体"/>
                <w:color w:val="auto"/>
                <w:sz w:val="21"/>
                <w:szCs w:val="21"/>
                <w:highlight w:val="none"/>
                <w:u w:val="single"/>
              </w:rPr>
              <w:t xml:space="preserve"> 25 </w:t>
            </w:r>
            <w:r>
              <w:rPr>
                <w:rFonts w:hint="eastAsia" w:ascii="宋体" w:hAnsi="宋体" w:eastAsia="宋体" w:cs="宋体"/>
                <w:color w:val="auto"/>
                <w:sz w:val="21"/>
                <w:szCs w:val="21"/>
                <w:highlight w:val="none"/>
              </w:rPr>
              <w:t>日内。</w:t>
            </w:r>
          </w:p>
        </w:tc>
      </w:tr>
      <w:tr w14:paraId="773356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7F7031EC">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2</w:t>
            </w:r>
          </w:p>
        </w:tc>
        <w:tc>
          <w:tcPr>
            <w:tcW w:w="1119" w:type="dxa"/>
            <w:tcBorders>
              <w:left w:val="nil"/>
              <w:right w:val="single" w:color="000000" w:sz="4" w:space="0"/>
            </w:tcBorders>
            <w:shd w:val="clear" w:color="auto" w:fill="auto"/>
            <w:vAlign w:val="center"/>
          </w:tcPr>
          <w:p w14:paraId="1323459B">
            <w:pPr>
              <w:keepNext w:val="0"/>
              <w:keepLines w:val="0"/>
              <w:suppressLineNumbers w:val="0"/>
              <w:snapToGrid w:val="0"/>
              <w:spacing w:before="0" w:beforeAutospacing="0" w:after="0" w:afterAutospacing="0" w:line="400" w:lineRule="exact"/>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质保期</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01EC92D5">
            <w:pPr>
              <w:pStyle w:val="14"/>
              <w:keepNext w:val="0"/>
              <w:keepLines w:val="0"/>
              <w:suppressLineNumbers w:val="0"/>
              <w:snapToGrid w:val="0"/>
              <w:spacing w:before="0" w:beforeAutospacing="0" w:after="0" w:afterAutospacing="0" w:line="400" w:lineRule="exact"/>
              <w:ind w:left="0" w:leftChars="0" w:right="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质保期：其中系统自验收合格之日起3年，其他设备产品自验收合格之日起至少1年，</w:t>
            </w:r>
            <w:r>
              <w:rPr>
                <w:rFonts w:hint="eastAsia" w:ascii="宋体" w:hAnsi="宋体" w:eastAsia="宋体" w:cs="宋体"/>
                <w:color w:val="auto"/>
                <w:sz w:val="21"/>
                <w:szCs w:val="21"/>
                <w:highlight w:val="none"/>
              </w:rPr>
              <w:t>（若</w:t>
            </w:r>
            <w:r>
              <w:rPr>
                <w:rFonts w:hint="eastAsia" w:ascii="宋体" w:hAnsi="宋体" w:cs="宋体"/>
                <w:color w:val="auto"/>
                <w:sz w:val="21"/>
                <w:szCs w:val="21"/>
                <w:highlight w:val="none"/>
                <w:lang w:val="en-US" w:eastAsia="zh-CN"/>
              </w:rPr>
              <w:t>系统、</w:t>
            </w:r>
            <w:r>
              <w:rPr>
                <w:rFonts w:hint="eastAsia" w:ascii="宋体" w:hAnsi="宋体" w:eastAsia="宋体" w:cs="宋体"/>
                <w:color w:val="auto"/>
                <w:sz w:val="21"/>
                <w:szCs w:val="21"/>
                <w:highlight w:val="none"/>
              </w:rPr>
              <w:t>产品生产厂家质保期超过此年限的，合同履行过程中按厂家质保执行；若</w:t>
            </w:r>
            <w:r>
              <w:rPr>
                <w:rFonts w:hint="eastAsia" w:hAnsi="宋体" w:cs="宋体"/>
                <w:color w:val="auto"/>
                <w:sz w:val="21"/>
                <w:szCs w:val="21"/>
                <w:highlight w:val="none"/>
                <w:lang w:val="en-US" w:eastAsia="zh-CN"/>
              </w:rPr>
              <w:t>中</w:t>
            </w:r>
            <w:r>
              <w:rPr>
                <w:rFonts w:hint="eastAsia" w:ascii="宋体" w:hAnsi="宋体" w:eastAsia="宋体" w:cs="宋体"/>
                <w:color w:val="auto"/>
                <w:sz w:val="21"/>
                <w:szCs w:val="21"/>
                <w:highlight w:val="none"/>
                <w:lang w:val="en-US" w:eastAsia="zh-CN"/>
              </w:rPr>
              <w:t>标人</w:t>
            </w:r>
            <w:r>
              <w:rPr>
                <w:rFonts w:hint="eastAsia" w:ascii="宋体" w:hAnsi="宋体" w:eastAsia="宋体" w:cs="宋体"/>
                <w:color w:val="auto"/>
                <w:sz w:val="21"/>
                <w:szCs w:val="21"/>
                <w:highlight w:val="none"/>
              </w:rPr>
              <w:t>质保期承诺优于产品生产厂家质保年限的，以</w:t>
            </w:r>
            <w:r>
              <w:rPr>
                <w:rFonts w:hint="eastAsia" w:hAnsi="宋体" w:cs="宋体"/>
                <w:color w:val="auto"/>
                <w:sz w:val="21"/>
                <w:szCs w:val="21"/>
                <w:highlight w:val="none"/>
                <w:lang w:val="en-US" w:eastAsia="zh-CN"/>
              </w:rPr>
              <w:t>中</w:t>
            </w:r>
            <w:r>
              <w:rPr>
                <w:rFonts w:hint="eastAsia" w:ascii="宋体" w:hAnsi="宋体" w:eastAsia="宋体" w:cs="宋体"/>
                <w:color w:val="auto"/>
                <w:sz w:val="21"/>
                <w:szCs w:val="21"/>
                <w:highlight w:val="none"/>
                <w:lang w:val="en-US" w:eastAsia="zh-CN"/>
              </w:rPr>
              <w:t>标人</w:t>
            </w:r>
            <w:r>
              <w:rPr>
                <w:rFonts w:hint="eastAsia" w:ascii="宋体" w:hAnsi="宋体" w:eastAsia="宋体" w:cs="宋体"/>
                <w:color w:val="auto"/>
                <w:sz w:val="21"/>
                <w:szCs w:val="21"/>
                <w:highlight w:val="none"/>
              </w:rPr>
              <w:t>承诺执行）</w:t>
            </w:r>
            <w:r>
              <w:rPr>
                <w:rFonts w:hint="eastAsia" w:hAnsi="宋体" w:cs="宋体"/>
                <w:color w:val="auto"/>
                <w:sz w:val="21"/>
                <w:szCs w:val="21"/>
                <w:highlight w:val="none"/>
                <w:lang w:val="en-US" w:eastAsia="zh-CN"/>
              </w:rPr>
              <w:t>。质保期内</w:t>
            </w:r>
            <w:r>
              <w:rPr>
                <w:rFonts w:hint="eastAsia"/>
                <w:color w:val="auto"/>
                <w:szCs w:val="21"/>
                <w:highlight w:val="none"/>
                <w:lang w:val="en-US" w:eastAsia="zh-CN"/>
              </w:rPr>
              <w:t>中标人</w:t>
            </w:r>
            <w:r>
              <w:rPr>
                <w:rFonts w:hint="eastAsia"/>
                <w:color w:val="auto"/>
                <w:szCs w:val="21"/>
                <w:highlight w:val="none"/>
              </w:rPr>
              <w:t>提供升级与技术支持服务，提供7</w:t>
            </w:r>
            <w:r>
              <w:rPr>
                <w:rFonts w:hint="default" w:ascii="Arial" w:hAnsi="Arial" w:cs="Arial"/>
                <w:color w:val="auto"/>
                <w:szCs w:val="21"/>
                <w:highlight w:val="none"/>
              </w:rPr>
              <w:t>×</w:t>
            </w:r>
            <w:r>
              <w:rPr>
                <w:rFonts w:hint="eastAsia"/>
                <w:color w:val="auto"/>
                <w:szCs w:val="21"/>
                <w:highlight w:val="none"/>
              </w:rPr>
              <w:t>24小时服务体系，所有服务费用包含在本次报价中</w:t>
            </w:r>
            <w:r>
              <w:rPr>
                <w:rFonts w:hint="eastAsia"/>
                <w:color w:val="auto"/>
                <w:szCs w:val="21"/>
                <w:highlight w:val="none"/>
                <w:lang w:eastAsia="zh-CN"/>
              </w:rPr>
              <w:t>。</w:t>
            </w:r>
          </w:p>
        </w:tc>
      </w:tr>
      <w:tr w14:paraId="749B76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724B0E6F">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3</w:t>
            </w:r>
          </w:p>
        </w:tc>
        <w:tc>
          <w:tcPr>
            <w:tcW w:w="1119" w:type="dxa"/>
            <w:tcBorders>
              <w:left w:val="nil"/>
              <w:right w:val="single" w:color="000000" w:sz="4" w:space="0"/>
            </w:tcBorders>
            <w:shd w:val="clear" w:color="auto" w:fill="auto"/>
            <w:vAlign w:val="center"/>
          </w:tcPr>
          <w:p w14:paraId="722375FB">
            <w:pPr>
              <w:keepNext w:val="0"/>
              <w:keepLines w:val="0"/>
              <w:suppressLineNumbers w:val="0"/>
              <w:snapToGrid w:val="0"/>
              <w:spacing w:before="0" w:beforeAutospacing="0" w:after="0" w:afterAutospacing="0" w:line="400" w:lineRule="exact"/>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投标</w:t>
            </w:r>
            <w:r>
              <w:rPr>
                <w:rFonts w:hint="eastAsia" w:ascii="宋体" w:hAnsi="宋体" w:eastAsia="宋体" w:cs="宋体"/>
                <w:color w:val="auto"/>
                <w:sz w:val="21"/>
                <w:szCs w:val="21"/>
                <w:highlight w:val="none"/>
              </w:rPr>
              <w:t>报价</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7485035C">
            <w:pPr>
              <w:pStyle w:val="14"/>
              <w:keepNext w:val="0"/>
              <w:keepLines w:val="0"/>
              <w:suppressLineNumbers w:val="0"/>
              <w:snapToGrid w:val="0"/>
              <w:spacing w:before="0" w:beforeAutospacing="0" w:after="0" w:afterAutospacing="0" w:line="400" w:lineRule="exact"/>
              <w:ind w:left="0" w:leftChars="0" w:right="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投标报价包括货款、</w:t>
            </w:r>
            <w:r>
              <w:rPr>
                <w:color w:val="auto"/>
                <w:szCs w:val="21"/>
                <w:highlight w:val="none"/>
              </w:rPr>
              <w:t>技术服务费、交通、运输、</w:t>
            </w:r>
            <w:r>
              <w:rPr>
                <w:rFonts w:hint="eastAsia"/>
                <w:color w:val="auto"/>
                <w:szCs w:val="21"/>
                <w:highlight w:val="none"/>
              </w:rPr>
              <w:t>检测</w:t>
            </w:r>
            <w:r>
              <w:rPr>
                <w:color w:val="auto"/>
                <w:szCs w:val="21"/>
                <w:highlight w:val="none"/>
              </w:rPr>
              <w:t>、管理费、税费、安装调试费、软硬件升级、售后服务、利润、验收、政策性文件规定及合同包含的所有风险、责任等</w:t>
            </w:r>
            <w:r>
              <w:rPr>
                <w:rFonts w:hint="eastAsia"/>
                <w:color w:val="auto"/>
                <w:szCs w:val="21"/>
                <w:highlight w:val="none"/>
                <w:lang w:val="en-US" w:eastAsia="zh-CN"/>
              </w:rPr>
              <w:t>直至运行交付使用的一切</w:t>
            </w:r>
            <w:r>
              <w:rPr>
                <w:color w:val="auto"/>
                <w:szCs w:val="21"/>
                <w:highlight w:val="none"/>
              </w:rPr>
              <w:t>费用</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投标人</w:t>
            </w:r>
            <w:r>
              <w:rPr>
                <w:rFonts w:hint="eastAsia" w:ascii="宋体" w:hAnsi="宋体" w:eastAsia="宋体" w:cs="宋体"/>
                <w:color w:val="auto"/>
                <w:sz w:val="21"/>
                <w:szCs w:val="21"/>
                <w:highlight w:val="none"/>
              </w:rPr>
              <w:t>不得以任何理由要求采购人另行支付其他任何费用</w:t>
            </w:r>
            <w:r>
              <w:rPr>
                <w:rFonts w:hint="eastAsia" w:ascii="宋体" w:hAnsi="宋体" w:eastAsia="宋体" w:cs="宋体"/>
                <w:color w:val="auto"/>
                <w:sz w:val="21"/>
                <w:szCs w:val="21"/>
                <w:highlight w:val="none"/>
                <w:lang w:val="en-US" w:eastAsia="zh-CN"/>
              </w:rPr>
              <w:t xml:space="preserve">。 </w:t>
            </w:r>
          </w:p>
        </w:tc>
      </w:tr>
      <w:tr w14:paraId="7DB8FB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354E1A24">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4</w:t>
            </w:r>
          </w:p>
        </w:tc>
        <w:tc>
          <w:tcPr>
            <w:tcW w:w="1119" w:type="dxa"/>
            <w:tcBorders>
              <w:left w:val="nil"/>
              <w:right w:val="single" w:color="000000" w:sz="4" w:space="0"/>
            </w:tcBorders>
            <w:shd w:val="clear" w:color="auto" w:fill="auto"/>
            <w:vAlign w:val="center"/>
          </w:tcPr>
          <w:p w14:paraId="3D337C71">
            <w:pPr>
              <w:keepNext w:val="0"/>
              <w:keepLines w:val="0"/>
              <w:suppressLineNumbers w:val="0"/>
              <w:snapToGrid w:val="0"/>
              <w:spacing w:before="0" w:beforeAutospacing="0" w:after="0" w:afterAutospacing="0" w:line="400" w:lineRule="exact"/>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交</w:t>
            </w:r>
            <w:r>
              <w:rPr>
                <w:rFonts w:hint="eastAsia" w:ascii="宋体" w:hAnsi="宋体" w:cs="宋体"/>
                <w:color w:val="auto"/>
                <w:sz w:val="21"/>
                <w:szCs w:val="21"/>
                <w:highlight w:val="none"/>
                <w:lang w:val="en-US" w:eastAsia="zh-CN"/>
              </w:rPr>
              <w:t>付</w:t>
            </w:r>
            <w:r>
              <w:rPr>
                <w:rFonts w:hint="eastAsia" w:ascii="宋体" w:hAnsi="宋体" w:eastAsia="宋体" w:cs="宋体"/>
                <w:color w:val="auto"/>
                <w:sz w:val="21"/>
                <w:szCs w:val="21"/>
                <w:highlight w:val="none"/>
              </w:rPr>
              <w:t>时间及地点</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0B92B05B">
            <w:pPr>
              <w:pStyle w:val="14"/>
              <w:keepNext w:val="0"/>
              <w:keepLines w:val="0"/>
              <w:suppressLineNumbers w:val="0"/>
              <w:snapToGrid w:val="0"/>
              <w:spacing w:before="0" w:beforeAutospacing="0" w:after="0" w:afterAutospacing="0" w:line="400" w:lineRule="exact"/>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1.交</w:t>
            </w:r>
            <w:r>
              <w:rPr>
                <w:rFonts w:hint="eastAsia" w:hAnsi="宋体" w:cs="宋体"/>
                <w:color w:val="auto"/>
                <w:sz w:val="21"/>
                <w:szCs w:val="21"/>
                <w:highlight w:val="none"/>
                <w:lang w:val="en-US" w:eastAsia="zh-CN"/>
              </w:rPr>
              <w:t>付</w:t>
            </w:r>
            <w:r>
              <w:rPr>
                <w:rFonts w:hint="eastAsia" w:ascii="宋体" w:hAnsi="宋体" w:eastAsia="宋体" w:cs="宋体"/>
                <w:color w:val="auto"/>
                <w:sz w:val="21"/>
                <w:szCs w:val="21"/>
                <w:highlight w:val="none"/>
                <w:lang w:val="en-US" w:eastAsia="zh-CN"/>
              </w:rPr>
              <w:t>时间：自签订合同之日起4</w:t>
            </w:r>
            <w:r>
              <w:rPr>
                <w:rFonts w:hint="eastAsia"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天内按采购人要求安装完毕并交付使用。</w:t>
            </w:r>
          </w:p>
          <w:p w14:paraId="49A4F523">
            <w:pPr>
              <w:pStyle w:val="14"/>
              <w:keepNext w:val="0"/>
              <w:keepLines w:val="0"/>
              <w:suppressLineNumbers w:val="0"/>
              <w:snapToGrid w:val="0"/>
              <w:spacing w:before="0" w:beforeAutospacing="0" w:after="0" w:afterAutospacing="0" w:line="400" w:lineRule="exact"/>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2.交</w:t>
            </w:r>
            <w:r>
              <w:rPr>
                <w:rFonts w:hint="eastAsia" w:hAnsi="宋体" w:cs="宋体"/>
                <w:color w:val="auto"/>
                <w:sz w:val="21"/>
                <w:szCs w:val="21"/>
                <w:highlight w:val="none"/>
                <w:lang w:val="en-US" w:eastAsia="zh-CN"/>
              </w:rPr>
              <w:t>付</w:t>
            </w:r>
            <w:r>
              <w:rPr>
                <w:rFonts w:hint="eastAsia" w:ascii="宋体" w:hAnsi="宋体" w:eastAsia="宋体" w:cs="宋体"/>
                <w:color w:val="auto"/>
                <w:sz w:val="21"/>
                <w:szCs w:val="21"/>
                <w:highlight w:val="none"/>
                <w:lang w:val="en-US" w:eastAsia="zh-CN"/>
              </w:rPr>
              <w:t>地点：百色市内（采购人指定地点）。</w:t>
            </w:r>
          </w:p>
          <w:p w14:paraId="08838C71">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3.交</w:t>
            </w:r>
            <w:r>
              <w:rPr>
                <w:rFonts w:hint="eastAsia" w:hAnsi="宋体" w:cs="宋体"/>
                <w:color w:val="auto"/>
                <w:sz w:val="21"/>
                <w:szCs w:val="21"/>
                <w:highlight w:val="none"/>
                <w:lang w:val="en-US" w:eastAsia="zh-CN"/>
              </w:rPr>
              <w:t>付</w:t>
            </w:r>
            <w:r>
              <w:rPr>
                <w:rFonts w:hint="eastAsia" w:ascii="宋体" w:hAnsi="宋体" w:eastAsia="宋体" w:cs="宋体"/>
                <w:color w:val="auto"/>
                <w:sz w:val="21"/>
                <w:szCs w:val="21"/>
                <w:highlight w:val="none"/>
                <w:lang w:val="en-US" w:eastAsia="zh-CN"/>
              </w:rPr>
              <w:t>内容包括：</w:t>
            </w:r>
            <w:r>
              <w:rPr>
                <w:rFonts w:hint="eastAsia" w:ascii="宋体" w:hAnsi="宋体" w:cs="宋体"/>
                <w:color w:val="auto"/>
                <w:sz w:val="21"/>
                <w:szCs w:val="21"/>
                <w:highlight w:val="none"/>
                <w:lang w:val="en-US" w:eastAsia="zh-CN"/>
              </w:rPr>
              <w:t>系统以及系统中涉及到其他设备产品、技术文档、用户操作手册、培训手册、源代码（如有）</w:t>
            </w:r>
            <w:r>
              <w:rPr>
                <w:rFonts w:hint="eastAsia" w:ascii="宋体" w:hAnsi="宋体" w:eastAsia="宋体" w:cs="宋体"/>
                <w:color w:val="auto"/>
                <w:sz w:val="21"/>
                <w:szCs w:val="21"/>
                <w:highlight w:val="none"/>
                <w:lang w:val="en-US" w:eastAsia="zh-CN"/>
              </w:rPr>
              <w:t>等。</w:t>
            </w:r>
          </w:p>
        </w:tc>
      </w:tr>
      <w:tr w14:paraId="022E5E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1F3951DE">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5</w:t>
            </w:r>
          </w:p>
        </w:tc>
        <w:tc>
          <w:tcPr>
            <w:tcW w:w="1119" w:type="dxa"/>
            <w:tcBorders>
              <w:left w:val="nil"/>
              <w:right w:val="single" w:color="000000" w:sz="4" w:space="0"/>
            </w:tcBorders>
            <w:shd w:val="clear" w:color="auto" w:fill="auto"/>
            <w:vAlign w:val="center"/>
          </w:tcPr>
          <w:p w14:paraId="53AB40A2">
            <w:pPr>
              <w:keepNext w:val="0"/>
              <w:keepLines w:val="0"/>
              <w:suppressLineNumbers w:val="0"/>
              <w:spacing w:before="0" w:beforeAutospacing="0" w:after="0" w:afterAutospacing="0" w:line="360" w:lineRule="exact"/>
              <w:ind w:left="0" w:right="0"/>
              <w:jc w:val="center"/>
              <w:rPr>
                <w:rFonts w:hint="eastAsia" w:ascii="宋体" w:hAnsi="宋体" w:eastAsia="宋体" w:cs="宋体"/>
                <w:b/>
                <w:color w:val="auto"/>
                <w:kern w:val="2"/>
                <w:sz w:val="21"/>
                <w:szCs w:val="21"/>
                <w:highlight w:val="none"/>
                <w:lang w:val="en-US" w:eastAsia="zh-CN" w:bidi="ar-SA"/>
              </w:rPr>
            </w:pPr>
            <w:r>
              <w:rPr>
                <w:rFonts w:hint="eastAsia" w:ascii="宋体" w:hAnsi="宋体" w:eastAsia="宋体" w:cs="宋体"/>
                <w:b w:val="0"/>
                <w:bCs/>
                <w:color w:val="auto"/>
                <w:sz w:val="21"/>
                <w:szCs w:val="21"/>
                <w:highlight w:val="none"/>
              </w:rPr>
              <w:t>包装和运输</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74857A96">
            <w:pPr>
              <w:keepNext w:val="0"/>
              <w:keepLines w:val="0"/>
              <w:suppressLineNumbers w:val="0"/>
              <w:spacing w:before="0" w:beforeAutospacing="0" w:after="0" w:afterAutospacing="0" w:line="360" w:lineRule="exact"/>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cs="宋体"/>
                <w:color w:val="auto"/>
                <w:sz w:val="21"/>
                <w:szCs w:val="21"/>
                <w:highlight w:val="none"/>
                <w:lang w:val="en-US" w:eastAsia="zh-CN"/>
              </w:rPr>
              <w:t>系统中涉及到其他设备产品的均要求为</w:t>
            </w:r>
            <w:r>
              <w:rPr>
                <w:rFonts w:hint="eastAsia" w:ascii="宋体" w:hAnsi="宋体" w:eastAsia="宋体" w:cs="宋体"/>
                <w:color w:val="auto"/>
                <w:sz w:val="21"/>
                <w:szCs w:val="21"/>
                <w:highlight w:val="none"/>
              </w:rPr>
              <w:t>原厂原包装，包装完好完整、无破损、未开封。</w:t>
            </w:r>
          </w:p>
          <w:p w14:paraId="7B38CDF0">
            <w:pPr>
              <w:keepNext w:val="0"/>
              <w:keepLines w:val="0"/>
              <w:suppressLineNumbers w:val="0"/>
              <w:spacing w:before="0" w:beforeAutospacing="0" w:after="0" w:afterAutospacing="0" w:line="360" w:lineRule="exact"/>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cs="宋体"/>
                <w:color w:val="auto"/>
                <w:sz w:val="21"/>
                <w:szCs w:val="21"/>
                <w:highlight w:val="none"/>
                <w:lang w:val="en-US" w:eastAsia="zh-CN"/>
              </w:rPr>
              <w:t>设备</w:t>
            </w:r>
            <w:r>
              <w:rPr>
                <w:rFonts w:hint="eastAsia" w:ascii="宋体" w:hAnsi="宋体" w:eastAsia="宋体" w:cs="宋体"/>
                <w:color w:val="auto"/>
                <w:sz w:val="21"/>
                <w:szCs w:val="21"/>
                <w:highlight w:val="none"/>
              </w:rPr>
              <w:t>包装及运输方式应综合考虑运输距离、防潮、防震、防锈和防破损装卸等要求。</w:t>
            </w:r>
          </w:p>
          <w:p w14:paraId="01814AEB">
            <w:pPr>
              <w:keepNext w:val="0"/>
              <w:keepLines w:val="0"/>
              <w:suppressLineNumbers w:val="0"/>
              <w:spacing w:before="0" w:beforeAutospacing="0" w:after="0" w:afterAutospacing="0" w:line="360" w:lineRule="exact"/>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3.国家对包装及运输有相关强制性标准或要求的，</w:t>
            </w:r>
            <w:r>
              <w:rPr>
                <w:rFonts w:hint="eastAsia" w:ascii="宋体" w:hAnsi="宋体"/>
                <w:color w:val="auto"/>
                <w:szCs w:val="21"/>
                <w:highlight w:val="none"/>
                <w:lang w:val="en-US" w:eastAsia="zh-CN"/>
              </w:rPr>
              <w:t>投标人</w:t>
            </w:r>
            <w:r>
              <w:rPr>
                <w:rFonts w:hint="eastAsia" w:ascii="宋体" w:hAnsi="宋体" w:eastAsia="宋体" w:cs="宋体"/>
                <w:color w:val="auto"/>
                <w:sz w:val="21"/>
                <w:szCs w:val="21"/>
                <w:highlight w:val="none"/>
              </w:rPr>
              <w:t>应当执行。根据《财政部等三部门联合印发商品包装和快递包装政府采购需求标准（试行）》财办库〔2020〕123号文规定，若</w:t>
            </w:r>
            <w:r>
              <w:rPr>
                <w:rFonts w:hint="eastAsia" w:ascii="宋体" w:hAnsi="宋体" w:eastAsia="宋体" w:cs="宋体"/>
                <w:color w:val="auto"/>
                <w:sz w:val="21"/>
                <w:szCs w:val="21"/>
                <w:highlight w:val="none"/>
                <w:lang w:val="en-US" w:eastAsia="zh-CN"/>
              </w:rPr>
              <w:t>投</w:t>
            </w:r>
            <w:r>
              <w:rPr>
                <w:rFonts w:hint="eastAsia" w:ascii="宋体" w:hAnsi="宋体" w:eastAsia="宋体" w:cs="宋体"/>
                <w:color w:val="auto"/>
                <w:sz w:val="21"/>
                <w:szCs w:val="21"/>
                <w:highlight w:val="none"/>
              </w:rPr>
              <w:t>标产品使用塑料、纸质、木质等包装材料时应满足《商品包装政府采购需求标准（试行）》要求，若</w:t>
            </w:r>
            <w:r>
              <w:rPr>
                <w:rFonts w:hint="eastAsia" w:ascii="宋体" w:hAnsi="宋体" w:eastAsia="宋体" w:cs="宋体"/>
                <w:color w:val="auto"/>
                <w:sz w:val="21"/>
                <w:szCs w:val="21"/>
                <w:highlight w:val="none"/>
                <w:lang w:val="en-US" w:eastAsia="zh-CN"/>
              </w:rPr>
              <w:t>投</w:t>
            </w:r>
            <w:r>
              <w:rPr>
                <w:rFonts w:hint="eastAsia" w:ascii="宋体" w:hAnsi="宋体" w:eastAsia="宋体" w:cs="宋体"/>
                <w:color w:val="auto"/>
                <w:sz w:val="21"/>
                <w:szCs w:val="21"/>
                <w:highlight w:val="none"/>
              </w:rPr>
              <w:t>标产品需要快递包装，快递封装材料应满足《快递包装政府采购需求标准（试行）》要求。</w:t>
            </w:r>
          </w:p>
          <w:p w14:paraId="4F816BF9">
            <w:pPr>
              <w:keepNext w:val="0"/>
              <w:keepLines w:val="0"/>
              <w:suppressLineNumbers w:val="0"/>
              <w:spacing w:before="0" w:beforeAutospacing="0" w:after="0" w:afterAutospacing="0" w:line="360" w:lineRule="exact"/>
              <w:ind w:left="0" w:right="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4.产品（含包装）运抵采购人指定交付地点前发生损坏等一切风险，相关损失由</w:t>
            </w:r>
            <w:r>
              <w:rPr>
                <w:rFonts w:hint="eastAsia" w:ascii="宋体" w:hAnsi="宋体"/>
                <w:color w:val="auto"/>
                <w:szCs w:val="21"/>
                <w:highlight w:val="none"/>
                <w:lang w:val="en-US" w:eastAsia="zh-CN"/>
              </w:rPr>
              <w:t>中标人</w:t>
            </w:r>
            <w:r>
              <w:rPr>
                <w:rFonts w:hint="eastAsia" w:ascii="宋体" w:hAnsi="宋体" w:eastAsia="宋体" w:cs="宋体"/>
                <w:color w:val="auto"/>
                <w:sz w:val="21"/>
                <w:szCs w:val="21"/>
                <w:highlight w:val="none"/>
              </w:rPr>
              <w:t>自行承担。</w:t>
            </w:r>
          </w:p>
        </w:tc>
      </w:tr>
      <w:tr w14:paraId="7687B4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14A5E9FF">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6</w:t>
            </w:r>
          </w:p>
        </w:tc>
        <w:tc>
          <w:tcPr>
            <w:tcW w:w="1119" w:type="dxa"/>
            <w:tcBorders>
              <w:left w:val="nil"/>
              <w:right w:val="single" w:color="000000" w:sz="4" w:space="0"/>
            </w:tcBorders>
            <w:shd w:val="clear" w:color="auto" w:fill="auto"/>
            <w:vAlign w:val="center"/>
          </w:tcPr>
          <w:p w14:paraId="39BBEBED">
            <w:pPr>
              <w:keepNext w:val="0"/>
              <w:keepLines w:val="0"/>
              <w:suppressLineNumbers w:val="0"/>
              <w:snapToGrid w:val="0"/>
              <w:spacing w:before="0" w:beforeAutospacing="0" w:after="0" w:afterAutospacing="0" w:line="360" w:lineRule="auto"/>
              <w:ind w:left="0" w:leftChars="0" w:right="0" w:rightChars="0"/>
              <w:jc w:val="center"/>
              <w:outlineLvl w:val="0"/>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rPr>
              <w:t>验收</w:t>
            </w:r>
            <w:r>
              <w:rPr>
                <w:rFonts w:hint="eastAsia" w:ascii="宋体" w:hAnsi="宋体" w:eastAsia="宋体" w:cs="宋体"/>
                <w:bCs/>
                <w:color w:val="auto"/>
                <w:kern w:val="0"/>
                <w:sz w:val="21"/>
                <w:szCs w:val="21"/>
                <w:highlight w:val="none"/>
                <w:lang w:eastAsia="zh-CN"/>
              </w:rPr>
              <w:t>依据、标准、验收程序</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47A8CD6F">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验收主体：采购</w:t>
            </w:r>
            <w:r>
              <w:rPr>
                <w:rFonts w:hint="eastAsia" w:ascii="宋体" w:hAnsi="宋体" w:eastAsia="宋体" w:cs="宋体"/>
                <w:color w:val="auto"/>
                <w:sz w:val="21"/>
                <w:szCs w:val="21"/>
                <w:highlight w:val="none"/>
                <w:lang w:eastAsia="zh-CN"/>
              </w:rPr>
              <w:t>人</w:t>
            </w:r>
            <w:r>
              <w:rPr>
                <w:rFonts w:hint="eastAsia" w:ascii="宋体" w:hAnsi="宋体" w:eastAsia="宋体" w:cs="宋体"/>
                <w:color w:val="auto"/>
                <w:sz w:val="21"/>
                <w:szCs w:val="21"/>
                <w:highlight w:val="none"/>
              </w:rPr>
              <w:t>。</w:t>
            </w:r>
          </w:p>
          <w:p w14:paraId="00D2E60C">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验收时间</w:t>
            </w:r>
            <w:r>
              <w:rPr>
                <w:rFonts w:hint="eastAsia" w:ascii="宋体" w:hAnsi="宋体" w:eastAsia="宋体" w:cs="宋体"/>
                <w:color w:val="auto"/>
                <w:sz w:val="21"/>
                <w:szCs w:val="21"/>
                <w:highlight w:val="none"/>
                <w:lang w:eastAsia="zh-CN"/>
              </w:rPr>
              <w:t>：</w:t>
            </w:r>
            <w:r>
              <w:rPr>
                <w:rFonts w:hint="eastAsia"/>
                <w:color w:val="auto"/>
                <w:szCs w:val="21"/>
                <w:highlight w:val="none"/>
                <w:lang w:val="en-US" w:eastAsia="zh-CN"/>
              </w:rPr>
              <w:t>中标人</w:t>
            </w:r>
            <w:r>
              <w:rPr>
                <w:color w:val="auto"/>
                <w:szCs w:val="21"/>
                <w:highlight w:val="none"/>
              </w:rPr>
              <w:t>提交项目成果后，采购人自行组织项目验收</w:t>
            </w:r>
            <w:r>
              <w:rPr>
                <w:rFonts w:hint="eastAsia" w:ascii="宋体" w:hAnsi="宋体" w:eastAsia="宋体" w:cs="宋体"/>
                <w:color w:val="auto"/>
                <w:sz w:val="21"/>
                <w:szCs w:val="21"/>
                <w:highlight w:val="none"/>
              </w:rPr>
              <w:t>。</w:t>
            </w:r>
          </w:p>
          <w:p w14:paraId="4E2BA532">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验收</w:t>
            </w:r>
            <w:r>
              <w:rPr>
                <w:rFonts w:hint="eastAsia" w:ascii="宋体" w:hAnsi="宋体" w:eastAsia="宋体" w:cs="宋体"/>
                <w:color w:val="auto"/>
                <w:sz w:val="21"/>
                <w:szCs w:val="21"/>
                <w:highlight w:val="none"/>
                <w:lang w:eastAsia="zh-CN"/>
              </w:rPr>
              <w:t>依据</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国家、行业标准、招标文件采购需求、投标文件承诺。</w:t>
            </w:r>
          </w:p>
          <w:p w14:paraId="52D1705D">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4.验收</w:t>
            </w:r>
            <w:r>
              <w:rPr>
                <w:rFonts w:hint="eastAsia" w:ascii="宋体" w:hAnsi="宋体" w:eastAsia="宋体" w:cs="宋体"/>
                <w:color w:val="auto"/>
                <w:sz w:val="21"/>
                <w:szCs w:val="21"/>
                <w:highlight w:val="none"/>
                <w:lang w:eastAsia="zh-CN"/>
              </w:rPr>
              <w:t>标准：</w:t>
            </w:r>
            <w:r>
              <w:rPr>
                <w:rStyle w:val="55"/>
                <w:rFonts w:hint="eastAsia" w:ascii="宋体" w:hAnsi="宋体" w:cs="宋体"/>
                <w:color w:val="auto"/>
                <w:sz w:val="21"/>
                <w:szCs w:val="21"/>
                <w:highlight w:val="none"/>
                <w:lang w:val="en-US" w:eastAsia="zh-CN"/>
              </w:rPr>
              <w:t>整套系统</w:t>
            </w:r>
            <w:r>
              <w:rPr>
                <w:rStyle w:val="55"/>
                <w:rFonts w:hint="eastAsia" w:ascii="宋体" w:hAnsi="宋体" w:eastAsia="宋体" w:cs="宋体"/>
                <w:color w:val="auto"/>
                <w:sz w:val="21"/>
                <w:szCs w:val="21"/>
                <w:highlight w:val="none"/>
              </w:rPr>
              <w:t>符合国家相关标准、行业标准、地方标准或者其他标准、规范。如具体采购需求与标准、规范不一致的，高于标准、规范的按具体采购需求执行；低于标准、规范的按标准、规范执行</w:t>
            </w:r>
            <w:r>
              <w:rPr>
                <w:rFonts w:hint="eastAsia" w:ascii="宋体" w:hAnsi="宋体" w:eastAsia="宋体" w:cs="宋体"/>
                <w:color w:val="auto"/>
                <w:sz w:val="21"/>
                <w:szCs w:val="21"/>
                <w:highlight w:val="none"/>
              </w:rPr>
              <w:t>。</w:t>
            </w:r>
          </w:p>
          <w:p w14:paraId="00BF92AD">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履约验收程序</w:t>
            </w:r>
            <w:r>
              <w:rPr>
                <w:rFonts w:hint="eastAsia" w:ascii="宋体" w:hAnsi="宋体" w:eastAsia="宋体" w:cs="宋体"/>
                <w:color w:val="auto"/>
                <w:sz w:val="21"/>
                <w:szCs w:val="21"/>
                <w:highlight w:val="none"/>
                <w:lang w:eastAsia="zh-CN"/>
              </w:rPr>
              <w:t>：</w:t>
            </w:r>
          </w:p>
          <w:p w14:paraId="7B456D8B">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A.成立验收小组：采购</w:t>
            </w:r>
            <w:r>
              <w:rPr>
                <w:rFonts w:hint="eastAsia" w:ascii="宋体" w:hAnsi="宋体" w:eastAsia="宋体" w:cs="宋体"/>
                <w:color w:val="auto"/>
                <w:sz w:val="21"/>
                <w:szCs w:val="21"/>
                <w:highlight w:val="none"/>
                <w:lang w:eastAsia="zh-CN"/>
              </w:rPr>
              <w:t>人</w:t>
            </w:r>
            <w:r>
              <w:rPr>
                <w:rFonts w:hint="eastAsia" w:ascii="宋体" w:hAnsi="宋体" w:eastAsia="宋体" w:cs="宋体"/>
                <w:color w:val="auto"/>
                <w:sz w:val="21"/>
                <w:szCs w:val="21"/>
                <w:highlight w:val="none"/>
              </w:rPr>
              <w:t>代表成立验收小组。</w:t>
            </w:r>
          </w:p>
          <w:p w14:paraId="154A9618">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B.</w:t>
            </w:r>
            <w:r>
              <w:rPr>
                <w:rFonts w:hint="eastAsia" w:ascii="宋体" w:hAnsi="宋体" w:cs="宋体"/>
                <w:color w:val="auto"/>
                <w:sz w:val="21"/>
                <w:szCs w:val="21"/>
                <w:highlight w:val="none"/>
                <w:lang w:val="en-US" w:eastAsia="zh-CN"/>
              </w:rPr>
              <w:t>系统</w:t>
            </w:r>
            <w:r>
              <w:rPr>
                <w:rFonts w:hint="eastAsia" w:ascii="宋体" w:hAnsi="宋体" w:eastAsia="宋体" w:cs="宋体"/>
                <w:color w:val="auto"/>
                <w:sz w:val="21"/>
                <w:szCs w:val="21"/>
                <w:highlight w:val="none"/>
              </w:rPr>
              <w:t>安装、调试</w:t>
            </w:r>
          </w:p>
          <w:p w14:paraId="44E4AF99">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)由</w:t>
            </w:r>
            <w:r>
              <w:rPr>
                <w:rFonts w:hint="eastAsia" w:ascii="宋体" w:hAnsi="宋体" w:eastAsia="宋体" w:cs="宋体"/>
                <w:color w:val="auto"/>
                <w:sz w:val="21"/>
                <w:szCs w:val="21"/>
                <w:highlight w:val="none"/>
                <w:lang w:eastAsia="zh-CN"/>
              </w:rPr>
              <w:t>中标人代表</w:t>
            </w:r>
            <w:r>
              <w:rPr>
                <w:rFonts w:hint="eastAsia" w:ascii="宋体" w:hAnsi="宋体" w:eastAsia="宋体" w:cs="宋体"/>
                <w:color w:val="auto"/>
                <w:sz w:val="21"/>
                <w:szCs w:val="21"/>
                <w:highlight w:val="none"/>
              </w:rPr>
              <w:t>进行设备</w:t>
            </w:r>
            <w:r>
              <w:rPr>
                <w:rFonts w:hint="eastAsia" w:ascii="宋体" w:hAnsi="宋体" w:eastAsia="宋体" w:cs="宋体"/>
                <w:color w:val="auto"/>
                <w:sz w:val="21"/>
                <w:szCs w:val="21"/>
                <w:highlight w:val="none"/>
                <w:lang w:val="en-US" w:eastAsia="zh-CN"/>
              </w:rPr>
              <w:t>和系统</w:t>
            </w:r>
            <w:r>
              <w:rPr>
                <w:rFonts w:hint="eastAsia" w:ascii="宋体" w:hAnsi="宋体" w:eastAsia="宋体" w:cs="宋体"/>
                <w:color w:val="auto"/>
                <w:sz w:val="21"/>
                <w:szCs w:val="21"/>
                <w:highlight w:val="none"/>
              </w:rPr>
              <w:t>的安装、调试。</w:t>
            </w:r>
          </w:p>
          <w:p w14:paraId="114FD3C6">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)由采购</w:t>
            </w:r>
            <w:r>
              <w:rPr>
                <w:rFonts w:hint="eastAsia" w:ascii="宋体" w:hAnsi="宋体" w:eastAsia="宋体" w:cs="宋体"/>
                <w:color w:val="auto"/>
                <w:sz w:val="21"/>
                <w:szCs w:val="21"/>
                <w:highlight w:val="none"/>
                <w:lang w:eastAsia="zh-CN"/>
              </w:rPr>
              <w:t>人</w:t>
            </w:r>
            <w:r>
              <w:rPr>
                <w:rFonts w:hint="eastAsia" w:ascii="宋体" w:hAnsi="宋体" w:eastAsia="宋体" w:cs="宋体"/>
                <w:color w:val="auto"/>
                <w:sz w:val="21"/>
                <w:szCs w:val="21"/>
                <w:highlight w:val="none"/>
              </w:rPr>
              <w:t>代表</w:t>
            </w:r>
            <w:r>
              <w:rPr>
                <w:rFonts w:hint="eastAsia" w:ascii="宋体" w:hAnsi="宋体" w:eastAsia="宋体" w:cs="宋体"/>
                <w:color w:val="auto"/>
                <w:sz w:val="21"/>
                <w:szCs w:val="21"/>
                <w:highlight w:val="none"/>
                <w:lang w:eastAsia="zh-CN"/>
              </w:rPr>
              <w:t>、中标人代表进行</w:t>
            </w:r>
            <w:r>
              <w:rPr>
                <w:rFonts w:hint="eastAsia" w:ascii="宋体" w:hAnsi="宋体" w:eastAsia="宋体" w:cs="宋体"/>
                <w:color w:val="auto"/>
                <w:sz w:val="21"/>
                <w:szCs w:val="21"/>
                <w:highlight w:val="none"/>
                <w:lang w:val="en-US" w:eastAsia="zh-CN"/>
              </w:rPr>
              <w:t>系统和</w:t>
            </w:r>
            <w:r>
              <w:rPr>
                <w:rFonts w:hint="eastAsia" w:ascii="宋体" w:hAnsi="宋体" w:eastAsia="宋体" w:cs="宋体"/>
                <w:color w:val="auto"/>
                <w:sz w:val="21"/>
                <w:szCs w:val="21"/>
                <w:highlight w:val="none"/>
                <w:lang w:eastAsia="zh-CN"/>
              </w:rPr>
              <w:t>设备试运行</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并</w:t>
            </w:r>
            <w:r>
              <w:rPr>
                <w:rFonts w:hint="eastAsia" w:ascii="宋体" w:hAnsi="宋体" w:eastAsia="宋体" w:cs="宋体"/>
                <w:color w:val="auto"/>
                <w:sz w:val="21"/>
                <w:szCs w:val="21"/>
                <w:highlight w:val="none"/>
              </w:rPr>
              <w:t>对</w:t>
            </w:r>
            <w:r>
              <w:rPr>
                <w:rFonts w:hint="eastAsia" w:ascii="宋体" w:hAnsi="宋体" w:eastAsia="宋体" w:cs="宋体"/>
                <w:color w:val="auto"/>
                <w:sz w:val="21"/>
                <w:szCs w:val="21"/>
                <w:highlight w:val="none"/>
                <w:lang w:eastAsia="zh-CN"/>
              </w:rPr>
              <w:t>试运行情况</w:t>
            </w:r>
            <w:r>
              <w:rPr>
                <w:rFonts w:hint="eastAsia" w:ascii="宋体" w:hAnsi="宋体" w:eastAsia="宋体" w:cs="宋体"/>
                <w:color w:val="auto"/>
                <w:sz w:val="21"/>
                <w:szCs w:val="21"/>
                <w:highlight w:val="none"/>
              </w:rPr>
              <w:t>进行评价。</w:t>
            </w:r>
          </w:p>
          <w:p w14:paraId="7681B34C">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)验收时现场测试</w:t>
            </w:r>
            <w:r>
              <w:rPr>
                <w:rFonts w:hint="eastAsia" w:ascii="宋体" w:hAnsi="宋体" w:cs="宋体"/>
                <w:color w:val="auto"/>
                <w:sz w:val="21"/>
                <w:szCs w:val="21"/>
                <w:highlight w:val="none"/>
                <w:lang w:val="en-US" w:eastAsia="zh-CN"/>
              </w:rPr>
              <w:t>系统以及</w:t>
            </w:r>
            <w:r>
              <w:rPr>
                <w:rFonts w:hint="eastAsia" w:ascii="宋体" w:hAnsi="宋体" w:eastAsia="宋体" w:cs="宋体"/>
                <w:color w:val="auto"/>
                <w:sz w:val="21"/>
                <w:szCs w:val="21"/>
                <w:highlight w:val="none"/>
              </w:rPr>
              <w:t>设备的技术性能指标，确认各项功能正常运行，同时检查随机文件应齐整。</w:t>
            </w:r>
            <w:r>
              <w:rPr>
                <w:rFonts w:hint="eastAsia" w:ascii="宋体" w:hAnsi="宋体" w:eastAsia="宋体" w:cs="宋体"/>
                <w:color w:val="auto"/>
                <w:sz w:val="21"/>
                <w:szCs w:val="21"/>
                <w:highlight w:val="none"/>
                <w:lang w:eastAsia="zh-CN"/>
              </w:rPr>
              <w:t>试运行时由采购人对照招标文件的功能目标及技术指标要求、投标文件响应的功能、参数全面核对检验，所提供</w:t>
            </w:r>
            <w:r>
              <w:rPr>
                <w:rFonts w:hint="eastAsia" w:ascii="宋体" w:hAnsi="宋体" w:cs="宋体"/>
                <w:color w:val="auto"/>
                <w:sz w:val="21"/>
                <w:szCs w:val="21"/>
                <w:highlight w:val="none"/>
                <w:lang w:val="en-US" w:eastAsia="zh-CN"/>
              </w:rPr>
              <w:t>系统以及</w:t>
            </w:r>
            <w:r>
              <w:rPr>
                <w:rFonts w:hint="eastAsia" w:ascii="宋体" w:hAnsi="宋体" w:eastAsia="宋体" w:cs="宋体"/>
                <w:color w:val="auto"/>
                <w:sz w:val="21"/>
                <w:szCs w:val="21"/>
                <w:highlight w:val="none"/>
                <w:lang w:eastAsia="zh-CN"/>
              </w:rPr>
              <w:t>设备的性能应与投标时响应的</w:t>
            </w:r>
            <w:r>
              <w:rPr>
                <w:rFonts w:hint="eastAsia" w:ascii="宋体" w:hAnsi="宋体" w:eastAsia="宋体" w:cs="宋体"/>
                <w:color w:val="auto"/>
                <w:sz w:val="21"/>
                <w:szCs w:val="21"/>
                <w:highlight w:val="none"/>
                <w:lang w:val="en-US" w:eastAsia="zh-CN"/>
              </w:rPr>
              <w:t>技术性能</w:t>
            </w:r>
            <w:r>
              <w:rPr>
                <w:rFonts w:hint="eastAsia" w:ascii="宋体" w:hAnsi="宋体" w:eastAsia="宋体" w:cs="宋体"/>
                <w:color w:val="auto"/>
                <w:sz w:val="21"/>
                <w:szCs w:val="21"/>
                <w:highlight w:val="none"/>
                <w:lang w:eastAsia="zh-CN"/>
              </w:rPr>
              <w:t>、参数完全一致，</w:t>
            </w:r>
            <w:r>
              <w:rPr>
                <w:rFonts w:hint="eastAsia" w:ascii="宋体" w:hAnsi="宋体" w:eastAsia="宋体" w:cs="宋体"/>
                <w:color w:val="auto"/>
                <w:sz w:val="21"/>
                <w:szCs w:val="21"/>
                <w:highlight w:val="none"/>
              </w:rPr>
              <w:t>视为</w:t>
            </w:r>
            <w:r>
              <w:rPr>
                <w:rFonts w:hint="eastAsia" w:ascii="宋体" w:hAnsi="宋体" w:eastAsia="宋体" w:cs="宋体"/>
                <w:color w:val="auto"/>
                <w:sz w:val="21"/>
                <w:szCs w:val="21"/>
                <w:highlight w:val="none"/>
                <w:lang w:eastAsia="zh-CN"/>
              </w:rPr>
              <w:t>验收合格</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采购人有权要求中标人在验收时提供检测报告或生产厂家官方技术说明书、官方产品宣传页等证明材料原件，有权将</w:t>
            </w:r>
            <w:r>
              <w:rPr>
                <w:rFonts w:hint="eastAsia" w:ascii="宋体" w:hAnsi="宋体" w:cs="宋体"/>
                <w:b/>
                <w:bCs/>
                <w:color w:val="auto"/>
                <w:sz w:val="21"/>
                <w:szCs w:val="21"/>
                <w:highlight w:val="none"/>
                <w:lang w:val="en-US" w:eastAsia="zh-CN"/>
              </w:rPr>
              <w:t>系统以及</w:t>
            </w:r>
            <w:r>
              <w:rPr>
                <w:rFonts w:hint="eastAsia" w:ascii="宋体" w:hAnsi="宋体" w:eastAsia="宋体" w:cs="宋体"/>
                <w:b/>
                <w:bCs/>
                <w:color w:val="auto"/>
                <w:sz w:val="21"/>
                <w:szCs w:val="21"/>
                <w:highlight w:val="none"/>
                <w:lang w:val="en-US" w:eastAsia="zh-CN"/>
              </w:rPr>
              <w:t>设备送第三方检测机构进行检测，以核验</w:t>
            </w:r>
            <w:r>
              <w:rPr>
                <w:rFonts w:hint="eastAsia" w:ascii="宋体" w:hAnsi="宋体" w:cs="宋体"/>
                <w:b/>
                <w:bCs/>
                <w:color w:val="auto"/>
                <w:sz w:val="21"/>
                <w:szCs w:val="21"/>
                <w:highlight w:val="none"/>
                <w:lang w:val="en-US" w:eastAsia="zh-CN"/>
              </w:rPr>
              <w:t>系统以及</w:t>
            </w:r>
            <w:r>
              <w:rPr>
                <w:rFonts w:hint="eastAsia" w:ascii="宋体" w:hAnsi="宋体" w:eastAsia="宋体" w:cs="宋体"/>
                <w:b/>
                <w:bCs/>
                <w:color w:val="auto"/>
                <w:sz w:val="21"/>
                <w:szCs w:val="21"/>
                <w:highlight w:val="none"/>
                <w:lang w:val="en-US" w:eastAsia="zh-CN"/>
              </w:rPr>
              <w:t>设备性能参数与中标人投标时响应的技术性能、参数完全一致，否则视为验收不合格。）</w:t>
            </w:r>
            <w:r>
              <w:rPr>
                <w:rFonts w:hint="eastAsia" w:ascii="宋体" w:hAnsi="宋体" w:eastAsia="宋体" w:cs="宋体"/>
                <w:color w:val="auto"/>
                <w:sz w:val="21"/>
                <w:szCs w:val="21"/>
                <w:highlight w:val="none"/>
              </w:rPr>
              <w:t>，由采购</w:t>
            </w:r>
            <w:r>
              <w:rPr>
                <w:rFonts w:hint="eastAsia" w:ascii="宋体" w:hAnsi="宋体" w:eastAsia="宋体" w:cs="宋体"/>
                <w:color w:val="auto"/>
                <w:sz w:val="21"/>
                <w:szCs w:val="21"/>
                <w:highlight w:val="none"/>
                <w:lang w:eastAsia="zh-CN"/>
              </w:rPr>
              <w:t>人</w:t>
            </w:r>
            <w:r>
              <w:rPr>
                <w:rFonts w:hint="eastAsia" w:ascii="宋体" w:hAnsi="宋体" w:eastAsia="宋体" w:cs="宋体"/>
                <w:color w:val="auto"/>
                <w:sz w:val="21"/>
                <w:szCs w:val="21"/>
                <w:highlight w:val="none"/>
              </w:rPr>
              <w:t>代表及</w:t>
            </w:r>
            <w:r>
              <w:rPr>
                <w:rFonts w:hint="eastAsia" w:ascii="宋体" w:hAnsi="宋体" w:eastAsia="宋体" w:cs="宋体"/>
                <w:color w:val="auto"/>
                <w:sz w:val="21"/>
                <w:szCs w:val="21"/>
                <w:highlight w:val="none"/>
                <w:lang w:eastAsia="zh-CN"/>
              </w:rPr>
              <w:t>中标人代表</w:t>
            </w:r>
            <w:r>
              <w:rPr>
                <w:rFonts w:hint="eastAsia" w:ascii="宋体" w:hAnsi="宋体" w:eastAsia="宋体" w:cs="宋体"/>
                <w:color w:val="auto"/>
                <w:sz w:val="21"/>
                <w:szCs w:val="21"/>
                <w:highlight w:val="none"/>
              </w:rPr>
              <w:t>共同对安装、调试情况进行记录。本项目所有系统功能模块，试运行测评完成后，对测评不通过的部分，</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rPr>
              <w:t>须无条件整改，直至整改通过，否则项目将不予整体验收。因</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rPr>
              <w:t>原因导致的测评不通过，将导致项目无法整体验收，此视为</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rPr>
              <w:t>严重违约，</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rPr>
              <w:t>须退回采购人已经支付的所有款项，并须承担无法验收给采购人造成的损失</w:t>
            </w:r>
            <w:r>
              <w:rPr>
                <w:rFonts w:hint="eastAsia" w:ascii="宋体" w:hAnsi="宋体" w:eastAsia="宋体" w:cs="宋体"/>
                <w:color w:val="auto"/>
                <w:sz w:val="21"/>
                <w:szCs w:val="21"/>
                <w:highlight w:val="none"/>
                <w:lang w:eastAsia="zh-CN"/>
              </w:rPr>
              <w:t>。</w:t>
            </w:r>
          </w:p>
          <w:p w14:paraId="480AEE0F">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采购项目进行验收时，采购人可以邀请参加本项目的其他投标人、技术专家或者第三方机构参与验收。参与验收的投标人、技术专家或者第三方机构的意见作为验收书的参考资料一并存档。验收所产生的一切费用由中标人承担。</w:t>
            </w:r>
          </w:p>
          <w:p w14:paraId="184D4BE3">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C</w:t>
            </w:r>
            <w:r>
              <w:rPr>
                <w:rFonts w:hint="eastAsia" w:ascii="宋体" w:hAnsi="宋体" w:eastAsia="宋体" w:cs="宋体"/>
                <w:color w:val="auto"/>
                <w:sz w:val="21"/>
                <w:szCs w:val="21"/>
                <w:highlight w:val="none"/>
                <w:lang w:eastAsia="zh-CN"/>
              </w:rPr>
              <w:t>.履约验收其他事项：</w:t>
            </w:r>
          </w:p>
          <w:p w14:paraId="1DF7401F">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 验收资料归档，采购合同项目完成验收后，将验收原始记录、验收书等资料作为该采购项目档案妥善保管，不得伪造、变造、隐匿或者销毁，验收资料保存期为采购结束之日起至少保存15年。</w:t>
            </w:r>
          </w:p>
          <w:p w14:paraId="6E2E939E">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)由于中标人原因造成不按时完成验收、造成逾期供货事实的，由中标人承担相关合同责任。</w:t>
            </w:r>
          </w:p>
          <w:p w14:paraId="373CEBCC">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r>
              <w:rPr>
                <w:color w:val="auto"/>
                <w:szCs w:val="21"/>
                <w:highlight w:val="none"/>
              </w:rPr>
              <w:t>采购人对</w:t>
            </w:r>
            <w:r>
              <w:rPr>
                <w:rFonts w:hint="eastAsia"/>
                <w:color w:val="auto"/>
                <w:szCs w:val="21"/>
                <w:highlight w:val="none"/>
                <w:lang w:val="en-US" w:eastAsia="zh-CN"/>
              </w:rPr>
              <w:t>中标人</w:t>
            </w:r>
            <w:r>
              <w:rPr>
                <w:color w:val="auto"/>
                <w:szCs w:val="21"/>
                <w:highlight w:val="none"/>
              </w:rPr>
              <w:t>提供的</w:t>
            </w:r>
            <w:r>
              <w:rPr>
                <w:rFonts w:hint="eastAsia"/>
                <w:color w:val="auto"/>
                <w:szCs w:val="21"/>
                <w:highlight w:val="none"/>
                <w:lang w:val="en-US" w:eastAsia="zh-CN"/>
              </w:rPr>
              <w:t>项目</w:t>
            </w:r>
            <w:r>
              <w:rPr>
                <w:rFonts w:hint="eastAsia"/>
                <w:color w:val="auto"/>
                <w:szCs w:val="21"/>
                <w:highlight w:val="none"/>
              </w:rPr>
              <w:t>成果</w:t>
            </w:r>
            <w:r>
              <w:rPr>
                <w:color w:val="auto"/>
                <w:szCs w:val="21"/>
                <w:highlight w:val="none"/>
              </w:rPr>
              <w:t>在</w:t>
            </w:r>
            <w:r>
              <w:rPr>
                <w:rFonts w:hint="eastAsia"/>
                <w:color w:val="auto"/>
                <w:szCs w:val="21"/>
                <w:highlight w:val="none"/>
              </w:rPr>
              <w:t>验收</w:t>
            </w:r>
            <w:r>
              <w:rPr>
                <w:color w:val="auto"/>
                <w:szCs w:val="21"/>
                <w:highlight w:val="none"/>
              </w:rPr>
              <w:t>时，</w:t>
            </w:r>
            <w:r>
              <w:rPr>
                <w:rFonts w:hint="eastAsia"/>
                <w:color w:val="auto"/>
                <w:szCs w:val="21"/>
                <w:highlight w:val="none"/>
                <w:lang w:val="en-US" w:eastAsia="zh-CN"/>
              </w:rPr>
              <w:t>中标人</w:t>
            </w:r>
            <w:r>
              <w:rPr>
                <w:color w:val="auto"/>
                <w:szCs w:val="21"/>
                <w:highlight w:val="none"/>
              </w:rPr>
              <w:t>须负责安装</w:t>
            </w:r>
            <w:r>
              <w:rPr>
                <w:rFonts w:hint="eastAsia"/>
                <w:color w:val="auto"/>
                <w:szCs w:val="21"/>
                <w:highlight w:val="none"/>
              </w:rPr>
              <w:t>调试</w:t>
            </w:r>
            <w:r>
              <w:rPr>
                <w:color w:val="auto"/>
                <w:szCs w:val="21"/>
                <w:highlight w:val="none"/>
              </w:rPr>
              <w:t>并培训采购人的操作使用人员，符合所有技术要求的，采购人才作最终验收</w:t>
            </w:r>
            <w:r>
              <w:rPr>
                <w:rFonts w:hint="eastAsia" w:ascii="宋体" w:hAnsi="宋体" w:eastAsia="宋体" w:cs="宋体"/>
                <w:color w:val="auto"/>
                <w:sz w:val="21"/>
                <w:szCs w:val="21"/>
                <w:highlight w:val="none"/>
                <w:lang w:eastAsia="zh-CN"/>
              </w:rPr>
              <w:t>。</w:t>
            </w:r>
          </w:p>
          <w:p w14:paraId="2BBB640F">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6.验收内容：包括每个采购标的每一项技术参数和商务要求全部内容的履约情况。</w:t>
            </w:r>
          </w:p>
          <w:p w14:paraId="49E638A4">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lang w:eastAsia="zh-CN"/>
              </w:rPr>
              <w:t>其他未尽事宜应严格参照《关于印发广西壮族自治区政府采购项目履约验收管理办法的通知》[桂财采〔2015〕22号]以及《财政部关于进一步加强政府采购需求和履约验收管理的指导意见》[财库〔2016〕205 号]规定执行。</w:t>
            </w:r>
          </w:p>
        </w:tc>
      </w:tr>
      <w:tr w14:paraId="029965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8" w:hRule="atLeast"/>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13C258DF">
            <w:pPr>
              <w:keepNext w:val="0"/>
              <w:keepLines w:val="0"/>
              <w:suppressLineNumbers w:val="0"/>
              <w:bidi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7</w:t>
            </w:r>
          </w:p>
        </w:tc>
        <w:tc>
          <w:tcPr>
            <w:tcW w:w="1119" w:type="dxa"/>
            <w:tcBorders>
              <w:left w:val="nil"/>
              <w:right w:val="single" w:color="000000" w:sz="4" w:space="0"/>
            </w:tcBorders>
            <w:shd w:val="clear" w:color="auto" w:fill="auto"/>
            <w:vAlign w:val="center"/>
          </w:tcPr>
          <w:p w14:paraId="57A8F377">
            <w:pPr>
              <w:keepNext w:val="0"/>
              <w:keepLines w:val="0"/>
              <w:suppressLineNumbers w:val="0"/>
              <w:snapToGrid w:val="0"/>
              <w:spacing w:before="0" w:beforeAutospacing="0" w:after="0" w:afterAutospacing="0" w:line="400" w:lineRule="exact"/>
              <w:ind w:left="0" w:right="0"/>
              <w:jc w:val="center"/>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color w:val="auto"/>
                <w:sz w:val="21"/>
                <w:szCs w:val="21"/>
                <w:highlight w:val="none"/>
              </w:rPr>
              <w:t>付款条件</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7D10CBC8">
            <w:pPr>
              <w:keepNext w:val="0"/>
              <w:keepLines w:val="0"/>
              <w:suppressLineNumbers w:val="0"/>
              <w:spacing w:before="0" w:beforeAutospacing="0" w:after="0" w:afterAutospacing="0" w:line="360" w:lineRule="exact"/>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cs="宋体"/>
                <w:color w:val="auto"/>
                <w:sz w:val="21"/>
                <w:szCs w:val="21"/>
                <w:highlight w:val="none"/>
                <w:lang w:val="en-US" w:eastAsia="zh-CN"/>
              </w:rPr>
              <w:t>系统</w:t>
            </w:r>
            <w:r>
              <w:rPr>
                <w:rFonts w:hint="eastAsia" w:ascii="宋体" w:hAnsi="宋体" w:eastAsia="宋体" w:cs="宋体"/>
                <w:color w:val="auto"/>
                <w:sz w:val="21"/>
                <w:szCs w:val="21"/>
                <w:highlight w:val="none"/>
              </w:rPr>
              <w:t>验收合格后，</w:t>
            </w:r>
            <w:r>
              <w:rPr>
                <w:rFonts w:hint="eastAsia" w:ascii="宋体" w:hAnsi="宋体" w:cs="宋体"/>
                <w:color w:val="auto"/>
                <w:sz w:val="21"/>
                <w:szCs w:val="21"/>
                <w:highlight w:val="none"/>
                <w:lang w:val="en-US" w:eastAsia="zh-CN"/>
              </w:rPr>
              <w:t>中标人</w:t>
            </w:r>
            <w:r>
              <w:rPr>
                <w:rFonts w:hint="eastAsia" w:ascii="宋体" w:hAnsi="宋体" w:eastAsia="宋体" w:cs="宋体"/>
                <w:color w:val="auto"/>
                <w:sz w:val="21"/>
                <w:szCs w:val="21"/>
                <w:highlight w:val="none"/>
              </w:rPr>
              <w:t>应向</w:t>
            </w:r>
            <w:r>
              <w:rPr>
                <w:rFonts w:hint="eastAsia" w:ascii="宋体" w:hAnsi="宋体" w:cs="宋体"/>
                <w:color w:val="auto"/>
                <w:sz w:val="21"/>
                <w:szCs w:val="21"/>
                <w:highlight w:val="none"/>
                <w:lang w:val="en-US" w:eastAsia="zh-CN"/>
              </w:rPr>
              <w:t>采购人</w:t>
            </w:r>
            <w:r>
              <w:rPr>
                <w:rFonts w:hint="eastAsia" w:ascii="宋体" w:hAnsi="宋体" w:eastAsia="宋体" w:cs="宋体"/>
                <w:color w:val="auto"/>
                <w:sz w:val="21"/>
                <w:szCs w:val="21"/>
                <w:highlight w:val="none"/>
              </w:rPr>
              <w:t>开具合法增值税专用发票，</w:t>
            </w:r>
            <w:r>
              <w:rPr>
                <w:rFonts w:hint="eastAsia" w:ascii="宋体" w:hAnsi="宋体" w:cs="宋体"/>
                <w:color w:val="auto"/>
                <w:sz w:val="21"/>
                <w:szCs w:val="21"/>
                <w:highlight w:val="none"/>
                <w:lang w:val="en-US" w:eastAsia="zh-CN"/>
              </w:rPr>
              <w:t>采购人</w:t>
            </w:r>
            <w:r>
              <w:rPr>
                <w:rFonts w:hint="eastAsia" w:ascii="宋体" w:hAnsi="宋体" w:eastAsia="宋体" w:cs="宋体"/>
                <w:color w:val="auto"/>
                <w:sz w:val="21"/>
                <w:szCs w:val="21"/>
                <w:highlight w:val="none"/>
              </w:rPr>
              <w:t>在30日内支付</w:t>
            </w:r>
            <w:r>
              <w:rPr>
                <w:rFonts w:hint="eastAsia" w:ascii="宋体" w:hAnsi="宋体" w:cs="宋体"/>
                <w:color w:val="auto"/>
                <w:sz w:val="21"/>
                <w:szCs w:val="21"/>
                <w:highlight w:val="none"/>
                <w:lang w:val="en-US" w:eastAsia="zh-CN"/>
              </w:rPr>
              <w:t>合同款</w:t>
            </w:r>
            <w:r>
              <w:rPr>
                <w:rFonts w:hint="eastAsia" w:ascii="宋体" w:hAnsi="宋体" w:eastAsia="宋体" w:cs="宋体"/>
                <w:color w:val="auto"/>
                <w:sz w:val="21"/>
                <w:szCs w:val="21"/>
                <w:highlight w:val="none"/>
              </w:rPr>
              <w:t>。</w:t>
            </w:r>
          </w:p>
          <w:p w14:paraId="190D42D2">
            <w:pPr>
              <w:keepNext w:val="0"/>
              <w:keepLines w:val="0"/>
              <w:suppressLineNumbers w:val="0"/>
              <w:spacing w:before="0" w:beforeAutospacing="0" w:after="0" w:afterAutospacing="0" w:line="400" w:lineRule="exact"/>
              <w:ind w:left="0" w:right="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rPr>
              <w:t>必须按照采购人要求提供真实、有效、合法的正式发票。一旦发现</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rPr>
              <w:t>提供虚假发票，除须向采购人补开合法发票外，采购人有权向税务机关投诉，并扣除全部履约保证金。</w:t>
            </w:r>
          </w:p>
        </w:tc>
      </w:tr>
      <w:tr w14:paraId="75FA1D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37" w:hRule="atLeast"/>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7EF397C6">
            <w:pPr>
              <w:keepNext w:val="0"/>
              <w:keepLines w:val="0"/>
              <w:suppressLineNumbers w:val="0"/>
              <w:bidi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8</w:t>
            </w:r>
          </w:p>
        </w:tc>
        <w:tc>
          <w:tcPr>
            <w:tcW w:w="1119" w:type="dxa"/>
            <w:tcBorders>
              <w:left w:val="nil"/>
              <w:right w:val="single" w:color="000000" w:sz="4" w:space="0"/>
            </w:tcBorders>
            <w:shd w:val="clear" w:color="auto" w:fill="auto"/>
            <w:vAlign w:val="center"/>
          </w:tcPr>
          <w:p w14:paraId="48C005AD">
            <w:pPr>
              <w:keepNext w:val="0"/>
              <w:keepLines w:val="0"/>
              <w:suppressLineNumbers w:val="0"/>
              <w:snapToGrid w:val="0"/>
              <w:spacing w:before="0" w:beforeAutospacing="0" w:after="0" w:afterAutospacing="0" w:line="360" w:lineRule="exact"/>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售后服务要求</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6AE45B4B">
            <w:pPr>
              <w:keepNext w:val="0"/>
              <w:keepLines w:val="0"/>
              <w:suppressLineNumbers w:val="0"/>
              <w:spacing w:before="0" w:beforeAutospacing="0" w:after="0" w:afterAutospacing="0" w:line="340" w:lineRule="exact"/>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rPr>
              <w:t>必须保证提供的</w:t>
            </w:r>
            <w:r>
              <w:rPr>
                <w:rFonts w:hint="eastAsia" w:ascii="宋体" w:hAnsi="宋体" w:cs="宋体"/>
                <w:color w:val="auto"/>
                <w:sz w:val="21"/>
                <w:szCs w:val="21"/>
                <w:highlight w:val="none"/>
                <w:lang w:val="en-US" w:eastAsia="zh-CN"/>
              </w:rPr>
              <w:t>整套系统以及系统涉及到的设备</w:t>
            </w:r>
            <w:r>
              <w:rPr>
                <w:rFonts w:hint="eastAsia" w:ascii="宋体" w:hAnsi="宋体" w:eastAsia="宋体" w:cs="宋体"/>
                <w:color w:val="auto"/>
                <w:sz w:val="21"/>
                <w:szCs w:val="21"/>
                <w:highlight w:val="none"/>
              </w:rPr>
              <w:t>是全新正品的、未使用过的。</w:t>
            </w:r>
          </w:p>
          <w:p w14:paraId="28018454">
            <w:pPr>
              <w:keepNext w:val="0"/>
              <w:keepLines w:val="0"/>
              <w:suppressLineNumbers w:val="0"/>
              <w:spacing w:before="0" w:beforeAutospacing="0" w:after="0" w:afterAutospacing="0" w:line="340" w:lineRule="exact"/>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.负责</w:t>
            </w:r>
            <w:r>
              <w:rPr>
                <w:rFonts w:hint="eastAsia" w:ascii="宋体" w:hAnsi="宋体" w:cs="宋体"/>
                <w:color w:val="auto"/>
                <w:sz w:val="21"/>
                <w:szCs w:val="21"/>
                <w:highlight w:val="none"/>
                <w:lang w:val="en-US" w:eastAsia="zh-CN"/>
              </w:rPr>
              <w:t>系统搭建以及系统涉及到的设备</w:t>
            </w:r>
            <w:r>
              <w:rPr>
                <w:rFonts w:hint="eastAsia" w:ascii="宋体" w:hAnsi="宋体" w:eastAsia="宋体" w:cs="宋体"/>
                <w:color w:val="auto"/>
                <w:sz w:val="21"/>
                <w:szCs w:val="21"/>
                <w:highlight w:val="none"/>
              </w:rPr>
              <w:t>送货上门，安装、调试，提供技术培训，保证</w:t>
            </w:r>
            <w:r>
              <w:rPr>
                <w:rFonts w:hint="eastAsia" w:ascii="宋体" w:hAnsi="宋体" w:eastAsia="宋体" w:cs="宋体"/>
                <w:color w:val="auto"/>
                <w:sz w:val="21"/>
                <w:szCs w:val="21"/>
                <w:highlight w:val="none"/>
                <w:lang w:val="en-US" w:eastAsia="zh-CN"/>
              </w:rPr>
              <w:t>采购单位</w:t>
            </w:r>
            <w:r>
              <w:rPr>
                <w:rFonts w:hint="eastAsia" w:ascii="宋体" w:hAnsi="宋体" w:eastAsia="宋体" w:cs="宋体"/>
                <w:color w:val="auto"/>
                <w:sz w:val="21"/>
                <w:szCs w:val="21"/>
                <w:highlight w:val="none"/>
              </w:rPr>
              <w:t>使用人员正常操作设备的各种功能；其余按</w:t>
            </w:r>
            <w:r>
              <w:rPr>
                <w:rFonts w:hint="eastAsia" w:ascii="宋体" w:hAnsi="宋体" w:cs="宋体"/>
                <w:color w:val="auto"/>
                <w:sz w:val="21"/>
                <w:szCs w:val="21"/>
                <w:highlight w:val="none"/>
                <w:lang w:val="en-US" w:eastAsia="zh-CN"/>
              </w:rPr>
              <w:t>中</w:t>
            </w:r>
            <w:r>
              <w:rPr>
                <w:rFonts w:hint="eastAsia" w:ascii="宋体" w:hAnsi="宋体" w:eastAsia="宋体" w:cs="宋体"/>
                <w:color w:val="auto"/>
                <w:sz w:val="21"/>
                <w:szCs w:val="21"/>
                <w:highlight w:val="none"/>
                <w:lang w:val="en-US" w:eastAsia="zh-CN"/>
              </w:rPr>
              <w:t>标人</w:t>
            </w:r>
            <w:r>
              <w:rPr>
                <w:rFonts w:hint="eastAsia" w:ascii="宋体" w:hAnsi="宋体" w:eastAsia="宋体" w:cs="宋体"/>
                <w:color w:val="auto"/>
                <w:sz w:val="21"/>
                <w:szCs w:val="21"/>
                <w:highlight w:val="none"/>
              </w:rPr>
              <w:t>承诺进行。</w:t>
            </w:r>
          </w:p>
          <w:p w14:paraId="5F93605E">
            <w:pPr>
              <w:keepNext w:val="0"/>
              <w:keepLines w:val="0"/>
              <w:suppressLineNumbers w:val="0"/>
              <w:spacing w:before="0" w:beforeAutospacing="0" w:after="0" w:afterAutospacing="0" w:line="340" w:lineRule="exact"/>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.故障响应时间：售后服务时间为7×24小时，提供服务热线电话。</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rPr>
              <w:t>接到采购人</w:t>
            </w:r>
            <w:r>
              <w:rPr>
                <w:rFonts w:hint="eastAsia" w:ascii="宋体" w:hAnsi="宋体" w:eastAsia="宋体" w:cs="宋体"/>
                <w:color w:val="auto"/>
                <w:sz w:val="21"/>
                <w:szCs w:val="21"/>
                <w:highlight w:val="none"/>
                <w:lang w:val="en-US" w:eastAsia="zh-CN"/>
              </w:rPr>
              <w:t>故障</w:t>
            </w:r>
            <w:r>
              <w:rPr>
                <w:rFonts w:hint="eastAsia" w:ascii="宋体" w:hAnsi="宋体" w:eastAsia="宋体" w:cs="宋体"/>
                <w:color w:val="auto"/>
                <w:sz w:val="21"/>
                <w:szCs w:val="21"/>
                <w:highlight w:val="none"/>
              </w:rPr>
              <w:t>通知2小时内做出响应，8小时内远程排查处理故障；远程无法处理的，应在接到通知后24小时内到达现场维修。其中，一般故障应在48小时内修复，重大故障或其他无法迅速解决的故障应在7日内修复。</w:t>
            </w:r>
            <w:r>
              <w:rPr>
                <w:color w:val="auto"/>
                <w:szCs w:val="21"/>
                <w:highlight w:val="none"/>
              </w:rPr>
              <w:t>向采购单位受训人员提供技术资料、参考材料、培训手册</w:t>
            </w:r>
            <w:r>
              <w:rPr>
                <w:rFonts w:hint="eastAsia"/>
                <w:color w:val="auto"/>
                <w:szCs w:val="21"/>
                <w:highlight w:val="none"/>
              </w:rPr>
              <w:t>、培训服务</w:t>
            </w:r>
            <w:r>
              <w:rPr>
                <w:color w:val="auto"/>
                <w:szCs w:val="21"/>
                <w:highlight w:val="none"/>
              </w:rPr>
              <w:t>等</w:t>
            </w:r>
            <w:r>
              <w:rPr>
                <w:rFonts w:hint="eastAsia" w:ascii="宋体" w:hAnsi="宋体" w:eastAsia="宋体" w:cs="宋体"/>
                <w:color w:val="auto"/>
                <w:sz w:val="21"/>
                <w:szCs w:val="21"/>
                <w:highlight w:val="none"/>
              </w:rPr>
              <w:t>。</w:t>
            </w:r>
          </w:p>
          <w:p w14:paraId="1E31DA3C">
            <w:pPr>
              <w:keepNext w:val="0"/>
              <w:keepLines w:val="0"/>
              <w:suppressLineNumbers w:val="0"/>
              <w:snapToGrid w:val="0"/>
              <w:spacing w:before="0" w:beforeAutospacing="0" w:after="0" w:afterAutospacing="0" w:line="360" w:lineRule="exact"/>
              <w:ind w:left="0" w:right="0"/>
              <w:outlineLvl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.提供维护服务和技术咨询服务，质保期满后以不高于提供上述售后服务时市场同类服务的最优惠价格提供维修和备件更换，具体收费原则及标准：每年以不高于本项目各对应系统、</w:t>
            </w:r>
            <w:r>
              <w:rPr>
                <w:rFonts w:hint="eastAsia" w:ascii="宋体" w:hAnsi="宋体" w:eastAsia="宋体" w:cs="宋体"/>
                <w:color w:val="auto"/>
                <w:sz w:val="21"/>
                <w:szCs w:val="21"/>
                <w:highlight w:val="none"/>
                <w:lang w:val="en-US" w:eastAsia="zh-CN"/>
              </w:rPr>
              <w:t>设备费用</w:t>
            </w:r>
            <w:r>
              <w:rPr>
                <w:rFonts w:hint="eastAsia" w:ascii="宋体" w:hAnsi="宋体" w:eastAsia="宋体" w:cs="宋体"/>
                <w:color w:val="auto"/>
                <w:sz w:val="21"/>
                <w:szCs w:val="21"/>
                <w:highlight w:val="none"/>
              </w:rPr>
              <w:t>的</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rPr>
              <w:t>%为上限，且不高于同期市场同类服务的最优惠价格；具体服务费用由双方根据服务内容、服务范围、服务时长及市场公允行情另行协商确定，签订书面补充协议后执行。</w:t>
            </w:r>
          </w:p>
          <w:p w14:paraId="3F7BBA52">
            <w:pPr>
              <w:keepNext w:val="0"/>
              <w:keepLines w:val="0"/>
              <w:widowControl/>
              <w:suppressLineNumbers w:val="0"/>
              <w:spacing w:before="0" w:beforeAutospacing="0" w:after="0" w:afterAutospacing="0" w:line="240" w:lineRule="auto"/>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5.负责</w:t>
            </w:r>
            <w:r>
              <w:rPr>
                <w:rFonts w:hint="eastAsia" w:ascii="宋体" w:hAnsi="宋体" w:eastAsia="宋体" w:cs="宋体"/>
                <w:color w:val="auto"/>
                <w:sz w:val="21"/>
                <w:szCs w:val="21"/>
                <w:highlight w:val="none"/>
              </w:rPr>
              <w:t>配置软件的维护。</w:t>
            </w:r>
            <w:r>
              <w:rPr>
                <w:rFonts w:hint="eastAsia" w:ascii="宋体" w:hAnsi="宋体" w:cs="宋体"/>
                <w:color w:val="auto"/>
                <w:szCs w:val="21"/>
                <w:highlight w:val="none"/>
                <w:lang w:val="en-US" w:eastAsia="zh-CN"/>
              </w:rPr>
              <w:t>系统</w:t>
            </w:r>
            <w:r>
              <w:rPr>
                <w:rFonts w:hint="eastAsia"/>
                <w:color w:val="auto"/>
                <w:sz w:val="21"/>
                <w:szCs w:val="21"/>
                <w:highlight w:val="none"/>
              </w:rPr>
              <w:t>免费运维期内的人员、差旅及零配件费用均由</w:t>
            </w:r>
            <w:r>
              <w:rPr>
                <w:rFonts w:hint="eastAsia"/>
                <w:color w:val="auto"/>
                <w:sz w:val="21"/>
                <w:szCs w:val="21"/>
                <w:highlight w:val="none"/>
                <w:lang w:val="en-US" w:eastAsia="zh-CN"/>
              </w:rPr>
              <w:t>中标人</w:t>
            </w:r>
            <w:r>
              <w:rPr>
                <w:rFonts w:hint="eastAsia"/>
                <w:color w:val="auto"/>
                <w:sz w:val="21"/>
                <w:szCs w:val="21"/>
                <w:highlight w:val="none"/>
              </w:rPr>
              <w:t>承担。免费运维期后，由双方协商运维费用</w:t>
            </w:r>
            <w:r>
              <w:rPr>
                <w:rFonts w:hint="eastAsia"/>
                <w:color w:val="auto"/>
                <w:sz w:val="21"/>
                <w:szCs w:val="21"/>
                <w:highlight w:val="none"/>
                <w:lang w:eastAsia="zh-CN"/>
              </w:rPr>
              <w:t>。</w:t>
            </w:r>
            <w:r>
              <w:rPr>
                <w:rFonts w:hint="eastAsia" w:ascii="宋体" w:hAnsi="宋体" w:eastAsia="宋体" w:cs="宋体"/>
                <w:color w:val="auto"/>
                <w:sz w:val="21"/>
                <w:szCs w:val="21"/>
                <w:highlight w:val="none"/>
                <w:lang w:val="en-US" w:eastAsia="zh-CN"/>
              </w:rPr>
              <w:t>系统免费运维期满后</w:t>
            </w:r>
            <w:r>
              <w:rPr>
                <w:rFonts w:hint="eastAsia" w:ascii="宋体" w:hAnsi="宋体" w:eastAsia="宋体" w:cs="宋体"/>
                <w:color w:val="auto"/>
                <w:sz w:val="21"/>
                <w:szCs w:val="21"/>
                <w:highlight w:val="none"/>
              </w:rPr>
              <w:t>，软件不升级不影响原有软件功能正常使用，若需升级，软件升级费用由采购人承担，软件升级费用不超过合同中软件价格的</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rPr>
              <w:t>%,同一项目升级后两年之内需要再次升级的,</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rPr>
              <w:t>负责升级,不另外收取费用。</w:t>
            </w:r>
          </w:p>
        </w:tc>
      </w:tr>
      <w:tr w14:paraId="57A7E3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75" w:hRule="atLeast"/>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4D3AEA89">
            <w:pPr>
              <w:keepNext w:val="0"/>
              <w:keepLines w:val="0"/>
              <w:suppressLineNumbers w:val="0"/>
              <w:bidi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w:t>
            </w:r>
          </w:p>
        </w:tc>
        <w:tc>
          <w:tcPr>
            <w:tcW w:w="1119" w:type="dxa"/>
            <w:tcBorders>
              <w:left w:val="nil"/>
              <w:right w:val="single" w:color="000000" w:sz="4" w:space="0"/>
            </w:tcBorders>
            <w:shd w:val="clear" w:color="auto" w:fill="auto"/>
            <w:vAlign w:val="center"/>
          </w:tcPr>
          <w:p w14:paraId="3406E57C">
            <w:pPr>
              <w:keepNext w:val="0"/>
              <w:keepLines w:val="0"/>
              <w:suppressLineNumbers w:val="0"/>
              <w:snapToGrid w:val="0"/>
              <w:spacing w:before="0" w:beforeAutospacing="0" w:after="0" w:afterAutospacing="0" w:line="400" w:lineRule="exact"/>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核心产品</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3B304AD5">
            <w:pPr>
              <w:pStyle w:val="10"/>
              <w:keepNext w:val="0"/>
              <w:keepLines w:val="0"/>
              <w:suppressLineNumbers w:val="0"/>
              <w:snapToGrid w:val="0"/>
              <w:spacing w:before="0" w:beforeAutospacing="0" w:after="0" w:afterAutospacing="0"/>
              <w:ind w:left="0" w:leftChars="0" w:right="0" w:rightChars="0"/>
              <w:outlineLvl w:val="0"/>
              <w:rPr>
                <w:rFonts w:hint="eastAsia" w:ascii="宋体" w:hAnsi="宋体" w:eastAsia="宋体" w:cs="宋体"/>
                <w:b/>
                <w:bCs/>
                <w:color w:val="auto"/>
                <w:kern w:val="2"/>
                <w:sz w:val="21"/>
                <w:szCs w:val="21"/>
                <w:highlight w:val="none"/>
                <w:lang w:val="en-US" w:eastAsia="zh-CN" w:bidi="ar"/>
              </w:rPr>
            </w:pP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lang w:val="en-US" w:eastAsia="zh-CN"/>
              </w:rPr>
              <w:t>1.核心产品：本项目的核心产品为</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b/>
                <w:bCs/>
                <w:color w:val="auto"/>
                <w:sz w:val="21"/>
                <w:szCs w:val="21"/>
                <w:highlight w:val="none"/>
                <w:u w:val="single"/>
                <w:lang w:val="en-US" w:eastAsia="zh-CN"/>
              </w:rPr>
              <w:t>序号1：实验室信息管理一体化平台</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lang w:val="en-US" w:eastAsia="zh-CN"/>
              </w:rPr>
              <w:t>。</w:t>
            </w:r>
            <w:r>
              <w:rPr>
                <w:rFonts w:hint="eastAsia" w:ascii="宋体" w:hAnsi="宋体" w:eastAsia="宋体" w:cs="宋体"/>
                <w:b/>
                <w:bCs/>
                <w:color w:val="auto"/>
                <w:kern w:val="2"/>
                <w:sz w:val="21"/>
                <w:szCs w:val="21"/>
                <w:highlight w:val="none"/>
                <w:lang w:val="en-US" w:eastAsia="zh-CN" w:bidi="ar"/>
              </w:rPr>
              <w:t>核心产品品牌相同的，视为提供同品牌产品。核心产品提供相同品牌产品且通过资格审查、符合性审查的不同投标人参加同一合同项下投标的，按一家投标人计算，采用最低评标价法则以报价最低者参与评标，采用综合评分法则以评审得分最高者获得中标人推荐资格，采用最低评标价法报价相同的或者采用综合评分法评审得分相同的，按“投标人须知前附表”规定方式确定，确定后其他同品牌投标人投标无效或不作为中标候选人。</w:t>
            </w:r>
          </w:p>
        </w:tc>
      </w:tr>
      <w:tr w14:paraId="183D54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atLeast"/>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4EA09998">
            <w:pPr>
              <w:keepNext w:val="0"/>
              <w:keepLines w:val="0"/>
              <w:suppressLineNumbers w:val="0"/>
              <w:bidi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10</w:t>
            </w:r>
          </w:p>
        </w:tc>
        <w:tc>
          <w:tcPr>
            <w:tcW w:w="1119" w:type="dxa"/>
            <w:tcBorders>
              <w:left w:val="nil"/>
              <w:right w:val="single" w:color="000000" w:sz="4" w:space="0"/>
            </w:tcBorders>
            <w:shd w:val="clear" w:color="auto" w:fill="auto"/>
            <w:vAlign w:val="center"/>
          </w:tcPr>
          <w:p w14:paraId="40AD4A87">
            <w:pPr>
              <w:keepNext w:val="0"/>
              <w:keepLines w:val="0"/>
              <w:suppressLineNumbers w:val="0"/>
              <w:snapToGrid w:val="0"/>
              <w:spacing w:before="0" w:beforeAutospacing="0" w:after="0" w:afterAutospacing="0" w:line="400" w:lineRule="exact"/>
              <w:ind w:left="0" w:leftChars="0"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shd w:val="clear" w:color="auto" w:fill="FFFFFF"/>
              </w:rPr>
              <w:t>履约要求</w:t>
            </w:r>
          </w:p>
        </w:tc>
        <w:tc>
          <w:tcPr>
            <w:tcW w:w="7772" w:type="dxa"/>
            <w:gridSpan w:val="4"/>
            <w:tcBorders>
              <w:top w:val="single" w:color="000000" w:sz="4" w:space="0"/>
              <w:left w:val="nil"/>
              <w:bottom w:val="single" w:color="000000" w:sz="4" w:space="0"/>
              <w:right w:val="single" w:color="000000" w:sz="4" w:space="0"/>
            </w:tcBorders>
            <w:shd w:val="clear" w:color="auto" w:fill="auto"/>
            <w:vAlign w:val="center"/>
          </w:tcPr>
          <w:p w14:paraId="4FDAB51B">
            <w:pPr>
              <w:keepNext w:val="0"/>
              <w:keepLines w:val="0"/>
              <w:numPr>
                <w:ilvl w:val="0"/>
                <w:numId w:val="0"/>
              </w:numPr>
              <w:suppressLineNumbers w:val="0"/>
              <w:adjustRightInd w:val="0"/>
              <w:spacing w:before="0" w:beforeAutospacing="0" w:after="0" w:afterAutospacing="0" w:line="240" w:lineRule="auto"/>
              <w:ind w:left="0" w:right="0"/>
              <w:rPr>
                <w:rFonts w:hint="eastAsia" w:ascii="宋体" w:hAnsi="宋体" w:eastAsia="宋体" w:cs="宋体"/>
                <w:color w:val="auto"/>
                <w:sz w:val="21"/>
                <w:szCs w:val="21"/>
                <w:highlight w:val="none"/>
                <w:lang w:val="en-US" w:eastAsia="zh-CN"/>
              </w:rPr>
            </w:pPr>
            <w:r>
              <w:rPr>
                <w:rFonts w:hint="eastAsia" w:ascii="宋体" w:hAnsi="宋体" w:cs="宋体"/>
                <w:color w:val="auto"/>
                <w:szCs w:val="21"/>
                <w:highlight w:val="none"/>
                <w:shd w:val="clear" w:color="auto" w:fill="FFFFFF"/>
              </w:rPr>
              <w:t>中标人应在合同签订后10日内搭建演示环境，就核心主要功能进行演示验证。演示环境可基于原型或技术验证环境搭建，旨在确认中标人具备按期履行合同的技术能力，</w:t>
            </w:r>
            <w:r>
              <w:rPr>
                <w:rFonts w:hint="eastAsia" w:ascii="宋体" w:hAnsi="宋体" w:cs="宋体"/>
                <w:color w:val="auto"/>
                <w:szCs w:val="21"/>
                <w:highlight w:val="none"/>
                <w:shd w:val="clear" w:color="auto" w:fill="FFFFFF"/>
                <w:lang w:val="en-US" w:eastAsia="zh-CN"/>
              </w:rPr>
              <w:t>并</w:t>
            </w:r>
            <w:r>
              <w:rPr>
                <w:rFonts w:hint="eastAsia" w:ascii="宋体" w:hAnsi="宋体" w:cs="宋体"/>
                <w:color w:val="auto"/>
                <w:szCs w:val="21"/>
                <w:highlight w:val="none"/>
                <w:shd w:val="clear" w:color="auto" w:fill="FFFFFF"/>
              </w:rPr>
              <w:t>作为最终交货验收的依据。最终交付与验收按合同约定的交货时间及验收标准执行，演示验证中未涵盖的功能、性能及其他合同要求，均在正式交付时一并验收（需在投标文件中提供承诺函并加盖投标人公章）</w:t>
            </w:r>
            <w:r>
              <w:rPr>
                <w:rFonts w:hint="eastAsia"/>
                <w:color w:val="auto"/>
                <w:highlight w:val="none"/>
                <w:lang w:eastAsia="zh-CN"/>
              </w:rPr>
              <w:t>。</w:t>
            </w:r>
          </w:p>
        </w:tc>
      </w:tr>
      <w:tr w14:paraId="2A2B64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atLeast"/>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04F8FDA6">
            <w:pPr>
              <w:keepNext w:val="0"/>
              <w:keepLines w:val="0"/>
              <w:suppressLineNumbers w:val="0"/>
              <w:bidi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11</w:t>
            </w:r>
          </w:p>
        </w:tc>
        <w:tc>
          <w:tcPr>
            <w:tcW w:w="1119" w:type="dxa"/>
            <w:tcBorders>
              <w:left w:val="nil"/>
              <w:right w:val="single" w:color="000000" w:sz="4" w:space="0"/>
            </w:tcBorders>
            <w:shd w:val="clear" w:color="auto" w:fill="auto"/>
            <w:vAlign w:val="center"/>
          </w:tcPr>
          <w:p w14:paraId="1F4B9A07">
            <w:pPr>
              <w:keepNext w:val="0"/>
              <w:keepLines w:val="0"/>
              <w:suppressLineNumbers w:val="0"/>
              <w:snapToGrid w:val="0"/>
              <w:spacing w:before="0" w:beforeAutospacing="0" w:after="0" w:afterAutospacing="0" w:line="400" w:lineRule="exact"/>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进品产品</w:t>
            </w:r>
          </w:p>
        </w:tc>
        <w:tc>
          <w:tcPr>
            <w:tcW w:w="7772" w:type="dxa"/>
            <w:gridSpan w:val="4"/>
            <w:tcBorders>
              <w:top w:val="single" w:color="000000" w:sz="4" w:space="0"/>
              <w:left w:val="nil"/>
              <w:bottom w:val="single" w:color="000000" w:sz="4" w:space="0"/>
              <w:right w:val="single" w:color="000000" w:sz="4" w:space="0"/>
            </w:tcBorders>
            <w:shd w:val="clear" w:color="auto" w:fill="auto"/>
            <w:vAlign w:val="center"/>
          </w:tcPr>
          <w:p w14:paraId="2E6DA86C">
            <w:pPr>
              <w:pStyle w:val="14"/>
              <w:keepNext w:val="0"/>
              <w:keepLines w:val="0"/>
              <w:suppressLineNumbers w:val="0"/>
              <w:snapToGrid w:val="0"/>
              <w:spacing w:before="0" w:beforeAutospacing="0" w:after="0" w:afterAutospacing="0" w:line="360" w:lineRule="auto"/>
              <w:ind w:left="0" w:leftChars="0" w:right="0" w:rightChars="0"/>
              <w:jc w:val="left"/>
              <w:outlineLvl w:val="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是否接受进口产品: 不</w:t>
            </w:r>
            <w:r>
              <w:rPr>
                <w:rFonts w:hint="eastAsia" w:ascii="宋体" w:hAnsi="宋体" w:eastAsia="宋体" w:cs="宋体"/>
                <w:b/>
                <w:bCs/>
                <w:color w:val="auto"/>
                <w:kern w:val="2"/>
                <w:sz w:val="21"/>
                <w:szCs w:val="21"/>
                <w:highlight w:val="none"/>
                <w:lang w:val="en-US" w:eastAsia="zh-CN" w:bidi="ar"/>
              </w:rPr>
              <w:t>接受。</w:t>
            </w:r>
          </w:p>
        </w:tc>
      </w:tr>
      <w:tr w14:paraId="7C5F16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29C70169">
            <w:pPr>
              <w:keepNext w:val="0"/>
              <w:keepLines w:val="0"/>
              <w:suppressLineNumbers w:val="0"/>
              <w:bidi w:val="0"/>
              <w:spacing w:before="0" w:beforeAutospacing="0" w:after="0" w:afterAutospacing="0"/>
              <w:ind w:left="0" w:leftChars="0" w:right="0" w:rightChars="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119" w:type="dxa"/>
            <w:tcBorders>
              <w:left w:val="nil"/>
              <w:right w:val="single" w:color="000000" w:sz="4" w:space="0"/>
            </w:tcBorders>
            <w:shd w:val="clear" w:color="auto" w:fill="auto"/>
            <w:vAlign w:val="center"/>
          </w:tcPr>
          <w:p w14:paraId="7EC57D1C">
            <w:pPr>
              <w:keepNext w:val="0"/>
              <w:keepLines w:val="0"/>
              <w:suppressLineNumbers w:val="0"/>
              <w:snapToGrid w:val="0"/>
              <w:spacing w:before="0" w:beforeAutospacing="0" w:after="0" w:afterAutospacing="0" w:line="400" w:lineRule="exact"/>
              <w:ind w:left="0" w:leftChars="0"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其他</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43EC74FD">
            <w:pPr>
              <w:keepNext w:val="0"/>
              <w:keepLines w:val="0"/>
              <w:suppressLineNumbers w:val="0"/>
              <w:spacing w:before="0" w:beforeAutospacing="0" w:after="0" w:afterAutospacing="0" w:line="360" w:lineRule="exact"/>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.样品递交：否</w:t>
            </w:r>
          </w:p>
          <w:p w14:paraId="07FD348B">
            <w:pPr>
              <w:keepNext w:val="0"/>
              <w:keepLines w:val="0"/>
              <w:suppressLineNumbers w:val="0"/>
              <w:spacing w:before="0" w:beforeAutospacing="0" w:after="0" w:afterAutospacing="0" w:line="360" w:lineRule="exact"/>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.是否组织现场踏勘：否</w:t>
            </w:r>
          </w:p>
          <w:p w14:paraId="138B1EDD">
            <w:pPr>
              <w:keepNext w:val="0"/>
              <w:keepLines w:val="0"/>
              <w:suppressLineNumbers w:val="0"/>
              <w:spacing w:before="0" w:beforeAutospacing="0" w:after="0" w:afterAutospacing="0" w:line="360" w:lineRule="exact"/>
              <w:ind w:left="0" w:right="0"/>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3.知识产权归属：中标人提供的采购标的应符合国家知识产权法律法规的规定且非假冒伪劣品；中标人还应保证采购人不受到第三方关于侵犯知识产权及专利权、商标权或工业设计权等知识产权方面的指控，若任何第三方提出此方面指控均与采购人无关，中标人应与第三方交涉，并承担可能发生的一切法律责任、费用和后果；若采购人因此而遭致损失（包括但不限于律师费、诉讼费、鉴定费、诉讼过程采购人所产生的交通费等），则中标人应赔偿该损失。</w:t>
            </w:r>
          </w:p>
          <w:p w14:paraId="4D72B38B">
            <w:pPr>
              <w:keepNext w:val="0"/>
              <w:keepLines w:val="0"/>
              <w:suppressLineNumbers w:val="0"/>
              <w:spacing w:before="0" w:beforeAutospacing="0" w:after="0" w:afterAutospacing="0" w:line="360" w:lineRule="exact"/>
              <w:ind w:left="0" w:right="0"/>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4.保密要求：中标人对履约合同有关内容、资料、信息以及全部项目成果文件，负有保管和保守秘密的义务，除已公开之外，未经采购人许可不得向第三方泄露，如有发生泄露，中标人承担全部相关法律责任。</w:t>
            </w:r>
          </w:p>
        </w:tc>
      </w:tr>
      <w:tr w14:paraId="138322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453" w:type="dxa"/>
            <w:gridSpan w:val="6"/>
            <w:tcBorders>
              <w:top w:val="single" w:color="000000" w:sz="4" w:space="0"/>
              <w:left w:val="single" w:color="auto" w:sz="4" w:space="0"/>
              <w:bottom w:val="single" w:color="000000" w:sz="4" w:space="0"/>
              <w:right w:val="single" w:color="000000" w:sz="4" w:space="0"/>
            </w:tcBorders>
            <w:shd w:val="clear" w:color="auto" w:fill="auto"/>
            <w:vAlign w:val="center"/>
          </w:tcPr>
          <w:p w14:paraId="077F5725">
            <w:pPr>
              <w:keepNext w:val="0"/>
              <w:keepLines w:val="0"/>
              <w:suppressLineNumbers w:val="0"/>
              <w:spacing w:before="0" w:beforeAutospacing="0" w:after="0" w:afterAutospacing="0" w:line="360" w:lineRule="exact"/>
              <w:ind w:left="0" w:right="0"/>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rPr>
              <w:t>三、与实现项目目标相关的其他要求</w:t>
            </w:r>
          </w:p>
        </w:tc>
      </w:tr>
      <w:tr w14:paraId="371F98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401E28D7">
            <w:pPr>
              <w:keepNext w:val="0"/>
              <w:keepLines w:val="0"/>
              <w:suppressLineNumbers w:val="0"/>
              <w:bidi w:val="0"/>
              <w:spacing w:before="0" w:beforeAutospacing="0" w:after="0" w:afterAutospacing="0"/>
              <w:ind w:left="0" w:leftChars="0" w:right="0" w:rightChars="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119" w:type="dxa"/>
            <w:tcBorders>
              <w:left w:val="nil"/>
              <w:right w:val="single" w:color="000000" w:sz="4" w:space="0"/>
            </w:tcBorders>
            <w:shd w:val="clear" w:color="auto" w:fill="auto"/>
            <w:vAlign w:val="center"/>
          </w:tcPr>
          <w:p w14:paraId="3C9064F5">
            <w:pPr>
              <w:keepNext w:val="0"/>
              <w:keepLines w:val="0"/>
              <w:suppressLineNumbers w:val="0"/>
              <w:snapToGrid w:val="0"/>
              <w:spacing w:before="0" w:beforeAutospacing="0" w:after="0" w:afterAutospacing="0" w:line="400" w:lineRule="exact"/>
              <w:ind w:left="0" w:leftChars="0" w:right="0" w:rightChars="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演示要求</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274A88E8">
            <w:pPr>
              <w:keepNext w:val="0"/>
              <w:keepLines w:val="0"/>
              <w:widowControl w:val="0"/>
              <w:suppressLineNumbers w:val="0"/>
              <w:spacing w:before="0" w:beforeAutospacing="0" w:after="0" w:afterAutospacing="0" w:line="400" w:lineRule="exact"/>
              <w:ind w:left="0" w:right="0"/>
              <w:jc w:val="left"/>
              <w:textAlignment w:val="baseline"/>
              <w:rPr>
                <w:rFonts w:hint="eastAsia" w:ascii="宋体" w:hAnsi="宋体" w:eastAsia="宋体" w:cs="宋体"/>
                <w:color w:val="auto"/>
                <w:kern w:val="2"/>
                <w:sz w:val="21"/>
                <w:szCs w:val="21"/>
                <w:highlight w:val="none"/>
                <w:vertAlign w:val="baseline"/>
              </w:rPr>
            </w:pPr>
            <w:r>
              <w:rPr>
                <w:rFonts w:hint="eastAsia" w:ascii="宋体" w:hAnsi="宋体" w:eastAsia="宋体" w:cs="宋体"/>
                <w:color w:val="auto"/>
                <w:kern w:val="2"/>
                <w:sz w:val="21"/>
                <w:szCs w:val="21"/>
                <w:highlight w:val="none"/>
                <w:vertAlign w:val="baseline"/>
                <w:lang w:val="en-US" w:eastAsia="zh-CN" w:bidi="ar"/>
              </w:rPr>
              <w:t>投标人可根据自身情况进行演示，不提供演示不会导致投标人投标无效，若</w:t>
            </w:r>
            <w:r>
              <w:rPr>
                <w:rFonts w:hint="eastAsia" w:ascii="宋体" w:hAnsi="宋体" w:cs="宋体"/>
                <w:color w:val="auto"/>
                <w:kern w:val="2"/>
                <w:sz w:val="21"/>
                <w:szCs w:val="21"/>
                <w:highlight w:val="none"/>
                <w:vertAlign w:val="baseline"/>
                <w:lang w:val="en-US" w:eastAsia="zh-CN" w:bidi="ar"/>
              </w:rPr>
              <w:t>投标人</w:t>
            </w:r>
            <w:r>
              <w:rPr>
                <w:rFonts w:hint="eastAsia" w:ascii="宋体" w:hAnsi="宋体" w:eastAsia="宋体" w:cs="宋体"/>
                <w:color w:val="auto"/>
                <w:kern w:val="2"/>
                <w:sz w:val="21"/>
                <w:szCs w:val="21"/>
                <w:highlight w:val="none"/>
                <w:vertAlign w:val="baseline"/>
                <w:lang w:val="en-US" w:eastAsia="zh-CN" w:bidi="ar"/>
              </w:rPr>
              <w:t>提供产品演示的须遵循以下要求：</w:t>
            </w:r>
          </w:p>
          <w:p w14:paraId="185C89E6">
            <w:pPr>
              <w:keepNext w:val="0"/>
              <w:keepLines w:val="0"/>
              <w:widowControl w:val="0"/>
              <w:suppressLineNumbers w:val="0"/>
              <w:spacing w:before="0" w:beforeAutospacing="0" w:after="0" w:afterAutospacing="0" w:line="400" w:lineRule="exact"/>
              <w:ind w:left="0" w:right="0"/>
              <w:jc w:val="left"/>
              <w:textAlignment w:val="baseline"/>
              <w:rPr>
                <w:rFonts w:hint="eastAsia" w:ascii="宋体" w:hAnsi="宋体" w:eastAsia="宋体" w:cs="宋体"/>
                <w:color w:val="auto"/>
                <w:kern w:val="2"/>
                <w:sz w:val="21"/>
                <w:szCs w:val="21"/>
                <w:highlight w:val="none"/>
                <w:vertAlign w:val="baseline"/>
              </w:rPr>
            </w:pPr>
            <w:r>
              <w:rPr>
                <w:rFonts w:hint="eastAsia" w:ascii="宋体" w:hAnsi="宋体" w:eastAsia="宋体" w:cs="宋体"/>
                <w:color w:val="auto"/>
                <w:kern w:val="2"/>
                <w:sz w:val="21"/>
                <w:szCs w:val="21"/>
                <w:highlight w:val="none"/>
                <w:vertAlign w:val="baseline"/>
                <w:lang w:val="en-US" w:eastAsia="zh-CN" w:bidi="ar"/>
              </w:rPr>
              <w:t>1.演示采取远程在线演示或录制视频演示的方式（由投标人自行选择其一），通过广西政府采购云平台电子开标大厅进行。采购代理机构通过该平台向投标人发送演示邀请，具体演示时间根据评标进度由采购代理机构另行通知</w:t>
            </w:r>
            <w:r>
              <w:rPr>
                <w:rFonts w:hint="eastAsia" w:ascii="宋体" w:hAnsi="宋体" w:cs="宋体"/>
                <w:color w:val="auto"/>
                <w:kern w:val="2"/>
                <w:sz w:val="21"/>
                <w:szCs w:val="21"/>
                <w:highlight w:val="none"/>
                <w:vertAlign w:val="baseline"/>
                <w:lang w:val="en-US" w:eastAsia="zh-CN" w:bidi="ar"/>
              </w:rPr>
              <w:t>。</w:t>
            </w:r>
          </w:p>
          <w:p w14:paraId="00ABC2CE">
            <w:pPr>
              <w:keepNext w:val="0"/>
              <w:keepLines w:val="0"/>
              <w:widowControl w:val="0"/>
              <w:suppressLineNumbers w:val="0"/>
              <w:spacing w:before="0" w:beforeAutospacing="0" w:after="0" w:afterAutospacing="0" w:line="400" w:lineRule="exact"/>
              <w:ind w:left="0" w:right="0"/>
              <w:jc w:val="left"/>
              <w:textAlignment w:val="baseline"/>
              <w:rPr>
                <w:rFonts w:hint="eastAsia" w:ascii="宋体" w:hAnsi="宋体" w:eastAsia="宋体" w:cs="宋体"/>
                <w:color w:val="auto"/>
                <w:kern w:val="2"/>
                <w:sz w:val="21"/>
                <w:szCs w:val="21"/>
                <w:highlight w:val="none"/>
                <w:vertAlign w:val="baseline"/>
              </w:rPr>
            </w:pPr>
            <w:r>
              <w:rPr>
                <w:rFonts w:hint="eastAsia" w:ascii="宋体" w:hAnsi="宋体" w:eastAsia="宋体" w:cs="宋体"/>
                <w:color w:val="auto"/>
                <w:kern w:val="2"/>
                <w:sz w:val="21"/>
                <w:szCs w:val="21"/>
                <w:highlight w:val="none"/>
                <w:vertAlign w:val="baseline"/>
                <w:lang w:val="en-US" w:eastAsia="zh-CN" w:bidi="ar"/>
              </w:rPr>
              <w:t>2.投标人应提前准备好演示所需界面等内容，投标人应在接到电话通知</w:t>
            </w:r>
            <w:r>
              <w:rPr>
                <w:rFonts w:hint="eastAsia" w:ascii="宋体" w:hAnsi="宋体" w:cs="宋体"/>
                <w:color w:val="auto"/>
                <w:kern w:val="2"/>
                <w:sz w:val="21"/>
                <w:szCs w:val="21"/>
                <w:highlight w:val="none"/>
                <w:vertAlign w:val="baseline"/>
                <w:lang w:val="en-US" w:eastAsia="zh-CN" w:bidi="ar"/>
              </w:rPr>
              <w:t>2</w:t>
            </w:r>
            <w:r>
              <w:rPr>
                <w:rFonts w:hint="eastAsia" w:ascii="宋体" w:hAnsi="宋体" w:eastAsia="宋体" w:cs="宋体"/>
                <w:color w:val="auto"/>
                <w:kern w:val="2"/>
                <w:sz w:val="21"/>
                <w:szCs w:val="21"/>
                <w:highlight w:val="none"/>
                <w:vertAlign w:val="baseline"/>
                <w:lang w:val="en-US" w:eastAsia="zh-CN" w:bidi="ar"/>
              </w:rPr>
              <w:t>0分钟内进行演示，因投标人自身原因导致迟到或缺席则后果自负。</w:t>
            </w:r>
          </w:p>
          <w:p w14:paraId="5EF8A50A">
            <w:pPr>
              <w:keepNext w:val="0"/>
              <w:keepLines w:val="0"/>
              <w:widowControl w:val="0"/>
              <w:suppressLineNumbers w:val="0"/>
              <w:spacing w:before="0" w:beforeAutospacing="0" w:after="0" w:afterAutospacing="0" w:line="400" w:lineRule="exact"/>
              <w:ind w:left="0" w:right="0"/>
              <w:jc w:val="left"/>
              <w:textAlignment w:val="baseline"/>
              <w:rPr>
                <w:rFonts w:hint="eastAsia" w:ascii="宋体" w:hAnsi="宋体" w:eastAsia="宋体" w:cs="宋体"/>
                <w:color w:val="auto"/>
                <w:kern w:val="2"/>
                <w:sz w:val="21"/>
                <w:szCs w:val="21"/>
                <w:highlight w:val="none"/>
                <w:vertAlign w:val="baseline"/>
              </w:rPr>
            </w:pPr>
            <w:r>
              <w:rPr>
                <w:rFonts w:hint="eastAsia" w:ascii="宋体" w:hAnsi="宋体" w:eastAsia="宋体" w:cs="宋体"/>
                <w:color w:val="auto"/>
                <w:kern w:val="2"/>
                <w:sz w:val="21"/>
                <w:szCs w:val="21"/>
                <w:highlight w:val="none"/>
                <w:vertAlign w:val="baseline"/>
                <w:lang w:val="en-US" w:eastAsia="zh-CN" w:bidi="ar"/>
              </w:rPr>
              <w:t>3.演示按投标人在广西政府采购云平台签到先后顺序依次进行，每位投标人演示时间不超过</w:t>
            </w:r>
            <w:r>
              <w:rPr>
                <w:rFonts w:hint="eastAsia" w:ascii="宋体" w:hAnsi="宋体" w:cs="宋体"/>
                <w:color w:val="auto"/>
                <w:kern w:val="2"/>
                <w:sz w:val="21"/>
                <w:szCs w:val="21"/>
                <w:highlight w:val="none"/>
                <w:vertAlign w:val="baseline"/>
                <w:lang w:val="en-US" w:eastAsia="zh-CN" w:bidi="ar"/>
              </w:rPr>
              <w:t>4</w:t>
            </w:r>
            <w:r>
              <w:rPr>
                <w:rFonts w:hint="eastAsia" w:ascii="宋体" w:hAnsi="宋体" w:eastAsia="宋体" w:cs="宋体"/>
                <w:color w:val="auto"/>
                <w:kern w:val="2"/>
                <w:sz w:val="21"/>
                <w:szCs w:val="21"/>
                <w:highlight w:val="none"/>
                <w:vertAlign w:val="baseline"/>
                <w:lang w:val="en-US" w:eastAsia="zh-CN" w:bidi="ar"/>
              </w:rPr>
              <w:t>0分钟（含答疑时间）。演示自投标人开始演示起计时，超时由工作人员予以提醒并终止演示。轮到某投标人时未能按时进行演示的，视为放弃演示资格，依次顺延至下一位投标人</w:t>
            </w:r>
            <w:r>
              <w:rPr>
                <w:rFonts w:hint="eastAsia" w:ascii="宋体" w:hAnsi="宋体" w:eastAsia="宋体" w:cs="宋体"/>
                <w:b/>
                <w:bCs/>
                <w:color w:val="auto"/>
                <w:kern w:val="2"/>
                <w:sz w:val="21"/>
                <w:szCs w:val="21"/>
                <w:highlight w:val="none"/>
                <w:vertAlign w:val="baseline"/>
                <w:lang w:val="en-US" w:eastAsia="zh-CN" w:bidi="ar"/>
              </w:rPr>
              <w:t>。</w:t>
            </w:r>
          </w:p>
          <w:p w14:paraId="4AF67AE7">
            <w:pPr>
              <w:keepNext w:val="0"/>
              <w:keepLines w:val="0"/>
              <w:widowControl w:val="0"/>
              <w:suppressLineNumbers w:val="0"/>
              <w:spacing w:before="0" w:beforeAutospacing="0" w:after="0" w:afterAutospacing="0" w:line="400" w:lineRule="exact"/>
              <w:ind w:left="0" w:right="0"/>
              <w:jc w:val="left"/>
              <w:textAlignment w:val="baseline"/>
              <w:rPr>
                <w:rFonts w:hint="eastAsia" w:ascii="宋体" w:hAnsi="宋体" w:eastAsia="宋体" w:cs="宋体"/>
                <w:b/>
                <w:bCs/>
                <w:color w:val="auto"/>
                <w:kern w:val="2"/>
                <w:sz w:val="21"/>
                <w:szCs w:val="21"/>
                <w:highlight w:val="none"/>
                <w:vertAlign w:val="baseline"/>
              </w:rPr>
            </w:pPr>
            <w:r>
              <w:rPr>
                <w:rFonts w:hint="eastAsia" w:ascii="宋体" w:hAnsi="宋体" w:eastAsia="宋体" w:cs="宋体"/>
                <w:color w:val="auto"/>
                <w:kern w:val="2"/>
                <w:sz w:val="21"/>
                <w:szCs w:val="21"/>
                <w:highlight w:val="none"/>
                <w:vertAlign w:val="baseline"/>
                <w:lang w:val="en-US" w:eastAsia="zh-CN" w:bidi="ar"/>
              </w:rPr>
              <w:t>4.投标人须使用所投系统进行实际操作演示。仅以文档、演示文稿、图片、动画或宣传视频等非系统运行方式代替系统演示的，视为未提供演示。 采用录制视频方式演示的，视频内容须为所投系统实际运行画面的录制，非系统实际运行的动画、宣传类视频视为未提供演示</w:t>
            </w:r>
            <w:r>
              <w:rPr>
                <w:rFonts w:hint="eastAsia" w:ascii="宋体" w:hAnsi="宋体" w:eastAsia="宋体" w:cs="宋体"/>
                <w:b/>
                <w:bCs/>
                <w:color w:val="auto"/>
                <w:kern w:val="2"/>
                <w:sz w:val="21"/>
                <w:szCs w:val="21"/>
                <w:highlight w:val="none"/>
                <w:vertAlign w:val="baseline"/>
                <w:lang w:val="en-US" w:eastAsia="zh-CN" w:bidi="ar"/>
              </w:rPr>
              <w:t>。</w:t>
            </w:r>
          </w:p>
          <w:p w14:paraId="128050E4">
            <w:pPr>
              <w:keepNext w:val="0"/>
              <w:keepLines w:val="0"/>
              <w:suppressLineNumbers w:val="0"/>
              <w:spacing w:before="0" w:beforeAutospacing="0" w:after="0" w:afterAutospacing="0" w:line="360" w:lineRule="exact"/>
              <w:ind w:left="0" w:right="0"/>
              <w:rPr>
                <w:rFonts w:hint="eastAsia" w:ascii="宋体" w:hAnsi="宋体" w:eastAsia="宋体" w:cs="宋体"/>
                <w:color w:val="auto"/>
                <w:sz w:val="21"/>
                <w:szCs w:val="21"/>
                <w:highlight w:val="none"/>
                <w:lang w:val="en-US" w:eastAsia="zh-CN"/>
              </w:rPr>
            </w:pPr>
            <w:r>
              <w:rPr>
                <w:rFonts w:hint="eastAsia" w:ascii="宋体" w:hAnsi="宋体" w:cs="宋体"/>
                <w:color w:val="auto"/>
                <w:kern w:val="2"/>
                <w:sz w:val="21"/>
                <w:szCs w:val="21"/>
                <w:highlight w:val="none"/>
                <w:vertAlign w:val="baseline"/>
                <w:lang w:val="en-US" w:eastAsia="zh-CN" w:bidi="ar"/>
              </w:rPr>
              <w:t>5.</w:t>
            </w:r>
            <w:r>
              <w:rPr>
                <w:rFonts w:hint="eastAsia" w:ascii="宋体" w:hAnsi="宋体" w:eastAsia="宋体" w:cs="宋体"/>
                <w:color w:val="auto"/>
                <w:kern w:val="2"/>
                <w:sz w:val="21"/>
                <w:szCs w:val="21"/>
                <w:highlight w:val="none"/>
                <w:vertAlign w:val="baseline"/>
                <w:lang w:val="en-US" w:eastAsia="zh-CN" w:bidi="ar"/>
              </w:rPr>
              <w:t>演示内容详见</w:t>
            </w:r>
            <w:r>
              <w:rPr>
                <w:rFonts w:hint="eastAsia" w:ascii="宋体" w:hAnsi="宋体" w:cs="宋体"/>
                <w:b w:val="0"/>
                <w:bCs w:val="0"/>
                <w:color w:val="auto"/>
                <w:kern w:val="2"/>
                <w:sz w:val="21"/>
                <w:szCs w:val="21"/>
                <w:highlight w:val="none"/>
                <w:vertAlign w:val="baseline"/>
                <w:lang w:val="en-US" w:eastAsia="zh-CN" w:bidi="ar"/>
              </w:rPr>
              <w:t>采购需求</w:t>
            </w:r>
            <w:r>
              <w:rPr>
                <w:rFonts w:hint="eastAsia" w:ascii="宋体" w:hAnsi="宋体" w:cs="宋体"/>
                <w:b w:val="0"/>
                <w:bCs w:val="0"/>
                <w:color w:val="auto"/>
                <w:szCs w:val="21"/>
                <w:highlight w:val="none"/>
              </w:rPr>
              <w:t>“</w:t>
            </w:r>
            <w:r>
              <w:rPr>
                <w:rFonts w:hint="eastAsia" w:ascii="宋体" w:hAnsi="宋体" w:cs="宋体"/>
                <w:b w:val="0"/>
                <w:bCs w:val="0"/>
                <w:color w:val="auto"/>
                <w:szCs w:val="21"/>
                <w:highlight w:val="none"/>
                <w:lang w:val="en-US" w:eastAsia="zh-CN"/>
              </w:rPr>
              <w:t>技术参数及性能（配置）要求</w:t>
            </w:r>
            <w:r>
              <w:rPr>
                <w:rFonts w:hint="eastAsia" w:ascii="宋体" w:hAnsi="宋体" w:cs="宋体"/>
                <w:b w:val="0"/>
                <w:bCs w:val="0"/>
                <w:color w:val="auto"/>
                <w:szCs w:val="21"/>
                <w:highlight w:val="none"/>
              </w:rPr>
              <w:t>”，</w:t>
            </w:r>
            <w:r>
              <w:rPr>
                <w:rFonts w:hint="eastAsia" w:ascii="宋体" w:hAnsi="宋体" w:cs="宋体"/>
                <w:b w:val="0"/>
                <w:bCs w:val="0"/>
                <w:color w:val="auto"/>
                <w:kern w:val="2"/>
                <w:sz w:val="21"/>
                <w:szCs w:val="21"/>
                <w:highlight w:val="none"/>
                <w:vertAlign w:val="baseline"/>
                <w:lang w:val="en-US" w:eastAsia="zh-CN" w:bidi="ar"/>
              </w:rPr>
              <w:t>标注“</w:t>
            </w:r>
            <w:r>
              <w:rPr>
                <w:rFonts w:hint="eastAsia" w:ascii="宋体" w:hAnsi="宋体" w:eastAsia="宋体" w:cs="宋体"/>
                <w:b/>
                <w:bCs/>
                <w:color w:val="auto"/>
                <w:highlight w:val="none"/>
                <w:lang w:val="en-US" w:eastAsia="zh-CN"/>
              </w:rPr>
              <w:t>●</w:t>
            </w:r>
            <w:r>
              <w:rPr>
                <w:rFonts w:hint="eastAsia" w:ascii="宋体" w:hAnsi="宋体" w:eastAsia="宋体" w:cs="宋体"/>
                <w:b/>
                <w:bCs/>
                <w:color w:val="auto"/>
                <w:sz w:val="21"/>
                <w:szCs w:val="21"/>
                <w:highlight w:val="none"/>
                <w:shd w:val="clear" w:color="auto" w:fill="FFFFFF"/>
              </w:rPr>
              <w:t>（</w:t>
            </w:r>
            <w:r>
              <w:rPr>
                <w:rFonts w:hint="eastAsia" w:ascii="宋体" w:hAnsi="宋体" w:eastAsia="宋体" w:cs="宋体"/>
                <w:b/>
                <w:bCs/>
                <w:color w:val="auto"/>
                <w:sz w:val="21"/>
                <w:szCs w:val="21"/>
                <w:highlight w:val="none"/>
                <w:shd w:val="clear" w:color="auto" w:fill="FFFFFF"/>
                <w:lang w:val="en-US" w:eastAsia="zh-CN"/>
              </w:rPr>
              <w:t>需根据技术参数要求提供系统视频演示</w:t>
            </w:r>
            <w:r>
              <w:rPr>
                <w:rFonts w:hint="eastAsia" w:ascii="宋体" w:hAnsi="宋体" w:eastAsia="宋体" w:cs="宋体"/>
                <w:b/>
                <w:bCs/>
                <w:color w:val="auto"/>
                <w:sz w:val="21"/>
                <w:szCs w:val="21"/>
                <w:highlight w:val="none"/>
                <w:shd w:val="clear" w:color="auto" w:fill="FFFFFF"/>
              </w:rPr>
              <w:t>）</w:t>
            </w:r>
            <w:r>
              <w:rPr>
                <w:rFonts w:hint="eastAsia" w:ascii="宋体" w:hAnsi="宋体" w:cs="宋体"/>
                <w:b w:val="0"/>
                <w:bCs w:val="0"/>
                <w:color w:val="auto"/>
                <w:kern w:val="2"/>
                <w:sz w:val="21"/>
                <w:szCs w:val="21"/>
                <w:highlight w:val="none"/>
                <w:vertAlign w:val="baseline"/>
                <w:lang w:val="en-US" w:eastAsia="zh-CN" w:bidi="ar"/>
              </w:rPr>
              <w:t>”的条款或</w:t>
            </w:r>
            <w:r>
              <w:rPr>
                <w:rFonts w:hint="eastAsia" w:ascii="宋体" w:hAnsi="宋体" w:eastAsia="宋体" w:cs="宋体"/>
                <w:color w:val="auto"/>
                <w:kern w:val="2"/>
                <w:sz w:val="21"/>
                <w:szCs w:val="21"/>
                <w:highlight w:val="none"/>
                <w:vertAlign w:val="baseline"/>
                <w:lang w:val="en-US" w:eastAsia="zh-CN" w:bidi="ar"/>
              </w:rPr>
              <w:t>招标文件“第四章 评标方法和评标标准”。</w:t>
            </w:r>
          </w:p>
        </w:tc>
      </w:tr>
    </w:tbl>
    <w:p w14:paraId="3008A125">
      <w:pPr>
        <w:ind w:left="119"/>
        <w:rPr>
          <w:rFonts w:hint="eastAsia" w:ascii="宋体" w:hAnsi="宋体" w:cs="宋体"/>
          <w:color w:val="auto"/>
          <w:sz w:val="32"/>
          <w:szCs w:val="32"/>
          <w:highlight w:val="none"/>
        </w:rPr>
      </w:pPr>
    </w:p>
    <w:p w14:paraId="6139F4BE">
      <w:pPr>
        <w:rPr>
          <w:rFonts w:hint="eastAsia" w:cs="宋体"/>
          <w:b/>
          <w:bCs/>
          <w:color w:val="auto"/>
          <w:sz w:val="21"/>
          <w:szCs w:val="21"/>
          <w:highlight w:val="none"/>
          <w:lang w:val="en-US" w:eastAsia="zh-CN"/>
        </w:rPr>
      </w:pPr>
      <w:r>
        <w:rPr>
          <w:rFonts w:hint="eastAsia" w:cs="宋体"/>
          <w:b/>
          <w:bCs/>
          <w:color w:val="auto"/>
          <w:sz w:val="21"/>
          <w:szCs w:val="21"/>
          <w:highlight w:val="none"/>
          <w:lang w:val="en-US" w:eastAsia="zh-CN"/>
        </w:rPr>
        <w:br w:type="page"/>
      </w:r>
    </w:p>
    <w:p w14:paraId="6FD3238A">
      <w:pPr>
        <w:pStyle w:val="2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20"/>
        <w:rPr>
          <w:rFonts w:hint="default" w:ascii="宋体" w:hAnsi="宋体" w:eastAsia="宋体" w:cs="宋体"/>
          <w:b/>
          <w:bCs/>
          <w:color w:val="auto"/>
          <w:sz w:val="21"/>
          <w:szCs w:val="21"/>
          <w:highlight w:val="none"/>
          <w:lang w:val="en-US" w:eastAsia="zh-CN"/>
        </w:rPr>
      </w:pPr>
      <w:r>
        <w:rPr>
          <w:rFonts w:hint="eastAsia" w:cs="宋体"/>
          <w:b/>
          <w:bCs/>
          <w:color w:val="auto"/>
          <w:sz w:val="21"/>
          <w:szCs w:val="21"/>
          <w:highlight w:val="none"/>
          <w:lang w:val="en-US" w:eastAsia="zh-CN"/>
        </w:rPr>
        <w:t>分标2：</w:t>
      </w:r>
    </w:p>
    <w:tbl>
      <w:tblPr>
        <w:tblStyle w:val="28"/>
        <w:tblW w:w="945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62"/>
        <w:gridCol w:w="1119"/>
        <w:gridCol w:w="562"/>
        <w:gridCol w:w="519"/>
        <w:gridCol w:w="5194"/>
        <w:gridCol w:w="1497"/>
      </w:tblGrid>
      <w:tr w14:paraId="742B9D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5" w:hRule="atLeast"/>
          <w:jc w:val="center"/>
        </w:trPr>
        <w:tc>
          <w:tcPr>
            <w:tcW w:w="9453" w:type="dxa"/>
            <w:gridSpan w:val="6"/>
            <w:tcBorders>
              <w:top w:val="single" w:color="000000" w:sz="4" w:space="0"/>
              <w:left w:val="single" w:color="auto" w:sz="4" w:space="0"/>
              <w:bottom w:val="single" w:color="000000" w:sz="4" w:space="0"/>
              <w:right w:val="single" w:color="000000" w:sz="4" w:space="0"/>
            </w:tcBorders>
            <w:vAlign w:val="center"/>
          </w:tcPr>
          <w:p w14:paraId="4DAB9A33">
            <w:pPr>
              <w:keepNext w:val="0"/>
              <w:keepLines w:val="0"/>
              <w:widowControl w:val="0"/>
              <w:suppressLineNumbers w:val="0"/>
              <w:wordWrap/>
              <w:adjustRightInd/>
              <w:snapToGrid/>
              <w:spacing w:before="0" w:beforeAutospacing="0" w:after="0" w:afterAutospacing="0" w:line="320" w:lineRule="exact"/>
              <w:ind w:left="0" w:leftChars="0" w:right="0" w:firstLine="0" w:firstLineChars="0"/>
              <w:jc w:val="center"/>
              <w:textAlignment w:val="auto"/>
              <w:outlineLvl w:val="9"/>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一、技术要求</w:t>
            </w:r>
          </w:p>
        </w:tc>
      </w:tr>
      <w:tr w14:paraId="2D0BA3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284DC601">
            <w:pPr>
              <w:keepNext w:val="0"/>
              <w:keepLines w:val="0"/>
              <w:widowControl w:val="0"/>
              <w:suppressLineNumbers w:val="0"/>
              <w:wordWrap/>
              <w:adjustRightInd/>
              <w:snapToGrid/>
              <w:spacing w:before="0" w:beforeAutospacing="0" w:after="0" w:afterAutospacing="0" w:line="320" w:lineRule="exact"/>
              <w:ind w:left="0" w:leftChars="0" w:right="0" w:rightChars="0" w:firstLine="0" w:firstLineChars="0"/>
              <w:jc w:val="center"/>
              <w:textAlignment w:val="auto"/>
              <w:outlineLvl w:val="9"/>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sz w:val="21"/>
                <w:szCs w:val="21"/>
                <w:highlight w:val="none"/>
              </w:rPr>
              <w:t>序号</w:t>
            </w:r>
          </w:p>
        </w:tc>
        <w:tc>
          <w:tcPr>
            <w:tcW w:w="1119" w:type="dxa"/>
            <w:tcBorders>
              <w:top w:val="single" w:color="000000" w:sz="4" w:space="0"/>
              <w:left w:val="nil"/>
              <w:bottom w:val="single" w:color="000000" w:sz="4" w:space="0"/>
              <w:right w:val="single" w:color="000000" w:sz="4" w:space="0"/>
            </w:tcBorders>
            <w:shd w:val="clear" w:color="auto" w:fill="auto"/>
            <w:vAlign w:val="center"/>
          </w:tcPr>
          <w:p w14:paraId="2ED50037">
            <w:pPr>
              <w:keepNext w:val="0"/>
              <w:keepLines w:val="0"/>
              <w:widowControl w:val="0"/>
              <w:suppressLineNumbers w:val="0"/>
              <w:wordWrap/>
              <w:adjustRightInd/>
              <w:snapToGrid/>
              <w:spacing w:before="0" w:beforeAutospacing="0" w:after="0" w:afterAutospacing="0" w:line="320" w:lineRule="exact"/>
              <w:ind w:left="0" w:leftChars="0" w:right="0" w:rightChars="0" w:firstLine="0" w:firstLineChars="0"/>
              <w:jc w:val="center"/>
              <w:textAlignment w:val="auto"/>
              <w:outlineLvl w:val="9"/>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0"/>
                <w:sz w:val="21"/>
                <w:szCs w:val="21"/>
                <w:highlight w:val="none"/>
                <w:lang w:eastAsia="zh-CN"/>
              </w:rPr>
              <w:t>标的</w:t>
            </w:r>
            <w:r>
              <w:rPr>
                <w:rFonts w:hint="eastAsia" w:ascii="宋体" w:hAnsi="宋体" w:eastAsia="宋体" w:cs="宋体"/>
                <w:b/>
                <w:bCs/>
                <w:color w:val="auto"/>
                <w:sz w:val="21"/>
                <w:szCs w:val="21"/>
                <w:highlight w:val="none"/>
              </w:rPr>
              <w:t>名称</w:t>
            </w:r>
          </w:p>
        </w:tc>
        <w:tc>
          <w:tcPr>
            <w:tcW w:w="562" w:type="dxa"/>
            <w:tcBorders>
              <w:top w:val="single" w:color="000000" w:sz="4" w:space="0"/>
              <w:left w:val="nil"/>
              <w:bottom w:val="single" w:color="000000" w:sz="4" w:space="0"/>
              <w:right w:val="single" w:color="000000" w:sz="4" w:space="0"/>
            </w:tcBorders>
            <w:shd w:val="clear" w:color="auto" w:fill="auto"/>
            <w:vAlign w:val="center"/>
          </w:tcPr>
          <w:p w14:paraId="7A424E23">
            <w:pPr>
              <w:keepNext w:val="0"/>
              <w:keepLines w:val="0"/>
              <w:widowControl w:val="0"/>
              <w:suppressLineNumbers w:val="0"/>
              <w:wordWrap/>
              <w:adjustRightInd/>
              <w:snapToGrid/>
              <w:spacing w:before="0" w:beforeAutospacing="0" w:after="0" w:afterAutospacing="0" w:line="320" w:lineRule="exact"/>
              <w:ind w:left="0" w:leftChars="0" w:right="0" w:rightChars="0" w:firstLine="0" w:firstLineChars="0"/>
              <w:jc w:val="center"/>
              <w:textAlignment w:val="auto"/>
              <w:outlineLvl w:val="9"/>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sz w:val="21"/>
                <w:szCs w:val="21"/>
                <w:highlight w:val="none"/>
              </w:rPr>
              <w:t>数量</w:t>
            </w:r>
          </w:p>
        </w:tc>
        <w:tc>
          <w:tcPr>
            <w:tcW w:w="519" w:type="dxa"/>
            <w:tcBorders>
              <w:top w:val="single" w:color="000000" w:sz="4" w:space="0"/>
              <w:left w:val="nil"/>
              <w:bottom w:val="single" w:color="000000" w:sz="4" w:space="0"/>
              <w:right w:val="single" w:color="000000" w:sz="4" w:space="0"/>
            </w:tcBorders>
            <w:shd w:val="clear" w:color="auto" w:fill="auto"/>
            <w:vAlign w:val="center"/>
          </w:tcPr>
          <w:p w14:paraId="34544CBC">
            <w:pPr>
              <w:keepNext w:val="0"/>
              <w:keepLines w:val="0"/>
              <w:widowControl w:val="0"/>
              <w:suppressLineNumbers w:val="0"/>
              <w:wordWrap/>
              <w:adjustRightInd/>
              <w:snapToGrid/>
              <w:spacing w:before="0" w:beforeAutospacing="0" w:after="0" w:afterAutospacing="0" w:line="320" w:lineRule="exact"/>
              <w:ind w:left="0" w:leftChars="0" w:right="0" w:rightChars="0" w:firstLine="0" w:firstLineChars="0"/>
              <w:jc w:val="center"/>
              <w:textAlignment w:val="auto"/>
              <w:outlineLvl w:val="9"/>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sz w:val="21"/>
                <w:szCs w:val="21"/>
                <w:highlight w:val="none"/>
              </w:rPr>
              <w:t>单位</w:t>
            </w:r>
          </w:p>
        </w:tc>
        <w:tc>
          <w:tcPr>
            <w:tcW w:w="5194" w:type="dxa"/>
            <w:tcBorders>
              <w:top w:val="single" w:color="000000" w:sz="4" w:space="0"/>
              <w:left w:val="nil"/>
              <w:bottom w:val="single" w:color="000000" w:sz="4" w:space="0"/>
              <w:right w:val="single" w:color="auto" w:sz="4" w:space="0"/>
            </w:tcBorders>
            <w:shd w:val="clear" w:color="auto" w:fill="auto"/>
            <w:vAlign w:val="center"/>
          </w:tcPr>
          <w:p w14:paraId="18856351">
            <w:pPr>
              <w:keepNext w:val="0"/>
              <w:keepLines w:val="0"/>
              <w:widowControl w:val="0"/>
              <w:suppressLineNumbers w:val="0"/>
              <w:wordWrap/>
              <w:adjustRightInd/>
              <w:snapToGrid/>
              <w:spacing w:before="0" w:beforeAutospacing="0" w:after="0" w:afterAutospacing="0" w:line="320" w:lineRule="exact"/>
              <w:ind w:left="0" w:leftChars="0" w:right="0" w:rightChars="0" w:firstLine="0" w:firstLineChars="0"/>
              <w:jc w:val="center"/>
              <w:textAlignment w:val="auto"/>
              <w:outlineLvl w:val="9"/>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技术参数及性能（配置）要求</w:t>
            </w:r>
          </w:p>
        </w:tc>
        <w:tc>
          <w:tcPr>
            <w:tcW w:w="1497" w:type="dxa"/>
            <w:tcBorders>
              <w:top w:val="single" w:color="000000" w:sz="4" w:space="0"/>
              <w:left w:val="single" w:color="auto" w:sz="4" w:space="0"/>
              <w:bottom w:val="single" w:color="000000" w:sz="4" w:space="0"/>
              <w:right w:val="single" w:color="000000" w:sz="4" w:space="0"/>
            </w:tcBorders>
            <w:shd w:val="clear" w:color="auto" w:fill="auto"/>
            <w:vAlign w:val="center"/>
          </w:tcPr>
          <w:p w14:paraId="322DC438">
            <w:pPr>
              <w:keepNext w:val="0"/>
              <w:keepLines w:val="0"/>
              <w:widowControl w:val="0"/>
              <w:suppressLineNumbers w:val="0"/>
              <w:wordWrap/>
              <w:adjustRightInd/>
              <w:snapToGrid/>
              <w:spacing w:before="0" w:beforeAutospacing="0" w:after="0" w:afterAutospacing="0" w:line="320" w:lineRule="exact"/>
              <w:ind w:left="0" w:leftChars="0" w:right="0" w:rightChars="0" w:firstLine="0" w:firstLineChars="0"/>
              <w:jc w:val="center"/>
              <w:textAlignment w:val="auto"/>
              <w:outlineLvl w:val="9"/>
              <w:rPr>
                <w:rFonts w:hint="eastAsia" w:ascii="宋体" w:hAnsi="宋体" w:eastAsia="宋体" w:cs="宋体"/>
                <w:b/>
                <w:bCs/>
                <w:color w:val="auto"/>
                <w:sz w:val="21"/>
                <w:szCs w:val="21"/>
                <w:highlight w:val="none"/>
                <w:lang w:eastAsia="zh-CN"/>
              </w:rPr>
            </w:pPr>
            <w:r>
              <w:rPr>
                <w:rFonts w:hint="eastAsia" w:ascii="宋体" w:hAnsi="宋体" w:cs="宋体"/>
                <w:b/>
                <w:bCs/>
                <w:color w:val="auto"/>
                <w:sz w:val="21"/>
                <w:szCs w:val="21"/>
                <w:highlight w:val="none"/>
                <w:lang w:eastAsia="zh-CN"/>
              </w:rPr>
              <w:t>采购标的对应中小企业划分所属行业</w:t>
            </w:r>
          </w:p>
        </w:tc>
      </w:tr>
      <w:tr w14:paraId="477902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1EAEC087">
            <w:pPr>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1</w:t>
            </w:r>
          </w:p>
        </w:tc>
        <w:tc>
          <w:tcPr>
            <w:tcW w:w="1119" w:type="dxa"/>
            <w:tcBorders>
              <w:top w:val="single" w:color="000000" w:sz="4" w:space="0"/>
              <w:left w:val="nil"/>
              <w:bottom w:val="single" w:color="000000" w:sz="4" w:space="0"/>
              <w:right w:val="single" w:color="000000" w:sz="4" w:space="0"/>
            </w:tcBorders>
            <w:shd w:val="clear" w:color="auto" w:fill="auto"/>
            <w:vAlign w:val="center"/>
          </w:tcPr>
          <w:p w14:paraId="288CC0C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轮转式切片机</w:t>
            </w:r>
          </w:p>
        </w:tc>
        <w:tc>
          <w:tcPr>
            <w:tcW w:w="562" w:type="dxa"/>
            <w:tcBorders>
              <w:top w:val="single" w:color="000000" w:sz="4" w:space="0"/>
              <w:left w:val="nil"/>
              <w:bottom w:val="single" w:color="000000" w:sz="4" w:space="0"/>
              <w:right w:val="single" w:color="000000" w:sz="4" w:space="0"/>
            </w:tcBorders>
            <w:shd w:val="clear" w:color="auto" w:fill="auto"/>
            <w:vAlign w:val="center"/>
          </w:tcPr>
          <w:p w14:paraId="3D855F4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color w:val="auto"/>
                <w:sz w:val="21"/>
                <w:szCs w:val="21"/>
                <w:highlight w:val="none"/>
              </w:rPr>
              <w:t>2</w:t>
            </w:r>
          </w:p>
        </w:tc>
        <w:tc>
          <w:tcPr>
            <w:tcW w:w="519" w:type="dxa"/>
            <w:tcBorders>
              <w:top w:val="single" w:color="000000" w:sz="4" w:space="0"/>
              <w:left w:val="nil"/>
              <w:bottom w:val="single" w:color="000000" w:sz="4" w:space="0"/>
              <w:right w:val="single" w:color="000000" w:sz="4" w:space="0"/>
            </w:tcBorders>
            <w:shd w:val="clear" w:color="auto" w:fill="auto"/>
            <w:vAlign w:val="center"/>
          </w:tcPr>
          <w:p w14:paraId="52C7B54B">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台</w:t>
            </w:r>
          </w:p>
        </w:tc>
        <w:tc>
          <w:tcPr>
            <w:tcW w:w="5194" w:type="dxa"/>
            <w:tcBorders>
              <w:top w:val="single" w:color="000000" w:sz="4" w:space="0"/>
              <w:left w:val="nil"/>
              <w:bottom w:val="single" w:color="000000" w:sz="4" w:space="0"/>
              <w:right w:val="single" w:color="auto" w:sz="4" w:space="0"/>
            </w:tcBorders>
            <w:shd w:val="clear" w:color="auto" w:fill="auto"/>
            <w:vAlign w:val="top"/>
          </w:tcPr>
          <w:p w14:paraId="4CB2F57B">
            <w:pPr>
              <w:keepNext w:val="0"/>
              <w:keepLines w:val="0"/>
              <w:suppressLineNumbers w:val="0"/>
              <w:snapToGrid w:val="0"/>
              <w:spacing w:before="0" w:beforeAutospacing="0" w:after="0" w:afterAutospacing="0"/>
              <w:ind w:left="0" w:right="0"/>
              <w:jc w:val="both"/>
              <w:rPr>
                <w:color w:val="auto"/>
                <w:sz w:val="21"/>
                <w:szCs w:val="21"/>
                <w:highlight w:val="none"/>
              </w:rPr>
            </w:pPr>
            <w:r>
              <w:rPr>
                <w:color w:val="auto"/>
                <w:sz w:val="21"/>
                <w:szCs w:val="21"/>
                <w:highlight w:val="none"/>
              </w:rPr>
              <w:t>1.切片方式：半自动轮转式；</w:t>
            </w:r>
          </w:p>
          <w:p w14:paraId="52B4109C">
            <w:pPr>
              <w:keepNext w:val="0"/>
              <w:keepLines w:val="0"/>
              <w:suppressLineNumbers w:val="0"/>
              <w:snapToGrid w:val="0"/>
              <w:spacing w:before="0" w:beforeAutospacing="0" w:after="0" w:afterAutospacing="0"/>
              <w:ind w:left="0" w:right="0"/>
              <w:jc w:val="both"/>
              <w:rPr>
                <w:color w:val="auto"/>
                <w:sz w:val="21"/>
                <w:szCs w:val="21"/>
                <w:highlight w:val="none"/>
              </w:rPr>
            </w:pPr>
            <w:r>
              <w:rPr>
                <w:color w:val="auto"/>
                <w:sz w:val="21"/>
                <w:szCs w:val="21"/>
                <w:highlight w:val="none"/>
              </w:rPr>
              <w:t>2.显示方式：内置≥5英寸彩色触控屏；</w:t>
            </w:r>
          </w:p>
          <w:p w14:paraId="32A1EDE1">
            <w:pPr>
              <w:keepNext w:val="0"/>
              <w:keepLines w:val="0"/>
              <w:suppressLineNumbers w:val="0"/>
              <w:snapToGrid w:val="0"/>
              <w:spacing w:before="0" w:beforeAutospacing="0" w:after="0" w:afterAutospacing="0"/>
              <w:ind w:left="0" w:right="0"/>
              <w:jc w:val="both"/>
              <w:rPr>
                <w:color w:val="auto"/>
                <w:sz w:val="21"/>
                <w:szCs w:val="21"/>
                <w:highlight w:val="none"/>
              </w:rPr>
            </w:pPr>
            <w:r>
              <w:rPr>
                <w:color w:val="auto"/>
                <w:sz w:val="21"/>
                <w:szCs w:val="21"/>
                <w:highlight w:val="none"/>
              </w:rPr>
              <w:t>3.用户管理：≥3个用户，实现对不同操作用户的切片数据管理；</w:t>
            </w:r>
          </w:p>
          <w:p w14:paraId="109A5872">
            <w:pPr>
              <w:keepNext w:val="0"/>
              <w:keepLines w:val="0"/>
              <w:suppressLineNumbers w:val="0"/>
              <w:snapToGrid w:val="0"/>
              <w:spacing w:before="0" w:beforeAutospacing="0" w:after="0" w:afterAutospacing="0"/>
              <w:ind w:left="0" w:right="0"/>
              <w:jc w:val="both"/>
              <w:rPr>
                <w:color w:val="auto"/>
                <w:sz w:val="21"/>
                <w:szCs w:val="21"/>
                <w:highlight w:val="none"/>
              </w:rPr>
            </w:pPr>
            <w:r>
              <w:rPr>
                <w:color w:val="auto"/>
                <w:sz w:val="21"/>
                <w:szCs w:val="21"/>
                <w:highlight w:val="none"/>
              </w:rPr>
              <w:t>4.切片厚度：0.5-100μm；</w:t>
            </w:r>
          </w:p>
          <w:p w14:paraId="58C7DB1B">
            <w:pPr>
              <w:keepNext w:val="0"/>
              <w:keepLines w:val="0"/>
              <w:suppressLineNumbers w:val="0"/>
              <w:snapToGrid w:val="0"/>
              <w:spacing w:before="0" w:beforeAutospacing="0" w:after="0" w:afterAutospacing="0"/>
              <w:ind w:left="0" w:right="0"/>
              <w:jc w:val="both"/>
              <w:rPr>
                <w:color w:val="auto"/>
                <w:sz w:val="21"/>
                <w:szCs w:val="21"/>
                <w:highlight w:val="none"/>
              </w:rPr>
            </w:pPr>
            <w:r>
              <w:rPr>
                <w:color w:val="auto"/>
                <w:sz w:val="21"/>
                <w:szCs w:val="21"/>
                <w:highlight w:val="none"/>
              </w:rPr>
              <w:t>5.切片厚度调节范围：</w:t>
            </w:r>
          </w:p>
          <w:p w14:paraId="3ADEE03E">
            <w:pPr>
              <w:keepNext w:val="0"/>
              <w:keepLines w:val="0"/>
              <w:suppressLineNumbers w:val="0"/>
              <w:snapToGrid w:val="0"/>
              <w:spacing w:before="0" w:beforeAutospacing="0" w:after="0" w:afterAutospacing="0"/>
              <w:ind w:left="0" w:right="0"/>
              <w:jc w:val="both"/>
              <w:rPr>
                <w:color w:val="auto"/>
                <w:sz w:val="21"/>
                <w:szCs w:val="21"/>
                <w:highlight w:val="none"/>
              </w:rPr>
            </w:pPr>
            <w:r>
              <w:rPr>
                <w:color w:val="auto"/>
                <w:sz w:val="21"/>
                <w:szCs w:val="21"/>
                <w:highlight w:val="none"/>
              </w:rPr>
              <w:t>0.5-5μm，0.5μm增幅</w:t>
            </w:r>
          </w:p>
          <w:p w14:paraId="479C6FD7">
            <w:pPr>
              <w:keepNext w:val="0"/>
              <w:keepLines w:val="0"/>
              <w:suppressLineNumbers w:val="0"/>
              <w:snapToGrid w:val="0"/>
              <w:spacing w:before="0" w:beforeAutospacing="0" w:after="0" w:afterAutospacing="0"/>
              <w:ind w:left="0" w:right="0"/>
              <w:jc w:val="both"/>
              <w:rPr>
                <w:color w:val="auto"/>
                <w:sz w:val="21"/>
                <w:szCs w:val="21"/>
                <w:highlight w:val="none"/>
              </w:rPr>
            </w:pPr>
            <w:r>
              <w:rPr>
                <w:color w:val="auto"/>
                <w:sz w:val="21"/>
                <w:szCs w:val="21"/>
                <w:highlight w:val="none"/>
              </w:rPr>
              <w:t>5-20μm，1μm增幅</w:t>
            </w:r>
          </w:p>
          <w:p w14:paraId="164E918E">
            <w:pPr>
              <w:keepNext w:val="0"/>
              <w:keepLines w:val="0"/>
              <w:suppressLineNumbers w:val="0"/>
              <w:snapToGrid w:val="0"/>
              <w:spacing w:before="0" w:beforeAutospacing="0" w:after="0" w:afterAutospacing="0"/>
              <w:ind w:left="0" w:right="0"/>
              <w:jc w:val="both"/>
              <w:rPr>
                <w:color w:val="auto"/>
                <w:sz w:val="21"/>
                <w:szCs w:val="21"/>
                <w:highlight w:val="none"/>
              </w:rPr>
            </w:pPr>
            <w:r>
              <w:rPr>
                <w:color w:val="auto"/>
                <w:sz w:val="21"/>
                <w:szCs w:val="21"/>
                <w:highlight w:val="none"/>
              </w:rPr>
              <w:t>20-60μm，5μm增幅</w:t>
            </w:r>
          </w:p>
          <w:p w14:paraId="07FB4DA1">
            <w:pPr>
              <w:keepNext w:val="0"/>
              <w:keepLines w:val="0"/>
              <w:suppressLineNumbers w:val="0"/>
              <w:snapToGrid w:val="0"/>
              <w:spacing w:before="0" w:beforeAutospacing="0" w:after="0" w:afterAutospacing="0"/>
              <w:ind w:left="0" w:right="0"/>
              <w:jc w:val="both"/>
              <w:rPr>
                <w:color w:val="auto"/>
                <w:sz w:val="21"/>
                <w:szCs w:val="21"/>
                <w:highlight w:val="none"/>
              </w:rPr>
            </w:pPr>
            <w:r>
              <w:rPr>
                <w:color w:val="auto"/>
                <w:sz w:val="21"/>
                <w:szCs w:val="21"/>
                <w:highlight w:val="none"/>
              </w:rPr>
              <w:t>60-100μm，10μm增幅</w:t>
            </w:r>
          </w:p>
          <w:p w14:paraId="6C990687">
            <w:pPr>
              <w:keepNext w:val="0"/>
              <w:keepLines w:val="0"/>
              <w:suppressLineNumbers w:val="0"/>
              <w:snapToGrid w:val="0"/>
              <w:spacing w:before="0" w:beforeAutospacing="0" w:after="0" w:afterAutospacing="0"/>
              <w:ind w:left="0" w:right="0"/>
              <w:jc w:val="both"/>
              <w:rPr>
                <w:rFonts w:hint="eastAsia" w:eastAsia="宋体"/>
                <w:color w:val="auto"/>
                <w:sz w:val="21"/>
                <w:szCs w:val="21"/>
                <w:highlight w:val="none"/>
                <w:lang w:eastAsia="zh-CN"/>
              </w:rPr>
            </w:pPr>
            <w:r>
              <w:rPr>
                <w:color w:val="auto"/>
                <w:sz w:val="21"/>
                <w:szCs w:val="21"/>
                <w:highlight w:val="none"/>
              </w:rPr>
              <w:t>6.修片厚度：1-600μm</w:t>
            </w:r>
            <w:r>
              <w:rPr>
                <w:rFonts w:hint="eastAsia"/>
                <w:color w:val="auto"/>
                <w:sz w:val="21"/>
                <w:szCs w:val="21"/>
                <w:highlight w:val="none"/>
                <w:lang w:eastAsia="zh-CN"/>
              </w:rPr>
              <w:t>；</w:t>
            </w:r>
          </w:p>
          <w:p w14:paraId="47034DFB">
            <w:pPr>
              <w:keepNext w:val="0"/>
              <w:keepLines w:val="0"/>
              <w:suppressLineNumbers w:val="0"/>
              <w:snapToGrid w:val="0"/>
              <w:spacing w:before="0" w:beforeAutospacing="0" w:after="0" w:afterAutospacing="0"/>
              <w:ind w:left="0" w:right="0"/>
              <w:jc w:val="both"/>
              <w:rPr>
                <w:color w:val="auto"/>
                <w:sz w:val="21"/>
                <w:szCs w:val="21"/>
                <w:highlight w:val="none"/>
              </w:rPr>
            </w:pPr>
            <w:r>
              <w:rPr>
                <w:color w:val="auto"/>
                <w:sz w:val="21"/>
                <w:szCs w:val="21"/>
                <w:highlight w:val="none"/>
              </w:rPr>
              <w:t>7.修片厚度调节范围：</w:t>
            </w:r>
          </w:p>
          <w:p w14:paraId="2222F493">
            <w:pPr>
              <w:keepNext w:val="0"/>
              <w:keepLines w:val="0"/>
              <w:suppressLineNumbers w:val="0"/>
              <w:snapToGrid w:val="0"/>
              <w:spacing w:before="0" w:beforeAutospacing="0" w:after="0" w:afterAutospacing="0"/>
              <w:ind w:left="0" w:right="0"/>
              <w:jc w:val="both"/>
              <w:rPr>
                <w:color w:val="auto"/>
                <w:sz w:val="21"/>
                <w:szCs w:val="21"/>
                <w:highlight w:val="none"/>
              </w:rPr>
            </w:pPr>
            <w:r>
              <w:rPr>
                <w:color w:val="auto"/>
                <w:sz w:val="21"/>
                <w:szCs w:val="21"/>
                <w:highlight w:val="none"/>
              </w:rPr>
              <w:t>1-10μm，1μm增幅</w:t>
            </w:r>
          </w:p>
          <w:p w14:paraId="502132B8">
            <w:pPr>
              <w:keepNext w:val="0"/>
              <w:keepLines w:val="0"/>
              <w:suppressLineNumbers w:val="0"/>
              <w:snapToGrid w:val="0"/>
              <w:spacing w:before="0" w:beforeAutospacing="0" w:after="0" w:afterAutospacing="0"/>
              <w:ind w:left="0" w:right="0"/>
              <w:jc w:val="both"/>
              <w:rPr>
                <w:color w:val="auto"/>
                <w:sz w:val="21"/>
                <w:szCs w:val="21"/>
                <w:highlight w:val="none"/>
              </w:rPr>
            </w:pPr>
            <w:r>
              <w:rPr>
                <w:color w:val="auto"/>
                <w:sz w:val="21"/>
                <w:szCs w:val="21"/>
                <w:highlight w:val="none"/>
              </w:rPr>
              <w:t>10-20μm，2μm增幅</w:t>
            </w:r>
          </w:p>
          <w:p w14:paraId="3DC8A63A">
            <w:pPr>
              <w:keepNext w:val="0"/>
              <w:keepLines w:val="0"/>
              <w:suppressLineNumbers w:val="0"/>
              <w:snapToGrid w:val="0"/>
              <w:spacing w:before="0" w:beforeAutospacing="0" w:after="0" w:afterAutospacing="0"/>
              <w:ind w:left="0" w:right="0"/>
              <w:jc w:val="both"/>
              <w:rPr>
                <w:color w:val="auto"/>
                <w:sz w:val="21"/>
                <w:szCs w:val="21"/>
                <w:highlight w:val="none"/>
              </w:rPr>
            </w:pPr>
            <w:r>
              <w:rPr>
                <w:color w:val="auto"/>
                <w:sz w:val="21"/>
                <w:szCs w:val="21"/>
                <w:highlight w:val="none"/>
              </w:rPr>
              <w:t>20-50μm，5μm增幅</w:t>
            </w:r>
          </w:p>
          <w:p w14:paraId="18AE90D8">
            <w:pPr>
              <w:keepNext w:val="0"/>
              <w:keepLines w:val="0"/>
              <w:suppressLineNumbers w:val="0"/>
              <w:snapToGrid w:val="0"/>
              <w:spacing w:before="0" w:beforeAutospacing="0" w:after="0" w:afterAutospacing="0"/>
              <w:ind w:left="0" w:right="0"/>
              <w:jc w:val="both"/>
              <w:rPr>
                <w:color w:val="auto"/>
                <w:sz w:val="21"/>
                <w:szCs w:val="21"/>
                <w:highlight w:val="none"/>
              </w:rPr>
            </w:pPr>
            <w:r>
              <w:rPr>
                <w:color w:val="auto"/>
                <w:sz w:val="21"/>
                <w:szCs w:val="21"/>
                <w:highlight w:val="none"/>
              </w:rPr>
              <w:t>50-100μm，10μm增幅</w:t>
            </w:r>
          </w:p>
          <w:p w14:paraId="5EB3C258">
            <w:pPr>
              <w:keepNext w:val="0"/>
              <w:keepLines w:val="0"/>
              <w:suppressLineNumbers w:val="0"/>
              <w:snapToGrid w:val="0"/>
              <w:spacing w:before="0" w:beforeAutospacing="0" w:after="0" w:afterAutospacing="0"/>
              <w:ind w:left="0" w:right="0"/>
              <w:jc w:val="both"/>
              <w:rPr>
                <w:color w:val="auto"/>
                <w:sz w:val="21"/>
                <w:szCs w:val="21"/>
                <w:highlight w:val="none"/>
              </w:rPr>
            </w:pPr>
            <w:r>
              <w:rPr>
                <w:color w:val="auto"/>
                <w:sz w:val="21"/>
                <w:szCs w:val="21"/>
                <w:highlight w:val="none"/>
              </w:rPr>
              <w:t>100-600μm，50μm增幅</w:t>
            </w:r>
          </w:p>
          <w:p w14:paraId="0D41ADD5">
            <w:pPr>
              <w:keepNext w:val="0"/>
              <w:keepLines w:val="0"/>
              <w:suppressLineNumbers w:val="0"/>
              <w:snapToGrid w:val="0"/>
              <w:spacing w:before="0" w:beforeAutospacing="0" w:after="0" w:afterAutospacing="0"/>
              <w:ind w:left="0" w:right="0"/>
              <w:jc w:val="both"/>
              <w:rPr>
                <w:color w:val="auto"/>
                <w:sz w:val="21"/>
                <w:szCs w:val="21"/>
                <w:highlight w:val="none"/>
              </w:rPr>
            </w:pPr>
            <w:r>
              <w:rPr>
                <w:color w:val="auto"/>
                <w:sz w:val="21"/>
                <w:szCs w:val="21"/>
                <w:highlight w:val="none"/>
              </w:rPr>
              <w:t>8.样本回缩：0-100μm，5μm增幅；</w:t>
            </w:r>
          </w:p>
          <w:p w14:paraId="28AFB1B8">
            <w:pPr>
              <w:keepNext w:val="0"/>
              <w:keepLines w:val="0"/>
              <w:suppressLineNumbers w:val="0"/>
              <w:snapToGrid w:val="0"/>
              <w:spacing w:before="0" w:beforeAutospacing="0" w:after="0" w:afterAutospacing="0"/>
              <w:ind w:left="0" w:right="0"/>
              <w:jc w:val="both"/>
              <w:rPr>
                <w:color w:val="auto"/>
                <w:sz w:val="21"/>
                <w:szCs w:val="21"/>
                <w:highlight w:val="none"/>
              </w:rPr>
            </w:pPr>
            <w:r>
              <w:rPr>
                <w:color w:val="auto"/>
                <w:sz w:val="21"/>
                <w:szCs w:val="21"/>
                <w:highlight w:val="none"/>
              </w:rPr>
              <w:t>9.行程范围：水平行程范围≥25㎜，垂直行程范围≥70</w:t>
            </w:r>
            <w:r>
              <w:rPr>
                <w:rFonts w:hint="eastAsia"/>
                <w:color w:val="auto"/>
                <w:sz w:val="21"/>
                <w:szCs w:val="21"/>
                <w:highlight w:val="none"/>
                <w:lang w:val="en-US" w:eastAsia="zh-CN"/>
              </w:rPr>
              <w:t>mm</w:t>
            </w:r>
            <w:r>
              <w:rPr>
                <w:color w:val="auto"/>
                <w:sz w:val="21"/>
                <w:szCs w:val="21"/>
                <w:highlight w:val="none"/>
              </w:rPr>
              <w:t>;</w:t>
            </w:r>
          </w:p>
          <w:p w14:paraId="43F00590">
            <w:pPr>
              <w:keepNext w:val="0"/>
              <w:keepLines w:val="0"/>
              <w:suppressLineNumbers w:val="0"/>
              <w:snapToGrid w:val="0"/>
              <w:spacing w:before="0" w:beforeAutospacing="0" w:after="0" w:afterAutospacing="0"/>
              <w:ind w:left="0" w:right="0"/>
              <w:jc w:val="both"/>
              <w:rPr>
                <w:color w:val="auto"/>
                <w:sz w:val="21"/>
                <w:szCs w:val="21"/>
                <w:highlight w:val="none"/>
              </w:rPr>
            </w:pPr>
            <w:r>
              <w:rPr>
                <w:rFonts w:hint="eastAsia"/>
                <w:color w:val="auto"/>
                <w:sz w:val="21"/>
                <w:szCs w:val="21"/>
                <w:highlight w:val="none"/>
              </w:rPr>
              <w:t>▲</w:t>
            </w:r>
            <w:r>
              <w:rPr>
                <w:color w:val="auto"/>
                <w:sz w:val="21"/>
                <w:szCs w:val="21"/>
                <w:highlight w:val="none"/>
              </w:rPr>
              <w:t>10.进样速度：前进后退速度0—1800μm/s，速度可自由调节；</w:t>
            </w:r>
          </w:p>
          <w:p w14:paraId="3147C090">
            <w:pPr>
              <w:keepNext w:val="0"/>
              <w:keepLines w:val="0"/>
              <w:suppressLineNumbers w:val="0"/>
              <w:snapToGrid w:val="0"/>
              <w:spacing w:before="0" w:beforeAutospacing="0" w:after="0" w:afterAutospacing="0"/>
              <w:ind w:left="0" w:right="0"/>
              <w:jc w:val="both"/>
              <w:rPr>
                <w:color w:val="auto"/>
                <w:sz w:val="21"/>
                <w:szCs w:val="21"/>
                <w:highlight w:val="none"/>
              </w:rPr>
            </w:pPr>
            <w:r>
              <w:rPr>
                <w:color w:val="auto"/>
                <w:sz w:val="21"/>
                <w:szCs w:val="21"/>
                <w:highlight w:val="none"/>
              </w:rPr>
              <w:t>11.最大样本夹头尺寸（约）：55mm×55mm；</w:t>
            </w:r>
          </w:p>
          <w:p w14:paraId="4BB54BDF">
            <w:pPr>
              <w:keepNext w:val="0"/>
              <w:keepLines w:val="0"/>
              <w:suppressLineNumbers w:val="0"/>
              <w:snapToGrid w:val="0"/>
              <w:spacing w:before="0" w:beforeAutospacing="0" w:after="0" w:afterAutospacing="0"/>
              <w:ind w:left="0" w:right="0"/>
              <w:jc w:val="both"/>
              <w:rPr>
                <w:color w:val="auto"/>
                <w:sz w:val="21"/>
                <w:szCs w:val="21"/>
                <w:highlight w:val="none"/>
              </w:rPr>
            </w:pPr>
            <w:r>
              <w:rPr>
                <w:rFonts w:hint="eastAsia"/>
                <w:color w:val="auto"/>
                <w:sz w:val="21"/>
                <w:szCs w:val="21"/>
                <w:highlight w:val="none"/>
              </w:rPr>
              <w:t>▲</w:t>
            </w:r>
            <w:r>
              <w:rPr>
                <w:color w:val="auto"/>
                <w:sz w:val="21"/>
                <w:szCs w:val="21"/>
                <w:highlight w:val="none"/>
              </w:rPr>
              <w:t>12.样本头角度：样本头调节角度X/Y±8°，具有零位标识刻度位，且X轴、Y轴均具有各8度的可视化刻度显示指引；</w:t>
            </w:r>
          </w:p>
          <w:p w14:paraId="75FCB4F7">
            <w:pPr>
              <w:keepNext w:val="0"/>
              <w:keepLines w:val="0"/>
              <w:suppressLineNumbers w:val="0"/>
              <w:snapToGrid w:val="0"/>
              <w:spacing w:before="0" w:beforeAutospacing="0" w:after="0" w:afterAutospacing="0"/>
              <w:ind w:left="0" w:right="0"/>
              <w:jc w:val="both"/>
              <w:rPr>
                <w:color w:val="auto"/>
                <w:sz w:val="21"/>
                <w:szCs w:val="21"/>
                <w:highlight w:val="none"/>
              </w:rPr>
            </w:pPr>
            <w:r>
              <w:rPr>
                <w:color w:val="auto"/>
                <w:sz w:val="21"/>
                <w:szCs w:val="21"/>
                <w:highlight w:val="none"/>
              </w:rPr>
              <w:t>13.样本头记忆：具有样本头位置记忆功能，可进行一键快速定位；</w:t>
            </w:r>
          </w:p>
          <w:p w14:paraId="3071D932">
            <w:pPr>
              <w:keepNext w:val="0"/>
              <w:keepLines w:val="0"/>
              <w:suppressLineNumbers w:val="0"/>
              <w:snapToGrid w:val="0"/>
              <w:spacing w:before="0" w:beforeAutospacing="0" w:after="0" w:afterAutospacing="0"/>
              <w:ind w:left="0" w:right="0"/>
              <w:jc w:val="both"/>
              <w:rPr>
                <w:color w:val="auto"/>
                <w:sz w:val="21"/>
                <w:szCs w:val="21"/>
                <w:highlight w:val="none"/>
              </w:rPr>
            </w:pPr>
            <w:r>
              <w:rPr>
                <w:rFonts w:hint="eastAsia"/>
                <w:color w:val="auto"/>
                <w:sz w:val="21"/>
                <w:szCs w:val="21"/>
                <w:highlight w:val="none"/>
              </w:rPr>
              <w:t>▲</w:t>
            </w:r>
            <w:r>
              <w:rPr>
                <w:color w:val="auto"/>
                <w:sz w:val="21"/>
                <w:szCs w:val="21"/>
                <w:highlight w:val="none"/>
              </w:rPr>
              <w:t>14.大手轮力平衡系统：</w:t>
            </w:r>
            <w:r>
              <w:rPr>
                <w:rFonts w:hint="eastAsia"/>
                <w:color w:val="auto"/>
                <w:highlight w:val="none"/>
              </w:rPr>
              <w:t>采用力平衡系统，确保大手轮运转平衡稳定。</w:t>
            </w:r>
          </w:p>
          <w:p w14:paraId="65474AA7">
            <w:pPr>
              <w:keepNext w:val="0"/>
              <w:keepLines w:val="0"/>
              <w:suppressLineNumbers w:val="0"/>
              <w:snapToGrid w:val="0"/>
              <w:spacing w:before="0" w:beforeAutospacing="0" w:after="0" w:afterAutospacing="0"/>
              <w:ind w:left="0" w:right="0"/>
              <w:jc w:val="both"/>
              <w:rPr>
                <w:color w:val="auto"/>
                <w:sz w:val="21"/>
                <w:szCs w:val="21"/>
                <w:highlight w:val="none"/>
              </w:rPr>
            </w:pPr>
            <w:r>
              <w:rPr>
                <w:color w:val="auto"/>
                <w:sz w:val="21"/>
                <w:szCs w:val="21"/>
                <w:highlight w:val="none"/>
              </w:rPr>
              <w:t>15.大手轮锁定：具有2种锁定装置，可在最高点锁定和任意位置锁定；</w:t>
            </w:r>
          </w:p>
          <w:p w14:paraId="63229E7D">
            <w:pPr>
              <w:keepNext w:val="0"/>
              <w:keepLines w:val="0"/>
              <w:suppressLineNumbers w:val="0"/>
              <w:snapToGrid w:val="0"/>
              <w:spacing w:before="0" w:beforeAutospacing="0" w:after="0" w:afterAutospacing="0"/>
              <w:ind w:left="0" w:right="0"/>
              <w:jc w:val="both"/>
              <w:rPr>
                <w:color w:val="auto"/>
                <w:sz w:val="21"/>
                <w:szCs w:val="21"/>
                <w:highlight w:val="none"/>
              </w:rPr>
            </w:pPr>
            <w:r>
              <w:rPr>
                <w:color w:val="auto"/>
                <w:sz w:val="21"/>
                <w:szCs w:val="21"/>
                <w:highlight w:val="none"/>
              </w:rPr>
              <w:t>16.刀架功能：可精准侧向位移，兼容宽刀和窄刀，内置护刀器和退刀装置；</w:t>
            </w:r>
          </w:p>
          <w:p w14:paraId="424556E4">
            <w:pPr>
              <w:keepNext w:val="0"/>
              <w:keepLines w:val="0"/>
              <w:suppressLineNumbers w:val="0"/>
              <w:snapToGrid w:val="0"/>
              <w:spacing w:before="0" w:beforeAutospacing="0" w:after="0" w:afterAutospacing="0"/>
              <w:ind w:left="0" w:right="0"/>
              <w:jc w:val="both"/>
              <w:rPr>
                <w:color w:val="auto"/>
                <w:sz w:val="21"/>
                <w:szCs w:val="21"/>
                <w:highlight w:val="none"/>
              </w:rPr>
            </w:pPr>
            <w:r>
              <w:rPr>
                <w:rFonts w:hint="eastAsia"/>
                <w:color w:val="auto"/>
                <w:sz w:val="21"/>
                <w:szCs w:val="21"/>
                <w:highlight w:val="none"/>
              </w:rPr>
              <w:t>▲</w:t>
            </w:r>
            <w:r>
              <w:rPr>
                <w:color w:val="auto"/>
                <w:sz w:val="21"/>
                <w:szCs w:val="21"/>
                <w:highlight w:val="none"/>
              </w:rPr>
              <w:t>17.刀架结构：刀架采用燕尾槽结构的底座，非双导轨结构；</w:t>
            </w:r>
          </w:p>
          <w:p w14:paraId="1BB469A9">
            <w:pPr>
              <w:keepNext w:val="0"/>
              <w:keepLines w:val="0"/>
              <w:suppressLineNumbers w:val="0"/>
              <w:snapToGrid w:val="0"/>
              <w:spacing w:before="0" w:beforeAutospacing="0" w:after="0" w:afterAutospacing="0"/>
              <w:ind w:left="0" w:right="0"/>
              <w:jc w:val="both"/>
              <w:rPr>
                <w:color w:val="auto"/>
                <w:sz w:val="21"/>
                <w:szCs w:val="21"/>
                <w:highlight w:val="none"/>
              </w:rPr>
            </w:pPr>
            <w:r>
              <w:rPr>
                <w:color w:val="auto"/>
                <w:sz w:val="21"/>
                <w:szCs w:val="21"/>
                <w:highlight w:val="none"/>
              </w:rPr>
              <w:t>18.刀座快速定位：具有快速定位位置和角度的刻度指示，位置范围为：0-2.5cm，调整角度范围为：0-10°；</w:t>
            </w:r>
          </w:p>
          <w:p w14:paraId="46D36334">
            <w:pPr>
              <w:keepNext w:val="0"/>
              <w:keepLines w:val="0"/>
              <w:suppressLineNumbers w:val="0"/>
              <w:snapToGrid w:val="0"/>
              <w:spacing w:before="0" w:beforeAutospacing="0" w:after="0" w:afterAutospacing="0"/>
              <w:ind w:left="0" w:right="0"/>
              <w:jc w:val="both"/>
              <w:rPr>
                <w:color w:val="auto"/>
                <w:sz w:val="21"/>
                <w:szCs w:val="21"/>
                <w:highlight w:val="none"/>
              </w:rPr>
            </w:pPr>
            <w:r>
              <w:rPr>
                <w:rFonts w:hint="eastAsia"/>
                <w:color w:val="auto"/>
                <w:sz w:val="21"/>
                <w:szCs w:val="21"/>
                <w:highlight w:val="none"/>
              </w:rPr>
              <w:t>▲</w:t>
            </w:r>
            <w:r>
              <w:rPr>
                <w:color w:val="auto"/>
                <w:sz w:val="21"/>
                <w:szCs w:val="21"/>
                <w:highlight w:val="none"/>
              </w:rPr>
              <w:t>19.粗修方式：≥4种，且必须</w:t>
            </w:r>
            <w:r>
              <w:rPr>
                <w:rFonts w:hint="eastAsia"/>
                <w:color w:val="auto"/>
                <w:sz w:val="21"/>
                <w:szCs w:val="21"/>
                <w:highlight w:val="none"/>
                <w:lang w:val="en-US" w:eastAsia="zh-CN"/>
              </w:rPr>
              <w:t>包含</w:t>
            </w:r>
            <w:r>
              <w:rPr>
                <w:color w:val="auto"/>
                <w:sz w:val="21"/>
                <w:szCs w:val="21"/>
                <w:highlight w:val="none"/>
              </w:rPr>
              <w:t>小手轮粗修方式；</w:t>
            </w:r>
          </w:p>
          <w:p w14:paraId="6CC82DFB">
            <w:pPr>
              <w:keepNext w:val="0"/>
              <w:keepLines w:val="0"/>
              <w:suppressLineNumbers w:val="0"/>
              <w:snapToGrid w:val="0"/>
              <w:spacing w:before="0" w:beforeAutospacing="0" w:after="0" w:afterAutospacing="0"/>
              <w:ind w:left="0" w:right="0"/>
              <w:jc w:val="both"/>
              <w:rPr>
                <w:color w:val="auto"/>
                <w:sz w:val="21"/>
                <w:szCs w:val="21"/>
                <w:highlight w:val="none"/>
              </w:rPr>
            </w:pPr>
            <w:r>
              <w:rPr>
                <w:rFonts w:hint="eastAsia"/>
                <w:color w:val="auto"/>
                <w:sz w:val="21"/>
                <w:szCs w:val="21"/>
                <w:highlight w:val="none"/>
              </w:rPr>
              <w:t>▲</w:t>
            </w:r>
            <w:r>
              <w:rPr>
                <w:color w:val="auto"/>
                <w:sz w:val="21"/>
                <w:szCs w:val="21"/>
                <w:highlight w:val="none"/>
              </w:rPr>
              <w:t>20.样本头进样方式：≥3种，至少包括小手轮、外接独立操作控制器、</w:t>
            </w:r>
            <w:r>
              <w:rPr>
                <w:rFonts w:hint="eastAsia"/>
                <w:color w:val="auto"/>
                <w:sz w:val="21"/>
                <w:szCs w:val="21"/>
                <w:highlight w:val="none"/>
                <w:lang w:val="en-US" w:eastAsia="zh-CN"/>
              </w:rPr>
              <w:t>左侧</w:t>
            </w:r>
            <w:r>
              <w:rPr>
                <w:color w:val="auto"/>
                <w:sz w:val="21"/>
                <w:szCs w:val="21"/>
                <w:highlight w:val="none"/>
              </w:rPr>
              <w:t>机身按键面板；</w:t>
            </w:r>
          </w:p>
          <w:p w14:paraId="5C079653">
            <w:pPr>
              <w:keepNext w:val="0"/>
              <w:keepLines w:val="0"/>
              <w:suppressLineNumbers w:val="0"/>
              <w:snapToGrid w:val="0"/>
              <w:spacing w:before="0" w:beforeAutospacing="0" w:after="0" w:afterAutospacing="0"/>
              <w:ind w:left="0" w:right="0"/>
              <w:jc w:val="both"/>
              <w:rPr>
                <w:color w:val="auto"/>
                <w:sz w:val="21"/>
                <w:szCs w:val="21"/>
                <w:highlight w:val="none"/>
              </w:rPr>
            </w:pPr>
            <w:r>
              <w:rPr>
                <w:color w:val="auto"/>
                <w:sz w:val="21"/>
                <w:szCs w:val="21"/>
                <w:highlight w:val="none"/>
              </w:rPr>
              <w:t>21.小手轮功能：左侧粗修小手轮，具有≥3种方式操作（包含但不限于手柄、转盘、手指盘）；</w:t>
            </w:r>
          </w:p>
          <w:p w14:paraId="0BB44309">
            <w:pPr>
              <w:keepNext w:val="0"/>
              <w:keepLines w:val="0"/>
              <w:suppressLineNumbers w:val="0"/>
              <w:snapToGrid w:val="0"/>
              <w:spacing w:before="0" w:beforeAutospacing="0" w:after="0" w:afterAutospacing="0"/>
              <w:ind w:left="0" w:right="0"/>
              <w:jc w:val="both"/>
              <w:rPr>
                <w:color w:val="auto"/>
                <w:sz w:val="21"/>
                <w:szCs w:val="21"/>
                <w:highlight w:val="none"/>
              </w:rPr>
            </w:pPr>
            <w:r>
              <w:rPr>
                <w:color w:val="auto"/>
                <w:sz w:val="21"/>
                <w:szCs w:val="21"/>
                <w:highlight w:val="none"/>
              </w:rPr>
              <w:t>22.小手轮速度：小手轮控制样本进样速度可调，速度范围50μm/r-500μm/r；</w:t>
            </w:r>
          </w:p>
          <w:p w14:paraId="1C012E3A">
            <w:pPr>
              <w:keepNext w:val="0"/>
              <w:keepLines w:val="0"/>
              <w:suppressLineNumbers w:val="0"/>
              <w:snapToGrid w:val="0"/>
              <w:spacing w:before="0" w:beforeAutospacing="0" w:after="0" w:afterAutospacing="0"/>
              <w:ind w:left="0" w:right="0"/>
              <w:jc w:val="both"/>
              <w:rPr>
                <w:color w:val="auto"/>
                <w:sz w:val="21"/>
                <w:szCs w:val="21"/>
                <w:highlight w:val="none"/>
              </w:rPr>
            </w:pPr>
            <w:r>
              <w:rPr>
                <w:rFonts w:hint="eastAsia"/>
                <w:color w:val="auto"/>
                <w:sz w:val="21"/>
                <w:szCs w:val="21"/>
                <w:highlight w:val="none"/>
              </w:rPr>
              <w:t>▲</w:t>
            </w:r>
            <w:r>
              <w:rPr>
                <w:color w:val="auto"/>
                <w:sz w:val="21"/>
                <w:szCs w:val="21"/>
                <w:highlight w:val="none"/>
              </w:rPr>
              <w:t>23.小手轮定位：小手轮转动有细分定位，细分位≥100分格，每转动一分格，样本头前进或者后退幅度可调，调整范围为0.5um</w:t>
            </w:r>
            <w:r>
              <w:rPr>
                <w:rFonts w:hint="eastAsia"/>
                <w:color w:val="auto"/>
                <w:sz w:val="21"/>
                <w:szCs w:val="21"/>
                <w:highlight w:val="none"/>
                <w:lang w:val="en-US" w:eastAsia="zh-CN"/>
              </w:rPr>
              <w:t>-</w:t>
            </w:r>
            <w:r>
              <w:rPr>
                <w:color w:val="auto"/>
                <w:sz w:val="21"/>
                <w:szCs w:val="21"/>
                <w:highlight w:val="none"/>
              </w:rPr>
              <w:t>5μm；</w:t>
            </w:r>
          </w:p>
          <w:p w14:paraId="088CE6AF">
            <w:pPr>
              <w:keepNext w:val="0"/>
              <w:keepLines w:val="0"/>
              <w:suppressLineNumbers w:val="0"/>
              <w:snapToGrid w:val="0"/>
              <w:spacing w:before="0" w:beforeAutospacing="0" w:after="0" w:afterAutospacing="0"/>
              <w:ind w:left="0" w:right="0"/>
              <w:jc w:val="both"/>
              <w:rPr>
                <w:color w:val="auto"/>
                <w:sz w:val="21"/>
                <w:szCs w:val="21"/>
                <w:highlight w:val="none"/>
              </w:rPr>
            </w:pPr>
            <w:r>
              <w:rPr>
                <w:rFonts w:hint="eastAsia"/>
                <w:color w:val="auto"/>
                <w:sz w:val="21"/>
                <w:szCs w:val="21"/>
                <w:highlight w:val="none"/>
              </w:rPr>
              <w:t>▲</w:t>
            </w:r>
            <w:r>
              <w:rPr>
                <w:color w:val="auto"/>
                <w:sz w:val="21"/>
                <w:szCs w:val="21"/>
                <w:highlight w:val="none"/>
              </w:rPr>
              <w:t>24.小手轮调节：粗修小手轮进样方向、速度可通过软件快速实时调节；</w:t>
            </w:r>
          </w:p>
          <w:p w14:paraId="21A2A43A">
            <w:pPr>
              <w:keepNext w:val="0"/>
              <w:keepLines w:val="0"/>
              <w:suppressLineNumbers w:val="0"/>
              <w:snapToGrid w:val="0"/>
              <w:spacing w:before="0" w:beforeAutospacing="0" w:after="0" w:afterAutospacing="0"/>
              <w:ind w:left="0" w:right="0"/>
              <w:jc w:val="both"/>
              <w:rPr>
                <w:color w:val="auto"/>
                <w:sz w:val="21"/>
                <w:szCs w:val="21"/>
                <w:highlight w:val="none"/>
              </w:rPr>
            </w:pPr>
            <w:r>
              <w:rPr>
                <w:color w:val="auto"/>
                <w:sz w:val="21"/>
                <w:szCs w:val="21"/>
                <w:highlight w:val="none"/>
              </w:rPr>
              <w:t>25.半刀修片功能：大手轮转动角度≥10°即可触发修片模式，半刀修片完成后整圈转动手轮，即可自动切换到切片模式；</w:t>
            </w:r>
          </w:p>
          <w:p w14:paraId="798387B0">
            <w:pPr>
              <w:keepNext w:val="0"/>
              <w:keepLines w:val="0"/>
              <w:suppressLineNumbers w:val="0"/>
              <w:snapToGrid w:val="0"/>
              <w:spacing w:before="0" w:beforeAutospacing="0" w:after="0" w:afterAutospacing="0"/>
              <w:ind w:left="0" w:right="0"/>
              <w:jc w:val="both"/>
              <w:rPr>
                <w:color w:val="auto"/>
                <w:sz w:val="21"/>
                <w:szCs w:val="21"/>
                <w:highlight w:val="none"/>
              </w:rPr>
            </w:pPr>
            <w:r>
              <w:rPr>
                <w:color w:val="auto"/>
                <w:sz w:val="21"/>
                <w:szCs w:val="21"/>
                <w:highlight w:val="none"/>
              </w:rPr>
              <w:t>26.具有大容量置物台，置物台面积≥660cm²；</w:t>
            </w:r>
          </w:p>
          <w:p w14:paraId="7C6F9B49">
            <w:pPr>
              <w:keepNext w:val="0"/>
              <w:keepLines w:val="0"/>
              <w:suppressLineNumbers w:val="0"/>
              <w:snapToGrid w:val="0"/>
              <w:spacing w:before="0" w:beforeAutospacing="0" w:after="0" w:afterAutospacing="0"/>
              <w:ind w:left="0" w:right="0"/>
              <w:jc w:val="both"/>
              <w:rPr>
                <w:color w:val="auto"/>
                <w:sz w:val="21"/>
                <w:szCs w:val="21"/>
                <w:highlight w:val="none"/>
              </w:rPr>
            </w:pPr>
            <w:r>
              <w:rPr>
                <w:color w:val="auto"/>
                <w:sz w:val="21"/>
                <w:szCs w:val="21"/>
                <w:highlight w:val="none"/>
              </w:rPr>
              <w:t>27.废屑收集盘：容积≥2L，采用磁吸结构和防静电设计；</w:t>
            </w:r>
          </w:p>
          <w:p w14:paraId="018342D6">
            <w:pPr>
              <w:keepNext w:val="0"/>
              <w:keepLines w:val="0"/>
              <w:suppressLineNumbers w:val="0"/>
              <w:snapToGrid w:val="0"/>
              <w:spacing w:before="0" w:beforeAutospacing="0" w:after="0" w:afterAutospacing="0"/>
              <w:ind w:left="0" w:right="0"/>
              <w:jc w:val="both"/>
              <w:rPr>
                <w:color w:val="auto"/>
                <w:sz w:val="21"/>
                <w:szCs w:val="21"/>
                <w:highlight w:val="none"/>
              </w:rPr>
            </w:pPr>
            <w:r>
              <w:rPr>
                <w:color w:val="auto"/>
                <w:sz w:val="21"/>
                <w:szCs w:val="21"/>
                <w:highlight w:val="none"/>
              </w:rPr>
              <w:t>28.数据接口：设备内置可拓展接口USB接口≥2个，网线接口≥1个，串行通信接口≥1个。</w:t>
            </w:r>
          </w:p>
          <w:p w14:paraId="6BB12DBF">
            <w:pPr>
              <w:keepNext w:val="0"/>
              <w:keepLines w:val="0"/>
              <w:suppressLineNumbers w:val="0"/>
              <w:snapToGrid w:val="0"/>
              <w:spacing w:before="0" w:beforeAutospacing="0" w:after="0" w:afterAutospacing="0"/>
              <w:ind w:left="0" w:right="0"/>
              <w:jc w:val="both"/>
              <w:rPr>
                <w:rFonts w:hint="eastAsia" w:ascii="Times New Roman" w:hAnsi="Times New Roman" w:eastAsia="宋体" w:cs="Times New Roman"/>
                <w:color w:val="auto"/>
                <w:kern w:val="2"/>
                <w:sz w:val="21"/>
                <w:szCs w:val="21"/>
                <w:highlight w:val="none"/>
                <w:lang w:val="en-US" w:eastAsia="zh-CN" w:bidi="ar-SA"/>
              </w:rPr>
            </w:pPr>
            <w:r>
              <w:rPr>
                <w:color w:val="auto"/>
                <w:sz w:val="21"/>
                <w:szCs w:val="21"/>
                <w:highlight w:val="none"/>
              </w:rPr>
              <w:t>29.配置清单：切片机1台；电源线1根；废蜡盘1个；刀架组件1个。</w:t>
            </w:r>
          </w:p>
        </w:tc>
        <w:tc>
          <w:tcPr>
            <w:tcW w:w="1497" w:type="dxa"/>
            <w:tcBorders>
              <w:top w:val="single" w:color="000000" w:sz="4" w:space="0"/>
              <w:left w:val="single" w:color="auto" w:sz="4" w:space="0"/>
              <w:bottom w:val="single" w:color="000000" w:sz="4" w:space="0"/>
              <w:right w:val="single" w:color="000000" w:sz="4" w:space="0"/>
            </w:tcBorders>
            <w:shd w:val="clear" w:color="auto" w:fill="auto"/>
            <w:vAlign w:val="center"/>
          </w:tcPr>
          <w:p w14:paraId="54B135C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宋体" w:hAnsi="宋体" w:eastAsia="宋体" w:cs="宋体"/>
                <w:color w:val="auto"/>
                <w:kern w:val="0"/>
                <w:sz w:val="21"/>
                <w:szCs w:val="21"/>
                <w:highlight w:val="none"/>
                <w:lang w:val="en-US" w:eastAsia="zh-CN" w:bidi="ar-SA"/>
              </w:rPr>
            </w:pPr>
            <w:r>
              <w:rPr>
                <w:rFonts w:hint="eastAsia" w:eastAsia="宋体" w:asciiTheme="minorEastAsia" w:hAnsiTheme="minorEastAsia" w:cstheme="minorEastAsia"/>
                <w:color w:val="auto"/>
                <w:sz w:val="24"/>
                <w:highlight w:val="none"/>
                <w:shd w:val="clear" w:color="auto" w:fill="FFFFFF"/>
              </w:rPr>
              <w:t>工业</w:t>
            </w:r>
          </w:p>
        </w:tc>
      </w:tr>
      <w:tr w14:paraId="62BD8F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792489E4">
            <w:pPr>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2</w:t>
            </w:r>
          </w:p>
        </w:tc>
        <w:tc>
          <w:tcPr>
            <w:tcW w:w="1119" w:type="dxa"/>
            <w:tcBorders>
              <w:top w:val="single" w:color="000000" w:sz="4" w:space="0"/>
              <w:left w:val="nil"/>
              <w:bottom w:val="single" w:color="000000" w:sz="4" w:space="0"/>
              <w:right w:val="single" w:color="000000" w:sz="4" w:space="0"/>
            </w:tcBorders>
            <w:shd w:val="clear" w:color="auto" w:fill="auto"/>
            <w:vAlign w:val="center"/>
          </w:tcPr>
          <w:p w14:paraId="24AA2900">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电致化学发光检测仪</w:t>
            </w:r>
          </w:p>
        </w:tc>
        <w:tc>
          <w:tcPr>
            <w:tcW w:w="562" w:type="dxa"/>
            <w:tcBorders>
              <w:top w:val="single" w:color="000000" w:sz="4" w:space="0"/>
              <w:left w:val="nil"/>
              <w:bottom w:val="single" w:color="000000" w:sz="4" w:space="0"/>
              <w:right w:val="single" w:color="000000" w:sz="4" w:space="0"/>
            </w:tcBorders>
            <w:shd w:val="clear" w:color="auto" w:fill="auto"/>
            <w:vAlign w:val="center"/>
          </w:tcPr>
          <w:p w14:paraId="23A71119">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color w:val="auto"/>
                <w:sz w:val="21"/>
                <w:szCs w:val="21"/>
                <w:highlight w:val="none"/>
              </w:rPr>
              <w:t>1</w:t>
            </w:r>
          </w:p>
        </w:tc>
        <w:tc>
          <w:tcPr>
            <w:tcW w:w="519" w:type="dxa"/>
            <w:tcBorders>
              <w:top w:val="single" w:color="000000" w:sz="4" w:space="0"/>
              <w:left w:val="nil"/>
              <w:bottom w:val="single" w:color="000000" w:sz="4" w:space="0"/>
              <w:right w:val="single" w:color="000000" w:sz="4" w:space="0"/>
            </w:tcBorders>
            <w:shd w:val="clear" w:color="auto" w:fill="auto"/>
            <w:vAlign w:val="center"/>
          </w:tcPr>
          <w:p w14:paraId="767ECAE8">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套</w:t>
            </w:r>
          </w:p>
        </w:tc>
        <w:tc>
          <w:tcPr>
            <w:tcW w:w="5194" w:type="dxa"/>
            <w:tcBorders>
              <w:top w:val="single" w:color="000000" w:sz="4" w:space="0"/>
              <w:left w:val="nil"/>
              <w:bottom w:val="single" w:color="000000" w:sz="4" w:space="0"/>
              <w:right w:val="single" w:color="auto" w:sz="4" w:space="0"/>
            </w:tcBorders>
            <w:shd w:val="clear" w:color="auto" w:fill="auto"/>
            <w:vAlign w:val="top"/>
          </w:tcPr>
          <w:p w14:paraId="1AFCF853">
            <w:pPr>
              <w:keepNext w:val="0"/>
              <w:keepLines w:val="0"/>
              <w:suppressLineNumbers w:val="0"/>
              <w:snapToGrid w:val="0"/>
              <w:spacing w:before="0" w:beforeAutospacing="0" w:after="0" w:afterAutospacing="0"/>
              <w:ind w:left="0" w:right="0"/>
              <w:jc w:val="both"/>
              <w:rPr>
                <w:color w:val="auto"/>
                <w:sz w:val="21"/>
                <w:szCs w:val="21"/>
                <w:highlight w:val="none"/>
              </w:rPr>
            </w:pPr>
            <w:r>
              <w:rPr>
                <w:rFonts w:hint="eastAsia"/>
                <w:color w:val="auto"/>
                <w:szCs w:val="21"/>
                <w:highlight w:val="none"/>
              </w:rPr>
              <w:t>▲</w:t>
            </w:r>
            <w:r>
              <w:rPr>
                <w:rFonts w:hint="eastAsia"/>
                <w:color w:val="auto"/>
                <w:sz w:val="21"/>
                <w:szCs w:val="21"/>
                <w:highlight w:val="none"/>
              </w:rPr>
              <w:t>一、仪器组成：</w:t>
            </w:r>
          </w:p>
          <w:p w14:paraId="4BD0D6B6">
            <w:pPr>
              <w:keepNext w:val="0"/>
              <w:keepLines w:val="0"/>
              <w:suppressLineNumbers w:val="0"/>
              <w:snapToGrid w:val="0"/>
              <w:spacing w:before="0" w:beforeAutospacing="0" w:after="0" w:afterAutospacing="0"/>
              <w:ind w:left="0" w:right="0"/>
              <w:jc w:val="both"/>
              <w:rPr>
                <w:color w:val="auto"/>
                <w:sz w:val="21"/>
                <w:szCs w:val="21"/>
                <w:highlight w:val="none"/>
              </w:rPr>
            </w:pPr>
            <w:r>
              <w:rPr>
                <w:rFonts w:hint="eastAsia"/>
                <w:color w:val="auto"/>
                <w:sz w:val="21"/>
                <w:szCs w:val="21"/>
                <w:highlight w:val="none"/>
              </w:rPr>
              <w:t>该仪器由电化学分析仪、多功能化学发光检测仪以及多功能化学发光检测器三个部分组成。</w:t>
            </w:r>
          </w:p>
          <w:p w14:paraId="3914F6FA">
            <w:pPr>
              <w:keepNext w:val="0"/>
              <w:keepLines w:val="0"/>
              <w:suppressLineNumbers w:val="0"/>
              <w:snapToGrid w:val="0"/>
              <w:spacing w:before="0" w:beforeAutospacing="0" w:after="0" w:afterAutospacing="0"/>
              <w:ind w:left="0" w:right="0"/>
              <w:jc w:val="both"/>
              <w:rPr>
                <w:color w:val="auto"/>
                <w:sz w:val="21"/>
                <w:szCs w:val="21"/>
                <w:highlight w:val="none"/>
              </w:rPr>
            </w:pPr>
            <w:r>
              <w:rPr>
                <w:rFonts w:hint="eastAsia"/>
                <w:color w:val="auto"/>
                <w:sz w:val="21"/>
                <w:szCs w:val="21"/>
                <w:highlight w:val="none"/>
              </w:rPr>
              <w:t>二、技术参数：</w:t>
            </w:r>
          </w:p>
          <w:p w14:paraId="367F8522">
            <w:pPr>
              <w:keepNext w:val="0"/>
              <w:keepLines w:val="0"/>
              <w:suppressLineNumbers w:val="0"/>
              <w:snapToGrid w:val="0"/>
              <w:spacing w:before="0" w:beforeAutospacing="0" w:after="0" w:afterAutospacing="0"/>
              <w:ind w:left="0" w:right="0"/>
              <w:jc w:val="both"/>
              <w:rPr>
                <w:color w:val="auto"/>
                <w:sz w:val="21"/>
                <w:szCs w:val="21"/>
                <w:highlight w:val="none"/>
              </w:rPr>
            </w:pPr>
            <w:r>
              <w:rPr>
                <w:rFonts w:hint="eastAsia"/>
                <w:color w:val="auto"/>
                <w:sz w:val="21"/>
                <w:szCs w:val="21"/>
                <w:highlight w:val="none"/>
              </w:rPr>
              <w:t>（一）电化学分析仪</w:t>
            </w:r>
          </w:p>
          <w:p w14:paraId="368240F1">
            <w:pPr>
              <w:keepNext w:val="0"/>
              <w:keepLines w:val="0"/>
              <w:suppressLineNumbers w:val="0"/>
              <w:snapToGrid w:val="0"/>
              <w:spacing w:before="0" w:beforeAutospacing="0" w:after="0" w:afterAutospacing="0"/>
              <w:ind w:left="0" w:right="0"/>
              <w:jc w:val="both"/>
              <w:rPr>
                <w:color w:val="auto"/>
                <w:sz w:val="21"/>
                <w:szCs w:val="21"/>
                <w:highlight w:val="none"/>
              </w:rPr>
            </w:pPr>
            <w:r>
              <w:rPr>
                <w:color w:val="auto"/>
                <w:sz w:val="21"/>
                <w:szCs w:val="21"/>
                <w:highlight w:val="none"/>
              </w:rPr>
              <w:t>1.具备恒电位、循环伏安、线性扫描等电化学方法及电化学电流检测功能；</w:t>
            </w:r>
          </w:p>
          <w:p w14:paraId="42BF6A4A">
            <w:pPr>
              <w:keepNext w:val="0"/>
              <w:keepLines w:val="0"/>
              <w:suppressLineNumbers w:val="0"/>
              <w:snapToGrid w:val="0"/>
              <w:spacing w:before="0" w:beforeAutospacing="0" w:after="0" w:afterAutospacing="0"/>
              <w:ind w:left="0" w:right="0"/>
              <w:jc w:val="both"/>
              <w:rPr>
                <w:color w:val="auto"/>
                <w:sz w:val="21"/>
                <w:szCs w:val="21"/>
                <w:highlight w:val="none"/>
              </w:rPr>
            </w:pPr>
            <w:r>
              <w:rPr>
                <w:color w:val="auto"/>
                <w:sz w:val="21"/>
                <w:szCs w:val="21"/>
                <w:highlight w:val="none"/>
              </w:rPr>
              <w:t>2.电位范围：-10V～10V；</w:t>
            </w:r>
          </w:p>
          <w:p w14:paraId="6A059F99">
            <w:pPr>
              <w:keepNext w:val="0"/>
              <w:keepLines w:val="0"/>
              <w:suppressLineNumbers w:val="0"/>
              <w:snapToGrid w:val="0"/>
              <w:spacing w:before="0" w:beforeAutospacing="0" w:after="0" w:afterAutospacing="0"/>
              <w:ind w:left="0" w:right="0"/>
              <w:jc w:val="both"/>
              <w:rPr>
                <w:color w:val="auto"/>
                <w:sz w:val="21"/>
                <w:szCs w:val="21"/>
                <w:highlight w:val="none"/>
              </w:rPr>
            </w:pPr>
            <w:r>
              <w:rPr>
                <w:color w:val="auto"/>
                <w:sz w:val="21"/>
                <w:szCs w:val="21"/>
                <w:highlight w:val="none"/>
              </w:rPr>
              <w:t>3.电流范围：±250mA；</w:t>
            </w:r>
          </w:p>
          <w:p w14:paraId="723A93E7">
            <w:pPr>
              <w:keepNext w:val="0"/>
              <w:keepLines w:val="0"/>
              <w:suppressLineNumbers w:val="0"/>
              <w:snapToGrid w:val="0"/>
              <w:spacing w:before="0" w:beforeAutospacing="0" w:after="0" w:afterAutospacing="0"/>
              <w:ind w:left="0" w:right="0"/>
              <w:jc w:val="both"/>
              <w:rPr>
                <w:color w:val="auto"/>
                <w:sz w:val="21"/>
                <w:szCs w:val="21"/>
                <w:highlight w:val="none"/>
              </w:rPr>
            </w:pPr>
            <w:r>
              <w:rPr>
                <w:color w:val="auto"/>
                <w:sz w:val="21"/>
                <w:szCs w:val="21"/>
                <w:highlight w:val="none"/>
              </w:rPr>
              <w:t>4.参比电极输入阻抗：10MΩ；</w:t>
            </w:r>
          </w:p>
          <w:p w14:paraId="7E1B8399">
            <w:pPr>
              <w:keepNext w:val="0"/>
              <w:keepLines w:val="0"/>
              <w:suppressLineNumbers w:val="0"/>
              <w:snapToGrid w:val="0"/>
              <w:spacing w:before="0" w:beforeAutospacing="0" w:after="0" w:afterAutospacing="0"/>
              <w:ind w:left="0" w:right="0"/>
              <w:jc w:val="both"/>
              <w:rPr>
                <w:color w:val="auto"/>
                <w:sz w:val="21"/>
                <w:szCs w:val="21"/>
                <w:highlight w:val="none"/>
              </w:rPr>
            </w:pPr>
            <w:r>
              <w:rPr>
                <w:rFonts w:hint="eastAsia"/>
                <w:color w:val="auto"/>
                <w:szCs w:val="21"/>
                <w:highlight w:val="none"/>
              </w:rPr>
              <w:t>▲</w:t>
            </w:r>
            <w:r>
              <w:rPr>
                <w:color w:val="auto"/>
                <w:sz w:val="21"/>
                <w:szCs w:val="21"/>
                <w:highlight w:val="none"/>
              </w:rPr>
              <w:t>5.灵敏度：1x10-9～1x10-2A，≥8个量程；</w:t>
            </w:r>
          </w:p>
          <w:p w14:paraId="653CF09F">
            <w:pPr>
              <w:keepNext w:val="0"/>
              <w:keepLines w:val="0"/>
              <w:suppressLineNumbers w:val="0"/>
              <w:snapToGrid w:val="0"/>
              <w:spacing w:before="0" w:beforeAutospacing="0" w:after="0" w:afterAutospacing="0"/>
              <w:ind w:left="0" w:right="0"/>
              <w:jc w:val="both"/>
              <w:rPr>
                <w:color w:val="auto"/>
                <w:sz w:val="21"/>
                <w:szCs w:val="21"/>
                <w:highlight w:val="none"/>
              </w:rPr>
            </w:pPr>
            <w:r>
              <w:rPr>
                <w:color w:val="auto"/>
                <w:sz w:val="21"/>
                <w:szCs w:val="21"/>
                <w:highlight w:val="none"/>
              </w:rPr>
              <w:t>6.输入偏置电流：≤50pA，电位增量：≥1mV；</w:t>
            </w:r>
          </w:p>
          <w:p w14:paraId="7645E7EF">
            <w:pPr>
              <w:keepNext w:val="0"/>
              <w:keepLines w:val="0"/>
              <w:suppressLineNumbers w:val="0"/>
              <w:snapToGrid w:val="0"/>
              <w:spacing w:before="0" w:beforeAutospacing="0" w:after="0" w:afterAutospacing="0"/>
              <w:ind w:left="0" w:right="0"/>
              <w:jc w:val="both"/>
              <w:rPr>
                <w:color w:val="auto"/>
                <w:sz w:val="21"/>
                <w:szCs w:val="21"/>
                <w:highlight w:val="none"/>
              </w:rPr>
            </w:pPr>
            <w:r>
              <w:rPr>
                <w:rFonts w:hint="eastAsia"/>
                <w:color w:val="auto"/>
                <w:szCs w:val="21"/>
                <w:highlight w:val="none"/>
              </w:rPr>
              <w:t>▲</w:t>
            </w:r>
            <w:r>
              <w:rPr>
                <w:color w:val="auto"/>
                <w:sz w:val="21"/>
                <w:szCs w:val="21"/>
                <w:highlight w:val="none"/>
              </w:rPr>
              <w:t>7.扫描速率：0.001～65V/S。</w:t>
            </w:r>
          </w:p>
          <w:p w14:paraId="002054E1">
            <w:pPr>
              <w:keepNext w:val="0"/>
              <w:keepLines w:val="0"/>
              <w:suppressLineNumbers w:val="0"/>
              <w:snapToGrid w:val="0"/>
              <w:spacing w:before="0" w:beforeAutospacing="0" w:after="0" w:afterAutospacing="0"/>
              <w:ind w:left="0" w:right="0"/>
              <w:jc w:val="both"/>
              <w:rPr>
                <w:color w:val="auto"/>
                <w:sz w:val="21"/>
                <w:szCs w:val="21"/>
                <w:highlight w:val="none"/>
              </w:rPr>
            </w:pPr>
            <w:r>
              <w:rPr>
                <w:rFonts w:hint="eastAsia"/>
                <w:color w:val="auto"/>
                <w:sz w:val="21"/>
                <w:szCs w:val="21"/>
                <w:highlight w:val="none"/>
              </w:rPr>
              <w:t>（二）多功能化学发光检测仪</w:t>
            </w:r>
          </w:p>
          <w:p w14:paraId="34AE507D">
            <w:pPr>
              <w:keepNext w:val="0"/>
              <w:keepLines w:val="0"/>
              <w:suppressLineNumbers w:val="0"/>
              <w:snapToGrid w:val="0"/>
              <w:spacing w:before="0" w:beforeAutospacing="0" w:after="0" w:afterAutospacing="0"/>
              <w:ind w:left="0" w:right="0"/>
              <w:jc w:val="both"/>
              <w:rPr>
                <w:color w:val="auto"/>
                <w:sz w:val="21"/>
                <w:szCs w:val="21"/>
                <w:highlight w:val="none"/>
              </w:rPr>
            </w:pPr>
            <w:r>
              <w:rPr>
                <w:rFonts w:hint="eastAsia"/>
                <w:color w:val="auto"/>
                <w:szCs w:val="21"/>
                <w:highlight w:val="none"/>
              </w:rPr>
              <w:t>▲</w:t>
            </w:r>
            <w:r>
              <w:rPr>
                <w:color w:val="auto"/>
                <w:sz w:val="21"/>
                <w:szCs w:val="21"/>
                <w:highlight w:val="none"/>
              </w:rPr>
              <w:t>1.测量动态范围：≥5个数量级；</w:t>
            </w:r>
          </w:p>
          <w:p w14:paraId="732C755C">
            <w:pPr>
              <w:keepNext w:val="0"/>
              <w:keepLines w:val="0"/>
              <w:suppressLineNumbers w:val="0"/>
              <w:snapToGrid w:val="0"/>
              <w:spacing w:before="0" w:beforeAutospacing="0" w:after="0" w:afterAutospacing="0"/>
              <w:ind w:left="0" w:right="0"/>
              <w:jc w:val="both"/>
              <w:rPr>
                <w:color w:val="auto"/>
                <w:sz w:val="21"/>
                <w:szCs w:val="21"/>
                <w:highlight w:val="none"/>
              </w:rPr>
            </w:pPr>
            <w:r>
              <w:rPr>
                <w:rFonts w:hint="eastAsia"/>
                <w:color w:val="auto"/>
                <w:szCs w:val="21"/>
                <w:highlight w:val="none"/>
              </w:rPr>
              <w:t>▲</w:t>
            </w:r>
            <w:r>
              <w:rPr>
                <w:color w:val="auto"/>
                <w:sz w:val="21"/>
                <w:szCs w:val="21"/>
                <w:highlight w:val="none"/>
              </w:rPr>
              <w:t>2.测量精度：优于0.05％；</w:t>
            </w:r>
          </w:p>
          <w:p w14:paraId="39C76D76">
            <w:pPr>
              <w:keepNext w:val="0"/>
              <w:keepLines w:val="0"/>
              <w:suppressLineNumbers w:val="0"/>
              <w:snapToGrid w:val="0"/>
              <w:spacing w:before="0" w:beforeAutospacing="0" w:after="0" w:afterAutospacing="0"/>
              <w:ind w:left="0" w:right="0"/>
              <w:jc w:val="both"/>
              <w:rPr>
                <w:color w:val="auto"/>
                <w:sz w:val="21"/>
                <w:szCs w:val="21"/>
                <w:highlight w:val="none"/>
              </w:rPr>
            </w:pPr>
            <w:r>
              <w:rPr>
                <w:rFonts w:hint="eastAsia"/>
                <w:color w:val="auto"/>
                <w:szCs w:val="21"/>
                <w:highlight w:val="none"/>
              </w:rPr>
              <w:t>▲</w:t>
            </w:r>
            <w:r>
              <w:rPr>
                <w:color w:val="auto"/>
                <w:sz w:val="21"/>
                <w:szCs w:val="21"/>
                <w:highlight w:val="none"/>
              </w:rPr>
              <w:t>3.放大器增益：1×，10×，100×，1000×；</w:t>
            </w:r>
          </w:p>
          <w:p w14:paraId="4D53DE49">
            <w:pPr>
              <w:keepNext w:val="0"/>
              <w:keepLines w:val="0"/>
              <w:suppressLineNumbers w:val="0"/>
              <w:snapToGrid w:val="0"/>
              <w:spacing w:before="0" w:beforeAutospacing="0" w:after="0" w:afterAutospacing="0"/>
              <w:ind w:left="0" w:right="0"/>
              <w:jc w:val="both"/>
              <w:rPr>
                <w:color w:val="auto"/>
                <w:sz w:val="21"/>
                <w:szCs w:val="21"/>
                <w:highlight w:val="none"/>
              </w:rPr>
            </w:pPr>
            <w:r>
              <w:rPr>
                <w:color w:val="auto"/>
                <w:sz w:val="21"/>
                <w:szCs w:val="21"/>
                <w:highlight w:val="none"/>
              </w:rPr>
              <w:t>4.滤波器频率：10Hz，20Hz，50Hz，100Hz；</w:t>
            </w:r>
          </w:p>
          <w:p w14:paraId="782B79EA">
            <w:pPr>
              <w:keepNext w:val="0"/>
              <w:keepLines w:val="0"/>
              <w:suppressLineNumbers w:val="0"/>
              <w:snapToGrid w:val="0"/>
              <w:spacing w:before="0" w:beforeAutospacing="0" w:after="0" w:afterAutospacing="0"/>
              <w:ind w:left="0" w:right="0"/>
              <w:jc w:val="both"/>
              <w:rPr>
                <w:color w:val="auto"/>
                <w:sz w:val="21"/>
                <w:szCs w:val="21"/>
                <w:highlight w:val="none"/>
              </w:rPr>
            </w:pPr>
            <w:r>
              <w:rPr>
                <w:rFonts w:hint="eastAsia"/>
                <w:color w:val="auto"/>
                <w:szCs w:val="21"/>
                <w:highlight w:val="none"/>
              </w:rPr>
              <w:t>▲</w:t>
            </w:r>
            <w:r>
              <w:rPr>
                <w:color w:val="auto"/>
                <w:sz w:val="21"/>
                <w:szCs w:val="21"/>
                <w:highlight w:val="none"/>
              </w:rPr>
              <w:t>5.放大器输出漂移：优于0.05％；</w:t>
            </w:r>
          </w:p>
          <w:p w14:paraId="4680B367">
            <w:pPr>
              <w:keepNext w:val="0"/>
              <w:keepLines w:val="0"/>
              <w:suppressLineNumbers w:val="0"/>
              <w:snapToGrid w:val="0"/>
              <w:spacing w:before="0" w:beforeAutospacing="0" w:after="0" w:afterAutospacing="0"/>
              <w:ind w:left="0" w:right="0"/>
              <w:jc w:val="both"/>
              <w:rPr>
                <w:color w:val="auto"/>
                <w:sz w:val="21"/>
                <w:szCs w:val="21"/>
                <w:highlight w:val="none"/>
              </w:rPr>
            </w:pPr>
            <w:r>
              <w:rPr>
                <w:rFonts w:hint="eastAsia"/>
                <w:color w:val="auto"/>
                <w:szCs w:val="21"/>
                <w:highlight w:val="none"/>
              </w:rPr>
              <w:t>▲</w:t>
            </w:r>
            <w:r>
              <w:rPr>
                <w:color w:val="auto"/>
                <w:sz w:val="21"/>
                <w:szCs w:val="21"/>
                <w:highlight w:val="none"/>
              </w:rPr>
              <w:t>6.信号噪声：≤0.5mV（P-P值，1×）；</w:t>
            </w:r>
          </w:p>
          <w:p w14:paraId="7C8A8F12">
            <w:pPr>
              <w:keepNext w:val="0"/>
              <w:keepLines w:val="0"/>
              <w:suppressLineNumbers w:val="0"/>
              <w:snapToGrid w:val="0"/>
              <w:spacing w:before="0" w:beforeAutospacing="0" w:after="0" w:afterAutospacing="0"/>
              <w:ind w:left="0" w:right="0"/>
              <w:jc w:val="both"/>
              <w:rPr>
                <w:color w:val="auto"/>
                <w:sz w:val="21"/>
                <w:szCs w:val="21"/>
                <w:highlight w:val="none"/>
              </w:rPr>
            </w:pPr>
            <w:r>
              <w:rPr>
                <w:color w:val="auto"/>
                <w:sz w:val="21"/>
                <w:szCs w:val="21"/>
                <w:highlight w:val="none"/>
              </w:rPr>
              <w:t>7.输入阻抗：≥10MΩ；</w:t>
            </w:r>
          </w:p>
          <w:p w14:paraId="1106ECE7">
            <w:pPr>
              <w:keepNext w:val="0"/>
              <w:keepLines w:val="0"/>
              <w:suppressLineNumbers w:val="0"/>
              <w:snapToGrid w:val="0"/>
              <w:spacing w:before="0" w:beforeAutospacing="0" w:after="0" w:afterAutospacing="0"/>
              <w:ind w:left="0" w:right="0"/>
              <w:jc w:val="both"/>
              <w:rPr>
                <w:color w:val="auto"/>
                <w:sz w:val="21"/>
                <w:szCs w:val="21"/>
                <w:highlight w:val="none"/>
              </w:rPr>
            </w:pPr>
            <w:r>
              <w:rPr>
                <w:color w:val="auto"/>
                <w:sz w:val="21"/>
                <w:szCs w:val="21"/>
                <w:highlight w:val="none"/>
              </w:rPr>
              <w:t>8.积分放大器积分时间：0.01～10秒；</w:t>
            </w:r>
          </w:p>
          <w:p w14:paraId="0B653B5B">
            <w:pPr>
              <w:keepNext w:val="0"/>
              <w:keepLines w:val="0"/>
              <w:suppressLineNumbers w:val="0"/>
              <w:snapToGrid w:val="0"/>
              <w:spacing w:before="0" w:beforeAutospacing="0" w:after="0" w:afterAutospacing="0"/>
              <w:ind w:left="0" w:right="0"/>
              <w:jc w:val="both"/>
              <w:rPr>
                <w:color w:val="auto"/>
                <w:sz w:val="21"/>
                <w:szCs w:val="21"/>
                <w:highlight w:val="none"/>
              </w:rPr>
            </w:pPr>
            <w:r>
              <w:rPr>
                <w:color w:val="auto"/>
                <w:sz w:val="21"/>
                <w:szCs w:val="21"/>
                <w:highlight w:val="none"/>
              </w:rPr>
              <w:t>9.系统自动调零；</w:t>
            </w:r>
          </w:p>
          <w:p w14:paraId="683BC8FB">
            <w:pPr>
              <w:keepNext w:val="0"/>
              <w:keepLines w:val="0"/>
              <w:suppressLineNumbers w:val="0"/>
              <w:snapToGrid w:val="0"/>
              <w:spacing w:before="0" w:beforeAutospacing="0" w:after="0" w:afterAutospacing="0"/>
              <w:ind w:left="0" w:right="0"/>
              <w:jc w:val="both"/>
              <w:rPr>
                <w:color w:val="auto"/>
                <w:sz w:val="21"/>
                <w:szCs w:val="21"/>
                <w:highlight w:val="none"/>
              </w:rPr>
            </w:pPr>
            <w:r>
              <w:rPr>
                <w:color w:val="auto"/>
                <w:sz w:val="21"/>
                <w:szCs w:val="21"/>
                <w:highlight w:val="none"/>
              </w:rPr>
              <w:t>10.增益自动控制；</w:t>
            </w:r>
          </w:p>
          <w:p w14:paraId="6090A589">
            <w:pPr>
              <w:keepNext w:val="0"/>
              <w:keepLines w:val="0"/>
              <w:suppressLineNumbers w:val="0"/>
              <w:snapToGrid w:val="0"/>
              <w:spacing w:before="0" w:beforeAutospacing="0" w:after="0" w:afterAutospacing="0"/>
              <w:ind w:left="0" w:right="0"/>
              <w:jc w:val="both"/>
              <w:rPr>
                <w:color w:val="auto"/>
                <w:sz w:val="21"/>
                <w:szCs w:val="21"/>
                <w:highlight w:val="none"/>
              </w:rPr>
            </w:pPr>
            <w:r>
              <w:rPr>
                <w:color w:val="auto"/>
                <w:sz w:val="21"/>
                <w:szCs w:val="21"/>
                <w:highlight w:val="none"/>
              </w:rPr>
              <w:t>11.采样速率：1～200次/秒。</w:t>
            </w:r>
          </w:p>
          <w:p w14:paraId="5B8869B4">
            <w:pPr>
              <w:keepNext w:val="0"/>
              <w:keepLines w:val="0"/>
              <w:suppressLineNumbers w:val="0"/>
              <w:snapToGrid w:val="0"/>
              <w:spacing w:before="0" w:beforeAutospacing="0" w:after="0" w:afterAutospacing="0"/>
              <w:ind w:left="0" w:right="0"/>
              <w:jc w:val="both"/>
              <w:rPr>
                <w:color w:val="auto"/>
                <w:sz w:val="21"/>
                <w:szCs w:val="21"/>
                <w:highlight w:val="none"/>
              </w:rPr>
            </w:pPr>
            <w:r>
              <w:rPr>
                <w:rFonts w:hint="eastAsia"/>
                <w:color w:val="auto"/>
                <w:sz w:val="21"/>
                <w:szCs w:val="21"/>
                <w:highlight w:val="none"/>
              </w:rPr>
              <w:t>（三）多功能化学发光检测器</w:t>
            </w:r>
          </w:p>
          <w:p w14:paraId="767C6FA0">
            <w:pPr>
              <w:keepNext w:val="0"/>
              <w:keepLines w:val="0"/>
              <w:suppressLineNumbers w:val="0"/>
              <w:snapToGrid w:val="0"/>
              <w:spacing w:before="0" w:beforeAutospacing="0" w:after="0" w:afterAutospacing="0"/>
              <w:ind w:left="0" w:right="0"/>
              <w:jc w:val="both"/>
              <w:rPr>
                <w:color w:val="auto"/>
                <w:sz w:val="21"/>
                <w:szCs w:val="21"/>
                <w:highlight w:val="none"/>
              </w:rPr>
            </w:pPr>
            <w:r>
              <w:rPr>
                <w:rFonts w:hint="eastAsia"/>
                <w:color w:val="auto"/>
                <w:szCs w:val="21"/>
                <w:highlight w:val="none"/>
              </w:rPr>
              <w:t>▲</w:t>
            </w:r>
            <w:r>
              <w:rPr>
                <w:color w:val="auto"/>
                <w:sz w:val="21"/>
                <w:szCs w:val="21"/>
                <w:highlight w:val="none"/>
              </w:rPr>
              <w:t>1.可进行静态注射化学发光、化学发光、电致化学发光等发光检测，并且可以作为电化学检测的屏蔽罩，屏蔽外来电磁干扰信号的影响；</w:t>
            </w:r>
          </w:p>
          <w:p w14:paraId="79377005">
            <w:pPr>
              <w:keepNext w:val="0"/>
              <w:keepLines w:val="0"/>
              <w:suppressLineNumbers w:val="0"/>
              <w:snapToGrid w:val="0"/>
              <w:spacing w:before="0" w:beforeAutospacing="0" w:after="0" w:afterAutospacing="0"/>
              <w:ind w:left="0" w:right="0"/>
              <w:jc w:val="both"/>
              <w:rPr>
                <w:color w:val="auto"/>
                <w:sz w:val="21"/>
                <w:szCs w:val="21"/>
                <w:highlight w:val="none"/>
              </w:rPr>
            </w:pPr>
            <w:r>
              <w:rPr>
                <w:color w:val="auto"/>
                <w:sz w:val="21"/>
                <w:szCs w:val="21"/>
                <w:highlight w:val="none"/>
              </w:rPr>
              <w:t>2.输入高压：-100～-1000V；</w:t>
            </w:r>
          </w:p>
          <w:p w14:paraId="6FD37EF6">
            <w:pPr>
              <w:keepNext w:val="0"/>
              <w:keepLines w:val="0"/>
              <w:suppressLineNumbers w:val="0"/>
              <w:snapToGrid w:val="0"/>
              <w:spacing w:before="0" w:beforeAutospacing="0" w:after="0" w:afterAutospacing="0"/>
              <w:ind w:left="0" w:right="0"/>
              <w:jc w:val="both"/>
              <w:rPr>
                <w:color w:val="auto"/>
                <w:sz w:val="21"/>
                <w:szCs w:val="21"/>
                <w:highlight w:val="none"/>
              </w:rPr>
            </w:pPr>
            <w:r>
              <w:rPr>
                <w:rFonts w:hint="eastAsia"/>
                <w:color w:val="auto"/>
                <w:szCs w:val="21"/>
                <w:highlight w:val="none"/>
              </w:rPr>
              <w:t>▲</w:t>
            </w:r>
            <w:r>
              <w:rPr>
                <w:color w:val="auto"/>
                <w:sz w:val="21"/>
                <w:szCs w:val="21"/>
                <w:highlight w:val="none"/>
              </w:rPr>
              <w:t>3.波长范围：300～650nm（灵敏波长：420nm）；</w:t>
            </w:r>
          </w:p>
          <w:p w14:paraId="4D5F091C">
            <w:pPr>
              <w:keepNext w:val="0"/>
              <w:keepLines w:val="0"/>
              <w:suppressLineNumbers w:val="0"/>
              <w:snapToGrid w:val="0"/>
              <w:spacing w:before="0" w:beforeAutospacing="0" w:after="0" w:afterAutospacing="0"/>
              <w:ind w:left="0" w:right="0"/>
              <w:jc w:val="both"/>
              <w:rPr>
                <w:color w:val="auto"/>
                <w:sz w:val="21"/>
                <w:szCs w:val="21"/>
                <w:highlight w:val="none"/>
              </w:rPr>
            </w:pPr>
            <w:r>
              <w:rPr>
                <w:color w:val="auto"/>
                <w:sz w:val="21"/>
                <w:szCs w:val="21"/>
                <w:highlight w:val="none"/>
              </w:rPr>
              <w:t>4.SP≥1000A/Lm。</w:t>
            </w:r>
          </w:p>
          <w:p w14:paraId="02D62338">
            <w:pPr>
              <w:keepNext w:val="0"/>
              <w:keepLines w:val="0"/>
              <w:suppressLineNumbers w:val="0"/>
              <w:spacing w:before="0" w:beforeAutospacing="0" w:after="0" w:afterAutospacing="0"/>
              <w:ind w:left="0" w:right="0"/>
              <w:rPr>
                <w:color w:val="auto"/>
                <w:sz w:val="21"/>
                <w:szCs w:val="18"/>
                <w:highlight w:val="none"/>
              </w:rPr>
            </w:pPr>
            <w:r>
              <w:rPr>
                <w:color w:val="auto"/>
                <w:sz w:val="21"/>
                <w:szCs w:val="18"/>
                <w:highlight w:val="none"/>
              </w:rPr>
              <w:t>二</w:t>
            </w:r>
            <w:r>
              <w:rPr>
                <w:rFonts w:hint="eastAsia"/>
                <w:color w:val="auto"/>
                <w:sz w:val="21"/>
                <w:szCs w:val="18"/>
                <w:highlight w:val="none"/>
              </w:rPr>
              <w:t>、配置清单：</w:t>
            </w:r>
          </w:p>
          <w:p w14:paraId="24130BE2">
            <w:pPr>
              <w:keepNext w:val="0"/>
              <w:keepLines w:val="0"/>
              <w:suppressLineNumbers w:val="0"/>
              <w:spacing w:before="0" w:beforeAutospacing="0" w:after="0" w:afterAutospacing="0"/>
              <w:ind w:left="0" w:right="0"/>
              <w:rPr>
                <w:color w:val="auto"/>
                <w:sz w:val="21"/>
                <w:szCs w:val="18"/>
                <w:highlight w:val="none"/>
              </w:rPr>
            </w:pPr>
            <w:r>
              <w:rPr>
                <w:rFonts w:hint="eastAsia"/>
                <w:color w:val="auto"/>
                <w:sz w:val="21"/>
                <w:szCs w:val="18"/>
                <w:highlight w:val="none"/>
              </w:rPr>
              <w:t>1</w:t>
            </w:r>
            <w:r>
              <w:rPr>
                <w:color w:val="auto"/>
                <w:sz w:val="21"/>
                <w:szCs w:val="18"/>
                <w:highlight w:val="none"/>
              </w:rPr>
              <w:t>.</w:t>
            </w:r>
            <w:r>
              <w:rPr>
                <w:rFonts w:hint="eastAsia"/>
                <w:color w:val="auto"/>
                <w:sz w:val="21"/>
                <w:szCs w:val="18"/>
                <w:highlight w:val="none"/>
              </w:rPr>
              <w:t>电化学分析仪，1台；</w:t>
            </w:r>
          </w:p>
          <w:p w14:paraId="1D4ED084">
            <w:pPr>
              <w:keepNext w:val="0"/>
              <w:keepLines w:val="0"/>
              <w:suppressLineNumbers w:val="0"/>
              <w:spacing w:before="0" w:beforeAutospacing="0" w:after="0" w:afterAutospacing="0"/>
              <w:ind w:left="0" w:right="0"/>
              <w:rPr>
                <w:color w:val="auto"/>
                <w:sz w:val="21"/>
                <w:szCs w:val="18"/>
                <w:highlight w:val="none"/>
              </w:rPr>
            </w:pPr>
            <w:r>
              <w:rPr>
                <w:rFonts w:hint="eastAsia"/>
                <w:color w:val="auto"/>
                <w:sz w:val="21"/>
                <w:szCs w:val="18"/>
                <w:highlight w:val="none"/>
              </w:rPr>
              <w:t>2</w:t>
            </w:r>
            <w:r>
              <w:rPr>
                <w:color w:val="auto"/>
                <w:sz w:val="21"/>
                <w:szCs w:val="18"/>
                <w:highlight w:val="none"/>
              </w:rPr>
              <w:t>.</w:t>
            </w:r>
            <w:r>
              <w:rPr>
                <w:rFonts w:hint="eastAsia"/>
                <w:color w:val="auto"/>
                <w:sz w:val="21"/>
                <w:szCs w:val="18"/>
                <w:highlight w:val="none"/>
              </w:rPr>
              <w:t>多功能化学发光检测仪，1台；</w:t>
            </w:r>
          </w:p>
          <w:p w14:paraId="40DE7C6B">
            <w:pPr>
              <w:keepNext w:val="0"/>
              <w:keepLines w:val="0"/>
              <w:suppressLineNumbers w:val="0"/>
              <w:snapToGrid w:val="0"/>
              <w:spacing w:before="0" w:beforeAutospacing="0" w:after="0" w:afterAutospacing="0"/>
              <w:ind w:left="0" w:right="0"/>
              <w:jc w:val="both"/>
              <w:rPr>
                <w:rFonts w:hint="default" w:ascii="Times New Roman" w:hAnsi="Times New Roman" w:eastAsia="宋体" w:cs="Times New Roman"/>
                <w:color w:val="auto"/>
                <w:kern w:val="2"/>
                <w:sz w:val="21"/>
                <w:szCs w:val="21"/>
                <w:highlight w:val="none"/>
                <w:lang w:val="en-US" w:eastAsia="zh-CN" w:bidi="ar-SA"/>
              </w:rPr>
            </w:pPr>
            <w:r>
              <w:rPr>
                <w:color w:val="auto"/>
                <w:sz w:val="21"/>
                <w:szCs w:val="18"/>
                <w:highlight w:val="none"/>
              </w:rPr>
              <w:t>3.</w:t>
            </w:r>
            <w:r>
              <w:rPr>
                <w:rFonts w:hint="eastAsia"/>
                <w:color w:val="auto"/>
                <w:sz w:val="21"/>
                <w:szCs w:val="18"/>
                <w:highlight w:val="none"/>
              </w:rPr>
              <w:t>多功能化学发光检测器，1台。</w:t>
            </w:r>
          </w:p>
        </w:tc>
        <w:tc>
          <w:tcPr>
            <w:tcW w:w="1497" w:type="dxa"/>
            <w:tcBorders>
              <w:top w:val="single" w:color="000000" w:sz="4" w:space="0"/>
              <w:left w:val="single" w:color="auto" w:sz="4" w:space="0"/>
              <w:bottom w:val="single" w:color="000000" w:sz="4" w:space="0"/>
              <w:right w:val="single" w:color="000000" w:sz="4" w:space="0"/>
            </w:tcBorders>
            <w:vAlign w:val="center"/>
          </w:tcPr>
          <w:p w14:paraId="226E953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宋体" w:hAnsi="宋体" w:eastAsia="宋体" w:cs="宋体"/>
                <w:color w:val="auto"/>
                <w:kern w:val="0"/>
                <w:sz w:val="21"/>
                <w:szCs w:val="21"/>
                <w:highlight w:val="none"/>
                <w:lang w:val="en-US"/>
              </w:rPr>
            </w:pPr>
            <w:r>
              <w:rPr>
                <w:rFonts w:hint="eastAsia" w:eastAsia="宋体" w:asciiTheme="minorEastAsia" w:hAnsiTheme="minorEastAsia" w:cstheme="minorEastAsia"/>
                <w:color w:val="auto"/>
                <w:sz w:val="24"/>
                <w:highlight w:val="none"/>
                <w:shd w:val="clear" w:color="auto" w:fill="FFFFFF"/>
              </w:rPr>
              <w:t>工业</w:t>
            </w:r>
          </w:p>
        </w:tc>
      </w:tr>
      <w:tr w14:paraId="48EC67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1E439D10">
            <w:pPr>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3</w:t>
            </w:r>
          </w:p>
        </w:tc>
        <w:tc>
          <w:tcPr>
            <w:tcW w:w="1119" w:type="dxa"/>
            <w:tcBorders>
              <w:top w:val="single" w:color="000000" w:sz="4" w:space="0"/>
              <w:left w:val="nil"/>
              <w:bottom w:val="single" w:color="000000" w:sz="4" w:space="0"/>
              <w:right w:val="single" w:color="000000" w:sz="4" w:space="0"/>
            </w:tcBorders>
            <w:shd w:val="clear" w:color="auto" w:fill="auto"/>
            <w:vAlign w:val="center"/>
          </w:tcPr>
          <w:p w14:paraId="21CD6D2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多通道电化学分析仪</w:t>
            </w:r>
          </w:p>
        </w:tc>
        <w:tc>
          <w:tcPr>
            <w:tcW w:w="562" w:type="dxa"/>
            <w:tcBorders>
              <w:top w:val="single" w:color="000000" w:sz="4" w:space="0"/>
              <w:left w:val="nil"/>
              <w:bottom w:val="single" w:color="000000" w:sz="4" w:space="0"/>
              <w:right w:val="single" w:color="000000" w:sz="4" w:space="0"/>
            </w:tcBorders>
            <w:shd w:val="clear" w:color="auto" w:fill="auto"/>
            <w:vAlign w:val="center"/>
          </w:tcPr>
          <w:p w14:paraId="061BC41F">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color w:val="auto"/>
                <w:sz w:val="21"/>
                <w:szCs w:val="21"/>
                <w:highlight w:val="none"/>
              </w:rPr>
              <w:t>1</w:t>
            </w:r>
          </w:p>
        </w:tc>
        <w:tc>
          <w:tcPr>
            <w:tcW w:w="519" w:type="dxa"/>
            <w:tcBorders>
              <w:top w:val="single" w:color="000000" w:sz="4" w:space="0"/>
              <w:left w:val="nil"/>
              <w:bottom w:val="single" w:color="000000" w:sz="4" w:space="0"/>
              <w:right w:val="single" w:color="000000" w:sz="4" w:space="0"/>
            </w:tcBorders>
            <w:shd w:val="clear" w:color="auto" w:fill="auto"/>
            <w:vAlign w:val="center"/>
          </w:tcPr>
          <w:p w14:paraId="04E0584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套</w:t>
            </w:r>
          </w:p>
        </w:tc>
        <w:tc>
          <w:tcPr>
            <w:tcW w:w="5194" w:type="dxa"/>
            <w:tcBorders>
              <w:top w:val="single" w:color="000000" w:sz="4" w:space="0"/>
              <w:left w:val="nil"/>
              <w:bottom w:val="single" w:color="000000" w:sz="4" w:space="0"/>
              <w:right w:val="single" w:color="auto" w:sz="4" w:space="0"/>
            </w:tcBorders>
            <w:shd w:val="clear" w:color="auto" w:fill="auto"/>
            <w:vAlign w:val="top"/>
          </w:tcPr>
          <w:p w14:paraId="634C5415">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Cs w:val="21"/>
                <w:highlight w:val="none"/>
              </w:rPr>
              <w:t>▲</w:t>
            </w:r>
            <w:r>
              <w:rPr>
                <w:rFonts w:hint="eastAsia"/>
                <w:color w:val="auto"/>
                <w:sz w:val="21"/>
                <w:szCs w:val="18"/>
                <w:highlight w:val="none"/>
              </w:rPr>
              <w:t>1.仪器主机：四通道，可以进行两种测量模式，所有通道同时控制或各通道独立控制，包括EIS交流阻抗在内的各种电化学测量方法，互不干扰。</w:t>
            </w:r>
          </w:p>
          <w:p w14:paraId="5710AC1A">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2.所有通道和测量方法都能够进行编程化测试，实现实时监测或无人值守监测，操作软件内置等效电路拟合分析功能。</w:t>
            </w:r>
          </w:p>
          <w:p w14:paraId="14DA609F">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3.仪器采用浮地式设计，每个通道支持使用独立电解池，或在同一溶液中多个工作电极共用一个参比电极和对电极。</w:t>
            </w:r>
          </w:p>
          <w:p w14:paraId="5AB354D5">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Cs w:val="21"/>
                <w:highlight w:val="none"/>
              </w:rPr>
              <w:t>▲</w:t>
            </w:r>
            <w:r>
              <w:rPr>
                <w:rFonts w:hint="eastAsia"/>
                <w:color w:val="auto"/>
                <w:sz w:val="21"/>
                <w:szCs w:val="18"/>
                <w:highlight w:val="none"/>
              </w:rPr>
              <w:t>4.提供建立标准曲线，实现定量分析或阴阳性判断，直接出样品测量报告。</w:t>
            </w:r>
          </w:p>
          <w:p w14:paraId="093DE5E6">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Cs w:val="21"/>
                <w:highlight w:val="none"/>
              </w:rPr>
              <w:t>▲</w:t>
            </w:r>
            <w:r>
              <w:rPr>
                <w:rFonts w:hint="eastAsia"/>
                <w:color w:val="auto"/>
                <w:sz w:val="21"/>
                <w:szCs w:val="18"/>
                <w:highlight w:val="none"/>
              </w:rPr>
              <w:t>5.电化学软件支持触发第三方设备，例如ECL化学发光仪、搅拌装置和控温度探头等。</w:t>
            </w:r>
          </w:p>
          <w:p w14:paraId="35675C36">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6.提供SDK开发包，支持用户进行定制化应用。</w:t>
            </w:r>
          </w:p>
          <w:p w14:paraId="598FD49A">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7.电化学测量方法：线性扫描伏安法（LSV），循环伏安法（CV），差分脉冲伏安法（DPV），方波伏安法（SWV），常规脉冲伏安法（NPV）；计时电流法（CA），零电阻电流法（ZRA），计时库仑法（CC），多级计时电流法（MA），脉冲电流检测(PAD)，电流线性扫描法（LSP），计时电位法（CP），多级电位法（MP），开路电位(OCP)，混合模式（MM），交流阻抗/EIS（频率扫描、电位扫描、固定电位、时间扫描）等。</w:t>
            </w:r>
          </w:p>
          <w:p w14:paraId="12E812D7">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8.仪器技术参数：</w:t>
            </w:r>
          </w:p>
          <w:p w14:paraId="73539035">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8.1操作模式：恒电位、恒电流、交流阻抗，三电极模式：WE/RE/CE。施加电位范围：±3V，输出电位范围：±5V，最大电流：±30mA。</w:t>
            </w:r>
          </w:p>
          <w:p w14:paraId="38335941">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8.2恒电位模式，电位分辨率：≥100μV，电位精度：≤0.2%±1mVoffset，电流量程：1nA~10mA(≥8档)；响应电流分辨率：0.009%ofCR(92fAon1nA)；测量电流精度：≤0.2%atFSR。</w:t>
            </w:r>
          </w:p>
          <w:p w14:paraId="353B8E40">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8.3恒电流模式，电流量程：10nA</w:t>
            </w:r>
            <w:r>
              <w:rPr>
                <w:color w:val="auto"/>
                <w:sz w:val="21"/>
                <w:szCs w:val="18"/>
                <w:highlight w:val="none"/>
              </w:rPr>
              <w:t>~</w:t>
            </w:r>
            <w:r>
              <w:rPr>
                <w:rFonts w:hint="eastAsia"/>
                <w:color w:val="auto"/>
                <w:sz w:val="21"/>
                <w:szCs w:val="18"/>
                <w:highlight w:val="none"/>
              </w:rPr>
              <w:t>10mA(≥4档)；直流电流量程：所选电流量程±3倍；直流电流分辨率：所选电流量程的0.01%(&lt;10mA)，测量电位精度：≤0.2%±1mVoffset。</w:t>
            </w:r>
          </w:p>
          <w:p w14:paraId="238E658F">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9.交流阻抗，频率范围：10µHz</w:t>
            </w:r>
            <w:r>
              <w:rPr>
                <w:color w:val="auto"/>
                <w:sz w:val="21"/>
                <w:szCs w:val="18"/>
                <w:highlight w:val="none"/>
              </w:rPr>
              <w:t>~</w:t>
            </w:r>
            <w:r>
              <w:rPr>
                <w:rFonts w:hint="eastAsia"/>
                <w:color w:val="auto"/>
                <w:sz w:val="21"/>
                <w:szCs w:val="18"/>
                <w:highlight w:val="none"/>
              </w:rPr>
              <w:t>200kHz，交流振幅范围：1mV</w:t>
            </w:r>
            <w:r>
              <w:rPr>
                <w:color w:val="auto"/>
                <w:sz w:val="21"/>
                <w:szCs w:val="18"/>
                <w:highlight w:val="none"/>
              </w:rPr>
              <w:t>~</w:t>
            </w:r>
            <w:r>
              <w:rPr>
                <w:rFonts w:hint="eastAsia"/>
                <w:color w:val="auto"/>
                <w:sz w:val="21"/>
                <w:szCs w:val="18"/>
                <w:highlight w:val="none"/>
              </w:rPr>
              <w:t>900mVrms,或2.5Vp-p。</w:t>
            </w:r>
          </w:p>
          <w:p w14:paraId="1DA6B1D8">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10.数据处理和软件</w:t>
            </w:r>
          </w:p>
          <w:p w14:paraId="33BF813C">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10.1峰处理：自动或手动寻峰，包括峰高、峰面积、峰分离、峰积分等。</w:t>
            </w:r>
          </w:p>
          <w:p w14:paraId="1711A413">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10.2数据处理：软件内置交流阻抗等效电路拟合功能，数据一键导至Origin或Excel。</w:t>
            </w:r>
          </w:p>
          <w:p w14:paraId="0DDCC3D2">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10.3控制模式：所有通道同时控制或独立运行，能够进行实时监测，实现无人值守。</w:t>
            </w:r>
          </w:p>
          <w:p w14:paraId="6B8B6430">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10.4软件支持同时或独立控制≥48个通道。</w:t>
            </w:r>
          </w:p>
          <w:p w14:paraId="13E79609">
            <w:pPr>
              <w:keepNext w:val="0"/>
              <w:keepLines w:val="0"/>
              <w:suppressLineNumbers w:val="0"/>
              <w:wordWrap w:val="0"/>
              <w:spacing w:before="0" w:beforeAutospacing="0" w:after="0" w:afterAutospacing="0"/>
              <w:ind w:left="0" w:right="0"/>
              <w:rPr>
                <w:rFonts w:hint="eastAsia" w:ascii="Times New Roman" w:hAnsi="Times New Roman" w:eastAsia="宋体" w:cs="Times New Roman"/>
                <w:color w:val="auto"/>
                <w:kern w:val="2"/>
                <w:sz w:val="21"/>
                <w:szCs w:val="18"/>
                <w:highlight w:val="none"/>
                <w:lang w:val="en-US" w:eastAsia="zh-CN" w:bidi="ar-SA"/>
              </w:rPr>
            </w:pPr>
            <w:r>
              <w:rPr>
                <w:rFonts w:hint="eastAsia"/>
                <w:color w:val="auto"/>
                <w:sz w:val="21"/>
                <w:szCs w:val="18"/>
                <w:highlight w:val="none"/>
              </w:rPr>
              <w:t>11.配置：四通道主机、软件（电脑端+手机APP),电源适配器、数据线、操作手册、电极线。</w:t>
            </w:r>
          </w:p>
        </w:tc>
        <w:tc>
          <w:tcPr>
            <w:tcW w:w="1497" w:type="dxa"/>
            <w:tcBorders>
              <w:top w:val="single" w:color="000000" w:sz="4" w:space="0"/>
              <w:left w:val="single" w:color="auto" w:sz="4" w:space="0"/>
              <w:bottom w:val="single" w:color="000000" w:sz="4" w:space="0"/>
              <w:right w:val="single" w:color="000000" w:sz="4" w:space="0"/>
            </w:tcBorders>
            <w:vAlign w:val="center"/>
          </w:tcPr>
          <w:p w14:paraId="72AE43A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仿宋" w:hAnsi="仿宋" w:cs="Times New Roman" w:eastAsiaTheme="minorEastAsia"/>
                <w:color w:val="auto"/>
                <w:spacing w:val="-6"/>
                <w:kern w:val="2"/>
                <w:sz w:val="22"/>
                <w:szCs w:val="22"/>
                <w:highlight w:val="none"/>
                <w:vertAlign w:val="baseline"/>
                <w:lang w:val="en-US" w:eastAsia="zh-CN" w:bidi="ar-SA"/>
              </w:rPr>
            </w:pPr>
            <w:r>
              <w:rPr>
                <w:rFonts w:hint="eastAsia" w:eastAsia="宋体" w:asciiTheme="minorEastAsia" w:hAnsiTheme="minorEastAsia" w:cstheme="minorEastAsia"/>
                <w:color w:val="auto"/>
                <w:sz w:val="24"/>
                <w:highlight w:val="none"/>
                <w:shd w:val="clear" w:color="auto" w:fill="FFFFFF"/>
              </w:rPr>
              <w:t>工业</w:t>
            </w:r>
          </w:p>
        </w:tc>
      </w:tr>
      <w:tr w14:paraId="7CC95B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66C485F7">
            <w:pPr>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4</w:t>
            </w:r>
          </w:p>
        </w:tc>
        <w:tc>
          <w:tcPr>
            <w:tcW w:w="1119" w:type="dxa"/>
            <w:tcBorders>
              <w:top w:val="single" w:color="000000" w:sz="4" w:space="0"/>
              <w:left w:val="nil"/>
              <w:bottom w:val="single" w:color="000000" w:sz="4" w:space="0"/>
              <w:right w:val="single" w:color="000000" w:sz="4" w:space="0"/>
            </w:tcBorders>
            <w:shd w:val="clear" w:color="auto" w:fill="auto"/>
            <w:vAlign w:val="center"/>
          </w:tcPr>
          <w:p w14:paraId="17A5F27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体式显微镜</w:t>
            </w:r>
          </w:p>
        </w:tc>
        <w:tc>
          <w:tcPr>
            <w:tcW w:w="562" w:type="dxa"/>
            <w:tcBorders>
              <w:top w:val="single" w:color="000000" w:sz="4" w:space="0"/>
              <w:left w:val="nil"/>
              <w:bottom w:val="single" w:color="000000" w:sz="4" w:space="0"/>
              <w:right w:val="single" w:color="000000" w:sz="4" w:space="0"/>
            </w:tcBorders>
            <w:shd w:val="clear" w:color="auto" w:fill="auto"/>
            <w:vAlign w:val="center"/>
          </w:tcPr>
          <w:p w14:paraId="7EDB9A20">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color w:val="auto"/>
                <w:sz w:val="21"/>
                <w:szCs w:val="21"/>
                <w:highlight w:val="none"/>
              </w:rPr>
              <w:t>1</w:t>
            </w:r>
          </w:p>
        </w:tc>
        <w:tc>
          <w:tcPr>
            <w:tcW w:w="519" w:type="dxa"/>
            <w:tcBorders>
              <w:top w:val="single" w:color="000000" w:sz="4" w:space="0"/>
              <w:left w:val="nil"/>
              <w:bottom w:val="single" w:color="000000" w:sz="4" w:space="0"/>
              <w:right w:val="single" w:color="000000" w:sz="4" w:space="0"/>
            </w:tcBorders>
            <w:shd w:val="clear" w:color="auto" w:fill="auto"/>
            <w:vAlign w:val="center"/>
          </w:tcPr>
          <w:p w14:paraId="109274E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台</w:t>
            </w:r>
          </w:p>
        </w:tc>
        <w:tc>
          <w:tcPr>
            <w:tcW w:w="5194" w:type="dxa"/>
            <w:tcBorders>
              <w:top w:val="single" w:color="000000" w:sz="4" w:space="0"/>
              <w:left w:val="nil"/>
              <w:bottom w:val="single" w:color="000000" w:sz="4" w:space="0"/>
              <w:right w:val="single" w:color="auto" w:sz="4" w:space="0"/>
            </w:tcBorders>
            <w:shd w:val="clear" w:color="auto" w:fill="auto"/>
            <w:vAlign w:val="center"/>
          </w:tcPr>
          <w:p w14:paraId="271B6D37">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▲1.光学系统：Greenough光路设计，高分辨率、高反差，主机和物镜都进行复消色差校正，无色散；</w:t>
            </w:r>
          </w:p>
          <w:p w14:paraId="6C7128ED">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2.主机：</w:t>
            </w:r>
          </w:p>
          <w:p w14:paraId="09A614A7">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▲2.1变倍比≥8:1，放大范围6.3x-50x；</w:t>
            </w:r>
          </w:p>
          <w:p w14:paraId="686590B3">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▲2.2最高分辨率≥420Lp/mm；</w:t>
            </w:r>
          </w:p>
          <w:p w14:paraId="018E25D6">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2.3具备100:0/0:100分光光路，可接相机；</w:t>
            </w:r>
          </w:p>
          <w:p w14:paraId="5A98317E">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2.4具备0.5x相机接口；</w:t>
            </w:r>
          </w:p>
          <w:p w14:paraId="051088A0">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2.5所有镜片采用防灰尘设计；</w:t>
            </w:r>
          </w:p>
          <w:p w14:paraId="16A72D53">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3.目镜观察筒：≥35度倾角，瞳距可调；</w:t>
            </w:r>
          </w:p>
          <w:p w14:paraId="11513253">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4.目镜：</w:t>
            </w:r>
          </w:p>
          <w:p w14:paraId="5FD410FD">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▲4.1</w:t>
            </w:r>
            <w:r>
              <w:rPr>
                <w:color w:val="auto"/>
                <w:szCs w:val="18"/>
                <w:highlight w:val="none"/>
              </w:rPr>
              <w:t xml:space="preserve"> </w:t>
            </w:r>
            <w:r>
              <w:rPr>
                <w:rFonts w:hint="eastAsia"/>
                <w:color w:val="auto"/>
                <w:szCs w:val="18"/>
                <w:highlight w:val="none"/>
              </w:rPr>
              <w:t>10x目镜，视场数≥23mm；</w:t>
            </w:r>
          </w:p>
          <w:p w14:paraId="49ED40F3">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4.2高眼点，屈光度可调；</w:t>
            </w:r>
          </w:p>
          <w:p w14:paraId="57D246BB">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4.3目镜罩2只。</w:t>
            </w:r>
          </w:p>
          <w:p w14:paraId="73CA9EB3">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▲5.调焦机构：总高度：≥250mm，调焦行程：≥145mm；</w:t>
            </w:r>
          </w:p>
          <w:p w14:paraId="6E9357E1">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6.底座有效尺寸：≥200x310mm，透反两用；</w:t>
            </w:r>
          </w:p>
          <w:p w14:paraId="52F7146D">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▲7.物镜：1x物镜，工作距离：≥92mm，视野范围：≥35mm；</w:t>
            </w:r>
          </w:p>
          <w:p w14:paraId="6D61C536">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▲8.变倍：具有≥10个精准的变倍卡位；</w:t>
            </w:r>
          </w:p>
          <w:p w14:paraId="74A17212">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9.照明方式</w:t>
            </w:r>
          </w:p>
          <w:p w14:paraId="2399F10E">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9.1双支光纤照明：可自定义照明位置；</w:t>
            </w:r>
          </w:p>
          <w:p w14:paraId="236D6278">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9.2环形光照明；</w:t>
            </w:r>
          </w:p>
          <w:p w14:paraId="7B15DB83">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▲9.3透射光照明器：可实现透射光明场、透射光暗场、斜照明等观察方式；</w:t>
            </w:r>
          </w:p>
          <w:p w14:paraId="2949680A">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10.配备防尘罩；</w:t>
            </w:r>
          </w:p>
          <w:p w14:paraId="61E741DA">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▲11.成像系统：与主机同品牌高色彩还原彩色相机；</w:t>
            </w:r>
          </w:p>
          <w:p w14:paraId="7953512D">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11.1彩色CMOS芯片，物理像素≥500万，分辨率：≥2592(H)</w:t>
            </w:r>
            <w:r>
              <w:rPr>
                <w:color w:val="auto"/>
                <w:sz w:val="21"/>
                <w:szCs w:val="21"/>
                <w:highlight w:val="none"/>
              </w:rPr>
              <w:t>×</w:t>
            </w:r>
            <w:r>
              <w:rPr>
                <w:rFonts w:hint="eastAsia"/>
                <w:color w:val="auto"/>
                <w:szCs w:val="18"/>
                <w:highlight w:val="none"/>
              </w:rPr>
              <w:t>1944(V)；</w:t>
            </w:r>
          </w:p>
          <w:p w14:paraId="61D111EC">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11.2曝光时间：0.03ms-1s；</w:t>
            </w:r>
          </w:p>
          <w:p w14:paraId="6CC39D41">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11.3</w:t>
            </w:r>
            <w:r>
              <w:rPr>
                <w:color w:val="auto"/>
                <w:szCs w:val="18"/>
                <w:highlight w:val="none"/>
              </w:rPr>
              <w:t xml:space="preserve"> </w:t>
            </w:r>
            <w:r>
              <w:rPr>
                <w:rFonts w:hint="eastAsia"/>
                <w:color w:val="auto"/>
                <w:szCs w:val="18"/>
                <w:highlight w:val="none"/>
              </w:rPr>
              <w:t>USB3.0数据传输接口；</w:t>
            </w:r>
          </w:p>
          <w:p w14:paraId="5F9D6831">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11.4自动/手动白平衡操作，支持手动RGB色彩调整；</w:t>
            </w:r>
          </w:p>
          <w:p w14:paraId="0B900B6F">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11.5帧速率最高支持到≥30帧（1920</w:t>
            </w:r>
            <w:r>
              <w:rPr>
                <w:color w:val="auto"/>
                <w:sz w:val="21"/>
                <w:szCs w:val="21"/>
                <w:highlight w:val="none"/>
              </w:rPr>
              <w:t>×</w:t>
            </w:r>
            <w:r>
              <w:rPr>
                <w:rFonts w:hint="eastAsia"/>
                <w:color w:val="auto"/>
                <w:szCs w:val="18"/>
                <w:highlight w:val="none"/>
              </w:rPr>
              <w:t>1080）；</w:t>
            </w:r>
          </w:p>
          <w:p w14:paraId="1F22E9C1">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12.成像软件分析系统：</w:t>
            </w:r>
          </w:p>
          <w:p w14:paraId="066F7690">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12.1具备基本的图像管理功能：编档图像优化处理（色彩管理、自动曝光、亮度、对比度调节等），具备几何测量功能（标注，添加比例尺，长度、面积、周长等）；</w:t>
            </w:r>
          </w:p>
          <w:p w14:paraId="7ADB65E4">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12.2手动图像景深扩展：可以对多幅各层面聚焦图像进行处理，将不同层面清晰的部分合成在一张图片上；</w:t>
            </w:r>
          </w:p>
          <w:p w14:paraId="10EB55E8">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12.3软件具备视频拍摄功能；</w:t>
            </w:r>
          </w:p>
          <w:p w14:paraId="27CC9A5F">
            <w:pPr>
              <w:pStyle w:val="9"/>
              <w:keepNext w:val="0"/>
              <w:keepLines w:val="0"/>
              <w:suppressLineNumbers w:val="0"/>
              <w:wordWrap w:val="0"/>
              <w:spacing w:before="0" w:beforeAutospacing="0" w:after="0" w:afterAutospacing="0"/>
              <w:ind w:left="0" w:right="0" w:firstLine="0" w:firstLineChars="0"/>
              <w:jc w:val="left"/>
              <w:rPr>
                <w:rFonts w:hint="eastAsia" w:ascii="Times New Roman" w:hAnsi="Times New Roman" w:eastAsia="宋体" w:cs="Times New Roman"/>
                <w:color w:val="auto"/>
                <w:kern w:val="2"/>
                <w:sz w:val="21"/>
                <w:szCs w:val="18"/>
                <w:highlight w:val="none"/>
                <w:lang w:val="en-US" w:eastAsia="zh-CN" w:bidi="ar-SA"/>
              </w:rPr>
            </w:pPr>
            <w:r>
              <w:rPr>
                <w:rFonts w:hint="eastAsia"/>
                <w:color w:val="auto"/>
                <w:szCs w:val="18"/>
                <w:highlight w:val="none"/>
              </w:rPr>
              <w:t>1</w:t>
            </w:r>
            <w:r>
              <w:rPr>
                <w:rFonts w:hint="eastAsia"/>
                <w:color w:val="auto"/>
                <w:szCs w:val="18"/>
                <w:highlight w:val="none"/>
                <w:lang w:val="en-US" w:eastAsia="zh-CN"/>
              </w:rPr>
              <w:t>3</w:t>
            </w:r>
            <w:r>
              <w:rPr>
                <w:color w:val="auto"/>
                <w:szCs w:val="18"/>
                <w:highlight w:val="none"/>
              </w:rPr>
              <w:t>.</w:t>
            </w:r>
            <w:r>
              <w:rPr>
                <w:rFonts w:hint="eastAsia"/>
                <w:color w:val="auto"/>
                <w:szCs w:val="18"/>
                <w:highlight w:val="none"/>
              </w:rPr>
              <w:t>配置清单：显微镜主机一台；成像系统一套；软件一套。</w:t>
            </w:r>
          </w:p>
        </w:tc>
        <w:tc>
          <w:tcPr>
            <w:tcW w:w="1497" w:type="dxa"/>
            <w:tcBorders>
              <w:top w:val="single" w:color="000000" w:sz="4" w:space="0"/>
              <w:left w:val="single" w:color="auto" w:sz="4" w:space="0"/>
              <w:bottom w:val="single" w:color="000000" w:sz="4" w:space="0"/>
              <w:right w:val="single" w:color="000000" w:sz="4" w:space="0"/>
            </w:tcBorders>
            <w:vAlign w:val="center"/>
          </w:tcPr>
          <w:p w14:paraId="5A5EEFE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cs="宋体"/>
                <w:b w:val="0"/>
                <w:bCs w:val="0"/>
                <w:color w:val="auto"/>
                <w:szCs w:val="21"/>
                <w:highlight w:val="none"/>
                <w:u w:val="none"/>
              </w:rPr>
            </w:pPr>
            <w:r>
              <w:rPr>
                <w:rFonts w:hint="eastAsia" w:eastAsia="宋体" w:asciiTheme="minorEastAsia" w:hAnsiTheme="minorEastAsia" w:cstheme="minorEastAsia"/>
                <w:color w:val="auto"/>
                <w:sz w:val="24"/>
                <w:highlight w:val="none"/>
                <w:shd w:val="clear" w:color="auto" w:fill="FFFFFF"/>
              </w:rPr>
              <w:t>工业</w:t>
            </w:r>
          </w:p>
        </w:tc>
      </w:tr>
      <w:tr w14:paraId="180C9A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1C482307">
            <w:pPr>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5</w:t>
            </w:r>
          </w:p>
        </w:tc>
        <w:tc>
          <w:tcPr>
            <w:tcW w:w="1119" w:type="dxa"/>
            <w:tcBorders>
              <w:top w:val="single" w:color="000000" w:sz="4" w:space="0"/>
              <w:left w:val="nil"/>
              <w:bottom w:val="single" w:color="000000" w:sz="4" w:space="0"/>
              <w:right w:val="single" w:color="000000" w:sz="4" w:space="0"/>
            </w:tcBorders>
            <w:shd w:val="clear" w:color="auto" w:fill="auto"/>
            <w:vAlign w:val="center"/>
          </w:tcPr>
          <w:p w14:paraId="1752FDB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立式全温振荡培养箱</w:t>
            </w:r>
          </w:p>
        </w:tc>
        <w:tc>
          <w:tcPr>
            <w:tcW w:w="562" w:type="dxa"/>
            <w:tcBorders>
              <w:top w:val="single" w:color="000000" w:sz="4" w:space="0"/>
              <w:left w:val="nil"/>
              <w:bottom w:val="single" w:color="000000" w:sz="4" w:space="0"/>
              <w:right w:val="single" w:color="000000" w:sz="4" w:space="0"/>
            </w:tcBorders>
            <w:shd w:val="clear" w:color="auto" w:fill="auto"/>
            <w:vAlign w:val="center"/>
          </w:tcPr>
          <w:p w14:paraId="7EAEA5A6">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color w:val="auto"/>
                <w:sz w:val="21"/>
                <w:szCs w:val="21"/>
                <w:highlight w:val="none"/>
              </w:rPr>
              <w:t>1</w:t>
            </w:r>
          </w:p>
        </w:tc>
        <w:tc>
          <w:tcPr>
            <w:tcW w:w="519" w:type="dxa"/>
            <w:tcBorders>
              <w:top w:val="single" w:color="000000" w:sz="4" w:space="0"/>
              <w:left w:val="nil"/>
              <w:bottom w:val="single" w:color="000000" w:sz="4" w:space="0"/>
              <w:right w:val="single" w:color="000000" w:sz="4" w:space="0"/>
            </w:tcBorders>
            <w:shd w:val="clear" w:color="auto" w:fill="auto"/>
            <w:vAlign w:val="center"/>
          </w:tcPr>
          <w:p w14:paraId="258C609F">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台</w:t>
            </w:r>
          </w:p>
        </w:tc>
        <w:tc>
          <w:tcPr>
            <w:tcW w:w="5194" w:type="dxa"/>
            <w:tcBorders>
              <w:top w:val="single" w:color="000000" w:sz="4" w:space="0"/>
              <w:left w:val="nil"/>
              <w:bottom w:val="single" w:color="000000" w:sz="4" w:space="0"/>
              <w:right w:val="single" w:color="auto" w:sz="4" w:space="0"/>
            </w:tcBorders>
            <w:shd w:val="clear" w:color="auto" w:fill="auto"/>
            <w:vAlign w:val="center"/>
          </w:tcPr>
          <w:p w14:paraId="0811857B">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1.LCD大屏幕背光液晶显示，操作界面加密锁定功能；</w:t>
            </w:r>
          </w:p>
          <w:p w14:paraId="0A1C4B7A">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2</w:t>
            </w:r>
            <w:r>
              <w:rPr>
                <w:rFonts w:hint="eastAsia"/>
                <w:color w:val="auto"/>
                <w:sz w:val="21"/>
                <w:szCs w:val="18"/>
                <w:highlight w:val="none"/>
              </w:rPr>
              <w:t>.静音风扇设计和强制对流方式；</w:t>
            </w:r>
          </w:p>
          <w:p w14:paraId="7E836E60">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3</w:t>
            </w:r>
            <w:r>
              <w:rPr>
                <w:rFonts w:hint="eastAsia"/>
                <w:color w:val="auto"/>
                <w:sz w:val="21"/>
                <w:szCs w:val="18"/>
                <w:highlight w:val="none"/>
              </w:rPr>
              <w:t>.具有超温报警、异常情况自动断电、断电恢复功能；具有开门即停、紫外线灭菌功能；</w:t>
            </w:r>
          </w:p>
          <w:p w14:paraId="017AEEFC">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4</w:t>
            </w:r>
            <w:r>
              <w:rPr>
                <w:rFonts w:hint="eastAsia"/>
                <w:color w:val="auto"/>
                <w:sz w:val="21"/>
                <w:szCs w:val="18"/>
                <w:highlight w:val="none"/>
              </w:rPr>
              <w:t>.中空钢化玻璃门；内衬采用圆弧角（R角）镜面不锈钢设计，外壳采用静电喷塑；</w:t>
            </w:r>
          </w:p>
          <w:p w14:paraId="38A3D9FC">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5</w:t>
            </w:r>
            <w:r>
              <w:rPr>
                <w:rFonts w:hint="eastAsia"/>
                <w:color w:val="auto"/>
                <w:sz w:val="21"/>
                <w:szCs w:val="18"/>
                <w:highlight w:val="none"/>
              </w:rPr>
              <w:t>.优质压缩机、无氟环保制冷剂；</w:t>
            </w:r>
          </w:p>
          <w:p w14:paraId="5F5BAA61">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6</w:t>
            </w:r>
            <w:r>
              <w:rPr>
                <w:rFonts w:hint="eastAsia"/>
                <w:color w:val="auto"/>
                <w:sz w:val="21"/>
                <w:szCs w:val="18"/>
                <w:highlight w:val="none"/>
              </w:rPr>
              <w:t>.配备滤波器磁环；双层摇板，立式设计；配备调节支撑脚，同时配备滚轮；</w:t>
            </w:r>
          </w:p>
          <w:p w14:paraId="07734F66">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7</w:t>
            </w:r>
            <w:r>
              <w:rPr>
                <w:rFonts w:hint="eastAsia"/>
                <w:color w:val="auto"/>
                <w:sz w:val="21"/>
                <w:szCs w:val="18"/>
                <w:highlight w:val="none"/>
              </w:rPr>
              <w:t>.高质伺服电机，≥10rpm起转；</w:t>
            </w:r>
          </w:p>
          <w:p w14:paraId="26C0BB77">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w:t>
            </w:r>
            <w:r>
              <w:rPr>
                <w:color w:val="auto"/>
                <w:sz w:val="21"/>
                <w:szCs w:val="18"/>
                <w:highlight w:val="none"/>
              </w:rPr>
              <w:t>8</w:t>
            </w:r>
            <w:r>
              <w:rPr>
                <w:rFonts w:hint="eastAsia"/>
                <w:color w:val="auto"/>
                <w:sz w:val="21"/>
                <w:szCs w:val="18"/>
                <w:highlight w:val="none"/>
              </w:rPr>
              <w:t>.定时除霜功能，1~250秒可自由设定，除霜间隔30~600分钟可调，长时间在低温状态下运行时蒸发器不结冰；</w:t>
            </w:r>
          </w:p>
          <w:p w14:paraId="1F0CDC65">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9</w:t>
            </w:r>
            <w:r>
              <w:rPr>
                <w:rFonts w:hint="eastAsia"/>
                <w:color w:val="auto"/>
                <w:sz w:val="21"/>
                <w:szCs w:val="18"/>
                <w:highlight w:val="none"/>
              </w:rPr>
              <w:t>.侧面透气孔≥1个；</w:t>
            </w:r>
          </w:p>
          <w:p w14:paraId="2CE66CF6">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1</w:t>
            </w:r>
            <w:r>
              <w:rPr>
                <w:color w:val="auto"/>
                <w:sz w:val="21"/>
                <w:szCs w:val="18"/>
                <w:highlight w:val="none"/>
              </w:rPr>
              <w:t>0</w:t>
            </w:r>
            <w:r>
              <w:rPr>
                <w:rFonts w:hint="eastAsia"/>
                <w:color w:val="auto"/>
                <w:sz w:val="21"/>
                <w:szCs w:val="18"/>
                <w:highlight w:val="none"/>
              </w:rPr>
              <w:t>.夹具为一次成型塑胶夹具；</w:t>
            </w:r>
          </w:p>
          <w:p w14:paraId="7DEE769D">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▲1</w:t>
            </w:r>
            <w:r>
              <w:rPr>
                <w:color w:val="auto"/>
                <w:sz w:val="21"/>
                <w:szCs w:val="18"/>
                <w:highlight w:val="none"/>
              </w:rPr>
              <w:t>1</w:t>
            </w:r>
            <w:r>
              <w:rPr>
                <w:rFonts w:hint="eastAsia"/>
                <w:color w:val="auto"/>
                <w:sz w:val="21"/>
                <w:szCs w:val="18"/>
                <w:highlight w:val="none"/>
              </w:rPr>
              <w:t>.空载振荡频率：10-320rpm；</w:t>
            </w:r>
          </w:p>
          <w:p w14:paraId="55C92CDC">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12</w:t>
            </w:r>
            <w:r>
              <w:rPr>
                <w:rFonts w:hint="eastAsia"/>
                <w:color w:val="auto"/>
                <w:sz w:val="21"/>
                <w:szCs w:val="18"/>
                <w:highlight w:val="none"/>
              </w:rPr>
              <w:t>.振荡频率精度：±1rpm；</w:t>
            </w:r>
          </w:p>
          <w:p w14:paraId="75D4AB57">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13</w:t>
            </w:r>
            <w:r>
              <w:rPr>
                <w:rFonts w:hint="eastAsia"/>
                <w:color w:val="auto"/>
                <w:sz w:val="21"/>
                <w:szCs w:val="18"/>
                <w:highlight w:val="none"/>
              </w:rPr>
              <w:t>.摇板振幅：Ф26mm；</w:t>
            </w:r>
          </w:p>
          <w:p w14:paraId="0F889F1E">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14</w:t>
            </w:r>
            <w:r>
              <w:rPr>
                <w:rFonts w:hint="eastAsia"/>
                <w:color w:val="auto"/>
                <w:sz w:val="21"/>
                <w:szCs w:val="18"/>
                <w:highlight w:val="none"/>
              </w:rPr>
              <w:t>.温控范围：4～60℃（在室温23℃~25℃）；</w:t>
            </w:r>
          </w:p>
          <w:p w14:paraId="6B8777EB">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15</w:t>
            </w:r>
            <w:r>
              <w:rPr>
                <w:rFonts w:hint="eastAsia"/>
                <w:color w:val="auto"/>
                <w:sz w:val="21"/>
                <w:szCs w:val="18"/>
                <w:highlight w:val="none"/>
              </w:rPr>
              <w:t>.温度调节精度：±0.1℃；</w:t>
            </w:r>
          </w:p>
          <w:p w14:paraId="646A5CB8">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w:t>
            </w:r>
            <w:r>
              <w:rPr>
                <w:color w:val="auto"/>
                <w:sz w:val="21"/>
                <w:szCs w:val="18"/>
                <w:highlight w:val="none"/>
              </w:rPr>
              <w:t>16</w:t>
            </w:r>
            <w:r>
              <w:rPr>
                <w:rFonts w:hint="eastAsia"/>
                <w:color w:val="auto"/>
                <w:sz w:val="21"/>
                <w:szCs w:val="18"/>
                <w:highlight w:val="none"/>
              </w:rPr>
              <w:t>.温度均匀度：±0.6℃（at37℃）；</w:t>
            </w:r>
          </w:p>
          <w:p w14:paraId="679D1CD4">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17</w:t>
            </w:r>
            <w:r>
              <w:rPr>
                <w:rFonts w:hint="eastAsia"/>
                <w:color w:val="auto"/>
                <w:sz w:val="21"/>
                <w:szCs w:val="18"/>
                <w:highlight w:val="none"/>
              </w:rPr>
              <w:t>.最大容量（塑胶夹具）：单层250ml×25或500ml×16或1000ml×9或2000ml×5共两层；三角瓶夹具须为一次性成型塑胶夹具；</w:t>
            </w:r>
          </w:p>
          <w:p w14:paraId="2B3EAE2D">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18</w:t>
            </w:r>
            <w:r>
              <w:rPr>
                <w:rFonts w:hint="eastAsia"/>
                <w:color w:val="auto"/>
                <w:sz w:val="21"/>
                <w:szCs w:val="18"/>
                <w:highlight w:val="none"/>
              </w:rPr>
              <w:t>.摇板尺寸（长×宽）：约485mm×485mm；</w:t>
            </w:r>
          </w:p>
          <w:p w14:paraId="2FDE35E7">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19</w:t>
            </w:r>
            <w:r>
              <w:rPr>
                <w:rFonts w:hint="eastAsia"/>
                <w:color w:val="auto"/>
                <w:sz w:val="21"/>
                <w:szCs w:val="18"/>
                <w:highlight w:val="none"/>
              </w:rPr>
              <w:t>.外形尺寸（长×宽×高）：约760×680×1295mm；</w:t>
            </w:r>
          </w:p>
          <w:p w14:paraId="5D45835F">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20</w:t>
            </w:r>
            <w:r>
              <w:rPr>
                <w:rFonts w:hint="eastAsia"/>
                <w:color w:val="auto"/>
                <w:sz w:val="21"/>
                <w:szCs w:val="18"/>
                <w:highlight w:val="none"/>
              </w:rPr>
              <w:t>.下层夹具板到顶部距离：≥640mm；</w:t>
            </w:r>
          </w:p>
          <w:p w14:paraId="2F1F1F05">
            <w:pPr>
              <w:keepNext w:val="0"/>
              <w:keepLines w:val="0"/>
              <w:suppressLineNumbers w:val="0"/>
              <w:wordWrap w:val="0"/>
              <w:spacing w:before="0" w:beforeAutospacing="0" w:after="0" w:afterAutospacing="0"/>
              <w:ind w:left="0" w:right="0"/>
              <w:rPr>
                <w:rFonts w:hint="eastAsia" w:ascii="Times New Roman" w:hAnsi="Times New Roman" w:eastAsia="宋体" w:cs="Times New Roman"/>
                <w:color w:val="auto"/>
                <w:kern w:val="2"/>
                <w:sz w:val="21"/>
                <w:szCs w:val="18"/>
                <w:highlight w:val="none"/>
                <w:lang w:val="en-US" w:eastAsia="zh-CN" w:bidi="ar-SA"/>
              </w:rPr>
            </w:pPr>
            <w:r>
              <w:rPr>
                <w:rFonts w:hint="eastAsia"/>
                <w:color w:val="auto"/>
                <w:sz w:val="21"/>
                <w:szCs w:val="18"/>
                <w:highlight w:val="none"/>
              </w:rPr>
              <w:t>2</w:t>
            </w:r>
            <w:r>
              <w:rPr>
                <w:color w:val="auto"/>
                <w:sz w:val="21"/>
                <w:szCs w:val="18"/>
                <w:highlight w:val="none"/>
              </w:rPr>
              <w:t>1.</w:t>
            </w:r>
            <w:r>
              <w:rPr>
                <w:rFonts w:hint="eastAsia"/>
                <w:color w:val="auto"/>
                <w:sz w:val="21"/>
                <w:szCs w:val="18"/>
                <w:highlight w:val="none"/>
              </w:rPr>
              <w:t>配置清单：立式摇床一台；夹具一套。</w:t>
            </w:r>
          </w:p>
        </w:tc>
        <w:tc>
          <w:tcPr>
            <w:tcW w:w="1497" w:type="dxa"/>
            <w:tcBorders>
              <w:top w:val="single" w:color="000000" w:sz="4" w:space="0"/>
              <w:left w:val="single" w:color="auto" w:sz="4" w:space="0"/>
              <w:bottom w:val="single" w:color="000000" w:sz="4" w:space="0"/>
              <w:right w:val="single" w:color="000000" w:sz="4" w:space="0"/>
            </w:tcBorders>
            <w:vAlign w:val="center"/>
          </w:tcPr>
          <w:p w14:paraId="3D38A9D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cs="宋体"/>
                <w:b w:val="0"/>
                <w:bCs w:val="0"/>
                <w:color w:val="auto"/>
                <w:szCs w:val="21"/>
                <w:highlight w:val="none"/>
                <w:u w:val="none"/>
              </w:rPr>
            </w:pPr>
            <w:r>
              <w:rPr>
                <w:rFonts w:hint="eastAsia" w:eastAsia="宋体" w:asciiTheme="minorEastAsia" w:hAnsiTheme="minorEastAsia" w:cstheme="minorEastAsia"/>
                <w:color w:val="auto"/>
                <w:sz w:val="24"/>
                <w:highlight w:val="none"/>
                <w:shd w:val="clear" w:color="auto" w:fill="FFFFFF"/>
              </w:rPr>
              <w:t>工业</w:t>
            </w:r>
          </w:p>
        </w:tc>
      </w:tr>
      <w:tr w14:paraId="1EC8C8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678E0C9C">
            <w:pPr>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6</w:t>
            </w:r>
          </w:p>
        </w:tc>
        <w:tc>
          <w:tcPr>
            <w:tcW w:w="1119" w:type="dxa"/>
            <w:tcBorders>
              <w:top w:val="single" w:color="000000" w:sz="4" w:space="0"/>
              <w:left w:val="nil"/>
              <w:bottom w:val="single" w:color="000000" w:sz="4" w:space="0"/>
              <w:right w:val="single" w:color="000000" w:sz="4" w:space="0"/>
            </w:tcBorders>
            <w:shd w:val="clear" w:color="auto" w:fill="auto"/>
            <w:vAlign w:val="center"/>
          </w:tcPr>
          <w:p w14:paraId="5FDCF28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一键转膜仪</w:t>
            </w:r>
          </w:p>
        </w:tc>
        <w:tc>
          <w:tcPr>
            <w:tcW w:w="562" w:type="dxa"/>
            <w:tcBorders>
              <w:top w:val="single" w:color="000000" w:sz="4" w:space="0"/>
              <w:left w:val="nil"/>
              <w:bottom w:val="single" w:color="000000" w:sz="4" w:space="0"/>
              <w:right w:val="single" w:color="000000" w:sz="4" w:space="0"/>
            </w:tcBorders>
            <w:shd w:val="clear" w:color="auto" w:fill="auto"/>
            <w:vAlign w:val="center"/>
          </w:tcPr>
          <w:p w14:paraId="5018BBD8">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color w:val="auto"/>
                <w:sz w:val="21"/>
                <w:szCs w:val="21"/>
                <w:highlight w:val="none"/>
              </w:rPr>
              <w:t>1</w:t>
            </w:r>
          </w:p>
        </w:tc>
        <w:tc>
          <w:tcPr>
            <w:tcW w:w="519" w:type="dxa"/>
            <w:tcBorders>
              <w:top w:val="single" w:color="000000" w:sz="4" w:space="0"/>
              <w:left w:val="nil"/>
              <w:bottom w:val="single" w:color="000000" w:sz="4" w:space="0"/>
              <w:right w:val="single" w:color="000000" w:sz="4" w:space="0"/>
            </w:tcBorders>
            <w:shd w:val="clear" w:color="auto" w:fill="auto"/>
            <w:vAlign w:val="center"/>
          </w:tcPr>
          <w:p w14:paraId="2281F3EB">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台</w:t>
            </w:r>
          </w:p>
        </w:tc>
        <w:tc>
          <w:tcPr>
            <w:tcW w:w="5194" w:type="dxa"/>
            <w:tcBorders>
              <w:top w:val="single" w:color="000000" w:sz="4" w:space="0"/>
              <w:left w:val="nil"/>
              <w:bottom w:val="single" w:color="000000" w:sz="4" w:space="0"/>
              <w:right w:val="single" w:color="auto" w:sz="4" w:space="0"/>
            </w:tcBorders>
            <w:shd w:val="clear" w:color="auto" w:fill="auto"/>
            <w:vAlign w:val="center"/>
          </w:tcPr>
          <w:p w14:paraId="74DF291B">
            <w:pPr>
              <w:pStyle w:val="9"/>
              <w:keepNext w:val="0"/>
              <w:keepLines w:val="0"/>
              <w:suppressLineNumbers w:val="0"/>
              <w:wordWrap w:val="0"/>
              <w:spacing w:before="0" w:beforeAutospacing="0" w:after="0" w:afterAutospacing="0"/>
              <w:ind w:left="0" w:right="0" w:firstLine="0" w:firstLineChars="0"/>
              <w:jc w:val="left"/>
              <w:rPr>
                <w:color w:val="auto"/>
                <w:szCs w:val="21"/>
                <w:highlight w:val="none"/>
              </w:rPr>
            </w:pPr>
            <w:r>
              <w:rPr>
                <w:rFonts w:hint="eastAsia"/>
                <w:color w:val="auto"/>
                <w:szCs w:val="21"/>
                <w:highlight w:val="none"/>
              </w:rPr>
              <w:t>1.主机</w:t>
            </w:r>
          </w:p>
          <w:p w14:paraId="4C0206E6">
            <w:pPr>
              <w:pStyle w:val="9"/>
              <w:keepNext w:val="0"/>
              <w:keepLines w:val="0"/>
              <w:suppressLineNumbers w:val="0"/>
              <w:wordWrap w:val="0"/>
              <w:spacing w:before="0" w:beforeAutospacing="0" w:after="0" w:afterAutospacing="0"/>
              <w:ind w:left="0" w:right="0" w:firstLine="0" w:firstLineChars="0"/>
              <w:jc w:val="left"/>
              <w:rPr>
                <w:color w:val="auto"/>
                <w:szCs w:val="21"/>
                <w:highlight w:val="none"/>
              </w:rPr>
            </w:pPr>
            <w:r>
              <w:rPr>
                <w:rFonts w:hint="eastAsia" w:ascii="宋体" w:hAnsi="宋体" w:cs="宋体"/>
                <w:color w:val="auto"/>
                <w:szCs w:val="21"/>
                <w:highlight w:val="none"/>
              </w:rPr>
              <w:t>▲</w:t>
            </w:r>
            <w:r>
              <w:rPr>
                <w:rFonts w:hint="eastAsia"/>
                <w:color w:val="auto"/>
                <w:szCs w:val="21"/>
                <w:highlight w:val="none"/>
              </w:rPr>
              <w:t>1.1.转膜方式：负极接触式湿转；</w:t>
            </w:r>
          </w:p>
          <w:p w14:paraId="00125777">
            <w:pPr>
              <w:pStyle w:val="9"/>
              <w:keepNext w:val="0"/>
              <w:keepLines w:val="0"/>
              <w:suppressLineNumbers w:val="0"/>
              <w:wordWrap w:val="0"/>
              <w:spacing w:before="0" w:beforeAutospacing="0" w:after="0" w:afterAutospacing="0"/>
              <w:ind w:left="0" w:right="0" w:firstLine="0" w:firstLineChars="0"/>
              <w:jc w:val="left"/>
              <w:rPr>
                <w:color w:val="auto"/>
                <w:szCs w:val="21"/>
                <w:highlight w:val="none"/>
              </w:rPr>
            </w:pPr>
            <w:r>
              <w:rPr>
                <w:rFonts w:hint="eastAsia"/>
                <w:color w:val="auto"/>
                <w:szCs w:val="21"/>
                <w:highlight w:val="none"/>
              </w:rPr>
              <w:t>1.2.板式电极：电极直接接触海绵，电极间距小，确保电场更大，均一性更好；</w:t>
            </w:r>
          </w:p>
          <w:p w14:paraId="5A7C54DC">
            <w:pPr>
              <w:pStyle w:val="9"/>
              <w:keepNext w:val="0"/>
              <w:keepLines w:val="0"/>
              <w:suppressLineNumbers w:val="0"/>
              <w:wordWrap w:val="0"/>
              <w:spacing w:before="0" w:beforeAutospacing="0" w:after="0" w:afterAutospacing="0"/>
              <w:ind w:left="0" w:right="0" w:firstLine="0" w:firstLineChars="0"/>
              <w:jc w:val="left"/>
              <w:rPr>
                <w:color w:val="auto"/>
                <w:szCs w:val="21"/>
                <w:highlight w:val="none"/>
              </w:rPr>
            </w:pPr>
            <w:r>
              <w:rPr>
                <w:rFonts w:hint="eastAsia" w:ascii="宋体" w:hAnsi="宋体" w:cs="宋体"/>
                <w:color w:val="auto"/>
                <w:szCs w:val="21"/>
                <w:highlight w:val="none"/>
              </w:rPr>
              <w:t>▲</w:t>
            </w:r>
            <w:r>
              <w:rPr>
                <w:rFonts w:hint="eastAsia"/>
                <w:color w:val="auto"/>
                <w:szCs w:val="21"/>
                <w:highlight w:val="none"/>
              </w:rPr>
              <w:t>1.3.内置半导体制冷：主动控温，防止转膜过热；</w:t>
            </w:r>
          </w:p>
          <w:p w14:paraId="6193B21A">
            <w:pPr>
              <w:pStyle w:val="9"/>
              <w:keepNext w:val="0"/>
              <w:keepLines w:val="0"/>
              <w:suppressLineNumbers w:val="0"/>
              <w:wordWrap w:val="0"/>
              <w:spacing w:before="0" w:beforeAutospacing="0" w:after="0" w:afterAutospacing="0"/>
              <w:ind w:left="0" w:right="0" w:firstLine="0" w:firstLineChars="0"/>
              <w:jc w:val="left"/>
              <w:rPr>
                <w:color w:val="auto"/>
                <w:szCs w:val="21"/>
                <w:highlight w:val="none"/>
              </w:rPr>
            </w:pPr>
            <w:r>
              <w:rPr>
                <w:rFonts w:hint="eastAsia"/>
                <w:color w:val="auto"/>
                <w:szCs w:val="21"/>
                <w:highlight w:val="none"/>
              </w:rPr>
              <w:t>1.4.宽范围蛋白适用性：10-250kDa分子量范围的蛋白转膜；</w:t>
            </w:r>
          </w:p>
          <w:p w14:paraId="64702238">
            <w:pPr>
              <w:pStyle w:val="9"/>
              <w:keepNext w:val="0"/>
              <w:keepLines w:val="0"/>
              <w:suppressLineNumbers w:val="0"/>
              <w:wordWrap w:val="0"/>
              <w:spacing w:before="0" w:beforeAutospacing="0" w:after="0" w:afterAutospacing="0"/>
              <w:ind w:left="0" w:right="0" w:firstLine="0" w:firstLineChars="0"/>
              <w:jc w:val="left"/>
              <w:rPr>
                <w:color w:val="auto"/>
                <w:szCs w:val="21"/>
                <w:highlight w:val="none"/>
              </w:rPr>
            </w:pPr>
            <w:r>
              <w:rPr>
                <w:rFonts w:hint="eastAsia"/>
                <w:color w:val="auto"/>
                <w:szCs w:val="21"/>
                <w:highlight w:val="none"/>
              </w:rPr>
              <w:t>1.5.高效快速：最快7min实现最大250kDa分子量蛋白的转膜；</w:t>
            </w:r>
          </w:p>
          <w:p w14:paraId="6AF12D90">
            <w:pPr>
              <w:pStyle w:val="9"/>
              <w:keepNext w:val="0"/>
              <w:keepLines w:val="0"/>
              <w:suppressLineNumbers w:val="0"/>
              <w:wordWrap w:val="0"/>
              <w:spacing w:before="0" w:beforeAutospacing="0" w:after="0" w:afterAutospacing="0"/>
              <w:ind w:left="0" w:right="0" w:firstLine="0" w:firstLineChars="0"/>
              <w:jc w:val="left"/>
              <w:rPr>
                <w:color w:val="auto"/>
                <w:szCs w:val="21"/>
                <w:highlight w:val="none"/>
              </w:rPr>
            </w:pPr>
            <w:r>
              <w:rPr>
                <w:rFonts w:hint="eastAsia"/>
                <w:color w:val="auto"/>
                <w:szCs w:val="21"/>
                <w:highlight w:val="none"/>
              </w:rPr>
              <w:t>1.6.安全性：转膜试剂不含有毒的甲醇等有机试剂，操作更安全；</w:t>
            </w:r>
          </w:p>
          <w:p w14:paraId="42756081">
            <w:pPr>
              <w:pStyle w:val="9"/>
              <w:keepNext w:val="0"/>
              <w:keepLines w:val="0"/>
              <w:suppressLineNumbers w:val="0"/>
              <w:wordWrap w:val="0"/>
              <w:spacing w:before="0" w:beforeAutospacing="0" w:after="0" w:afterAutospacing="0"/>
              <w:ind w:left="0" w:right="0" w:firstLine="0" w:firstLineChars="0"/>
              <w:jc w:val="left"/>
              <w:rPr>
                <w:color w:val="auto"/>
                <w:szCs w:val="21"/>
                <w:highlight w:val="none"/>
              </w:rPr>
            </w:pPr>
            <w:r>
              <w:rPr>
                <w:rFonts w:hint="eastAsia"/>
                <w:color w:val="auto"/>
                <w:szCs w:val="21"/>
                <w:highlight w:val="none"/>
              </w:rPr>
              <w:t>1.7.转膜液用量：单个模块≤100mL，转膜试剂可回收利用；</w:t>
            </w:r>
          </w:p>
          <w:p w14:paraId="476F5FFC">
            <w:pPr>
              <w:pStyle w:val="9"/>
              <w:keepNext w:val="0"/>
              <w:keepLines w:val="0"/>
              <w:suppressLineNumbers w:val="0"/>
              <w:wordWrap w:val="0"/>
              <w:spacing w:before="0" w:beforeAutospacing="0" w:after="0" w:afterAutospacing="0"/>
              <w:ind w:left="0" w:right="0" w:firstLine="0" w:firstLineChars="0"/>
              <w:jc w:val="left"/>
              <w:rPr>
                <w:color w:val="auto"/>
                <w:szCs w:val="21"/>
                <w:highlight w:val="none"/>
              </w:rPr>
            </w:pPr>
            <w:r>
              <w:rPr>
                <w:rFonts w:hint="eastAsia" w:ascii="宋体" w:hAnsi="宋体" w:cs="宋体"/>
                <w:color w:val="auto"/>
                <w:szCs w:val="21"/>
                <w:highlight w:val="none"/>
              </w:rPr>
              <w:t>▲</w:t>
            </w:r>
            <w:r>
              <w:rPr>
                <w:rFonts w:hint="eastAsia"/>
                <w:color w:val="auto"/>
                <w:szCs w:val="21"/>
                <w:highlight w:val="none"/>
              </w:rPr>
              <w:t>1.8.内置参数匹配缓冲液配方开放；</w:t>
            </w:r>
          </w:p>
          <w:p w14:paraId="17AEBA5B">
            <w:pPr>
              <w:pStyle w:val="9"/>
              <w:keepNext w:val="0"/>
              <w:keepLines w:val="0"/>
              <w:suppressLineNumbers w:val="0"/>
              <w:wordWrap w:val="0"/>
              <w:spacing w:before="0" w:beforeAutospacing="0" w:after="0" w:afterAutospacing="0"/>
              <w:ind w:left="0" w:right="0" w:firstLine="0" w:firstLineChars="0"/>
              <w:jc w:val="left"/>
              <w:rPr>
                <w:color w:val="auto"/>
                <w:szCs w:val="21"/>
                <w:highlight w:val="none"/>
              </w:rPr>
            </w:pPr>
            <w:r>
              <w:rPr>
                <w:rFonts w:hint="eastAsia"/>
                <w:color w:val="auto"/>
                <w:szCs w:val="21"/>
                <w:highlight w:val="none"/>
              </w:rPr>
              <w:t>1.9.实时监控：转膜过程中，可实时监控电流/电压的变化；</w:t>
            </w:r>
          </w:p>
          <w:p w14:paraId="331D1F0A">
            <w:pPr>
              <w:pStyle w:val="9"/>
              <w:keepNext w:val="0"/>
              <w:keepLines w:val="0"/>
              <w:suppressLineNumbers w:val="0"/>
              <w:wordWrap w:val="0"/>
              <w:spacing w:before="0" w:beforeAutospacing="0" w:after="0" w:afterAutospacing="0"/>
              <w:ind w:left="0" w:right="0" w:firstLine="0" w:firstLineChars="0"/>
              <w:jc w:val="left"/>
              <w:rPr>
                <w:color w:val="auto"/>
                <w:szCs w:val="21"/>
                <w:highlight w:val="none"/>
              </w:rPr>
            </w:pPr>
            <w:r>
              <w:rPr>
                <w:rFonts w:hint="eastAsia"/>
                <w:color w:val="auto"/>
                <w:szCs w:val="21"/>
                <w:highlight w:val="none"/>
              </w:rPr>
              <w:t>1.10.运行日志功能：可以记录≥5次转膜操作的历史数据，包括日期、转膜时间、电压、电流等关键参数，方便追踪和回顾实验过程；</w:t>
            </w:r>
          </w:p>
          <w:p w14:paraId="20093710">
            <w:pPr>
              <w:pStyle w:val="9"/>
              <w:keepNext w:val="0"/>
              <w:keepLines w:val="0"/>
              <w:suppressLineNumbers w:val="0"/>
              <w:wordWrap w:val="0"/>
              <w:spacing w:before="0" w:beforeAutospacing="0" w:after="0" w:afterAutospacing="0"/>
              <w:ind w:left="0" w:right="0" w:firstLine="0" w:firstLineChars="0"/>
              <w:jc w:val="left"/>
              <w:rPr>
                <w:color w:val="auto"/>
                <w:szCs w:val="21"/>
                <w:highlight w:val="none"/>
              </w:rPr>
            </w:pPr>
            <w:r>
              <w:rPr>
                <w:rFonts w:hint="eastAsia"/>
                <w:color w:val="auto"/>
                <w:szCs w:val="21"/>
                <w:highlight w:val="none"/>
              </w:rPr>
              <w:t>1.11.一体化设计：无须外接进液/出液容器；</w:t>
            </w:r>
          </w:p>
          <w:p w14:paraId="2A70C6D3">
            <w:pPr>
              <w:pStyle w:val="9"/>
              <w:keepNext w:val="0"/>
              <w:keepLines w:val="0"/>
              <w:suppressLineNumbers w:val="0"/>
              <w:wordWrap w:val="0"/>
              <w:spacing w:before="0" w:beforeAutospacing="0" w:after="0" w:afterAutospacing="0"/>
              <w:ind w:left="0" w:right="0" w:firstLine="0" w:firstLineChars="0"/>
              <w:jc w:val="left"/>
              <w:rPr>
                <w:color w:val="auto"/>
                <w:szCs w:val="21"/>
                <w:highlight w:val="none"/>
              </w:rPr>
            </w:pPr>
            <w:r>
              <w:rPr>
                <w:rFonts w:hint="eastAsia"/>
                <w:color w:val="auto"/>
                <w:szCs w:val="21"/>
                <w:highlight w:val="none"/>
              </w:rPr>
              <w:t>1.12.一键启动：只需要选择胶浓度和胶厚度即可启动；</w:t>
            </w:r>
          </w:p>
          <w:p w14:paraId="5DB53B0E">
            <w:pPr>
              <w:pStyle w:val="9"/>
              <w:keepNext w:val="0"/>
              <w:keepLines w:val="0"/>
              <w:suppressLineNumbers w:val="0"/>
              <w:wordWrap w:val="0"/>
              <w:spacing w:before="0" w:beforeAutospacing="0" w:after="0" w:afterAutospacing="0"/>
              <w:ind w:left="0" w:right="0" w:firstLine="0" w:firstLineChars="0"/>
              <w:jc w:val="left"/>
              <w:rPr>
                <w:color w:val="auto"/>
                <w:szCs w:val="21"/>
                <w:highlight w:val="none"/>
              </w:rPr>
            </w:pPr>
            <w:r>
              <w:rPr>
                <w:rFonts w:hint="eastAsia"/>
                <w:color w:val="auto"/>
                <w:szCs w:val="21"/>
                <w:highlight w:val="none"/>
              </w:rPr>
              <w:t>1.13.转膜参数：针对不同胶浓度和厚度内置最优转膜参数；</w:t>
            </w:r>
          </w:p>
          <w:p w14:paraId="116A2CA8">
            <w:pPr>
              <w:pStyle w:val="9"/>
              <w:keepNext w:val="0"/>
              <w:keepLines w:val="0"/>
              <w:suppressLineNumbers w:val="0"/>
              <w:wordWrap w:val="0"/>
              <w:spacing w:before="0" w:beforeAutospacing="0" w:after="0" w:afterAutospacing="0"/>
              <w:ind w:left="0" w:right="0" w:firstLine="0" w:firstLineChars="0"/>
              <w:jc w:val="left"/>
              <w:rPr>
                <w:color w:val="auto"/>
                <w:szCs w:val="21"/>
                <w:highlight w:val="none"/>
              </w:rPr>
            </w:pPr>
            <w:r>
              <w:rPr>
                <w:rFonts w:hint="eastAsia"/>
                <w:color w:val="auto"/>
                <w:szCs w:val="21"/>
                <w:highlight w:val="none"/>
              </w:rPr>
              <w:t>1.14.自动异常检测：出现异常时会自动报警，并停止运行；</w:t>
            </w:r>
          </w:p>
          <w:p w14:paraId="20290225">
            <w:pPr>
              <w:pStyle w:val="9"/>
              <w:keepNext w:val="0"/>
              <w:keepLines w:val="0"/>
              <w:suppressLineNumbers w:val="0"/>
              <w:wordWrap w:val="0"/>
              <w:spacing w:before="0" w:beforeAutospacing="0" w:after="0" w:afterAutospacing="0"/>
              <w:ind w:left="0" w:right="0" w:firstLine="0" w:firstLineChars="0"/>
              <w:jc w:val="left"/>
              <w:rPr>
                <w:color w:val="auto"/>
                <w:szCs w:val="21"/>
                <w:highlight w:val="none"/>
              </w:rPr>
            </w:pPr>
            <w:r>
              <w:rPr>
                <w:rFonts w:hint="eastAsia" w:ascii="宋体" w:hAnsi="宋体" w:cs="宋体"/>
                <w:color w:val="auto"/>
                <w:szCs w:val="21"/>
                <w:highlight w:val="none"/>
              </w:rPr>
              <w:t>▲</w:t>
            </w:r>
            <w:r>
              <w:rPr>
                <w:rFonts w:hint="eastAsia"/>
                <w:color w:val="auto"/>
                <w:szCs w:val="21"/>
                <w:highlight w:val="none"/>
              </w:rPr>
              <w:t>1.15.旋转数控屏幕：≥2.1寸旋转数控屏幕，可通过旋钮或触控；</w:t>
            </w:r>
          </w:p>
          <w:p w14:paraId="5E5BBA7C">
            <w:pPr>
              <w:pStyle w:val="9"/>
              <w:keepNext w:val="0"/>
              <w:keepLines w:val="0"/>
              <w:suppressLineNumbers w:val="0"/>
              <w:wordWrap w:val="0"/>
              <w:spacing w:before="0" w:beforeAutospacing="0" w:after="0" w:afterAutospacing="0"/>
              <w:ind w:left="0" w:right="0" w:firstLine="0" w:firstLineChars="0"/>
              <w:jc w:val="left"/>
              <w:rPr>
                <w:color w:val="auto"/>
                <w:szCs w:val="21"/>
                <w:highlight w:val="none"/>
              </w:rPr>
            </w:pPr>
            <w:r>
              <w:rPr>
                <w:rFonts w:hint="eastAsia"/>
                <w:color w:val="auto"/>
                <w:szCs w:val="21"/>
                <w:highlight w:val="none"/>
              </w:rPr>
              <w:t>1.16.自定义参数：可根据自身需求设置电压/电流和时间；</w:t>
            </w:r>
          </w:p>
          <w:p w14:paraId="0F9BBFEF">
            <w:pPr>
              <w:pStyle w:val="9"/>
              <w:keepNext w:val="0"/>
              <w:keepLines w:val="0"/>
              <w:suppressLineNumbers w:val="0"/>
              <w:wordWrap w:val="0"/>
              <w:spacing w:before="0" w:beforeAutospacing="0" w:after="0" w:afterAutospacing="0"/>
              <w:ind w:left="0" w:right="0" w:firstLine="0" w:firstLineChars="0"/>
              <w:jc w:val="left"/>
              <w:rPr>
                <w:color w:val="auto"/>
                <w:szCs w:val="21"/>
                <w:highlight w:val="none"/>
              </w:rPr>
            </w:pPr>
            <w:r>
              <w:rPr>
                <w:rFonts w:hint="eastAsia"/>
                <w:color w:val="auto"/>
                <w:szCs w:val="21"/>
                <w:highlight w:val="none"/>
              </w:rPr>
              <w:t>1.17.兼容PVDF膜和NC膜。</w:t>
            </w:r>
          </w:p>
          <w:p w14:paraId="357D1154">
            <w:pPr>
              <w:pStyle w:val="9"/>
              <w:keepNext w:val="0"/>
              <w:keepLines w:val="0"/>
              <w:suppressLineNumbers w:val="0"/>
              <w:wordWrap w:val="0"/>
              <w:spacing w:before="0" w:beforeAutospacing="0" w:after="0" w:afterAutospacing="0"/>
              <w:ind w:left="0" w:right="0" w:firstLine="0" w:firstLineChars="0"/>
              <w:jc w:val="left"/>
              <w:rPr>
                <w:color w:val="auto"/>
                <w:szCs w:val="21"/>
                <w:highlight w:val="none"/>
              </w:rPr>
            </w:pPr>
            <w:r>
              <w:rPr>
                <w:rFonts w:hint="eastAsia"/>
                <w:color w:val="auto"/>
                <w:szCs w:val="21"/>
                <w:highlight w:val="none"/>
              </w:rPr>
              <w:t>二、配置清单</w:t>
            </w:r>
          </w:p>
          <w:p w14:paraId="3A5360AD">
            <w:pPr>
              <w:pStyle w:val="9"/>
              <w:keepNext w:val="0"/>
              <w:keepLines w:val="0"/>
              <w:suppressLineNumbers w:val="0"/>
              <w:wordWrap w:val="0"/>
              <w:spacing w:before="0" w:beforeAutospacing="0" w:after="0" w:afterAutospacing="0"/>
              <w:ind w:left="0" w:right="0" w:firstLine="0" w:firstLineChars="0"/>
              <w:jc w:val="left"/>
              <w:rPr>
                <w:color w:val="auto"/>
                <w:szCs w:val="21"/>
                <w:highlight w:val="none"/>
              </w:rPr>
            </w:pPr>
            <w:r>
              <w:rPr>
                <w:rFonts w:hint="eastAsia"/>
                <w:color w:val="auto"/>
                <w:szCs w:val="21"/>
                <w:highlight w:val="none"/>
              </w:rPr>
              <w:t>1</w:t>
            </w:r>
            <w:r>
              <w:rPr>
                <w:color w:val="auto"/>
                <w:szCs w:val="21"/>
                <w:highlight w:val="none"/>
              </w:rPr>
              <w:t>.</w:t>
            </w:r>
            <w:r>
              <w:rPr>
                <w:rFonts w:hint="eastAsia"/>
                <w:color w:val="auto"/>
                <w:szCs w:val="21"/>
                <w:highlight w:val="none"/>
              </w:rPr>
              <w:t>主机一台、电源适配器一个、转印槽及正负电极板一套、操作盒一个、转膜专用海绵垫42片、快速转膜缓冲液预混粉末6袋、简易操作说明书一份。</w:t>
            </w:r>
          </w:p>
          <w:p w14:paraId="49A2F8E5">
            <w:pPr>
              <w:pStyle w:val="9"/>
              <w:keepNext w:val="0"/>
              <w:keepLines w:val="0"/>
              <w:suppressLineNumbers w:val="0"/>
              <w:wordWrap w:val="0"/>
              <w:spacing w:before="0" w:beforeAutospacing="0" w:after="0" w:afterAutospacing="0"/>
              <w:ind w:left="0" w:right="0" w:firstLine="0" w:firstLineChars="0"/>
              <w:jc w:val="left"/>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2</w:t>
            </w:r>
            <w:r>
              <w:rPr>
                <w:color w:val="auto"/>
                <w:szCs w:val="21"/>
                <w:highlight w:val="none"/>
              </w:rPr>
              <w:t>.</w:t>
            </w:r>
            <w:r>
              <w:rPr>
                <w:rFonts w:hint="eastAsia"/>
                <w:color w:val="auto"/>
                <w:szCs w:val="21"/>
                <w:highlight w:val="none"/>
              </w:rPr>
              <w:t>质保期：≥3年。</w:t>
            </w:r>
          </w:p>
        </w:tc>
        <w:tc>
          <w:tcPr>
            <w:tcW w:w="1497" w:type="dxa"/>
            <w:tcBorders>
              <w:top w:val="single" w:color="000000" w:sz="4" w:space="0"/>
              <w:left w:val="single" w:color="auto" w:sz="4" w:space="0"/>
              <w:bottom w:val="single" w:color="000000" w:sz="4" w:space="0"/>
              <w:right w:val="single" w:color="000000" w:sz="4" w:space="0"/>
            </w:tcBorders>
            <w:vAlign w:val="center"/>
          </w:tcPr>
          <w:p w14:paraId="7043A1E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cs="宋体"/>
                <w:b w:val="0"/>
                <w:bCs w:val="0"/>
                <w:color w:val="auto"/>
                <w:szCs w:val="21"/>
                <w:highlight w:val="none"/>
                <w:u w:val="none"/>
              </w:rPr>
            </w:pPr>
            <w:r>
              <w:rPr>
                <w:rFonts w:hint="eastAsia" w:eastAsia="宋体" w:asciiTheme="minorEastAsia" w:hAnsiTheme="minorEastAsia" w:cstheme="minorEastAsia"/>
                <w:color w:val="auto"/>
                <w:sz w:val="24"/>
                <w:highlight w:val="none"/>
                <w:shd w:val="clear" w:color="auto" w:fill="FFFFFF"/>
              </w:rPr>
              <w:t>工业</w:t>
            </w:r>
          </w:p>
        </w:tc>
      </w:tr>
      <w:tr w14:paraId="1D06EE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47B011D7">
            <w:pPr>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7</w:t>
            </w:r>
          </w:p>
        </w:tc>
        <w:tc>
          <w:tcPr>
            <w:tcW w:w="1119" w:type="dxa"/>
            <w:tcBorders>
              <w:top w:val="single" w:color="000000" w:sz="4" w:space="0"/>
              <w:left w:val="nil"/>
              <w:bottom w:val="single" w:color="000000" w:sz="4" w:space="0"/>
              <w:right w:val="single" w:color="000000" w:sz="4" w:space="0"/>
            </w:tcBorders>
            <w:shd w:val="clear" w:color="auto" w:fill="auto"/>
            <w:vAlign w:val="center"/>
          </w:tcPr>
          <w:p w14:paraId="5BE71B8D">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纯水超纯水一体化系统</w:t>
            </w:r>
          </w:p>
        </w:tc>
        <w:tc>
          <w:tcPr>
            <w:tcW w:w="562" w:type="dxa"/>
            <w:tcBorders>
              <w:top w:val="single" w:color="000000" w:sz="4" w:space="0"/>
              <w:left w:val="nil"/>
              <w:bottom w:val="single" w:color="000000" w:sz="4" w:space="0"/>
              <w:right w:val="single" w:color="000000" w:sz="4" w:space="0"/>
            </w:tcBorders>
            <w:shd w:val="clear" w:color="auto" w:fill="auto"/>
            <w:vAlign w:val="center"/>
          </w:tcPr>
          <w:p w14:paraId="517D0A40">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color w:val="auto"/>
                <w:sz w:val="21"/>
                <w:szCs w:val="21"/>
                <w:highlight w:val="none"/>
              </w:rPr>
              <w:t>1</w:t>
            </w:r>
          </w:p>
        </w:tc>
        <w:tc>
          <w:tcPr>
            <w:tcW w:w="519" w:type="dxa"/>
            <w:tcBorders>
              <w:top w:val="single" w:color="000000" w:sz="4" w:space="0"/>
              <w:left w:val="nil"/>
              <w:bottom w:val="single" w:color="000000" w:sz="4" w:space="0"/>
              <w:right w:val="single" w:color="000000" w:sz="4" w:space="0"/>
            </w:tcBorders>
            <w:shd w:val="clear" w:color="auto" w:fill="auto"/>
            <w:vAlign w:val="center"/>
          </w:tcPr>
          <w:p w14:paraId="09844F8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台</w:t>
            </w:r>
          </w:p>
        </w:tc>
        <w:tc>
          <w:tcPr>
            <w:tcW w:w="5194" w:type="dxa"/>
            <w:tcBorders>
              <w:top w:val="single" w:color="000000" w:sz="4" w:space="0"/>
              <w:left w:val="nil"/>
              <w:bottom w:val="single" w:color="000000" w:sz="4" w:space="0"/>
              <w:right w:val="single" w:color="auto" w:sz="4" w:space="0"/>
            </w:tcBorders>
            <w:shd w:val="clear" w:color="auto" w:fill="auto"/>
            <w:vAlign w:val="center"/>
          </w:tcPr>
          <w:p w14:paraId="775513E4">
            <w:pPr>
              <w:keepNext w:val="0"/>
              <w:keepLines w:val="0"/>
              <w:suppressLineNumbers w:val="0"/>
              <w:spacing w:before="0" w:beforeAutospacing="0" w:after="0" w:afterAutospacing="0"/>
              <w:ind w:left="0" w:right="0"/>
              <w:rPr>
                <w:rFonts w:cs="Arial"/>
                <w:color w:val="auto"/>
                <w:sz w:val="21"/>
                <w:szCs w:val="18"/>
                <w:highlight w:val="none"/>
              </w:rPr>
            </w:pPr>
            <w:r>
              <w:rPr>
                <w:rFonts w:cs="Arial"/>
                <w:color w:val="auto"/>
                <w:sz w:val="21"/>
                <w:szCs w:val="18"/>
                <w:highlight w:val="none"/>
              </w:rPr>
              <w:t>1.</w:t>
            </w:r>
            <w:r>
              <w:rPr>
                <w:rFonts w:hint="eastAsia" w:cs="Arial"/>
                <w:color w:val="auto"/>
                <w:sz w:val="21"/>
                <w:szCs w:val="18"/>
                <w:highlight w:val="none"/>
              </w:rPr>
              <w:t>纯化流程：自来水经主机内置的预处理保护柱，反渗透模块生产纯水，产水储存于水箱。再经高纯化柱、超纯化柱、紫外灯和终端过滤器制备超纯水。然后由独立的取水器取用纯水或超纯水。超纯水</w:t>
            </w:r>
            <w:r>
              <w:rPr>
                <w:rFonts w:cs="Arial"/>
                <w:color w:val="auto"/>
                <w:sz w:val="21"/>
                <w:szCs w:val="18"/>
                <w:highlight w:val="none"/>
              </w:rPr>
              <w:t>水质符合</w:t>
            </w:r>
            <w:r>
              <w:rPr>
                <w:rFonts w:hint="eastAsia"/>
                <w:color w:val="auto"/>
                <w:highlight w:val="none"/>
              </w:rPr>
              <w:t>GB/T</w:t>
            </w:r>
            <w:r>
              <w:rPr>
                <w:rFonts w:cs="Arial"/>
                <w:color w:val="auto"/>
                <w:szCs w:val="18"/>
                <w:highlight w:val="none"/>
              </w:rPr>
              <w:t>6682-2008</w:t>
            </w:r>
            <w:r>
              <w:rPr>
                <w:rFonts w:hint="eastAsia" w:cs="Arial"/>
                <w:color w:val="auto"/>
                <w:szCs w:val="18"/>
                <w:highlight w:val="none"/>
              </w:rPr>
              <w:t>、</w:t>
            </w:r>
            <w:r>
              <w:rPr>
                <w:rFonts w:hint="eastAsia"/>
                <w:color w:val="auto"/>
                <w:highlight w:val="none"/>
              </w:rPr>
              <w:t>GB/T</w:t>
            </w:r>
            <w:r>
              <w:rPr>
                <w:rFonts w:cs="Arial"/>
                <w:color w:val="auto"/>
                <w:szCs w:val="18"/>
                <w:highlight w:val="none"/>
              </w:rPr>
              <w:t>33087-2016</w:t>
            </w:r>
            <w:r>
              <w:rPr>
                <w:rFonts w:cs="Arial"/>
                <w:color w:val="auto"/>
                <w:sz w:val="21"/>
                <w:szCs w:val="18"/>
                <w:highlight w:val="none"/>
              </w:rPr>
              <w:t>的要求。</w:t>
            </w:r>
          </w:p>
          <w:p w14:paraId="4EDFC494">
            <w:pPr>
              <w:keepNext w:val="0"/>
              <w:keepLines w:val="0"/>
              <w:suppressLineNumbers w:val="0"/>
              <w:spacing w:before="0" w:beforeAutospacing="0" w:after="0" w:afterAutospacing="0"/>
              <w:ind w:left="0" w:right="0"/>
              <w:rPr>
                <w:rFonts w:cs="Arial"/>
                <w:color w:val="auto"/>
                <w:sz w:val="21"/>
                <w:szCs w:val="18"/>
                <w:highlight w:val="none"/>
              </w:rPr>
            </w:pPr>
            <w:r>
              <w:rPr>
                <w:rFonts w:hint="eastAsia" w:cs="Arial"/>
                <w:color w:val="auto"/>
                <w:sz w:val="21"/>
                <w:szCs w:val="18"/>
                <w:highlight w:val="none"/>
              </w:rPr>
              <w:t>2.产水水质要求：</w:t>
            </w:r>
          </w:p>
          <w:p w14:paraId="23A9BFA8">
            <w:pPr>
              <w:keepNext w:val="0"/>
              <w:keepLines w:val="0"/>
              <w:suppressLineNumbers w:val="0"/>
              <w:spacing w:before="0" w:beforeAutospacing="0" w:after="0" w:afterAutospacing="0"/>
              <w:ind w:left="0" w:right="0"/>
              <w:rPr>
                <w:rFonts w:cs="Arial"/>
                <w:color w:val="auto"/>
                <w:sz w:val="21"/>
                <w:szCs w:val="18"/>
                <w:highlight w:val="none"/>
              </w:rPr>
            </w:pPr>
            <w:r>
              <w:rPr>
                <w:rFonts w:hint="eastAsia" w:cs="Arial"/>
                <w:color w:val="auto"/>
                <w:sz w:val="21"/>
                <w:szCs w:val="18"/>
                <w:highlight w:val="none"/>
              </w:rPr>
              <w:t>2.1主机纯水制备速度≥12L/小时，纯水电导率≤20</w:t>
            </w:r>
            <w:r>
              <w:rPr>
                <w:rFonts w:cs="Arial"/>
                <w:color w:val="auto"/>
                <w:sz w:val="21"/>
                <w:szCs w:val="18"/>
                <w:highlight w:val="none"/>
              </w:rPr>
              <w:t>μ</w:t>
            </w:r>
            <w:r>
              <w:rPr>
                <w:rFonts w:hint="eastAsia" w:cs="Arial"/>
                <w:color w:val="auto"/>
                <w:sz w:val="21"/>
                <w:szCs w:val="18"/>
                <w:highlight w:val="none"/>
              </w:rPr>
              <w:t>s/cm@25℃。</w:t>
            </w:r>
          </w:p>
          <w:p w14:paraId="47E34DB7">
            <w:pPr>
              <w:keepNext w:val="0"/>
              <w:keepLines w:val="0"/>
              <w:suppressLineNumbers w:val="0"/>
              <w:spacing w:before="0" w:beforeAutospacing="0" w:after="0" w:afterAutospacing="0"/>
              <w:ind w:left="0" w:right="0"/>
              <w:rPr>
                <w:rFonts w:cs="Arial"/>
                <w:color w:val="auto"/>
                <w:sz w:val="21"/>
                <w:szCs w:val="18"/>
                <w:highlight w:val="none"/>
              </w:rPr>
            </w:pPr>
            <w:r>
              <w:rPr>
                <w:rFonts w:hint="eastAsia" w:cs="Arial"/>
                <w:color w:val="auto"/>
                <w:sz w:val="21"/>
                <w:szCs w:val="18"/>
                <w:highlight w:val="none"/>
              </w:rPr>
              <w:t>2.2电阻率≥18.2MΩ•cm@25℃。</w:t>
            </w:r>
          </w:p>
          <w:p w14:paraId="28EAA193">
            <w:pPr>
              <w:keepNext w:val="0"/>
              <w:keepLines w:val="0"/>
              <w:suppressLineNumbers w:val="0"/>
              <w:spacing w:before="0" w:beforeAutospacing="0" w:after="0" w:afterAutospacing="0"/>
              <w:ind w:left="0" w:right="0"/>
              <w:rPr>
                <w:color w:val="auto"/>
                <w:sz w:val="21"/>
                <w:szCs w:val="18"/>
                <w:highlight w:val="none"/>
              </w:rPr>
            </w:pPr>
            <w:r>
              <w:rPr>
                <w:rFonts w:hint="eastAsia" w:cs="Arial"/>
                <w:color w:val="auto"/>
                <w:sz w:val="21"/>
                <w:szCs w:val="18"/>
                <w:highlight w:val="none"/>
              </w:rPr>
              <w:t>2.3</w:t>
            </w:r>
            <w:r>
              <w:rPr>
                <w:rFonts w:hint="eastAsia"/>
                <w:color w:val="auto"/>
                <w:sz w:val="21"/>
                <w:szCs w:val="18"/>
                <w:highlight w:val="none"/>
              </w:rPr>
              <w:t>超纯水痕量阳离子：Pb/Hg/Cr/As重金属离子≤0.01ppb、Mn/Fe/Cu/Zn微量元素离子含量≤0.01ppb。硼≤0.01ppb、硅≤0.01ppb。</w:t>
            </w:r>
          </w:p>
          <w:p w14:paraId="1B6BD848">
            <w:pPr>
              <w:keepNext w:val="0"/>
              <w:keepLines w:val="0"/>
              <w:suppressLineNumbers w:val="0"/>
              <w:spacing w:before="0" w:beforeAutospacing="0" w:after="0" w:afterAutospacing="0"/>
              <w:ind w:left="0" w:right="0"/>
              <w:rPr>
                <w:rFonts w:cs="Arial"/>
                <w:color w:val="auto"/>
                <w:sz w:val="21"/>
                <w:szCs w:val="18"/>
                <w:highlight w:val="none"/>
              </w:rPr>
            </w:pPr>
            <w:r>
              <w:rPr>
                <w:rFonts w:hint="eastAsia" w:cs="Arial"/>
                <w:color w:val="auto"/>
                <w:sz w:val="21"/>
                <w:szCs w:val="18"/>
                <w:highlight w:val="none"/>
              </w:rPr>
              <w:t>2.4总有机碳（TOC）＜2ppb。</w:t>
            </w:r>
          </w:p>
          <w:p w14:paraId="76B0B074">
            <w:pPr>
              <w:keepNext w:val="0"/>
              <w:keepLines w:val="0"/>
              <w:suppressLineNumbers w:val="0"/>
              <w:spacing w:before="0" w:beforeAutospacing="0" w:after="0" w:afterAutospacing="0"/>
              <w:ind w:left="0" w:right="0"/>
              <w:rPr>
                <w:rFonts w:cs="Arial"/>
                <w:color w:val="auto"/>
                <w:sz w:val="21"/>
                <w:szCs w:val="18"/>
                <w:highlight w:val="none"/>
              </w:rPr>
            </w:pPr>
            <w:r>
              <w:rPr>
                <w:rFonts w:hint="eastAsia" w:cs="Arial"/>
                <w:color w:val="auto"/>
                <w:sz w:val="21"/>
                <w:szCs w:val="18"/>
                <w:highlight w:val="none"/>
              </w:rPr>
              <w:t>2.5细菌＜0.001CFU/ml。</w:t>
            </w:r>
          </w:p>
          <w:p w14:paraId="09BB5D79">
            <w:pPr>
              <w:keepNext w:val="0"/>
              <w:keepLines w:val="0"/>
              <w:suppressLineNumbers w:val="0"/>
              <w:spacing w:before="0" w:beforeAutospacing="0" w:after="0" w:afterAutospacing="0"/>
              <w:ind w:left="0" w:right="0"/>
              <w:rPr>
                <w:rFonts w:cs="Arial"/>
                <w:color w:val="auto"/>
                <w:sz w:val="21"/>
                <w:szCs w:val="18"/>
                <w:highlight w:val="none"/>
              </w:rPr>
            </w:pPr>
            <w:r>
              <w:rPr>
                <w:rFonts w:cs="Arial"/>
                <w:color w:val="auto"/>
                <w:sz w:val="21"/>
                <w:szCs w:val="18"/>
                <w:highlight w:val="none"/>
              </w:rPr>
              <w:t>3</w:t>
            </w:r>
            <w:r>
              <w:rPr>
                <w:rFonts w:hint="eastAsia" w:cs="Arial"/>
                <w:color w:val="auto"/>
                <w:sz w:val="21"/>
                <w:szCs w:val="18"/>
                <w:highlight w:val="none"/>
              </w:rPr>
              <w:t>.配置≥30L智能纯水水箱，采用聚乙烯材料，低溶出，水箱圆锥形底部设计可完全排空,配置空气过滤器、电子溢流器、水箱265nm无汞杀菌紫外灯、压力液位传感器。</w:t>
            </w:r>
          </w:p>
          <w:p w14:paraId="62DD415E">
            <w:pPr>
              <w:keepNext w:val="0"/>
              <w:keepLines w:val="0"/>
              <w:suppressLineNumbers w:val="0"/>
              <w:spacing w:before="0" w:beforeAutospacing="0" w:after="0" w:afterAutospacing="0"/>
              <w:ind w:left="0" w:right="0"/>
              <w:rPr>
                <w:rFonts w:cs="Arial"/>
                <w:color w:val="auto"/>
                <w:sz w:val="21"/>
                <w:szCs w:val="18"/>
                <w:highlight w:val="none"/>
              </w:rPr>
            </w:pPr>
            <w:r>
              <w:rPr>
                <w:rFonts w:cs="Arial"/>
                <w:color w:val="auto"/>
                <w:sz w:val="21"/>
                <w:szCs w:val="18"/>
                <w:highlight w:val="none"/>
              </w:rPr>
              <w:t>4</w:t>
            </w:r>
            <w:r>
              <w:rPr>
                <w:rFonts w:hint="eastAsia" w:cs="Arial"/>
                <w:color w:val="auto"/>
                <w:sz w:val="21"/>
                <w:szCs w:val="18"/>
                <w:highlight w:val="none"/>
              </w:rPr>
              <w:t>.配置水箱自动循环模块，可在线监测水箱内储水水质，用户可根据需求自行开启或者关闭。</w:t>
            </w:r>
          </w:p>
          <w:p w14:paraId="08B0614D">
            <w:pPr>
              <w:keepNext w:val="0"/>
              <w:keepLines w:val="0"/>
              <w:suppressLineNumbers w:val="0"/>
              <w:spacing w:before="0" w:beforeAutospacing="0" w:after="0" w:afterAutospacing="0"/>
              <w:ind w:left="0" w:right="0"/>
              <w:rPr>
                <w:rFonts w:cs="Arial"/>
                <w:color w:val="auto"/>
                <w:sz w:val="21"/>
                <w:szCs w:val="18"/>
                <w:highlight w:val="none"/>
              </w:rPr>
            </w:pPr>
            <w:r>
              <w:rPr>
                <w:rFonts w:hint="eastAsia"/>
                <w:color w:val="auto"/>
                <w:sz w:val="21"/>
                <w:szCs w:val="18"/>
                <w:highlight w:val="none"/>
                <w:lang w:bidi="ar"/>
              </w:rPr>
              <w:t>▲</w:t>
            </w:r>
            <w:r>
              <w:rPr>
                <w:rFonts w:cs="Arial"/>
                <w:color w:val="auto"/>
                <w:sz w:val="21"/>
                <w:szCs w:val="18"/>
                <w:highlight w:val="none"/>
              </w:rPr>
              <w:t>5</w:t>
            </w:r>
            <w:r>
              <w:rPr>
                <w:rFonts w:hint="eastAsia" w:cs="Arial"/>
                <w:color w:val="auto"/>
                <w:sz w:val="21"/>
                <w:szCs w:val="18"/>
                <w:highlight w:val="none"/>
              </w:rPr>
              <w:t>.配置172nm氧化紫外灯。</w:t>
            </w:r>
          </w:p>
          <w:p w14:paraId="6BCDD88C">
            <w:pPr>
              <w:keepNext w:val="0"/>
              <w:keepLines w:val="0"/>
              <w:suppressLineNumbers w:val="0"/>
              <w:spacing w:before="0" w:beforeAutospacing="0" w:after="0" w:afterAutospacing="0"/>
              <w:ind w:left="0" w:right="0"/>
              <w:rPr>
                <w:rFonts w:cs="Arial"/>
                <w:color w:val="auto"/>
                <w:sz w:val="21"/>
                <w:szCs w:val="18"/>
                <w:highlight w:val="none"/>
              </w:rPr>
            </w:pPr>
            <w:r>
              <w:rPr>
                <w:rFonts w:cs="Arial"/>
                <w:color w:val="auto"/>
                <w:sz w:val="21"/>
                <w:szCs w:val="18"/>
                <w:highlight w:val="none"/>
              </w:rPr>
              <w:t>6.</w:t>
            </w:r>
            <w:r>
              <w:rPr>
                <w:rFonts w:hint="eastAsia" w:cs="Arial"/>
                <w:color w:val="auto"/>
                <w:sz w:val="21"/>
                <w:szCs w:val="18"/>
                <w:highlight w:val="none"/>
              </w:rPr>
              <w:t>具有拓展性，在无需改变制水主机情况下可以选择配置6种以上超纯化柱，分别用于常规理化、精密分析、分子生物学、免疫及生化分析仪、超痕量分析实验等。</w:t>
            </w:r>
          </w:p>
          <w:p w14:paraId="7C135E05">
            <w:pPr>
              <w:keepNext w:val="0"/>
              <w:keepLines w:val="0"/>
              <w:suppressLineNumbers w:val="0"/>
              <w:spacing w:before="0" w:beforeAutospacing="0" w:after="0" w:afterAutospacing="0"/>
              <w:ind w:left="0" w:right="0"/>
              <w:rPr>
                <w:rFonts w:cs="Arial"/>
                <w:color w:val="auto"/>
                <w:sz w:val="21"/>
                <w:szCs w:val="18"/>
                <w:highlight w:val="none"/>
              </w:rPr>
            </w:pPr>
            <w:r>
              <w:rPr>
                <w:rFonts w:cs="Arial"/>
                <w:color w:val="auto"/>
                <w:sz w:val="21"/>
                <w:szCs w:val="18"/>
                <w:highlight w:val="none"/>
              </w:rPr>
              <w:t>7</w:t>
            </w:r>
            <w:r>
              <w:rPr>
                <w:rFonts w:hint="eastAsia" w:cs="Arial"/>
                <w:color w:val="auto"/>
                <w:sz w:val="21"/>
                <w:szCs w:val="18"/>
                <w:highlight w:val="none"/>
              </w:rPr>
              <w:t>.系统配置≥两种清洗模式，自动提示氯洗和pH清洗，并具备相应的自动清洗程序。系统具有自动维护功能（包括RO冲洗、再循环回路和水箱紫外消毒等）。</w:t>
            </w:r>
          </w:p>
          <w:p w14:paraId="2707A7DC">
            <w:pPr>
              <w:keepNext w:val="0"/>
              <w:keepLines w:val="0"/>
              <w:suppressLineNumbers w:val="0"/>
              <w:spacing w:before="0" w:beforeAutospacing="0" w:after="0" w:afterAutospacing="0"/>
              <w:ind w:left="0" w:right="0"/>
              <w:rPr>
                <w:rFonts w:cs="Arial"/>
                <w:color w:val="auto"/>
                <w:sz w:val="21"/>
                <w:szCs w:val="18"/>
                <w:highlight w:val="none"/>
              </w:rPr>
            </w:pPr>
            <w:r>
              <w:rPr>
                <w:rFonts w:cs="Arial"/>
                <w:color w:val="auto"/>
                <w:sz w:val="21"/>
                <w:szCs w:val="18"/>
                <w:highlight w:val="none"/>
              </w:rPr>
              <w:t>8</w:t>
            </w:r>
            <w:r>
              <w:rPr>
                <w:rFonts w:hint="eastAsia" w:cs="Arial"/>
                <w:color w:val="auto"/>
                <w:sz w:val="21"/>
                <w:szCs w:val="18"/>
                <w:highlight w:val="none"/>
              </w:rPr>
              <w:t>.主控制器可独立于主机和取水器，全触控设计；通过控制器可远程控制取水器调节流速和定量取水，可监控机器中泵、阀、紫外灯等的状态或电流，维护和报警信息。各级参数均可设置上下报警限，当设备运行超出报警限时会自动报警。</w:t>
            </w:r>
          </w:p>
          <w:p w14:paraId="03798069">
            <w:pPr>
              <w:keepNext w:val="0"/>
              <w:keepLines w:val="0"/>
              <w:suppressLineNumbers w:val="0"/>
              <w:spacing w:before="0" w:beforeAutospacing="0" w:after="0" w:afterAutospacing="0"/>
              <w:ind w:left="0" w:right="0"/>
              <w:rPr>
                <w:rFonts w:cs="Arial"/>
                <w:color w:val="auto"/>
                <w:sz w:val="21"/>
                <w:szCs w:val="18"/>
                <w:highlight w:val="none"/>
              </w:rPr>
            </w:pPr>
            <w:r>
              <w:rPr>
                <w:rFonts w:hint="eastAsia"/>
                <w:color w:val="auto"/>
                <w:sz w:val="21"/>
                <w:szCs w:val="18"/>
                <w:highlight w:val="none"/>
                <w:lang w:bidi="ar"/>
              </w:rPr>
              <w:t>▲</w:t>
            </w:r>
            <w:r>
              <w:rPr>
                <w:rFonts w:cs="Arial"/>
                <w:color w:val="auto"/>
                <w:sz w:val="21"/>
                <w:szCs w:val="18"/>
                <w:highlight w:val="none"/>
              </w:rPr>
              <w:t>9</w:t>
            </w:r>
            <w:r>
              <w:rPr>
                <w:rFonts w:hint="eastAsia" w:cs="Arial"/>
                <w:color w:val="auto"/>
                <w:sz w:val="21"/>
                <w:szCs w:val="18"/>
                <w:highlight w:val="none"/>
              </w:rPr>
              <w:t>.配置独立取水器，可通过触摸屏设置实现定量取水和流速调节，定量取水范围：0.01-999L。自动显示电导率/电阻率、温度、液位，自动维护提示、自动报警等功能。</w:t>
            </w:r>
          </w:p>
          <w:p w14:paraId="43DB1BF4">
            <w:pPr>
              <w:keepNext w:val="0"/>
              <w:keepLines w:val="0"/>
              <w:suppressLineNumbers w:val="0"/>
              <w:spacing w:before="0" w:beforeAutospacing="0" w:after="0" w:afterAutospacing="0"/>
              <w:ind w:left="0" w:right="0"/>
              <w:rPr>
                <w:rFonts w:cs="Arial"/>
                <w:color w:val="auto"/>
                <w:sz w:val="21"/>
                <w:szCs w:val="18"/>
                <w:highlight w:val="none"/>
              </w:rPr>
            </w:pPr>
            <w:r>
              <w:rPr>
                <w:rFonts w:hint="eastAsia"/>
                <w:color w:val="auto"/>
                <w:sz w:val="21"/>
                <w:szCs w:val="18"/>
                <w:highlight w:val="none"/>
                <w:lang w:bidi="ar"/>
              </w:rPr>
              <w:t>▲</w:t>
            </w:r>
            <w:r>
              <w:rPr>
                <w:rFonts w:hint="eastAsia" w:cs="Arial"/>
                <w:color w:val="auto"/>
                <w:sz w:val="21"/>
                <w:szCs w:val="18"/>
                <w:highlight w:val="none"/>
              </w:rPr>
              <w:t>1</w:t>
            </w:r>
            <w:r>
              <w:rPr>
                <w:rFonts w:cs="Arial"/>
                <w:color w:val="auto"/>
                <w:sz w:val="21"/>
                <w:szCs w:val="18"/>
                <w:highlight w:val="none"/>
              </w:rPr>
              <w:t>0</w:t>
            </w:r>
            <w:r>
              <w:rPr>
                <w:rFonts w:hint="eastAsia" w:cs="Arial"/>
                <w:color w:val="auto"/>
                <w:sz w:val="21"/>
                <w:szCs w:val="18"/>
                <w:highlight w:val="none"/>
              </w:rPr>
              <w:t>.主机配置高灵敏度漏水保护器，至少包括电磁阀、探头、信号放大电路等，其中探头应包括≥2个探针。</w:t>
            </w:r>
          </w:p>
          <w:p w14:paraId="65592B10">
            <w:pPr>
              <w:keepNext w:val="0"/>
              <w:keepLines w:val="0"/>
              <w:suppressLineNumbers w:val="0"/>
              <w:spacing w:before="0" w:beforeAutospacing="0" w:after="0" w:afterAutospacing="0"/>
              <w:ind w:left="0" w:right="0"/>
              <w:rPr>
                <w:rFonts w:cs="Arial"/>
                <w:color w:val="auto"/>
                <w:sz w:val="21"/>
                <w:szCs w:val="18"/>
                <w:highlight w:val="none"/>
              </w:rPr>
            </w:pPr>
            <w:r>
              <w:rPr>
                <w:rFonts w:hint="eastAsia" w:cs="Arial"/>
                <w:color w:val="auto"/>
                <w:sz w:val="21"/>
                <w:szCs w:val="18"/>
                <w:highlight w:val="none"/>
              </w:rPr>
              <w:t>1</w:t>
            </w:r>
            <w:r>
              <w:rPr>
                <w:rFonts w:cs="Arial"/>
                <w:color w:val="auto"/>
                <w:sz w:val="21"/>
                <w:szCs w:val="18"/>
                <w:highlight w:val="none"/>
              </w:rPr>
              <w:t>1</w:t>
            </w:r>
            <w:r>
              <w:rPr>
                <w:rFonts w:hint="eastAsia" w:cs="Arial"/>
                <w:color w:val="auto"/>
                <w:sz w:val="21"/>
                <w:szCs w:val="18"/>
                <w:highlight w:val="none"/>
              </w:rPr>
              <w:t>.数据管理系统：可存储≥2年的水质数据；所有报告均可通过USB端口导出，存档功能支持质量管理系统，可连接打印机。</w:t>
            </w:r>
          </w:p>
          <w:p w14:paraId="7A85D5ED">
            <w:pPr>
              <w:keepNext w:val="0"/>
              <w:keepLines w:val="0"/>
              <w:suppressLineNumbers w:val="0"/>
              <w:spacing w:before="0" w:beforeAutospacing="0" w:after="0" w:afterAutospacing="0"/>
              <w:ind w:left="0" w:right="0"/>
              <w:rPr>
                <w:rFonts w:cs="Arial"/>
                <w:color w:val="auto"/>
                <w:sz w:val="21"/>
                <w:szCs w:val="18"/>
                <w:highlight w:val="none"/>
              </w:rPr>
            </w:pPr>
            <w:r>
              <w:rPr>
                <w:rFonts w:hint="eastAsia" w:cs="Arial"/>
                <w:color w:val="auto"/>
                <w:sz w:val="21"/>
                <w:szCs w:val="18"/>
                <w:highlight w:val="none"/>
              </w:rPr>
              <w:t>1</w:t>
            </w:r>
            <w:r>
              <w:rPr>
                <w:rFonts w:cs="Arial"/>
                <w:color w:val="auto"/>
                <w:sz w:val="21"/>
                <w:szCs w:val="18"/>
                <w:highlight w:val="none"/>
              </w:rPr>
              <w:t>2</w:t>
            </w:r>
            <w:r>
              <w:rPr>
                <w:rFonts w:hint="eastAsia" w:cs="Arial"/>
                <w:color w:val="auto"/>
                <w:sz w:val="21"/>
                <w:szCs w:val="18"/>
                <w:highlight w:val="none"/>
              </w:rPr>
              <w:t>.主机可通过局域网远程控制，支持用户通过移动智能终端应用软件（APP），对设备同步管理。</w:t>
            </w:r>
          </w:p>
          <w:p w14:paraId="71E18CAB">
            <w:pPr>
              <w:keepNext w:val="0"/>
              <w:keepLines w:val="0"/>
              <w:suppressLineNumbers w:val="0"/>
              <w:spacing w:before="0" w:beforeAutospacing="0" w:after="0" w:afterAutospacing="0"/>
              <w:ind w:left="0" w:right="0"/>
              <w:rPr>
                <w:rFonts w:cs="Arial"/>
                <w:color w:val="auto"/>
                <w:sz w:val="21"/>
                <w:szCs w:val="18"/>
                <w:highlight w:val="none"/>
              </w:rPr>
            </w:pPr>
            <w:r>
              <w:rPr>
                <w:rFonts w:hint="eastAsia" w:cs="Arial"/>
                <w:color w:val="auto"/>
                <w:sz w:val="21"/>
                <w:szCs w:val="18"/>
                <w:highlight w:val="none"/>
              </w:rPr>
              <w:t>1</w:t>
            </w:r>
            <w:r>
              <w:rPr>
                <w:rFonts w:cs="Arial"/>
                <w:color w:val="auto"/>
                <w:sz w:val="21"/>
                <w:szCs w:val="18"/>
                <w:highlight w:val="none"/>
              </w:rPr>
              <w:t>3</w:t>
            </w:r>
            <w:r>
              <w:rPr>
                <w:rFonts w:hint="eastAsia" w:cs="Arial"/>
                <w:color w:val="auto"/>
                <w:sz w:val="21"/>
                <w:szCs w:val="18"/>
                <w:highlight w:val="none"/>
              </w:rPr>
              <w:t>.配置清单：</w:t>
            </w:r>
          </w:p>
          <w:p w14:paraId="207D43ED">
            <w:pPr>
              <w:keepNext w:val="0"/>
              <w:keepLines w:val="0"/>
              <w:suppressLineNumbers w:val="0"/>
              <w:spacing w:before="0" w:beforeAutospacing="0" w:after="0" w:afterAutospacing="0"/>
              <w:ind w:left="0" w:right="0"/>
              <w:rPr>
                <w:rFonts w:cs="Arial"/>
                <w:color w:val="auto"/>
                <w:sz w:val="21"/>
                <w:szCs w:val="18"/>
                <w:highlight w:val="none"/>
              </w:rPr>
            </w:pPr>
            <w:r>
              <w:rPr>
                <w:rFonts w:hint="eastAsia" w:cs="Arial"/>
                <w:color w:val="auto"/>
                <w:sz w:val="21"/>
                <w:szCs w:val="18"/>
                <w:highlight w:val="none"/>
              </w:rPr>
              <w:t>1</w:t>
            </w:r>
            <w:r>
              <w:rPr>
                <w:rFonts w:cs="Arial"/>
                <w:color w:val="auto"/>
                <w:sz w:val="21"/>
                <w:szCs w:val="18"/>
                <w:highlight w:val="none"/>
              </w:rPr>
              <w:t xml:space="preserve">3.1 </w:t>
            </w:r>
            <w:r>
              <w:rPr>
                <w:rFonts w:hint="eastAsia" w:cs="Arial"/>
                <w:color w:val="auto"/>
                <w:sz w:val="21"/>
                <w:szCs w:val="18"/>
                <w:highlight w:val="none"/>
              </w:rPr>
              <w:t>纯水超纯水主机一台；</w:t>
            </w:r>
          </w:p>
          <w:p w14:paraId="5110679B">
            <w:pPr>
              <w:keepNext w:val="0"/>
              <w:keepLines w:val="0"/>
              <w:suppressLineNumbers w:val="0"/>
              <w:spacing w:before="0" w:beforeAutospacing="0" w:after="0" w:afterAutospacing="0"/>
              <w:ind w:left="0" w:right="0"/>
              <w:rPr>
                <w:rFonts w:hint="eastAsia" w:ascii="Times New Roman" w:hAnsi="Times New Roman" w:eastAsia="宋体" w:cs="Times New Roman"/>
                <w:color w:val="auto"/>
                <w:kern w:val="2"/>
                <w:sz w:val="21"/>
                <w:szCs w:val="18"/>
                <w:highlight w:val="none"/>
                <w:lang w:val="en-US" w:eastAsia="zh-CN" w:bidi="ar-SA"/>
              </w:rPr>
            </w:pPr>
            <w:r>
              <w:rPr>
                <w:rFonts w:cs="Arial"/>
                <w:color w:val="auto"/>
                <w:sz w:val="21"/>
                <w:szCs w:val="18"/>
                <w:highlight w:val="none"/>
              </w:rPr>
              <w:t xml:space="preserve">13.2 </w:t>
            </w:r>
            <w:r>
              <w:rPr>
                <w:rFonts w:hint="eastAsia" w:cs="Arial"/>
                <w:color w:val="auto"/>
                <w:sz w:val="21"/>
                <w:szCs w:val="18"/>
                <w:highlight w:val="none"/>
              </w:rPr>
              <w:t>30L水箱一个。</w:t>
            </w:r>
          </w:p>
        </w:tc>
        <w:tc>
          <w:tcPr>
            <w:tcW w:w="1497" w:type="dxa"/>
            <w:tcBorders>
              <w:top w:val="single" w:color="000000" w:sz="4" w:space="0"/>
              <w:left w:val="single" w:color="auto" w:sz="4" w:space="0"/>
              <w:bottom w:val="single" w:color="000000" w:sz="4" w:space="0"/>
              <w:right w:val="single" w:color="000000" w:sz="4" w:space="0"/>
            </w:tcBorders>
            <w:vAlign w:val="center"/>
          </w:tcPr>
          <w:p w14:paraId="5C413B6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cs="宋体"/>
                <w:b w:val="0"/>
                <w:bCs w:val="0"/>
                <w:color w:val="auto"/>
                <w:szCs w:val="21"/>
                <w:highlight w:val="none"/>
                <w:u w:val="none"/>
              </w:rPr>
            </w:pPr>
            <w:r>
              <w:rPr>
                <w:rFonts w:hint="eastAsia" w:eastAsia="宋体" w:asciiTheme="minorEastAsia" w:hAnsiTheme="minorEastAsia" w:cstheme="minorEastAsia"/>
                <w:color w:val="auto"/>
                <w:sz w:val="24"/>
                <w:highlight w:val="none"/>
                <w:shd w:val="clear" w:color="auto" w:fill="FFFFFF"/>
              </w:rPr>
              <w:t>工业</w:t>
            </w:r>
          </w:p>
        </w:tc>
      </w:tr>
      <w:tr w14:paraId="5CB78F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221AC164">
            <w:pPr>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8</w:t>
            </w:r>
          </w:p>
        </w:tc>
        <w:tc>
          <w:tcPr>
            <w:tcW w:w="1119" w:type="dxa"/>
            <w:tcBorders>
              <w:top w:val="single" w:color="000000" w:sz="4" w:space="0"/>
              <w:left w:val="nil"/>
              <w:bottom w:val="single" w:color="000000" w:sz="4" w:space="0"/>
              <w:right w:val="single" w:color="000000" w:sz="4" w:space="0"/>
            </w:tcBorders>
            <w:shd w:val="clear" w:color="auto" w:fill="auto"/>
            <w:vAlign w:val="center"/>
          </w:tcPr>
          <w:p w14:paraId="74073F1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真空离心浓缩仪</w:t>
            </w:r>
          </w:p>
        </w:tc>
        <w:tc>
          <w:tcPr>
            <w:tcW w:w="562" w:type="dxa"/>
            <w:tcBorders>
              <w:top w:val="single" w:color="000000" w:sz="4" w:space="0"/>
              <w:left w:val="nil"/>
              <w:bottom w:val="single" w:color="000000" w:sz="4" w:space="0"/>
              <w:right w:val="single" w:color="000000" w:sz="4" w:space="0"/>
            </w:tcBorders>
            <w:shd w:val="clear" w:color="auto" w:fill="auto"/>
            <w:vAlign w:val="center"/>
          </w:tcPr>
          <w:p w14:paraId="078549D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color w:val="auto"/>
                <w:sz w:val="21"/>
                <w:szCs w:val="21"/>
                <w:highlight w:val="none"/>
              </w:rPr>
              <w:t>1</w:t>
            </w:r>
          </w:p>
        </w:tc>
        <w:tc>
          <w:tcPr>
            <w:tcW w:w="519" w:type="dxa"/>
            <w:tcBorders>
              <w:top w:val="single" w:color="000000" w:sz="4" w:space="0"/>
              <w:left w:val="nil"/>
              <w:bottom w:val="single" w:color="000000" w:sz="4" w:space="0"/>
              <w:right w:val="single" w:color="000000" w:sz="4" w:space="0"/>
            </w:tcBorders>
            <w:shd w:val="clear" w:color="auto" w:fill="auto"/>
            <w:vAlign w:val="center"/>
          </w:tcPr>
          <w:p w14:paraId="6E8B9ED6">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台</w:t>
            </w:r>
          </w:p>
        </w:tc>
        <w:tc>
          <w:tcPr>
            <w:tcW w:w="5194" w:type="dxa"/>
            <w:tcBorders>
              <w:top w:val="single" w:color="000000" w:sz="4" w:space="0"/>
              <w:left w:val="nil"/>
              <w:bottom w:val="single" w:color="000000" w:sz="4" w:space="0"/>
              <w:right w:val="single" w:color="auto" w:sz="4" w:space="0"/>
            </w:tcBorders>
            <w:shd w:val="clear" w:color="auto" w:fill="auto"/>
            <w:vAlign w:val="center"/>
          </w:tcPr>
          <w:p w14:paraId="6DBC9194">
            <w:pPr>
              <w:pStyle w:val="9"/>
              <w:keepNext w:val="0"/>
              <w:keepLines w:val="0"/>
              <w:suppressLineNumbers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1.≥10寸触摸液晶屏操作，操作面板可以设定离心速度、运行时间、加热温度，实时显示真空值等参数。可设置≥64组程序，可同时选择运行≥8组程序进行梯度设置。</w:t>
            </w:r>
          </w:p>
          <w:p w14:paraId="3745390F">
            <w:pPr>
              <w:pStyle w:val="9"/>
              <w:keepNext w:val="0"/>
              <w:keepLines w:val="0"/>
              <w:suppressLineNumbers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2.真空孔设计在离心腔壁中部，抽气气流不会导致液体飞出。</w:t>
            </w:r>
          </w:p>
          <w:p w14:paraId="24BB7846">
            <w:pPr>
              <w:pStyle w:val="9"/>
              <w:keepNext w:val="0"/>
              <w:keepLines w:val="0"/>
              <w:suppressLineNumbers w:val="0"/>
              <w:spacing w:before="0" w:beforeAutospacing="0" w:after="0" w:afterAutospacing="0"/>
              <w:ind w:left="0" w:right="0" w:firstLine="0" w:firstLineChars="0"/>
              <w:jc w:val="left"/>
              <w:rPr>
                <w:color w:val="auto"/>
                <w:szCs w:val="18"/>
                <w:highlight w:val="none"/>
              </w:rPr>
            </w:pPr>
            <w:r>
              <w:rPr>
                <w:rFonts w:hint="eastAsia"/>
                <w:color w:val="auto"/>
                <w:szCs w:val="18"/>
                <w:highlight w:val="none"/>
                <w:lang w:bidi="ar"/>
              </w:rPr>
              <w:t>▲</w:t>
            </w:r>
            <w:r>
              <w:rPr>
                <w:rFonts w:hint="eastAsia"/>
                <w:color w:val="auto"/>
                <w:szCs w:val="18"/>
                <w:highlight w:val="none"/>
              </w:rPr>
              <w:t>3.仪器具有在不停机的情况下实现离心成像功能。</w:t>
            </w:r>
          </w:p>
          <w:p w14:paraId="1146355E">
            <w:pPr>
              <w:pStyle w:val="9"/>
              <w:keepNext w:val="0"/>
              <w:keepLines w:val="0"/>
              <w:suppressLineNumbers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4.极限真空值：≤0.3mbar。真空值显示：触摸液晶屏幕显示。</w:t>
            </w:r>
          </w:p>
          <w:p w14:paraId="2757DB90">
            <w:pPr>
              <w:pStyle w:val="9"/>
              <w:keepNext w:val="0"/>
              <w:keepLines w:val="0"/>
              <w:suppressLineNumbers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5.转子：1.5/2mL</w:t>
            </w:r>
            <w:r>
              <w:rPr>
                <w:color w:val="auto"/>
                <w:sz w:val="21"/>
                <w:szCs w:val="21"/>
                <w:highlight w:val="none"/>
              </w:rPr>
              <w:t>×</w:t>
            </w:r>
            <w:r>
              <w:rPr>
                <w:rFonts w:hint="eastAsia"/>
                <w:color w:val="auto"/>
                <w:szCs w:val="18"/>
                <w:highlight w:val="none"/>
              </w:rPr>
              <w:t>132。</w:t>
            </w:r>
          </w:p>
          <w:p w14:paraId="0F394AFB">
            <w:pPr>
              <w:pStyle w:val="9"/>
              <w:keepNext w:val="0"/>
              <w:keepLines w:val="0"/>
              <w:suppressLineNumbers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6.样品腔温控范围：室温+5℃~+100℃。</w:t>
            </w:r>
          </w:p>
          <w:p w14:paraId="2FC76595">
            <w:pPr>
              <w:pStyle w:val="9"/>
              <w:keepNext w:val="0"/>
              <w:keepLines w:val="0"/>
              <w:suppressLineNumbers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7.最大转速：100-2000rpm/min，最大离心力≥550</w:t>
            </w:r>
            <w:r>
              <w:rPr>
                <w:color w:val="auto"/>
                <w:szCs w:val="18"/>
                <w:highlight w:val="none"/>
              </w:rPr>
              <w:t>x</w:t>
            </w:r>
            <w:r>
              <w:rPr>
                <w:rFonts w:hint="eastAsia"/>
                <w:color w:val="auto"/>
                <w:szCs w:val="18"/>
                <w:highlight w:val="none"/>
              </w:rPr>
              <w:t>g。</w:t>
            </w:r>
          </w:p>
          <w:p w14:paraId="391F1E29">
            <w:pPr>
              <w:pStyle w:val="9"/>
              <w:keepNext w:val="0"/>
              <w:keepLines w:val="0"/>
              <w:suppressLineNumbers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8.定时范围：0-9999h59min。</w:t>
            </w:r>
          </w:p>
          <w:p w14:paraId="456D0BE2">
            <w:pPr>
              <w:pStyle w:val="9"/>
              <w:keepNext w:val="0"/>
              <w:keepLines w:val="0"/>
              <w:suppressLineNumbers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9.</w:t>
            </w:r>
            <w:r>
              <w:rPr>
                <w:rFonts w:hint="eastAsia"/>
                <w:color w:val="auto"/>
                <w:highlight w:val="none"/>
              </w:rPr>
              <w:t>高性能无刷电机</w:t>
            </w:r>
            <w:r>
              <w:rPr>
                <w:rFonts w:hint="eastAsia"/>
                <w:color w:val="auto"/>
                <w:szCs w:val="18"/>
                <w:highlight w:val="none"/>
              </w:rPr>
              <w:t>。</w:t>
            </w:r>
          </w:p>
          <w:p w14:paraId="79033F15">
            <w:pPr>
              <w:pStyle w:val="9"/>
              <w:keepNext w:val="0"/>
              <w:keepLines w:val="0"/>
              <w:suppressLineNumbers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▲10.内置真空延迟功能，在转速达到预设值后抽真空。</w:t>
            </w:r>
          </w:p>
          <w:p w14:paraId="7FA40687">
            <w:pPr>
              <w:pStyle w:val="9"/>
              <w:keepNext w:val="0"/>
              <w:keepLines w:val="0"/>
              <w:suppressLineNumbers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11.安全设计：断电自动泄真空，保护样品安全。</w:t>
            </w:r>
          </w:p>
          <w:p w14:paraId="3179AE34">
            <w:pPr>
              <w:pStyle w:val="9"/>
              <w:keepNext w:val="0"/>
              <w:keepLines w:val="0"/>
              <w:suppressLineNumbers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w:t>
            </w:r>
            <w:r>
              <w:rPr>
                <w:color w:val="auto"/>
                <w:szCs w:val="18"/>
                <w:highlight w:val="none"/>
              </w:rPr>
              <w:t>2</w:t>
            </w:r>
            <w:r>
              <w:rPr>
                <w:rFonts w:hint="eastAsia"/>
                <w:color w:val="auto"/>
                <w:szCs w:val="18"/>
                <w:highlight w:val="none"/>
              </w:rPr>
              <w:t>.冷阱：-50℃。</w:t>
            </w:r>
          </w:p>
          <w:p w14:paraId="634CA78C">
            <w:pPr>
              <w:pStyle w:val="9"/>
              <w:keepNext w:val="0"/>
              <w:keepLines w:val="0"/>
              <w:suppressLineNumbers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w:t>
            </w:r>
            <w:r>
              <w:rPr>
                <w:color w:val="auto"/>
                <w:szCs w:val="18"/>
                <w:highlight w:val="none"/>
              </w:rPr>
              <w:t>3</w:t>
            </w:r>
            <w:r>
              <w:rPr>
                <w:rFonts w:hint="eastAsia"/>
                <w:color w:val="auto"/>
                <w:szCs w:val="18"/>
                <w:highlight w:val="none"/>
              </w:rPr>
              <w:t>.基本配置：</w:t>
            </w:r>
          </w:p>
          <w:p w14:paraId="6409DC33">
            <w:pPr>
              <w:pStyle w:val="9"/>
              <w:keepNext w:val="0"/>
              <w:keepLines w:val="0"/>
              <w:suppressLineNumbers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w:t>
            </w:r>
            <w:r>
              <w:rPr>
                <w:color w:val="auto"/>
                <w:szCs w:val="18"/>
                <w:highlight w:val="none"/>
              </w:rPr>
              <w:t>3</w:t>
            </w:r>
            <w:r>
              <w:rPr>
                <w:rFonts w:hint="eastAsia"/>
                <w:color w:val="auto"/>
                <w:szCs w:val="18"/>
                <w:highlight w:val="none"/>
              </w:rPr>
              <w:t>.1真空离心浓缩仪主机，1台；</w:t>
            </w:r>
          </w:p>
          <w:p w14:paraId="3D569B1C">
            <w:pPr>
              <w:pStyle w:val="9"/>
              <w:keepNext w:val="0"/>
              <w:keepLines w:val="0"/>
              <w:suppressLineNumbers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w:t>
            </w:r>
            <w:r>
              <w:rPr>
                <w:color w:val="auto"/>
                <w:szCs w:val="18"/>
                <w:highlight w:val="none"/>
              </w:rPr>
              <w:t>3</w:t>
            </w:r>
            <w:r>
              <w:rPr>
                <w:rFonts w:hint="eastAsia"/>
                <w:color w:val="auto"/>
                <w:szCs w:val="18"/>
                <w:highlight w:val="none"/>
              </w:rPr>
              <w:t>.2转子（1.5/2mL</w:t>
            </w:r>
            <w:r>
              <w:rPr>
                <w:color w:val="auto"/>
                <w:sz w:val="21"/>
                <w:szCs w:val="21"/>
                <w:highlight w:val="none"/>
              </w:rPr>
              <w:t>×</w:t>
            </w:r>
            <w:r>
              <w:rPr>
                <w:rFonts w:hint="eastAsia"/>
                <w:color w:val="auto"/>
                <w:szCs w:val="18"/>
                <w:highlight w:val="none"/>
              </w:rPr>
              <w:t>132），1个；</w:t>
            </w:r>
          </w:p>
          <w:p w14:paraId="0A5435A5">
            <w:pPr>
              <w:pStyle w:val="9"/>
              <w:keepNext w:val="0"/>
              <w:keepLines w:val="0"/>
              <w:suppressLineNumbers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w:t>
            </w:r>
            <w:r>
              <w:rPr>
                <w:color w:val="auto"/>
                <w:szCs w:val="18"/>
                <w:highlight w:val="none"/>
              </w:rPr>
              <w:t>3</w:t>
            </w:r>
            <w:r>
              <w:rPr>
                <w:rFonts w:hint="eastAsia"/>
                <w:color w:val="auto"/>
                <w:szCs w:val="18"/>
                <w:highlight w:val="none"/>
              </w:rPr>
              <w:t>.3离心成像仪，1台；</w:t>
            </w:r>
          </w:p>
          <w:p w14:paraId="68658DC6">
            <w:pPr>
              <w:pStyle w:val="9"/>
              <w:keepNext w:val="0"/>
              <w:keepLines w:val="0"/>
              <w:suppressLineNumbers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w:t>
            </w:r>
            <w:r>
              <w:rPr>
                <w:color w:val="auto"/>
                <w:szCs w:val="18"/>
                <w:highlight w:val="none"/>
              </w:rPr>
              <w:t>3</w:t>
            </w:r>
            <w:r>
              <w:rPr>
                <w:rFonts w:hint="eastAsia"/>
                <w:color w:val="auto"/>
                <w:szCs w:val="18"/>
                <w:highlight w:val="none"/>
              </w:rPr>
              <w:t>.4隔膜泵，1台；</w:t>
            </w:r>
          </w:p>
          <w:p w14:paraId="442A71E3">
            <w:pPr>
              <w:pStyle w:val="9"/>
              <w:keepNext w:val="0"/>
              <w:keepLines w:val="0"/>
              <w:suppressLineNumbers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w:t>
            </w:r>
            <w:r>
              <w:rPr>
                <w:color w:val="auto"/>
                <w:szCs w:val="18"/>
                <w:highlight w:val="none"/>
              </w:rPr>
              <w:t>3</w:t>
            </w:r>
            <w:r>
              <w:rPr>
                <w:rFonts w:hint="eastAsia"/>
                <w:color w:val="auto"/>
                <w:szCs w:val="18"/>
                <w:highlight w:val="none"/>
              </w:rPr>
              <w:t>.5冷阱，1台；</w:t>
            </w:r>
          </w:p>
          <w:p w14:paraId="7E8A7D17">
            <w:pPr>
              <w:pStyle w:val="9"/>
              <w:keepNext w:val="0"/>
              <w:keepLines w:val="0"/>
              <w:suppressLineNumbers w:val="0"/>
              <w:spacing w:before="0" w:beforeAutospacing="0" w:after="0" w:afterAutospacing="0"/>
              <w:ind w:left="0" w:right="0" w:firstLine="0" w:firstLineChars="0"/>
              <w:jc w:val="left"/>
              <w:rPr>
                <w:rFonts w:hint="eastAsia" w:ascii="Times New Roman" w:hAnsi="Times New Roman" w:eastAsia="宋体" w:cs="Times New Roman"/>
                <w:color w:val="auto"/>
                <w:kern w:val="2"/>
                <w:sz w:val="21"/>
                <w:szCs w:val="18"/>
                <w:highlight w:val="none"/>
                <w:lang w:val="en-US" w:eastAsia="zh-CN" w:bidi="ar-SA"/>
              </w:rPr>
            </w:pPr>
            <w:r>
              <w:rPr>
                <w:rFonts w:hint="eastAsia"/>
                <w:color w:val="auto"/>
                <w:szCs w:val="18"/>
                <w:highlight w:val="none"/>
              </w:rPr>
              <w:t>1</w:t>
            </w:r>
            <w:r>
              <w:rPr>
                <w:color w:val="auto"/>
                <w:szCs w:val="18"/>
                <w:highlight w:val="none"/>
              </w:rPr>
              <w:t>3</w:t>
            </w:r>
            <w:r>
              <w:rPr>
                <w:rFonts w:hint="eastAsia"/>
                <w:color w:val="auto"/>
                <w:szCs w:val="18"/>
                <w:highlight w:val="none"/>
              </w:rPr>
              <w:t>.6电源线，1根。</w:t>
            </w:r>
          </w:p>
        </w:tc>
        <w:tc>
          <w:tcPr>
            <w:tcW w:w="1497" w:type="dxa"/>
            <w:tcBorders>
              <w:top w:val="single" w:color="000000" w:sz="4" w:space="0"/>
              <w:left w:val="single" w:color="auto" w:sz="4" w:space="0"/>
              <w:bottom w:val="single" w:color="000000" w:sz="4" w:space="0"/>
              <w:right w:val="single" w:color="000000" w:sz="4" w:space="0"/>
            </w:tcBorders>
            <w:vAlign w:val="center"/>
          </w:tcPr>
          <w:p w14:paraId="38AA7C4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cs="宋体"/>
                <w:b w:val="0"/>
                <w:bCs w:val="0"/>
                <w:color w:val="auto"/>
                <w:szCs w:val="21"/>
                <w:highlight w:val="none"/>
                <w:u w:val="none"/>
              </w:rPr>
            </w:pPr>
            <w:r>
              <w:rPr>
                <w:rFonts w:hint="eastAsia" w:eastAsia="宋体" w:asciiTheme="minorEastAsia" w:hAnsiTheme="minorEastAsia" w:cstheme="minorEastAsia"/>
                <w:color w:val="auto"/>
                <w:sz w:val="24"/>
                <w:highlight w:val="none"/>
                <w:shd w:val="clear" w:color="auto" w:fill="FFFFFF"/>
              </w:rPr>
              <w:t>工业</w:t>
            </w:r>
          </w:p>
        </w:tc>
      </w:tr>
      <w:tr w14:paraId="10E412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4EA945C2">
            <w:pPr>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9</w:t>
            </w:r>
          </w:p>
        </w:tc>
        <w:tc>
          <w:tcPr>
            <w:tcW w:w="1119" w:type="dxa"/>
            <w:tcBorders>
              <w:top w:val="single" w:color="000000" w:sz="4" w:space="0"/>
              <w:left w:val="nil"/>
              <w:bottom w:val="single" w:color="000000" w:sz="4" w:space="0"/>
              <w:right w:val="single" w:color="000000" w:sz="4" w:space="0"/>
            </w:tcBorders>
            <w:shd w:val="clear" w:color="auto" w:fill="auto"/>
            <w:vAlign w:val="center"/>
          </w:tcPr>
          <w:p w14:paraId="1D588A1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全自动样品快速研磨仪</w:t>
            </w:r>
          </w:p>
        </w:tc>
        <w:tc>
          <w:tcPr>
            <w:tcW w:w="562" w:type="dxa"/>
            <w:tcBorders>
              <w:top w:val="single" w:color="000000" w:sz="4" w:space="0"/>
              <w:left w:val="nil"/>
              <w:bottom w:val="single" w:color="000000" w:sz="4" w:space="0"/>
              <w:right w:val="single" w:color="000000" w:sz="4" w:space="0"/>
            </w:tcBorders>
            <w:shd w:val="clear" w:color="auto" w:fill="auto"/>
            <w:vAlign w:val="center"/>
          </w:tcPr>
          <w:p w14:paraId="22692AFE">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color w:val="auto"/>
                <w:sz w:val="21"/>
                <w:szCs w:val="21"/>
                <w:highlight w:val="none"/>
              </w:rPr>
              <w:t>1</w:t>
            </w:r>
          </w:p>
        </w:tc>
        <w:tc>
          <w:tcPr>
            <w:tcW w:w="519" w:type="dxa"/>
            <w:tcBorders>
              <w:top w:val="single" w:color="000000" w:sz="4" w:space="0"/>
              <w:left w:val="nil"/>
              <w:bottom w:val="single" w:color="000000" w:sz="4" w:space="0"/>
              <w:right w:val="single" w:color="000000" w:sz="4" w:space="0"/>
            </w:tcBorders>
            <w:shd w:val="clear" w:color="auto" w:fill="auto"/>
            <w:vAlign w:val="center"/>
          </w:tcPr>
          <w:p w14:paraId="4B2B02C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台</w:t>
            </w:r>
          </w:p>
        </w:tc>
        <w:tc>
          <w:tcPr>
            <w:tcW w:w="5194" w:type="dxa"/>
            <w:tcBorders>
              <w:top w:val="single" w:color="000000" w:sz="4" w:space="0"/>
              <w:left w:val="nil"/>
              <w:bottom w:val="single" w:color="000000" w:sz="4" w:space="0"/>
              <w:right w:val="single" w:color="auto" w:sz="4" w:space="0"/>
            </w:tcBorders>
            <w:shd w:val="clear" w:color="auto" w:fill="auto"/>
            <w:vAlign w:val="center"/>
          </w:tcPr>
          <w:p w14:paraId="1E980C48">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1.适用12位和24位的液氮冷冻适配器。</w:t>
            </w:r>
          </w:p>
          <w:p w14:paraId="222FB6DE">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2.可以同时处理24个2ml研磨管和12个5ml研磨管，6个（7-15）</w:t>
            </w:r>
            <w:r>
              <w:rPr>
                <w:color w:val="auto"/>
                <w:szCs w:val="18"/>
                <w:highlight w:val="none"/>
              </w:rPr>
              <w:t>ml</w:t>
            </w:r>
            <w:r>
              <w:rPr>
                <w:rFonts w:hint="eastAsia"/>
                <w:color w:val="auto"/>
                <w:szCs w:val="18"/>
                <w:highlight w:val="none"/>
              </w:rPr>
              <w:t>研磨管，2*25ml</w:t>
            </w:r>
            <w:r>
              <w:rPr>
                <w:color w:val="auto"/>
                <w:szCs w:val="18"/>
                <w:highlight w:val="none"/>
              </w:rPr>
              <w:t>/</w:t>
            </w:r>
            <w:r>
              <w:rPr>
                <w:rFonts w:hint="eastAsia"/>
                <w:color w:val="auto"/>
                <w:szCs w:val="18"/>
                <w:highlight w:val="none"/>
              </w:rPr>
              <w:t>2*50</w:t>
            </w:r>
            <w:r>
              <w:rPr>
                <w:color w:val="auto"/>
                <w:szCs w:val="18"/>
                <w:highlight w:val="none"/>
              </w:rPr>
              <w:t>ml（</w:t>
            </w:r>
            <w:r>
              <w:rPr>
                <w:rFonts w:hint="eastAsia"/>
                <w:color w:val="auto"/>
                <w:szCs w:val="18"/>
                <w:highlight w:val="none"/>
                <w:lang w:eastAsia="zh-Hans"/>
              </w:rPr>
              <w:t>钢罐</w:t>
            </w:r>
            <w:r>
              <w:rPr>
                <w:color w:val="auto"/>
                <w:szCs w:val="18"/>
                <w:highlight w:val="none"/>
                <w:lang w:eastAsia="zh-Hans"/>
              </w:rPr>
              <w:t>）</w:t>
            </w:r>
            <w:r>
              <w:rPr>
                <w:rFonts w:hint="eastAsia"/>
                <w:color w:val="auto"/>
                <w:szCs w:val="18"/>
                <w:highlight w:val="none"/>
              </w:rPr>
              <w:t>。</w:t>
            </w:r>
          </w:p>
          <w:p w14:paraId="33717AB0">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3.触摸屏显示，可存储≥1</w:t>
            </w:r>
            <w:r>
              <w:rPr>
                <w:color w:val="auto"/>
                <w:szCs w:val="18"/>
                <w:highlight w:val="none"/>
              </w:rPr>
              <w:t>0</w:t>
            </w:r>
            <w:r>
              <w:rPr>
                <w:rFonts w:hint="eastAsia"/>
                <w:color w:val="auto"/>
                <w:szCs w:val="18"/>
                <w:highlight w:val="none"/>
              </w:rPr>
              <w:t>组实验数据，根据不同实验样本，设置有动物心脏脾肺肾、骨骼、皮肤、毛发模式。</w:t>
            </w:r>
          </w:p>
          <w:p w14:paraId="269493A3">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4.模式循环：根据设置的实验参数，可在几个设置好的参数间不断循环。</w:t>
            </w:r>
          </w:p>
          <w:p w14:paraId="3027E14E">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▲5.防震原理：上下及左右晃动三维一体的研磨珠运动方式。</w:t>
            </w:r>
          </w:p>
          <w:p w14:paraId="66F5FADD">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6.最大进料尺寸：无要求，根据适配器调节。</w:t>
            </w:r>
          </w:p>
          <w:p w14:paraId="5870DF7B">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7.最终出料粒度：≤5µm。</w:t>
            </w:r>
          </w:p>
          <w:p w14:paraId="5D5CDC23">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8.研磨平台数：(可接纳研磨罐数)≥2。</w:t>
            </w:r>
          </w:p>
          <w:p w14:paraId="05C26BFB">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9.带自动中心定位的紧固装置。</w:t>
            </w:r>
          </w:p>
          <w:p w14:paraId="355210F5">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10.均质速度：0—70HZ/秒，工作时间：0秒-9999</w:t>
            </w:r>
            <w:r>
              <w:rPr>
                <w:rFonts w:hint="eastAsia"/>
                <w:color w:val="auto"/>
                <w:szCs w:val="18"/>
                <w:highlight w:val="none"/>
                <w:lang w:eastAsia="zh-Hans"/>
              </w:rPr>
              <w:t>秒</w:t>
            </w:r>
            <w:r>
              <w:rPr>
                <w:rFonts w:hint="eastAsia"/>
                <w:color w:val="auto"/>
                <w:szCs w:val="18"/>
                <w:highlight w:val="none"/>
              </w:rPr>
              <w:t>，用户可自行设定。</w:t>
            </w:r>
          </w:p>
          <w:p w14:paraId="6C597C17">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▲11.具备双层减震结构和功能。</w:t>
            </w:r>
          </w:p>
          <w:p w14:paraId="788A5B72">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▲12.具备试管压紧功能，降低破管的风险，保证研磨管的完整度。</w:t>
            </w:r>
          </w:p>
          <w:p w14:paraId="4C8B0FB0">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13.研磨球材料：合金钢、铬钢、氧化锆、碳化钨、石英砂。研磨球直径：0.1-30mm。</w:t>
            </w:r>
          </w:p>
          <w:p w14:paraId="2AB06EF2">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14.加速：≤2秒内达到最大速度。减速：≤2秒内达到最低速度。</w:t>
            </w:r>
          </w:p>
          <w:p w14:paraId="5714F961">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15.研磨对象（包括但不限于）：可对土壤、植物和动物的组织/器官、细菌、酵母、真菌、孢子、古生物标本等样本进行研磨粉碎。</w:t>
            </w:r>
          </w:p>
          <w:p w14:paraId="16A767F0">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w:t>
            </w:r>
            <w:r>
              <w:rPr>
                <w:color w:val="auto"/>
                <w:szCs w:val="18"/>
                <w:highlight w:val="none"/>
              </w:rPr>
              <w:t>6</w:t>
            </w:r>
            <w:r>
              <w:rPr>
                <w:rFonts w:hint="eastAsia"/>
                <w:color w:val="auto"/>
                <w:szCs w:val="18"/>
                <w:highlight w:val="none"/>
              </w:rPr>
              <w:t>.研磨方式：湿磨，干磨，低温研磨。</w:t>
            </w:r>
          </w:p>
          <w:p w14:paraId="139858C6">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w:t>
            </w:r>
            <w:r>
              <w:rPr>
                <w:color w:val="auto"/>
                <w:szCs w:val="18"/>
                <w:highlight w:val="none"/>
              </w:rPr>
              <w:t>7</w:t>
            </w:r>
            <w:r>
              <w:rPr>
                <w:rFonts w:hint="eastAsia"/>
                <w:color w:val="auto"/>
                <w:szCs w:val="18"/>
                <w:highlight w:val="none"/>
              </w:rPr>
              <w:t>.配套离心管开盖工具。</w:t>
            </w:r>
          </w:p>
          <w:p w14:paraId="6A9B036E">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color w:val="auto"/>
                <w:szCs w:val="18"/>
                <w:highlight w:val="none"/>
              </w:rPr>
              <w:t>18</w:t>
            </w:r>
            <w:r>
              <w:rPr>
                <w:rFonts w:hint="eastAsia"/>
                <w:color w:val="auto"/>
                <w:szCs w:val="18"/>
                <w:highlight w:val="none"/>
              </w:rPr>
              <w:t>.基本配置：</w:t>
            </w:r>
          </w:p>
          <w:p w14:paraId="401C20A2">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color w:val="auto"/>
                <w:szCs w:val="18"/>
                <w:highlight w:val="none"/>
              </w:rPr>
              <w:t>18</w:t>
            </w:r>
            <w:r>
              <w:rPr>
                <w:rFonts w:hint="eastAsia"/>
                <w:color w:val="auto"/>
                <w:szCs w:val="18"/>
                <w:highlight w:val="none"/>
              </w:rPr>
              <w:t>.1</w:t>
            </w:r>
            <w:r>
              <w:rPr>
                <w:color w:val="auto"/>
                <w:szCs w:val="18"/>
                <w:highlight w:val="none"/>
              </w:rPr>
              <w:t xml:space="preserve"> </w:t>
            </w:r>
            <w:r>
              <w:rPr>
                <w:rFonts w:hint="eastAsia"/>
                <w:color w:val="auto"/>
                <w:szCs w:val="18"/>
                <w:highlight w:val="none"/>
              </w:rPr>
              <w:t>主机一台。</w:t>
            </w:r>
          </w:p>
          <w:p w14:paraId="11FA79E3">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color w:val="auto"/>
                <w:szCs w:val="18"/>
                <w:highlight w:val="none"/>
              </w:rPr>
              <w:t>18</w:t>
            </w:r>
            <w:r>
              <w:rPr>
                <w:rFonts w:hint="eastAsia"/>
                <w:color w:val="auto"/>
                <w:szCs w:val="18"/>
                <w:highlight w:val="none"/>
              </w:rPr>
              <w:t>.2</w:t>
            </w:r>
            <w:r>
              <w:rPr>
                <w:color w:val="auto"/>
                <w:szCs w:val="18"/>
                <w:highlight w:val="none"/>
              </w:rPr>
              <w:t xml:space="preserve"> </w:t>
            </w:r>
            <w:r>
              <w:rPr>
                <w:rFonts w:hint="eastAsia"/>
                <w:color w:val="auto"/>
                <w:szCs w:val="18"/>
                <w:highlight w:val="none"/>
              </w:rPr>
              <w:t>2ml适配器一套，2ml制冷适配器一套。</w:t>
            </w:r>
          </w:p>
          <w:p w14:paraId="3D624DD6">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color w:val="auto"/>
                <w:szCs w:val="18"/>
                <w:highlight w:val="none"/>
              </w:rPr>
              <w:t>18</w:t>
            </w:r>
            <w:r>
              <w:rPr>
                <w:rFonts w:hint="eastAsia"/>
                <w:color w:val="auto"/>
                <w:szCs w:val="18"/>
                <w:highlight w:val="none"/>
              </w:rPr>
              <w:t>.3</w:t>
            </w:r>
            <w:r>
              <w:rPr>
                <w:color w:val="auto"/>
                <w:szCs w:val="18"/>
                <w:highlight w:val="none"/>
              </w:rPr>
              <w:t xml:space="preserve"> </w:t>
            </w:r>
            <w:r>
              <w:rPr>
                <w:rFonts w:hint="eastAsia"/>
                <w:color w:val="auto"/>
                <w:szCs w:val="18"/>
                <w:highlight w:val="none"/>
              </w:rPr>
              <w:t>5号不锈钢研磨珠一瓶</w:t>
            </w:r>
          </w:p>
          <w:p w14:paraId="331DD201">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color w:val="auto"/>
                <w:szCs w:val="18"/>
                <w:highlight w:val="none"/>
              </w:rPr>
              <w:t xml:space="preserve">18.4 </w:t>
            </w:r>
            <w:r>
              <w:rPr>
                <w:rFonts w:hint="eastAsia"/>
                <w:color w:val="auto"/>
                <w:szCs w:val="18"/>
                <w:highlight w:val="none"/>
              </w:rPr>
              <w:t>3号不锈钢研磨珠一瓶。</w:t>
            </w:r>
          </w:p>
          <w:p w14:paraId="2F774DC4">
            <w:pPr>
              <w:pStyle w:val="9"/>
              <w:keepNext w:val="0"/>
              <w:keepLines w:val="0"/>
              <w:suppressLineNumbers w:val="0"/>
              <w:wordWrap w:val="0"/>
              <w:spacing w:before="0" w:beforeAutospacing="0" w:after="0" w:afterAutospacing="0"/>
              <w:ind w:left="0" w:right="0" w:firstLine="0" w:firstLineChars="0"/>
              <w:jc w:val="left"/>
              <w:rPr>
                <w:rFonts w:hint="eastAsia" w:ascii="Times New Roman" w:hAnsi="Times New Roman" w:eastAsia="宋体" w:cs="Times New Roman"/>
                <w:color w:val="auto"/>
                <w:kern w:val="2"/>
                <w:sz w:val="21"/>
                <w:szCs w:val="18"/>
                <w:highlight w:val="none"/>
                <w:lang w:val="en-US" w:eastAsia="zh-CN" w:bidi="ar-SA"/>
              </w:rPr>
            </w:pPr>
            <w:r>
              <w:rPr>
                <w:color w:val="auto"/>
                <w:szCs w:val="18"/>
                <w:highlight w:val="none"/>
              </w:rPr>
              <w:t>18</w:t>
            </w:r>
            <w:r>
              <w:rPr>
                <w:rFonts w:hint="eastAsia"/>
                <w:color w:val="auto"/>
                <w:szCs w:val="18"/>
                <w:highlight w:val="none"/>
              </w:rPr>
              <w:t>.</w:t>
            </w:r>
            <w:r>
              <w:rPr>
                <w:color w:val="auto"/>
                <w:szCs w:val="18"/>
                <w:highlight w:val="none"/>
              </w:rPr>
              <w:t xml:space="preserve">5 </w:t>
            </w:r>
            <w:r>
              <w:rPr>
                <w:rFonts w:hint="eastAsia"/>
                <w:color w:val="auto"/>
                <w:szCs w:val="18"/>
                <w:highlight w:val="none"/>
              </w:rPr>
              <w:t>离心管1袋。</w:t>
            </w:r>
          </w:p>
        </w:tc>
        <w:tc>
          <w:tcPr>
            <w:tcW w:w="1497" w:type="dxa"/>
            <w:tcBorders>
              <w:top w:val="single" w:color="000000" w:sz="4" w:space="0"/>
              <w:left w:val="single" w:color="auto" w:sz="4" w:space="0"/>
              <w:bottom w:val="single" w:color="000000" w:sz="4" w:space="0"/>
              <w:right w:val="single" w:color="000000" w:sz="4" w:space="0"/>
            </w:tcBorders>
            <w:vAlign w:val="center"/>
          </w:tcPr>
          <w:p w14:paraId="64D9A3B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cs="宋体"/>
                <w:b w:val="0"/>
                <w:bCs w:val="0"/>
                <w:color w:val="auto"/>
                <w:szCs w:val="21"/>
                <w:highlight w:val="none"/>
                <w:u w:val="none"/>
              </w:rPr>
            </w:pPr>
            <w:r>
              <w:rPr>
                <w:rFonts w:hint="eastAsia" w:eastAsia="宋体" w:asciiTheme="minorEastAsia" w:hAnsiTheme="minorEastAsia" w:cstheme="minorEastAsia"/>
                <w:color w:val="auto"/>
                <w:sz w:val="24"/>
                <w:highlight w:val="none"/>
                <w:shd w:val="clear" w:color="auto" w:fill="FFFFFF"/>
              </w:rPr>
              <w:t>工业</w:t>
            </w:r>
          </w:p>
        </w:tc>
      </w:tr>
      <w:tr w14:paraId="3018E0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4D768ECC">
            <w:pPr>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1</w:t>
            </w:r>
            <w:r>
              <w:rPr>
                <w:color w:val="auto"/>
                <w:sz w:val="21"/>
                <w:szCs w:val="21"/>
                <w:highlight w:val="none"/>
              </w:rPr>
              <w:t>0</w:t>
            </w:r>
          </w:p>
        </w:tc>
        <w:tc>
          <w:tcPr>
            <w:tcW w:w="1119" w:type="dxa"/>
            <w:tcBorders>
              <w:top w:val="single" w:color="000000" w:sz="4" w:space="0"/>
              <w:left w:val="nil"/>
              <w:bottom w:val="single" w:color="000000" w:sz="4" w:space="0"/>
              <w:right w:val="single" w:color="000000" w:sz="4" w:space="0"/>
            </w:tcBorders>
            <w:shd w:val="clear" w:color="auto" w:fill="auto"/>
            <w:vAlign w:val="center"/>
          </w:tcPr>
          <w:p w14:paraId="3FAA4B6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十万分之一天平</w:t>
            </w:r>
          </w:p>
        </w:tc>
        <w:tc>
          <w:tcPr>
            <w:tcW w:w="562" w:type="dxa"/>
            <w:tcBorders>
              <w:top w:val="single" w:color="000000" w:sz="4" w:space="0"/>
              <w:left w:val="nil"/>
              <w:bottom w:val="single" w:color="000000" w:sz="4" w:space="0"/>
              <w:right w:val="single" w:color="000000" w:sz="4" w:space="0"/>
            </w:tcBorders>
            <w:shd w:val="clear" w:color="auto" w:fill="auto"/>
            <w:vAlign w:val="center"/>
          </w:tcPr>
          <w:p w14:paraId="5E53D90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color w:val="auto"/>
                <w:sz w:val="21"/>
                <w:szCs w:val="21"/>
                <w:highlight w:val="none"/>
              </w:rPr>
              <w:t>1</w:t>
            </w:r>
          </w:p>
        </w:tc>
        <w:tc>
          <w:tcPr>
            <w:tcW w:w="519" w:type="dxa"/>
            <w:tcBorders>
              <w:top w:val="single" w:color="000000" w:sz="4" w:space="0"/>
              <w:left w:val="nil"/>
              <w:bottom w:val="single" w:color="000000" w:sz="4" w:space="0"/>
              <w:right w:val="single" w:color="000000" w:sz="4" w:space="0"/>
            </w:tcBorders>
            <w:shd w:val="clear" w:color="auto" w:fill="auto"/>
            <w:vAlign w:val="center"/>
          </w:tcPr>
          <w:p w14:paraId="4A3729A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台</w:t>
            </w:r>
          </w:p>
        </w:tc>
        <w:tc>
          <w:tcPr>
            <w:tcW w:w="5194" w:type="dxa"/>
            <w:tcBorders>
              <w:top w:val="single" w:color="000000" w:sz="4" w:space="0"/>
              <w:left w:val="nil"/>
              <w:bottom w:val="single" w:color="000000" w:sz="4" w:space="0"/>
              <w:right w:val="single" w:color="auto" w:sz="4" w:space="0"/>
            </w:tcBorders>
            <w:shd w:val="clear" w:color="auto" w:fill="auto"/>
            <w:vAlign w:val="top"/>
          </w:tcPr>
          <w:p w14:paraId="42A32862">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一、技术指标：</w:t>
            </w:r>
          </w:p>
          <w:p w14:paraId="2926B851">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1.最大称量值：≥102/225（g）；</w:t>
            </w:r>
          </w:p>
          <w:p w14:paraId="057B9199">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2.读数精度：0.01/0.1（mg）；</w:t>
            </w:r>
          </w:p>
          <w:p w14:paraId="4ADABDE6">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▲3.重复性：0.02mg≤40000（mg），0.05mg＞40000（mg）；</w:t>
            </w:r>
          </w:p>
          <w:p w14:paraId="4F3D4F83">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4.线性：0.03/0.1（mg）；</w:t>
            </w:r>
          </w:p>
          <w:p w14:paraId="268CABD3">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5.典型称量时间：≤2s；</w:t>
            </w:r>
          </w:p>
          <w:p w14:paraId="1C066C5F">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6.秤盘尺寸：≥ф90mm高防腐蚀性不锈钢材料，秤盘表面光滑便于清洗；</w:t>
            </w:r>
          </w:p>
          <w:p w14:paraId="2F7947BB">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7.方形风罩尺寸（长×宽×高）：约214×185×258mm；</w:t>
            </w:r>
          </w:p>
          <w:p w14:paraId="05F37B19">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8.灵敏度时间漂移：（10—30</w:t>
            </w:r>
            <w:r>
              <w:rPr>
                <w:rFonts w:hint="eastAsia"/>
                <w:color w:val="auto"/>
                <w:sz w:val="21"/>
                <w:szCs w:val="18"/>
                <w:highlight w:val="none"/>
              </w:rPr>
              <w:t>℃</w:t>
            </w:r>
            <w:r>
              <w:rPr>
                <w:color w:val="auto"/>
                <w:sz w:val="21"/>
                <w:szCs w:val="18"/>
                <w:highlight w:val="none"/>
              </w:rPr>
              <w:t>）1.5ppm/</w:t>
            </w:r>
            <w:r>
              <w:rPr>
                <w:rFonts w:hint="eastAsia"/>
                <w:color w:val="auto"/>
                <w:sz w:val="21"/>
                <w:szCs w:val="18"/>
                <w:highlight w:val="none"/>
              </w:rPr>
              <w:t>℃</w:t>
            </w:r>
            <w:r>
              <w:rPr>
                <w:color w:val="auto"/>
                <w:sz w:val="21"/>
                <w:szCs w:val="18"/>
                <w:highlight w:val="none"/>
              </w:rPr>
              <w:t>。</w:t>
            </w:r>
          </w:p>
          <w:p w14:paraId="63B0CB0E">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9.天平主机全部采用铸铝材料；</w:t>
            </w:r>
          </w:p>
          <w:p w14:paraId="66BA58B3">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10.配备RS232，USB接口；</w:t>
            </w:r>
          </w:p>
          <w:p w14:paraId="2FDDA475">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11.具备智能内部校准功能；</w:t>
            </w:r>
          </w:p>
          <w:p w14:paraId="4385A92B">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12.采用高精度电磁力模块传感器；</w:t>
            </w:r>
          </w:p>
          <w:p w14:paraId="5B1FD3EB">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▲13.</w:t>
            </w:r>
            <w:r>
              <w:rPr>
                <w:rFonts w:ascii="Segoe UI" w:hAnsi="Segoe UI" w:cs="Segoe UI"/>
                <w:color w:val="auto"/>
                <w:highlight w:val="none"/>
                <w:shd w:val="clear" w:color="auto" w:fill="FFFFFF"/>
              </w:rPr>
              <w:t>具备重复性测试功能，测试次数</w:t>
            </w:r>
            <w:r>
              <w:rPr>
                <w:rFonts w:hint="eastAsia" w:ascii="Segoe UI" w:hAnsi="Segoe UI" w:cs="Segoe UI"/>
                <w:color w:val="auto"/>
                <w:highlight w:val="none"/>
                <w:shd w:val="clear" w:color="auto" w:fill="FFFFFF"/>
              </w:rPr>
              <w:t>≥</w:t>
            </w:r>
            <w:r>
              <w:rPr>
                <w:rFonts w:ascii="Segoe UI" w:hAnsi="Segoe UI" w:cs="Segoe UI"/>
                <w:color w:val="auto"/>
                <w:highlight w:val="none"/>
                <w:shd w:val="clear" w:color="auto" w:fill="FFFFFF"/>
              </w:rPr>
              <w:t>10次，测试后能自动计算并显示称量数据的标准偏差</w:t>
            </w:r>
            <w:r>
              <w:rPr>
                <w:rFonts w:hint="eastAsia" w:ascii="Segoe UI" w:hAnsi="Segoe UI" w:cs="Segoe UI"/>
                <w:color w:val="auto"/>
                <w:highlight w:val="none"/>
                <w:shd w:val="clear" w:color="auto" w:fill="FFFFFF"/>
                <w:lang w:eastAsia="zh-CN"/>
              </w:rPr>
              <w:t>；</w:t>
            </w:r>
          </w:p>
          <w:p w14:paraId="1C280E7A">
            <w:pPr>
              <w:keepNext w:val="0"/>
              <w:keepLines w:val="0"/>
              <w:suppressLineNumbers w:val="0"/>
              <w:wordWrap w:val="0"/>
              <w:spacing w:before="0" w:beforeAutospacing="0" w:after="0" w:afterAutospacing="0"/>
              <w:ind w:left="0" w:right="0"/>
              <w:rPr>
                <w:rFonts w:hint="eastAsia" w:ascii="Times New Roman" w:hAnsi="Times New Roman" w:eastAsia="宋体" w:cs="Times New Roman"/>
                <w:color w:val="auto"/>
                <w:kern w:val="2"/>
                <w:sz w:val="21"/>
                <w:szCs w:val="18"/>
                <w:highlight w:val="none"/>
                <w:lang w:val="en-US" w:eastAsia="zh-CN" w:bidi="ar-SA"/>
              </w:rPr>
            </w:pPr>
            <w:r>
              <w:rPr>
                <w:color w:val="auto"/>
                <w:sz w:val="21"/>
                <w:szCs w:val="18"/>
                <w:highlight w:val="none"/>
              </w:rPr>
              <w:t>14.配置：主机1台；防风罩1个。</w:t>
            </w:r>
          </w:p>
        </w:tc>
        <w:tc>
          <w:tcPr>
            <w:tcW w:w="1497" w:type="dxa"/>
            <w:tcBorders>
              <w:top w:val="single" w:color="000000" w:sz="4" w:space="0"/>
              <w:left w:val="single" w:color="auto" w:sz="4" w:space="0"/>
              <w:bottom w:val="single" w:color="000000" w:sz="4" w:space="0"/>
              <w:right w:val="single" w:color="000000" w:sz="4" w:space="0"/>
            </w:tcBorders>
            <w:vAlign w:val="center"/>
          </w:tcPr>
          <w:p w14:paraId="0591401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cs="宋体"/>
                <w:b w:val="0"/>
                <w:bCs w:val="0"/>
                <w:color w:val="auto"/>
                <w:szCs w:val="21"/>
                <w:highlight w:val="none"/>
                <w:u w:val="none"/>
              </w:rPr>
            </w:pPr>
            <w:r>
              <w:rPr>
                <w:rFonts w:hint="eastAsia" w:eastAsia="宋体" w:asciiTheme="minorEastAsia" w:hAnsiTheme="minorEastAsia" w:cstheme="minorEastAsia"/>
                <w:color w:val="auto"/>
                <w:sz w:val="24"/>
                <w:highlight w:val="none"/>
                <w:shd w:val="clear" w:color="auto" w:fill="FFFFFF"/>
              </w:rPr>
              <w:t>工业</w:t>
            </w:r>
          </w:p>
        </w:tc>
      </w:tr>
      <w:tr w14:paraId="54264F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70BC70FF">
            <w:pPr>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1</w:t>
            </w:r>
            <w:r>
              <w:rPr>
                <w:color w:val="auto"/>
                <w:sz w:val="21"/>
                <w:szCs w:val="21"/>
                <w:highlight w:val="none"/>
              </w:rPr>
              <w:t>1</w:t>
            </w:r>
          </w:p>
        </w:tc>
        <w:tc>
          <w:tcPr>
            <w:tcW w:w="1119" w:type="dxa"/>
            <w:tcBorders>
              <w:top w:val="single" w:color="000000" w:sz="4" w:space="0"/>
              <w:left w:val="nil"/>
              <w:bottom w:val="single" w:color="000000" w:sz="4" w:space="0"/>
              <w:right w:val="single" w:color="000000" w:sz="4" w:space="0"/>
            </w:tcBorders>
            <w:shd w:val="clear" w:color="auto" w:fill="auto"/>
            <w:vAlign w:val="center"/>
          </w:tcPr>
          <w:p w14:paraId="171B4C6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低温超高压细胞破碎仪</w:t>
            </w:r>
          </w:p>
        </w:tc>
        <w:tc>
          <w:tcPr>
            <w:tcW w:w="562" w:type="dxa"/>
            <w:tcBorders>
              <w:top w:val="single" w:color="000000" w:sz="4" w:space="0"/>
              <w:left w:val="nil"/>
              <w:bottom w:val="single" w:color="000000" w:sz="4" w:space="0"/>
              <w:right w:val="single" w:color="000000" w:sz="4" w:space="0"/>
            </w:tcBorders>
            <w:shd w:val="clear" w:color="auto" w:fill="auto"/>
            <w:vAlign w:val="center"/>
          </w:tcPr>
          <w:p w14:paraId="22B1E10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color w:val="auto"/>
                <w:sz w:val="21"/>
                <w:szCs w:val="21"/>
                <w:highlight w:val="none"/>
              </w:rPr>
              <w:t>1</w:t>
            </w:r>
          </w:p>
        </w:tc>
        <w:tc>
          <w:tcPr>
            <w:tcW w:w="519" w:type="dxa"/>
            <w:tcBorders>
              <w:top w:val="single" w:color="000000" w:sz="4" w:space="0"/>
              <w:left w:val="nil"/>
              <w:bottom w:val="single" w:color="000000" w:sz="4" w:space="0"/>
              <w:right w:val="single" w:color="000000" w:sz="4" w:space="0"/>
            </w:tcBorders>
            <w:shd w:val="clear" w:color="auto" w:fill="auto"/>
            <w:vAlign w:val="center"/>
          </w:tcPr>
          <w:p w14:paraId="17211FD6">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台</w:t>
            </w:r>
          </w:p>
        </w:tc>
        <w:tc>
          <w:tcPr>
            <w:tcW w:w="5194" w:type="dxa"/>
            <w:tcBorders>
              <w:top w:val="single" w:color="000000" w:sz="4" w:space="0"/>
              <w:left w:val="nil"/>
              <w:bottom w:val="single" w:color="000000" w:sz="4" w:space="0"/>
              <w:right w:val="single" w:color="auto" w:sz="4" w:space="0"/>
            </w:tcBorders>
            <w:shd w:val="clear" w:color="auto" w:fill="auto"/>
            <w:vAlign w:val="top"/>
          </w:tcPr>
          <w:p w14:paraId="7FD7AB4C">
            <w:pPr>
              <w:pStyle w:val="9"/>
              <w:keepNext w:val="0"/>
              <w:keepLines w:val="0"/>
              <w:suppressLineNumbers w:val="0"/>
              <w:wordWrap w:val="0"/>
              <w:spacing w:before="0" w:beforeAutospacing="0" w:after="0" w:afterAutospacing="0"/>
              <w:ind w:left="0" w:right="0" w:firstLine="0" w:firstLineChars="0"/>
              <w:rPr>
                <w:color w:val="auto"/>
                <w:szCs w:val="18"/>
                <w:highlight w:val="none"/>
              </w:rPr>
            </w:pPr>
            <w:r>
              <w:rPr>
                <w:rFonts w:hint="eastAsia"/>
                <w:color w:val="auto"/>
                <w:szCs w:val="18"/>
                <w:highlight w:val="none"/>
              </w:rPr>
              <w:t>1.最高压力：≥207Mpa（2070bar）；</w:t>
            </w:r>
          </w:p>
          <w:p w14:paraId="5686B848">
            <w:pPr>
              <w:pStyle w:val="9"/>
              <w:keepNext w:val="0"/>
              <w:keepLines w:val="0"/>
              <w:suppressLineNumbers w:val="0"/>
              <w:wordWrap w:val="0"/>
              <w:spacing w:before="0" w:beforeAutospacing="0" w:after="0" w:afterAutospacing="0"/>
              <w:ind w:left="0" w:right="0" w:firstLine="0" w:firstLineChars="0"/>
              <w:rPr>
                <w:color w:val="auto"/>
                <w:szCs w:val="18"/>
                <w:highlight w:val="none"/>
              </w:rPr>
            </w:pPr>
            <w:r>
              <w:rPr>
                <w:rFonts w:hint="eastAsia"/>
                <w:color w:val="auto"/>
                <w:szCs w:val="18"/>
                <w:highlight w:val="none"/>
              </w:rPr>
              <w:t>▲2.最高压力流量：≤1.5L/小时（25ml/分）；</w:t>
            </w:r>
          </w:p>
          <w:p w14:paraId="4366D49E">
            <w:pPr>
              <w:pStyle w:val="9"/>
              <w:keepNext w:val="0"/>
              <w:keepLines w:val="0"/>
              <w:suppressLineNumbers w:val="0"/>
              <w:wordWrap w:val="0"/>
              <w:spacing w:before="0" w:beforeAutospacing="0" w:after="0" w:afterAutospacing="0"/>
              <w:ind w:left="0" w:right="0" w:firstLine="0" w:firstLineChars="0"/>
              <w:rPr>
                <w:color w:val="auto"/>
                <w:szCs w:val="18"/>
                <w:highlight w:val="none"/>
              </w:rPr>
            </w:pPr>
            <w:r>
              <w:rPr>
                <w:color w:val="auto"/>
                <w:szCs w:val="18"/>
                <w:highlight w:val="none"/>
              </w:rPr>
              <w:t>3</w:t>
            </w:r>
            <w:r>
              <w:rPr>
                <w:rFonts w:hint="eastAsia"/>
                <w:color w:val="auto"/>
                <w:szCs w:val="18"/>
                <w:highlight w:val="none"/>
              </w:rPr>
              <w:t>.电源：220V，主电机≥1.1KW+制冷压缩机≥0.82kw；</w:t>
            </w:r>
          </w:p>
          <w:p w14:paraId="055C16B7">
            <w:pPr>
              <w:pStyle w:val="9"/>
              <w:keepNext w:val="0"/>
              <w:keepLines w:val="0"/>
              <w:suppressLineNumbers w:val="0"/>
              <w:wordWrap w:val="0"/>
              <w:spacing w:before="0" w:beforeAutospacing="0" w:after="0" w:afterAutospacing="0"/>
              <w:ind w:left="0" w:right="0" w:firstLine="0" w:firstLineChars="0"/>
              <w:rPr>
                <w:color w:val="auto"/>
                <w:szCs w:val="18"/>
                <w:highlight w:val="none"/>
              </w:rPr>
            </w:pPr>
            <w:r>
              <w:rPr>
                <w:color w:val="auto"/>
                <w:szCs w:val="18"/>
                <w:highlight w:val="none"/>
              </w:rPr>
              <w:t>4</w:t>
            </w:r>
            <w:r>
              <w:rPr>
                <w:rFonts w:hint="eastAsia"/>
                <w:color w:val="auto"/>
                <w:szCs w:val="18"/>
                <w:highlight w:val="none"/>
              </w:rPr>
              <w:t>.冷却循环水浴：进样、破碎、出样全过程在4~6℃循环水浴中进行；</w:t>
            </w:r>
          </w:p>
          <w:p w14:paraId="09AFD057">
            <w:pPr>
              <w:pStyle w:val="9"/>
              <w:keepNext w:val="0"/>
              <w:keepLines w:val="0"/>
              <w:suppressLineNumbers w:val="0"/>
              <w:wordWrap w:val="0"/>
              <w:spacing w:before="0" w:beforeAutospacing="0" w:after="0" w:afterAutospacing="0"/>
              <w:ind w:left="0" w:right="0" w:firstLine="0" w:firstLineChars="0"/>
              <w:rPr>
                <w:color w:val="auto"/>
                <w:szCs w:val="18"/>
                <w:highlight w:val="none"/>
              </w:rPr>
            </w:pPr>
            <w:r>
              <w:rPr>
                <w:color w:val="auto"/>
                <w:szCs w:val="18"/>
                <w:highlight w:val="none"/>
              </w:rPr>
              <w:t>5</w:t>
            </w:r>
            <w:r>
              <w:rPr>
                <w:rFonts w:hint="eastAsia"/>
                <w:color w:val="auto"/>
                <w:szCs w:val="18"/>
                <w:highlight w:val="none"/>
              </w:rPr>
              <w:t>.内置油冷系统；</w:t>
            </w:r>
          </w:p>
          <w:p w14:paraId="7B26F7AA">
            <w:pPr>
              <w:pStyle w:val="9"/>
              <w:keepNext w:val="0"/>
              <w:keepLines w:val="0"/>
              <w:suppressLineNumbers w:val="0"/>
              <w:wordWrap w:val="0"/>
              <w:spacing w:before="0" w:beforeAutospacing="0" w:after="0" w:afterAutospacing="0"/>
              <w:ind w:left="0" w:right="0" w:firstLine="0" w:firstLineChars="0"/>
              <w:rPr>
                <w:color w:val="auto"/>
                <w:szCs w:val="18"/>
                <w:highlight w:val="none"/>
              </w:rPr>
            </w:pPr>
            <w:r>
              <w:rPr>
                <w:color w:val="auto"/>
                <w:szCs w:val="18"/>
                <w:highlight w:val="none"/>
              </w:rPr>
              <w:t>6</w:t>
            </w:r>
            <w:r>
              <w:rPr>
                <w:rFonts w:hint="eastAsia"/>
                <w:color w:val="auto"/>
                <w:szCs w:val="18"/>
                <w:highlight w:val="none"/>
              </w:rPr>
              <w:t>.具有全程在线水压清洗功能；</w:t>
            </w:r>
          </w:p>
          <w:p w14:paraId="62410A7F">
            <w:pPr>
              <w:pStyle w:val="9"/>
              <w:keepNext w:val="0"/>
              <w:keepLines w:val="0"/>
              <w:suppressLineNumbers w:val="0"/>
              <w:wordWrap w:val="0"/>
              <w:spacing w:before="0" w:beforeAutospacing="0" w:after="0" w:afterAutospacing="0"/>
              <w:ind w:left="0" w:right="0" w:firstLine="0" w:firstLineChars="0"/>
              <w:rPr>
                <w:color w:val="auto"/>
                <w:szCs w:val="18"/>
                <w:highlight w:val="none"/>
              </w:rPr>
            </w:pPr>
            <w:r>
              <w:rPr>
                <w:rFonts w:hint="eastAsia"/>
                <w:color w:val="auto"/>
                <w:szCs w:val="18"/>
                <w:highlight w:val="none"/>
              </w:rPr>
              <w:t>▲</w:t>
            </w:r>
            <w:r>
              <w:rPr>
                <w:color w:val="auto"/>
                <w:szCs w:val="18"/>
                <w:highlight w:val="none"/>
              </w:rPr>
              <w:t>7</w:t>
            </w:r>
            <w:r>
              <w:rPr>
                <w:rFonts w:hint="eastAsia"/>
                <w:color w:val="auto"/>
                <w:szCs w:val="18"/>
                <w:highlight w:val="none"/>
              </w:rPr>
              <w:t>.具备4~6℃低温循环水浴功能；</w:t>
            </w:r>
          </w:p>
          <w:p w14:paraId="4B3E44A5">
            <w:pPr>
              <w:pStyle w:val="9"/>
              <w:keepNext w:val="0"/>
              <w:keepLines w:val="0"/>
              <w:suppressLineNumbers w:val="0"/>
              <w:wordWrap w:val="0"/>
              <w:spacing w:before="0" w:beforeAutospacing="0" w:after="0" w:afterAutospacing="0"/>
              <w:ind w:left="0" w:right="0" w:firstLine="0" w:firstLineChars="0"/>
              <w:rPr>
                <w:color w:val="auto"/>
                <w:szCs w:val="18"/>
                <w:highlight w:val="none"/>
              </w:rPr>
            </w:pPr>
            <w:r>
              <w:rPr>
                <w:color w:val="auto"/>
                <w:szCs w:val="18"/>
                <w:highlight w:val="none"/>
              </w:rPr>
              <w:t>8</w:t>
            </w:r>
            <w:r>
              <w:rPr>
                <w:rFonts w:hint="eastAsia"/>
                <w:color w:val="auto"/>
                <w:szCs w:val="18"/>
                <w:highlight w:val="none"/>
              </w:rPr>
              <w:t>.压力技术指标≥207Mbar；</w:t>
            </w:r>
          </w:p>
          <w:p w14:paraId="66CF2088">
            <w:pPr>
              <w:pStyle w:val="9"/>
              <w:keepNext w:val="0"/>
              <w:keepLines w:val="0"/>
              <w:suppressLineNumbers w:val="0"/>
              <w:wordWrap w:val="0"/>
              <w:spacing w:before="0" w:beforeAutospacing="0" w:after="0" w:afterAutospacing="0"/>
              <w:ind w:left="0" w:right="0" w:firstLine="0" w:firstLineChars="0"/>
              <w:rPr>
                <w:color w:val="auto"/>
                <w:szCs w:val="18"/>
                <w:highlight w:val="none"/>
              </w:rPr>
            </w:pPr>
            <w:r>
              <w:rPr>
                <w:color w:val="auto"/>
                <w:szCs w:val="18"/>
                <w:highlight w:val="none"/>
              </w:rPr>
              <w:t>9</w:t>
            </w:r>
            <w:r>
              <w:rPr>
                <w:rFonts w:hint="eastAsia"/>
                <w:color w:val="auto"/>
                <w:szCs w:val="18"/>
                <w:highlight w:val="none"/>
              </w:rPr>
              <w:t>.最小样品处理量：≤3ml，样品残留量＜0.1ml</w:t>
            </w:r>
          </w:p>
          <w:p w14:paraId="390A227E">
            <w:pPr>
              <w:pStyle w:val="9"/>
              <w:keepNext w:val="0"/>
              <w:keepLines w:val="0"/>
              <w:suppressLineNumbers w:val="0"/>
              <w:wordWrap w:val="0"/>
              <w:spacing w:before="0" w:beforeAutospacing="0" w:after="0" w:afterAutospacing="0"/>
              <w:ind w:left="0" w:right="0" w:firstLine="0" w:firstLineChars="0"/>
              <w:rPr>
                <w:color w:val="auto"/>
                <w:szCs w:val="18"/>
                <w:highlight w:val="none"/>
              </w:rPr>
            </w:pPr>
            <w:r>
              <w:rPr>
                <w:rFonts w:hint="eastAsia"/>
                <w:color w:val="auto"/>
                <w:szCs w:val="18"/>
                <w:highlight w:val="none"/>
              </w:rPr>
              <w:t>▲1</w:t>
            </w:r>
            <w:r>
              <w:rPr>
                <w:color w:val="auto"/>
                <w:szCs w:val="18"/>
                <w:highlight w:val="none"/>
              </w:rPr>
              <w:t>0</w:t>
            </w:r>
            <w:r>
              <w:rPr>
                <w:rFonts w:hint="eastAsia"/>
                <w:color w:val="auto"/>
                <w:szCs w:val="18"/>
                <w:highlight w:val="none"/>
              </w:rPr>
              <w:t>.金刚石破碎阀，非陶瓷或碳化钨材料；高强度全不锈钢超高压泵；</w:t>
            </w:r>
          </w:p>
          <w:p w14:paraId="4BD034F1">
            <w:pPr>
              <w:pStyle w:val="9"/>
              <w:keepNext w:val="0"/>
              <w:keepLines w:val="0"/>
              <w:suppressLineNumbers w:val="0"/>
              <w:wordWrap w:val="0"/>
              <w:spacing w:before="0" w:beforeAutospacing="0" w:after="0" w:afterAutospacing="0"/>
              <w:ind w:left="0" w:right="0" w:firstLine="0" w:firstLineChars="0"/>
              <w:rPr>
                <w:color w:val="auto"/>
                <w:szCs w:val="18"/>
                <w:highlight w:val="none"/>
              </w:rPr>
            </w:pPr>
            <w:r>
              <w:rPr>
                <w:rFonts w:hint="eastAsia"/>
                <w:color w:val="auto"/>
                <w:szCs w:val="18"/>
                <w:highlight w:val="none"/>
              </w:rPr>
              <w:t>▲1</w:t>
            </w:r>
            <w:r>
              <w:rPr>
                <w:color w:val="auto"/>
                <w:szCs w:val="18"/>
                <w:highlight w:val="none"/>
              </w:rPr>
              <w:t>1</w:t>
            </w:r>
            <w:r>
              <w:rPr>
                <w:rFonts w:hint="eastAsia"/>
                <w:color w:val="auto"/>
                <w:szCs w:val="18"/>
                <w:highlight w:val="none"/>
              </w:rPr>
              <w:t>.主动力使用液压动力，高压状态下可任意停机、开机、暂停，压力保持不变，破碎率95%~99%；</w:t>
            </w:r>
          </w:p>
          <w:p w14:paraId="4869A248">
            <w:pPr>
              <w:pStyle w:val="9"/>
              <w:keepNext w:val="0"/>
              <w:keepLines w:val="0"/>
              <w:suppressLineNumbers w:val="0"/>
              <w:wordWrap w:val="0"/>
              <w:spacing w:before="0" w:beforeAutospacing="0" w:after="0" w:afterAutospacing="0"/>
              <w:ind w:left="0" w:right="0" w:firstLine="0" w:firstLineChars="0"/>
              <w:rPr>
                <w:color w:val="auto"/>
                <w:szCs w:val="18"/>
                <w:highlight w:val="none"/>
              </w:rPr>
            </w:pPr>
            <w:r>
              <w:rPr>
                <w:rFonts w:hint="eastAsia"/>
                <w:color w:val="auto"/>
                <w:szCs w:val="18"/>
                <w:highlight w:val="none"/>
              </w:rPr>
              <w:t>1</w:t>
            </w:r>
            <w:r>
              <w:rPr>
                <w:color w:val="auto"/>
                <w:szCs w:val="18"/>
                <w:highlight w:val="none"/>
              </w:rPr>
              <w:t>2</w:t>
            </w:r>
            <w:r>
              <w:rPr>
                <w:rFonts w:hint="eastAsia"/>
                <w:color w:val="auto"/>
                <w:szCs w:val="18"/>
                <w:highlight w:val="none"/>
              </w:rPr>
              <w:t>.具备断料走空功能；具备报警提示和超过警戒线自动保护功能；具有操作权限密码限制功能；</w:t>
            </w:r>
          </w:p>
          <w:p w14:paraId="46C72836">
            <w:pPr>
              <w:pStyle w:val="9"/>
              <w:keepNext w:val="0"/>
              <w:keepLines w:val="0"/>
              <w:suppressLineNumbers w:val="0"/>
              <w:wordWrap w:val="0"/>
              <w:spacing w:before="0" w:beforeAutospacing="0" w:after="0" w:afterAutospacing="0"/>
              <w:ind w:left="0" w:right="0" w:firstLine="0" w:firstLineChars="0"/>
              <w:rPr>
                <w:color w:val="auto"/>
                <w:szCs w:val="18"/>
                <w:highlight w:val="none"/>
              </w:rPr>
            </w:pPr>
            <w:r>
              <w:rPr>
                <w:rFonts w:hint="eastAsia"/>
                <w:color w:val="auto"/>
                <w:szCs w:val="18"/>
                <w:highlight w:val="none"/>
              </w:rPr>
              <w:t>1</w:t>
            </w:r>
            <w:r>
              <w:rPr>
                <w:color w:val="auto"/>
                <w:szCs w:val="18"/>
                <w:highlight w:val="none"/>
              </w:rPr>
              <w:t>3</w:t>
            </w:r>
            <w:r>
              <w:rPr>
                <w:rFonts w:hint="eastAsia"/>
                <w:color w:val="auto"/>
                <w:szCs w:val="18"/>
                <w:highlight w:val="none"/>
              </w:rPr>
              <w:t>.采用物理破碎方法，可在线清洗；</w:t>
            </w:r>
          </w:p>
          <w:p w14:paraId="238F6B2E">
            <w:pPr>
              <w:pStyle w:val="9"/>
              <w:keepNext w:val="0"/>
              <w:keepLines w:val="0"/>
              <w:suppressLineNumbers w:val="0"/>
              <w:wordWrap w:val="0"/>
              <w:spacing w:before="0" w:beforeAutospacing="0" w:after="0" w:afterAutospacing="0"/>
              <w:ind w:left="0" w:right="0" w:firstLine="0" w:firstLineChars="0"/>
              <w:rPr>
                <w:color w:val="auto"/>
                <w:szCs w:val="18"/>
                <w:highlight w:val="none"/>
              </w:rPr>
            </w:pPr>
            <w:r>
              <w:rPr>
                <w:rFonts w:hint="eastAsia"/>
                <w:color w:val="auto"/>
                <w:szCs w:val="18"/>
                <w:highlight w:val="none"/>
              </w:rPr>
              <w:t>1</w:t>
            </w:r>
            <w:r>
              <w:rPr>
                <w:color w:val="auto"/>
                <w:szCs w:val="18"/>
                <w:highlight w:val="none"/>
              </w:rPr>
              <w:t>4</w:t>
            </w:r>
            <w:r>
              <w:rPr>
                <w:rFonts w:hint="eastAsia"/>
                <w:color w:val="auto"/>
                <w:szCs w:val="18"/>
                <w:highlight w:val="none"/>
              </w:rPr>
              <w:t>.样品破碎途径的容器、管路均为316L不锈钢材料；</w:t>
            </w:r>
          </w:p>
          <w:p w14:paraId="0EDAAF50">
            <w:pPr>
              <w:pStyle w:val="9"/>
              <w:keepNext w:val="0"/>
              <w:keepLines w:val="0"/>
              <w:suppressLineNumbers w:val="0"/>
              <w:wordWrap w:val="0"/>
              <w:spacing w:before="0" w:beforeAutospacing="0" w:after="0" w:afterAutospacing="0"/>
              <w:ind w:left="0" w:right="0" w:firstLine="0" w:firstLineChars="0"/>
              <w:rPr>
                <w:color w:val="auto"/>
                <w:szCs w:val="18"/>
                <w:highlight w:val="none"/>
              </w:rPr>
            </w:pPr>
            <w:r>
              <w:rPr>
                <w:rFonts w:hint="eastAsia"/>
                <w:color w:val="auto"/>
                <w:szCs w:val="18"/>
                <w:highlight w:val="none"/>
              </w:rPr>
              <w:t>1</w:t>
            </w:r>
            <w:r>
              <w:rPr>
                <w:color w:val="auto"/>
                <w:szCs w:val="18"/>
                <w:highlight w:val="none"/>
              </w:rPr>
              <w:t>5</w:t>
            </w:r>
            <w:r>
              <w:rPr>
                <w:rFonts w:hint="eastAsia"/>
                <w:color w:val="auto"/>
                <w:szCs w:val="18"/>
                <w:highlight w:val="none"/>
              </w:rPr>
              <w:t>.液压破碎阀具有安全阀；</w:t>
            </w:r>
          </w:p>
          <w:p w14:paraId="6D57E2BE">
            <w:pPr>
              <w:pStyle w:val="9"/>
              <w:keepNext w:val="0"/>
              <w:keepLines w:val="0"/>
              <w:suppressLineNumbers w:val="0"/>
              <w:wordWrap w:val="0"/>
              <w:spacing w:before="0" w:beforeAutospacing="0" w:after="0" w:afterAutospacing="0"/>
              <w:ind w:left="0" w:right="0" w:firstLine="0" w:firstLineChars="0"/>
              <w:rPr>
                <w:color w:val="auto"/>
                <w:szCs w:val="18"/>
                <w:highlight w:val="none"/>
              </w:rPr>
            </w:pPr>
            <w:r>
              <w:rPr>
                <w:color w:val="auto"/>
                <w:szCs w:val="18"/>
                <w:highlight w:val="none"/>
              </w:rPr>
              <w:t>16</w:t>
            </w:r>
            <w:r>
              <w:rPr>
                <w:rFonts w:hint="eastAsia"/>
                <w:color w:val="auto"/>
                <w:szCs w:val="18"/>
                <w:highlight w:val="none"/>
              </w:rPr>
              <w:t>.系统压力和高压工作压力均为数显，可实时显示压力工作曲线；</w:t>
            </w:r>
          </w:p>
          <w:p w14:paraId="5D3E702C">
            <w:pPr>
              <w:pStyle w:val="9"/>
              <w:keepNext w:val="0"/>
              <w:keepLines w:val="0"/>
              <w:suppressLineNumbers w:val="0"/>
              <w:wordWrap w:val="0"/>
              <w:spacing w:before="0" w:beforeAutospacing="0" w:after="0" w:afterAutospacing="0"/>
              <w:ind w:left="0" w:right="0" w:firstLine="0" w:firstLineChars="0"/>
              <w:rPr>
                <w:color w:val="auto"/>
                <w:szCs w:val="18"/>
                <w:highlight w:val="none"/>
              </w:rPr>
            </w:pPr>
            <w:r>
              <w:rPr>
                <w:color w:val="auto"/>
                <w:szCs w:val="18"/>
                <w:highlight w:val="none"/>
              </w:rPr>
              <w:t>17</w:t>
            </w:r>
            <w:r>
              <w:rPr>
                <w:rFonts w:hint="eastAsia"/>
                <w:color w:val="auto"/>
                <w:szCs w:val="18"/>
                <w:highlight w:val="none"/>
              </w:rPr>
              <w:t>.设有急停开关，紧急情况下，能直接切断电源，保护设备及人身安全。</w:t>
            </w:r>
          </w:p>
          <w:p w14:paraId="235F2E89">
            <w:pPr>
              <w:pStyle w:val="9"/>
              <w:keepNext w:val="0"/>
              <w:keepLines w:val="0"/>
              <w:suppressLineNumbers w:val="0"/>
              <w:wordWrap w:val="0"/>
              <w:spacing w:before="0" w:beforeAutospacing="0" w:after="0" w:afterAutospacing="0"/>
              <w:ind w:left="0" w:right="0" w:firstLine="0" w:firstLineChars="0"/>
              <w:rPr>
                <w:rFonts w:hint="eastAsia" w:ascii="Times New Roman" w:hAnsi="Times New Roman" w:eastAsia="宋体" w:cs="Times New Roman"/>
                <w:color w:val="auto"/>
                <w:kern w:val="2"/>
                <w:sz w:val="21"/>
                <w:szCs w:val="18"/>
                <w:highlight w:val="none"/>
                <w:lang w:val="en-US" w:eastAsia="zh-CN" w:bidi="ar-SA"/>
              </w:rPr>
            </w:pPr>
            <w:r>
              <w:rPr>
                <w:rFonts w:hint="eastAsia"/>
                <w:color w:val="auto"/>
                <w:szCs w:val="18"/>
                <w:highlight w:val="none"/>
              </w:rPr>
              <w:t>1</w:t>
            </w:r>
            <w:r>
              <w:rPr>
                <w:color w:val="auto"/>
                <w:szCs w:val="18"/>
                <w:highlight w:val="none"/>
              </w:rPr>
              <w:t>8.</w:t>
            </w:r>
            <w:r>
              <w:rPr>
                <w:rFonts w:hint="eastAsia"/>
                <w:color w:val="auto"/>
                <w:szCs w:val="18"/>
                <w:highlight w:val="none"/>
              </w:rPr>
              <w:t>配置清单：主机一台；电源线一根。</w:t>
            </w:r>
          </w:p>
        </w:tc>
        <w:tc>
          <w:tcPr>
            <w:tcW w:w="1497" w:type="dxa"/>
            <w:tcBorders>
              <w:top w:val="single" w:color="000000" w:sz="4" w:space="0"/>
              <w:left w:val="single" w:color="auto" w:sz="4" w:space="0"/>
              <w:bottom w:val="single" w:color="000000" w:sz="4" w:space="0"/>
              <w:right w:val="single" w:color="000000" w:sz="4" w:space="0"/>
            </w:tcBorders>
            <w:vAlign w:val="center"/>
          </w:tcPr>
          <w:p w14:paraId="6888966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cs="宋体"/>
                <w:b w:val="0"/>
                <w:bCs w:val="0"/>
                <w:color w:val="auto"/>
                <w:szCs w:val="21"/>
                <w:highlight w:val="none"/>
                <w:u w:val="none"/>
              </w:rPr>
            </w:pPr>
            <w:r>
              <w:rPr>
                <w:rFonts w:hint="eastAsia" w:eastAsia="宋体" w:asciiTheme="minorEastAsia" w:hAnsiTheme="minorEastAsia" w:cstheme="minorEastAsia"/>
                <w:color w:val="auto"/>
                <w:sz w:val="24"/>
                <w:highlight w:val="none"/>
                <w:shd w:val="clear" w:color="auto" w:fill="FFFFFF"/>
              </w:rPr>
              <w:t>工业</w:t>
            </w:r>
          </w:p>
        </w:tc>
      </w:tr>
      <w:tr w14:paraId="08D3C6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5D54400A">
            <w:pPr>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1</w:t>
            </w:r>
            <w:r>
              <w:rPr>
                <w:color w:val="auto"/>
                <w:sz w:val="21"/>
                <w:szCs w:val="21"/>
                <w:highlight w:val="none"/>
              </w:rPr>
              <w:t>2</w:t>
            </w:r>
          </w:p>
        </w:tc>
        <w:tc>
          <w:tcPr>
            <w:tcW w:w="1119" w:type="dxa"/>
            <w:tcBorders>
              <w:top w:val="single" w:color="000000" w:sz="4" w:space="0"/>
              <w:left w:val="nil"/>
              <w:bottom w:val="single" w:color="000000" w:sz="4" w:space="0"/>
              <w:right w:val="single" w:color="000000" w:sz="4" w:space="0"/>
            </w:tcBorders>
            <w:shd w:val="clear" w:color="auto" w:fill="auto"/>
            <w:vAlign w:val="center"/>
          </w:tcPr>
          <w:p w14:paraId="1DA0F8B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生化培养箱</w:t>
            </w:r>
          </w:p>
        </w:tc>
        <w:tc>
          <w:tcPr>
            <w:tcW w:w="562" w:type="dxa"/>
            <w:tcBorders>
              <w:top w:val="single" w:color="000000" w:sz="4" w:space="0"/>
              <w:left w:val="nil"/>
              <w:bottom w:val="single" w:color="000000" w:sz="4" w:space="0"/>
              <w:right w:val="single" w:color="000000" w:sz="4" w:space="0"/>
            </w:tcBorders>
            <w:shd w:val="clear" w:color="auto" w:fill="auto"/>
            <w:vAlign w:val="center"/>
          </w:tcPr>
          <w:p w14:paraId="2D7AA5D6">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color w:val="auto"/>
                <w:sz w:val="21"/>
                <w:szCs w:val="21"/>
                <w:highlight w:val="none"/>
              </w:rPr>
              <w:t>1</w:t>
            </w:r>
          </w:p>
        </w:tc>
        <w:tc>
          <w:tcPr>
            <w:tcW w:w="519" w:type="dxa"/>
            <w:tcBorders>
              <w:top w:val="single" w:color="000000" w:sz="4" w:space="0"/>
              <w:left w:val="nil"/>
              <w:bottom w:val="single" w:color="000000" w:sz="4" w:space="0"/>
              <w:right w:val="single" w:color="000000" w:sz="4" w:space="0"/>
            </w:tcBorders>
            <w:shd w:val="clear" w:color="auto" w:fill="auto"/>
            <w:vAlign w:val="center"/>
          </w:tcPr>
          <w:p w14:paraId="76E64FD8">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台</w:t>
            </w:r>
          </w:p>
        </w:tc>
        <w:tc>
          <w:tcPr>
            <w:tcW w:w="5194" w:type="dxa"/>
            <w:tcBorders>
              <w:top w:val="single" w:color="000000" w:sz="4" w:space="0"/>
              <w:left w:val="nil"/>
              <w:bottom w:val="single" w:color="000000" w:sz="4" w:space="0"/>
              <w:right w:val="single" w:color="auto" w:sz="4" w:space="0"/>
            </w:tcBorders>
            <w:shd w:val="clear" w:color="auto" w:fill="auto"/>
            <w:vAlign w:val="center"/>
          </w:tcPr>
          <w:p w14:paraId="5300B817">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一、性能参数</w:t>
            </w:r>
          </w:p>
          <w:p w14:paraId="5B0CC2F2">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1.内门采用玻璃材质。</w:t>
            </w:r>
          </w:p>
          <w:p w14:paraId="1AA0D9A5">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color w:val="auto"/>
                <w:szCs w:val="18"/>
                <w:highlight w:val="none"/>
              </w:rPr>
              <w:t>2</w:t>
            </w:r>
            <w:r>
              <w:rPr>
                <w:rFonts w:hint="eastAsia"/>
                <w:color w:val="auto"/>
                <w:szCs w:val="18"/>
                <w:highlight w:val="none"/>
              </w:rPr>
              <w:t>.循环方式：强制送风循环。</w:t>
            </w:r>
          </w:p>
          <w:p w14:paraId="2D6DB495">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w:t>
            </w:r>
            <w:r>
              <w:rPr>
                <w:color w:val="auto"/>
                <w:szCs w:val="18"/>
                <w:highlight w:val="none"/>
              </w:rPr>
              <w:t>3</w:t>
            </w:r>
            <w:r>
              <w:rPr>
                <w:rFonts w:hint="eastAsia"/>
                <w:color w:val="auto"/>
                <w:szCs w:val="18"/>
                <w:highlight w:val="none"/>
              </w:rPr>
              <w:t>.温度范围：-10～60℃。</w:t>
            </w:r>
          </w:p>
          <w:p w14:paraId="3E20322C">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w:t>
            </w:r>
            <w:r>
              <w:rPr>
                <w:color w:val="auto"/>
                <w:szCs w:val="18"/>
                <w:highlight w:val="none"/>
              </w:rPr>
              <w:t>4</w:t>
            </w:r>
            <w:r>
              <w:rPr>
                <w:rFonts w:hint="eastAsia"/>
                <w:color w:val="auto"/>
                <w:szCs w:val="18"/>
                <w:highlight w:val="none"/>
              </w:rPr>
              <w:t>.温度波动度：±0.5℃。</w:t>
            </w:r>
          </w:p>
          <w:p w14:paraId="16541393">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color w:val="auto"/>
                <w:szCs w:val="18"/>
                <w:highlight w:val="none"/>
              </w:rPr>
              <w:t>5</w:t>
            </w:r>
            <w:r>
              <w:rPr>
                <w:rFonts w:hint="eastAsia"/>
                <w:color w:val="auto"/>
                <w:szCs w:val="18"/>
                <w:highlight w:val="none"/>
              </w:rPr>
              <w:t>.温度均匀度：≤2.0℃（at37℃），≤3.0℃（其它工作温度）。</w:t>
            </w:r>
          </w:p>
          <w:p w14:paraId="7552C519">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color w:val="auto"/>
                <w:szCs w:val="18"/>
                <w:highlight w:val="none"/>
              </w:rPr>
              <w:t>6</w:t>
            </w:r>
            <w:r>
              <w:rPr>
                <w:rFonts w:hint="eastAsia"/>
                <w:color w:val="auto"/>
                <w:szCs w:val="18"/>
                <w:highlight w:val="none"/>
              </w:rPr>
              <w:t>.升温时间：20~52℃≤20min；降温时间：20~-4℃≤60min。</w:t>
            </w:r>
          </w:p>
          <w:p w14:paraId="3C5202E5">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color w:val="auto"/>
                <w:szCs w:val="18"/>
                <w:highlight w:val="none"/>
              </w:rPr>
              <w:t>7</w:t>
            </w:r>
            <w:r>
              <w:rPr>
                <w:rFonts w:hint="eastAsia"/>
                <w:color w:val="auto"/>
                <w:szCs w:val="18"/>
                <w:highlight w:val="none"/>
              </w:rPr>
              <w:t>.温度控制方式：PID控制。</w:t>
            </w:r>
          </w:p>
          <w:p w14:paraId="7A71893B">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color w:val="auto"/>
                <w:szCs w:val="18"/>
                <w:highlight w:val="none"/>
              </w:rPr>
              <w:t>8</w:t>
            </w:r>
            <w:r>
              <w:rPr>
                <w:rFonts w:hint="eastAsia"/>
                <w:color w:val="auto"/>
                <w:szCs w:val="18"/>
                <w:highlight w:val="none"/>
              </w:rPr>
              <w:t>.温度显示方式：LED数字显示。</w:t>
            </w:r>
          </w:p>
          <w:p w14:paraId="25373B22">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color w:val="auto"/>
                <w:szCs w:val="18"/>
                <w:highlight w:val="none"/>
              </w:rPr>
              <w:t>9</w:t>
            </w:r>
            <w:r>
              <w:rPr>
                <w:rFonts w:hint="eastAsia"/>
                <w:color w:val="auto"/>
                <w:szCs w:val="18"/>
                <w:highlight w:val="none"/>
              </w:rPr>
              <w:t>.定时器/定时器分辨率：1min~99h59min/100~999h50min。</w:t>
            </w:r>
          </w:p>
          <w:p w14:paraId="1E189CC7">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w:t>
            </w:r>
            <w:r>
              <w:rPr>
                <w:color w:val="auto"/>
                <w:szCs w:val="18"/>
                <w:highlight w:val="none"/>
              </w:rPr>
              <w:t>0</w:t>
            </w:r>
            <w:r>
              <w:rPr>
                <w:rFonts w:hint="eastAsia"/>
                <w:color w:val="auto"/>
                <w:szCs w:val="18"/>
                <w:highlight w:val="none"/>
              </w:rPr>
              <w:t>.运行功能：定值运行、程序运行、自动停止运行、自动开始运行等。</w:t>
            </w:r>
          </w:p>
          <w:p w14:paraId="3C2E3187">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w:t>
            </w:r>
            <w:r>
              <w:rPr>
                <w:color w:val="auto"/>
                <w:szCs w:val="18"/>
                <w:highlight w:val="none"/>
              </w:rPr>
              <w:t>1</w:t>
            </w:r>
            <w:r>
              <w:rPr>
                <w:rFonts w:hint="eastAsia"/>
                <w:color w:val="auto"/>
                <w:szCs w:val="18"/>
                <w:highlight w:val="none"/>
              </w:rPr>
              <w:t>.程序模式（包括但不限于）：1×30步，2×15步，3×10步。</w:t>
            </w:r>
          </w:p>
          <w:p w14:paraId="6B35704D">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w:t>
            </w:r>
            <w:r>
              <w:rPr>
                <w:color w:val="auto"/>
                <w:szCs w:val="18"/>
                <w:highlight w:val="none"/>
              </w:rPr>
              <w:t>2</w:t>
            </w:r>
            <w:r>
              <w:rPr>
                <w:rFonts w:hint="eastAsia"/>
                <w:color w:val="auto"/>
                <w:szCs w:val="18"/>
                <w:highlight w:val="none"/>
              </w:rPr>
              <w:t>.附加功能：温度补偿功能、锁键功能、停电补偿功能。</w:t>
            </w:r>
          </w:p>
          <w:p w14:paraId="2011E974">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w:t>
            </w:r>
            <w:r>
              <w:rPr>
                <w:color w:val="auto"/>
                <w:szCs w:val="18"/>
                <w:highlight w:val="none"/>
              </w:rPr>
              <w:t>3</w:t>
            </w:r>
            <w:r>
              <w:rPr>
                <w:rFonts w:hint="eastAsia"/>
                <w:color w:val="auto"/>
                <w:szCs w:val="18"/>
                <w:highlight w:val="none"/>
              </w:rPr>
              <w:t>.安全功能：具备冷冻机过载继电器、过升防止器、过电流漏电保护开关、自诊断回路（温度传感异常、加热器断线、SSR短路、自动过升防止）、异常时蜂鸣器报警等。</w:t>
            </w:r>
          </w:p>
          <w:p w14:paraId="791C961D">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w:t>
            </w:r>
            <w:r>
              <w:rPr>
                <w:color w:val="auto"/>
                <w:szCs w:val="18"/>
                <w:highlight w:val="none"/>
              </w:rPr>
              <w:t>4</w:t>
            </w:r>
            <w:r>
              <w:rPr>
                <w:rFonts w:hint="eastAsia"/>
                <w:color w:val="auto"/>
                <w:szCs w:val="18"/>
                <w:highlight w:val="none"/>
              </w:rPr>
              <w:t>.内装：不锈钢板。</w:t>
            </w:r>
          </w:p>
          <w:p w14:paraId="47954F7F">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w:t>
            </w:r>
            <w:r>
              <w:rPr>
                <w:color w:val="auto"/>
                <w:szCs w:val="18"/>
                <w:highlight w:val="none"/>
              </w:rPr>
              <w:t>5</w:t>
            </w:r>
            <w:r>
              <w:rPr>
                <w:rFonts w:hint="eastAsia"/>
                <w:color w:val="auto"/>
                <w:szCs w:val="18"/>
                <w:highlight w:val="none"/>
              </w:rPr>
              <w:t>.外装：冷轧钢板，表面耐药品性涂装。</w:t>
            </w:r>
          </w:p>
          <w:p w14:paraId="12116B39">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w:t>
            </w:r>
            <w:r>
              <w:rPr>
                <w:color w:val="auto"/>
                <w:szCs w:val="18"/>
                <w:highlight w:val="none"/>
              </w:rPr>
              <w:t>6</w:t>
            </w:r>
            <w:r>
              <w:rPr>
                <w:rFonts w:hint="eastAsia"/>
                <w:color w:val="auto"/>
                <w:szCs w:val="18"/>
                <w:highlight w:val="none"/>
              </w:rPr>
              <w:t>.断热材：发泡苯乙烯。</w:t>
            </w:r>
          </w:p>
          <w:p w14:paraId="1A2C45AF">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color w:val="auto"/>
                <w:szCs w:val="18"/>
                <w:highlight w:val="none"/>
              </w:rPr>
              <w:t>17</w:t>
            </w:r>
            <w:r>
              <w:rPr>
                <w:rFonts w:hint="eastAsia"/>
                <w:color w:val="auto"/>
                <w:szCs w:val="18"/>
                <w:highlight w:val="none"/>
              </w:rPr>
              <w:t>.冷冻机：≥300W。</w:t>
            </w:r>
          </w:p>
          <w:p w14:paraId="4B0FB2D1">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color w:val="auto"/>
                <w:szCs w:val="18"/>
                <w:highlight w:val="none"/>
              </w:rPr>
              <w:t>18</w:t>
            </w:r>
            <w:r>
              <w:rPr>
                <w:rFonts w:hint="eastAsia"/>
                <w:color w:val="auto"/>
                <w:szCs w:val="18"/>
                <w:highlight w:val="none"/>
              </w:rPr>
              <w:t>.制冷剂：R134a。</w:t>
            </w:r>
          </w:p>
          <w:p w14:paraId="0B052881">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w:t>
            </w:r>
            <w:r>
              <w:rPr>
                <w:color w:val="auto"/>
                <w:szCs w:val="18"/>
                <w:highlight w:val="none"/>
              </w:rPr>
              <w:t>19</w:t>
            </w:r>
            <w:r>
              <w:rPr>
                <w:rFonts w:hint="eastAsia"/>
                <w:color w:val="auto"/>
                <w:szCs w:val="18"/>
                <w:highlight w:val="none"/>
              </w:rPr>
              <w:t>.除霜构造：循环运行。</w:t>
            </w:r>
          </w:p>
          <w:p w14:paraId="6441E215">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2</w:t>
            </w:r>
            <w:r>
              <w:rPr>
                <w:color w:val="auto"/>
                <w:szCs w:val="18"/>
                <w:highlight w:val="none"/>
              </w:rPr>
              <w:t>0</w:t>
            </w:r>
            <w:r>
              <w:rPr>
                <w:rFonts w:hint="eastAsia"/>
                <w:color w:val="auto"/>
                <w:szCs w:val="18"/>
                <w:highlight w:val="none"/>
              </w:rPr>
              <w:t>.送风机风叶：横流风机。</w:t>
            </w:r>
          </w:p>
          <w:p w14:paraId="6A1C9D64">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24.加热器：镍铬合金加热丝，≥750W。</w:t>
            </w:r>
          </w:p>
          <w:p w14:paraId="791DF9F5">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2</w:t>
            </w:r>
            <w:r>
              <w:rPr>
                <w:color w:val="auto"/>
                <w:szCs w:val="18"/>
                <w:highlight w:val="none"/>
              </w:rPr>
              <w:t>1</w:t>
            </w:r>
            <w:r>
              <w:rPr>
                <w:rFonts w:hint="eastAsia"/>
                <w:color w:val="auto"/>
                <w:szCs w:val="18"/>
                <w:highlight w:val="none"/>
              </w:rPr>
              <w:t>.传感器：温度调节器；Pt热电阻，超温保护用：K型热电偶。</w:t>
            </w:r>
          </w:p>
          <w:p w14:paraId="22F94F49">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2</w:t>
            </w:r>
            <w:r>
              <w:rPr>
                <w:color w:val="auto"/>
                <w:szCs w:val="18"/>
                <w:highlight w:val="none"/>
              </w:rPr>
              <w:t>2</w:t>
            </w:r>
            <w:r>
              <w:rPr>
                <w:rFonts w:hint="eastAsia"/>
                <w:color w:val="auto"/>
                <w:szCs w:val="18"/>
                <w:highlight w:val="none"/>
              </w:rPr>
              <w:t>.内容积：≥280L。</w:t>
            </w:r>
          </w:p>
          <w:p w14:paraId="52A9C3F6">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2</w:t>
            </w:r>
            <w:r>
              <w:rPr>
                <w:color w:val="auto"/>
                <w:szCs w:val="18"/>
                <w:highlight w:val="none"/>
              </w:rPr>
              <w:t>3</w:t>
            </w:r>
            <w:r>
              <w:rPr>
                <w:rFonts w:hint="eastAsia"/>
                <w:color w:val="auto"/>
                <w:szCs w:val="18"/>
                <w:highlight w:val="none"/>
              </w:rPr>
              <w:t>.棚板承重：≥15kg/层。</w:t>
            </w:r>
          </w:p>
          <w:p w14:paraId="44369F3A">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二、配置：</w:t>
            </w:r>
          </w:p>
          <w:p w14:paraId="76BC2B94">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1主机1台；</w:t>
            </w:r>
          </w:p>
          <w:p w14:paraId="4EAB3FA1">
            <w:pPr>
              <w:pStyle w:val="9"/>
              <w:keepNext w:val="0"/>
              <w:keepLines w:val="0"/>
              <w:suppressLineNumbers w:val="0"/>
              <w:wordWrap w:val="0"/>
              <w:spacing w:before="0" w:beforeAutospacing="0" w:after="0" w:afterAutospacing="0"/>
              <w:ind w:left="0" w:right="0" w:firstLine="0" w:firstLineChars="0"/>
              <w:jc w:val="left"/>
              <w:rPr>
                <w:rFonts w:hint="eastAsia" w:ascii="Times New Roman" w:hAnsi="Times New Roman" w:eastAsia="宋体" w:cs="Times New Roman"/>
                <w:color w:val="auto"/>
                <w:kern w:val="2"/>
                <w:sz w:val="21"/>
                <w:szCs w:val="18"/>
                <w:highlight w:val="none"/>
                <w:lang w:val="en-US" w:eastAsia="zh-CN" w:bidi="ar-SA"/>
              </w:rPr>
            </w:pPr>
            <w:r>
              <w:rPr>
                <w:rFonts w:hint="eastAsia"/>
                <w:color w:val="auto"/>
                <w:szCs w:val="18"/>
                <w:highlight w:val="none"/>
              </w:rPr>
              <w:t>2.电源线1根。</w:t>
            </w:r>
          </w:p>
        </w:tc>
        <w:tc>
          <w:tcPr>
            <w:tcW w:w="1497" w:type="dxa"/>
            <w:tcBorders>
              <w:top w:val="single" w:color="000000" w:sz="4" w:space="0"/>
              <w:left w:val="single" w:color="auto" w:sz="4" w:space="0"/>
              <w:bottom w:val="single" w:color="000000" w:sz="4" w:space="0"/>
              <w:right w:val="single" w:color="000000" w:sz="4" w:space="0"/>
            </w:tcBorders>
            <w:vAlign w:val="center"/>
          </w:tcPr>
          <w:p w14:paraId="2221F8A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cs="宋体"/>
                <w:b w:val="0"/>
                <w:bCs w:val="0"/>
                <w:color w:val="auto"/>
                <w:szCs w:val="21"/>
                <w:highlight w:val="none"/>
                <w:u w:val="none"/>
              </w:rPr>
            </w:pPr>
            <w:r>
              <w:rPr>
                <w:rFonts w:hint="eastAsia" w:eastAsia="宋体" w:asciiTheme="minorEastAsia" w:hAnsiTheme="minorEastAsia" w:cstheme="minorEastAsia"/>
                <w:color w:val="auto"/>
                <w:sz w:val="24"/>
                <w:highlight w:val="none"/>
                <w:shd w:val="clear" w:color="auto" w:fill="FFFFFF"/>
              </w:rPr>
              <w:t>工业</w:t>
            </w:r>
          </w:p>
        </w:tc>
      </w:tr>
      <w:tr w14:paraId="2E049D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7FCEB09D">
            <w:pPr>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1</w:t>
            </w:r>
            <w:r>
              <w:rPr>
                <w:color w:val="auto"/>
                <w:sz w:val="21"/>
                <w:szCs w:val="21"/>
                <w:highlight w:val="none"/>
              </w:rPr>
              <w:t>3</w:t>
            </w:r>
          </w:p>
        </w:tc>
        <w:tc>
          <w:tcPr>
            <w:tcW w:w="1119" w:type="dxa"/>
            <w:tcBorders>
              <w:top w:val="single" w:color="000000" w:sz="4" w:space="0"/>
              <w:left w:val="nil"/>
              <w:bottom w:val="single" w:color="000000" w:sz="4" w:space="0"/>
              <w:right w:val="single" w:color="000000" w:sz="4" w:space="0"/>
            </w:tcBorders>
            <w:shd w:val="clear" w:color="auto" w:fill="auto"/>
            <w:vAlign w:val="center"/>
          </w:tcPr>
          <w:p w14:paraId="51761AA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紫外可见分光光度计</w:t>
            </w:r>
          </w:p>
        </w:tc>
        <w:tc>
          <w:tcPr>
            <w:tcW w:w="562" w:type="dxa"/>
            <w:tcBorders>
              <w:top w:val="single" w:color="000000" w:sz="4" w:space="0"/>
              <w:left w:val="nil"/>
              <w:bottom w:val="single" w:color="000000" w:sz="4" w:space="0"/>
              <w:right w:val="single" w:color="000000" w:sz="4" w:space="0"/>
            </w:tcBorders>
            <w:shd w:val="clear" w:color="auto" w:fill="auto"/>
            <w:vAlign w:val="center"/>
          </w:tcPr>
          <w:p w14:paraId="3B6E363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color w:val="auto"/>
                <w:sz w:val="21"/>
                <w:szCs w:val="21"/>
                <w:highlight w:val="none"/>
              </w:rPr>
              <w:t>1</w:t>
            </w:r>
          </w:p>
        </w:tc>
        <w:tc>
          <w:tcPr>
            <w:tcW w:w="519" w:type="dxa"/>
            <w:tcBorders>
              <w:top w:val="single" w:color="000000" w:sz="4" w:space="0"/>
              <w:left w:val="nil"/>
              <w:bottom w:val="single" w:color="000000" w:sz="4" w:space="0"/>
              <w:right w:val="single" w:color="000000" w:sz="4" w:space="0"/>
            </w:tcBorders>
            <w:shd w:val="clear" w:color="auto" w:fill="auto"/>
            <w:vAlign w:val="center"/>
          </w:tcPr>
          <w:p w14:paraId="3435FE0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台</w:t>
            </w:r>
          </w:p>
        </w:tc>
        <w:tc>
          <w:tcPr>
            <w:tcW w:w="5194" w:type="dxa"/>
            <w:tcBorders>
              <w:top w:val="single" w:color="000000" w:sz="4" w:space="0"/>
              <w:left w:val="nil"/>
              <w:bottom w:val="single" w:color="000000" w:sz="4" w:space="0"/>
              <w:right w:val="single" w:color="auto" w:sz="4" w:space="0"/>
            </w:tcBorders>
            <w:shd w:val="clear" w:color="auto" w:fill="auto"/>
            <w:vAlign w:val="center"/>
          </w:tcPr>
          <w:p w14:paraId="44EAEC34">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一、仪器功能</w:t>
            </w:r>
          </w:p>
          <w:p w14:paraId="4404061E">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▲1.双光束光学系统；</w:t>
            </w:r>
          </w:p>
          <w:p w14:paraId="274A697C">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2.采用≥10英寸四层复合真彩电容式智能触摸屏；</w:t>
            </w:r>
          </w:p>
          <w:p w14:paraId="285C3BD6">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3.主机可独立完成光度测量、定量测量、光谱扫描、动力学、DNA/蛋白质测试，多波长测试及数据打印等功能；</w:t>
            </w:r>
          </w:p>
          <w:p w14:paraId="30AFBE37">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▲4.采用悬架式光学系统设计，独立固定在的切削铝制无变形基座厚度≥16mm；</w:t>
            </w:r>
          </w:p>
          <w:p w14:paraId="12945DBC">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5.数据可导出至U盘，仪器可直接连接打印机进行打印；</w:t>
            </w:r>
          </w:p>
          <w:p w14:paraId="6075AA5D">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▲6.配光谱软件，具有测试功能、数据处理功能。</w:t>
            </w:r>
          </w:p>
          <w:p w14:paraId="4B31E8C4">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二、仪器指标</w:t>
            </w:r>
          </w:p>
          <w:p w14:paraId="5B8A540F">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1.波长范围</w:t>
            </w:r>
            <w:r>
              <w:rPr>
                <w:rFonts w:hint="eastAsia"/>
                <w:color w:val="auto"/>
                <w:szCs w:val="18"/>
                <w:highlight w:val="none"/>
                <w:lang w:eastAsia="zh-CN"/>
              </w:rPr>
              <w:t>：</w:t>
            </w:r>
            <w:r>
              <w:rPr>
                <w:rFonts w:hint="eastAsia"/>
                <w:color w:val="auto"/>
                <w:szCs w:val="18"/>
                <w:highlight w:val="none"/>
              </w:rPr>
              <w:t>190-1100nm；</w:t>
            </w:r>
          </w:p>
          <w:p w14:paraId="28D18415">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▲2.光谱带宽：≥1.8nm；</w:t>
            </w:r>
          </w:p>
          <w:p w14:paraId="2ACA0E71">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3.波长准确度：±0.3nm全区域；</w:t>
            </w:r>
          </w:p>
          <w:p w14:paraId="2E854BA6">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▲4.波长重复性：≤0.1nm；</w:t>
            </w:r>
          </w:p>
          <w:p w14:paraId="36EBF8FB">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5.光度准确度：±0.2%T（0-100%T）、±0.002Abs(0-0.5Abs)、±0.004Abs(0.5-1.0Abs)；</w:t>
            </w:r>
          </w:p>
          <w:p w14:paraId="54273648">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6.光度重复性：≤0.1%T(0-100%T)、≤0.001Abs(0-0.5Abs)、≤0.002Abs(0.5-1.0Abs)；</w:t>
            </w:r>
          </w:p>
          <w:p w14:paraId="7383C459">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7.杂散光：≤0.03%T；</w:t>
            </w:r>
          </w:p>
          <w:p w14:paraId="4C3A9A1D">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8.基线漂移：±0.0004A/h（500nm处）；</w:t>
            </w:r>
          </w:p>
          <w:p w14:paraId="5B52BA0F">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9.基线平直度：±0.001A；</w:t>
            </w:r>
          </w:p>
          <w:p w14:paraId="5BFD460F">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10.噪声水平：±0.0004A；</w:t>
            </w:r>
          </w:p>
          <w:p w14:paraId="34EA2E0E">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11.光度范围：0-200%T、-4.0-4.0A、0-9999C；</w:t>
            </w:r>
          </w:p>
          <w:p w14:paraId="659AB2F3">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12.数据输出：USB接口；</w:t>
            </w:r>
          </w:p>
          <w:p w14:paraId="3596C054">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13.打印输出：并行口；</w:t>
            </w:r>
          </w:p>
          <w:p w14:paraId="0D9DF69F">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14.显示系统：≥10英寸真彩电容式触摸屏；</w:t>
            </w:r>
          </w:p>
          <w:p w14:paraId="21500A50">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15.检测器：硅光二极管；</w:t>
            </w:r>
          </w:p>
          <w:p w14:paraId="00191F5D">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16.光源：长寿命钨灯、氘灯。</w:t>
            </w:r>
          </w:p>
          <w:p w14:paraId="10CB6E6D">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三、仪器配置清单</w:t>
            </w:r>
          </w:p>
          <w:p w14:paraId="1D593C65">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1.光度计主机，1台；</w:t>
            </w:r>
          </w:p>
          <w:p w14:paraId="3D452DD8">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2.10mm玻璃比色皿，4只；</w:t>
            </w:r>
          </w:p>
          <w:p w14:paraId="0A8C6DF4">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3.10mm石英比色皿，2只；</w:t>
            </w:r>
          </w:p>
          <w:p w14:paraId="5E4BCF2B">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4.主机说明书，1本；</w:t>
            </w:r>
          </w:p>
          <w:p w14:paraId="0269D880">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5.电源线</w:t>
            </w:r>
            <w:r>
              <w:rPr>
                <w:rFonts w:hint="eastAsia"/>
                <w:color w:val="auto"/>
                <w:szCs w:val="18"/>
                <w:highlight w:val="none"/>
              </w:rPr>
              <w:tab/>
            </w:r>
            <w:r>
              <w:rPr>
                <w:rFonts w:hint="eastAsia"/>
                <w:color w:val="auto"/>
                <w:szCs w:val="18"/>
                <w:highlight w:val="none"/>
              </w:rPr>
              <w:t>，1根；</w:t>
            </w:r>
          </w:p>
          <w:p w14:paraId="545E8B50">
            <w:pPr>
              <w:pStyle w:val="9"/>
              <w:keepNext w:val="0"/>
              <w:keepLines w:val="0"/>
              <w:suppressLineNumbers w:val="0"/>
              <w:wordWrap w:val="0"/>
              <w:spacing w:before="0" w:beforeAutospacing="0" w:after="0" w:afterAutospacing="0"/>
              <w:ind w:left="0" w:right="0" w:firstLine="0" w:firstLineChars="0"/>
              <w:jc w:val="left"/>
              <w:rPr>
                <w:rFonts w:hint="eastAsia" w:ascii="Times New Roman" w:hAnsi="Times New Roman" w:eastAsia="宋体" w:cs="Times New Roman"/>
                <w:color w:val="auto"/>
                <w:kern w:val="2"/>
                <w:sz w:val="21"/>
                <w:szCs w:val="18"/>
                <w:highlight w:val="none"/>
                <w:lang w:val="en-US" w:eastAsia="zh-CN" w:bidi="ar-SA"/>
              </w:rPr>
            </w:pPr>
            <w:r>
              <w:rPr>
                <w:rFonts w:hint="eastAsia"/>
                <w:color w:val="auto"/>
                <w:szCs w:val="18"/>
                <w:highlight w:val="none"/>
              </w:rPr>
              <w:t>6.防尘罩，1个。</w:t>
            </w:r>
          </w:p>
        </w:tc>
        <w:tc>
          <w:tcPr>
            <w:tcW w:w="1497" w:type="dxa"/>
            <w:tcBorders>
              <w:top w:val="single" w:color="000000" w:sz="4" w:space="0"/>
              <w:left w:val="single" w:color="auto" w:sz="4" w:space="0"/>
              <w:bottom w:val="single" w:color="000000" w:sz="4" w:space="0"/>
              <w:right w:val="single" w:color="000000" w:sz="4" w:space="0"/>
            </w:tcBorders>
            <w:vAlign w:val="center"/>
          </w:tcPr>
          <w:p w14:paraId="5EB9C01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cs="宋体"/>
                <w:b w:val="0"/>
                <w:bCs w:val="0"/>
                <w:color w:val="auto"/>
                <w:szCs w:val="21"/>
                <w:highlight w:val="none"/>
                <w:u w:val="none"/>
              </w:rPr>
            </w:pPr>
            <w:r>
              <w:rPr>
                <w:rFonts w:hint="eastAsia" w:eastAsia="宋体" w:asciiTheme="minorEastAsia" w:hAnsiTheme="minorEastAsia" w:cstheme="minorEastAsia"/>
                <w:color w:val="auto"/>
                <w:sz w:val="24"/>
                <w:highlight w:val="none"/>
                <w:shd w:val="clear" w:color="auto" w:fill="FFFFFF"/>
              </w:rPr>
              <w:t>工业</w:t>
            </w:r>
          </w:p>
        </w:tc>
      </w:tr>
      <w:tr w14:paraId="5D9787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7F197D19">
            <w:pPr>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1</w:t>
            </w:r>
            <w:r>
              <w:rPr>
                <w:color w:val="auto"/>
                <w:sz w:val="21"/>
                <w:szCs w:val="21"/>
                <w:highlight w:val="none"/>
              </w:rPr>
              <w:t>4</w:t>
            </w:r>
          </w:p>
        </w:tc>
        <w:tc>
          <w:tcPr>
            <w:tcW w:w="1119" w:type="dxa"/>
            <w:tcBorders>
              <w:top w:val="single" w:color="000000" w:sz="4" w:space="0"/>
              <w:left w:val="nil"/>
              <w:bottom w:val="single" w:color="000000" w:sz="4" w:space="0"/>
              <w:right w:val="single" w:color="000000" w:sz="4" w:space="0"/>
            </w:tcBorders>
            <w:shd w:val="clear" w:color="auto" w:fill="auto"/>
            <w:vAlign w:val="center"/>
          </w:tcPr>
          <w:p w14:paraId="5195CC19">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Ⅱ级</w:t>
            </w:r>
            <w:r>
              <w:rPr>
                <w:color w:val="auto"/>
                <w:sz w:val="21"/>
                <w:szCs w:val="21"/>
                <w:highlight w:val="none"/>
              </w:rPr>
              <w:t>A2型生物安全柜</w:t>
            </w:r>
          </w:p>
        </w:tc>
        <w:tc>
          <w:tcPr>
            <w:tcW w:w="562" w:type="dxa"/>
            <w:tcBorders>
              <w:top w:val="single" w:color="000000" w:sz="4" w:space="0"/>
              <w:left w:val="nil"/>
              <w:bottom w:val="single" w:color="000000" w:sz="4" w:space="0"/>
              <w:right w:val="single" w:color="000000" w:sz="4" w:space="0"/>
            </w:tcBorders>
            <w:shd w:val="clear" w:color="auto" w:fill="auto"/>
            <w:vAlign w:val="center"/>
          </w:tcPr>
          <w:p w14:paraId="7456F12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color w:val="auto"/>
                <w:sz w:val="21"/>
                <w:szCs w:val="21"/>
                <w:highlight w:val="none"/>
              </w:rPr>
              <w:t>5</w:t>
            </w:r>
          </w:p>
        </w:tc>
        <w:tc>
          <w:tcPr>
            <w:tcW w:w="519" w:type="dxa"/>
            <w:tcBorders>
              <w:top w:val="single" w:color="000000" w:sz="4" w:space="0"/>
              <w:left w:val="nil"/>
              <w:bottom w:val="single" w:color="000000" w:sz="4" w:space="0"/>
              <w:right w:val="single" w:color="000000" w:sz="4" w:space="0"/>
            </w:tcBorders>
            <w:shd w:val="clear" w:color="auto" w:fill="auto"/>
            <w:vAlign w:val="center"/>
          </w:tcPr>
          <w:p w14:paraId="1D4FD7E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台</w:t>
            </w:r>
          </w:p>
        </w:tc>
        <w:tc>
          <w:tcPr>
            <w:tcW w:w="5194" w:type="dxa"/>
            <w:tcBorders>
              <w:top w:val="single" w:color="000000" w:sz="4" w:space="0"/>
              <w:left w:val="nil"/>
              <w:bottom w:val="single" w:color="000000" w:sz="4" w:space="0"/>
              <w:right w:val="single" w:color="auto" w:sz="4" w:space="0"/>
            </w:tcBorders>
            <w:shd w:val="clear" w:color="auto" w:fill="auto"/>
            <w:vAlign w:val="center"/>
          </w:tcPr>
          <w:p w14:paraId="236F1721">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1.气流模式：30%外排，70%循环；</w:t>
            </w:r>
          </w:p>
          <w:p w14:paraId="617FBBF0">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2.内部尺寸(W×D×H)：约1200×630×780mm（4英尺）；</w:t>
            </w:r>
          </w:p>
          <w:p w14:paraId="3393B2EB">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3.外部尺寸(W×D×H)：约1300×800×1568mm；</w:t>
            </w:r>
          </w:p>
          <w:p w14:paraId="1CE5C22E">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4.HEPA过滤效率：最易穿透颗粒（MPPS）过滤效率高于99.995%；</w:t>
            </w:r>
          </w:p>
          <w:p w14:paraId="0CCACCEF">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▲5.工作台面材料：不锈钢一体成型，工作台面表面承重≥23kg，工作台面最高承重≥50Kg；</w:t>
            </w:r>
          </w:p>
          <w:p w14:paraId="72B7B500">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6</w:t>
            </w:r>
            <w:r>
              <w:rPr>
                <w:color w:val="auto"/>
                <w:szCs w:val="18"/>
                <w:highlight w:val="none"/>
              </w:rPr>
              <w:t>.</w:t>
            </w:r>
            <w:r>
              <w:rPr>
                <w:rFonts w:hint="eastAsia"/>
                <w:color w:val="auto"/>
                <w:szCs w:val="18"/>
                <w:highlight w:val="none"/>
              </w:rPr>
              <w:t>前窗工作开口高度：≥250mm；前窗最高开口高度：≥535mm；</w:t>
            </w:r>
          </w:p>
          <w:p w14:paraId="61CB9C79">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color w:val="auto"/>
                <w:szCs w:val="18"/>
                <w:highlight w:val="none"/>
              </w:rPr>
              <w:t>7</w:t>
            </w:r>
            <w:r>
              <w:rPr>
                <w:rFonts w:hint="eastAsia"/>
                <w:color w:val="auto"/>
                <w:szCs w:val="18"/>
                <w:highlight w:val="none"/>
              </w:rPr>
              <w:t>.噪音：≤63dB（4英尺）；</w:t>
            </w:r>
          </w:p>
          <w:p w14:paraId="27FEA212">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▲8.独立双风机系统：外排风机独立调节进风风量，下降风风机独立调节下降层流风速度；</w:t>
            </w:r>
          </w:p>
          <w:p w14:paraId="1EA29515">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▲9.风速测定：风压来测定风速，当进气/排气或下降气流速度变化量达到20%时，</w:t>
            </w:r>
            <w:r>
              <w:rPr>
                <w:rFonts w:hint="eastAsia"/>
                <w:color w:val="auto"/>
                <w:szCs w:val="18"/>
                <w:highlight w:val="none"/>
                <w:lang w:val="en-US" w:eastAsia="zh-CN"/>
              </w:rPr>
              <w:t>实</w:t>
            </w:r>
            <w:r>
              <w:rPr>
                <w:rFonts w:hint="eastAsia"/>
                <w:color w:val="auto"/>
                <w:szCs w:val="18"/>
                <w:highlight w:val="none"/>
              </w:rPr>
              <w:t>时感应气流变化，并给予用户报警提醒；</w:t>
            </w:r>
          </w:p>
          <w:p w14:paraId="4C5EA7B0">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▲10.前窗完全关闭后，风机可继续工作，并自动降低下降风速至30%；</w:t>
            </w:r>
          </w:p>
          <w:p w14:paraId="6D07AEE4">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11.UV灯管可定时操作（0-24小时定时控制）；</w:t>
            </w:r>
          </w:p>
          <w:p w14:paraId="781B04CC">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▲12.侧壁采用负压设计，碰撞发生破裂时不会造成外泄和污染；安全柜左右侧壁各标准配置两个阀口；</w:t>
            </w:r>
          </w:p>
          <w:p w14:paraId="06F9EF2B">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13.控制面板信息：时间显示，风速显示(下降风速,进风风速)，总工作时间显示，定时器，UV灯工作时间，实时显示整个柜体的状态（包括运行是否安全，是否需要检修）；</w:t>
            </w:r>
          </w:p>
          <w:p w14:paraId="596E519B">
            <w:pPr>
              <w:pStyle w:val="9"/>
              <w:keepNext w:val="0"/>
              <w:keepLines w:val="0"/>
              <w:suppressLineNumbers w:val="0"/>
              <w:wordWrap w:val="0"/>
              <w:spacing w:before="0" w:beforeAutospacing="0" w:after="0" w:afterAutospacing="0"/>
              <w:ind w:left="0" w:right="0" w:firstLine="0" w:firstLineChars="0"/>
              <w:jc w:val="left"/>
              <w:rPr>
                <w:color w:val="auto"/>
                <w:szCs w:val="18"/>
                <w:highlight w:val="none"/>
              </w:rPr>
            </w:pPr>
            <w:r>
              <w:rPr>
                <w:rFonts w:hint="eastAsia"/>
                <w:color w:val="auto"/>
                <w:szCs w:val="18"/>
                <w:highlight w:val="none"/>
              </w:rPr>
              <w:t>▲14.前窗10°倾角；</w:t>
            </w:r>
          </w:p>
          <w:p w14:paraId="72F9182D">
            <w:pPr>
              <w:pStyle w:val="9"/>
              <w:keepNext w:val="0"/>
              <w:keepLines w:val="0"/>
              <w:suppressLineNumbers w:val="0"/>
              <w:wordWrap w:val="0"/>
              <w:spacing w:before="0" w:beforeAutospacing="0" w:after="0" w:afterAutospacing="0"/>
              <w:ind w:left="0" w:right="0" w:firstLine="0" w:firstLineChars="0"/>
              <w:jc w:val="left"/>
              <w:rPr>
                <w:rFonts w:hint="eastAsia" w:ascii="Times New Roman" w:hAnsi="Times New Roman" w:eastAsia="宋体" w:cs="Times New Roman"/>
                <w:color w:val="auto"/>
                <w:kern w:val="2"/>
                <w:sz w:val="21"/>
                <w:szCs w:val="18"/>
                <w:highlight w:val="none"/>
                <w:lang w:val="en-US" w:eastAsia="zh-CN" w:bidi="ar-SA"/>
              </w:rPr>
            </w:pPr>
            <w:r>
              <w:rPr>
                <w:rFonts w:hint="eastAsia"/>
                <w:color w:val="auto"/>
                <w:szCs w:val="18"/>
                <w:highlight w:val="none"/>
              </w:rPr>
              <w:t>15.配置：主机，紫外灯，荧光灯，两个搁手架，可调高度支架,侧壁各三个阀口，侧壁各一个无障碍管路接入孔。</w:t>
            </w:r>
          </w:p>
        </w:tc>
        <w:tc>
          <w:tcPr>
            <w:tcW w:w="1497" w:type="dxa"/>
            <w:tcBorders>
              <w:top w:val="single" w:color="000000" w:sz="4" w:space="0"/>
              <w:left w:val="single" w:color="auto" w:sz="4" w:space="0"/>
              <w:bottom w:val="single" w:color="000000" w:sz="4" w:space="0"/>
              <w:right w:val="single" w:color="000000" w:sz="4" w:space="0"/>
            </w:tcBorders>
            <w:vAlign w:val="center"/>
          </w:tcPr>
          <w:p w14:paraId="7CC3501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cs="宋体"/>
                <w:b w:val="0"/>
                <w:bCs w:val="0"/>
                <w:color w:val="auto"/>
                <w:szCs w:val="21"/>
                <w:highlight w:val="none"/>
                <w:u w:val="none"/>
              </w:rPr>
            </w:pPr>
            <w:r>
              <w:rPr>
                <w:rFonts w:hint="eastAsia" w:eastAsia="宋体" w:asciiTheme="minorEastAsia" w:hAnsiTheme="minorEastAsia" w:cstheme="minorEastAsia"/>
                <w:color w:val="auto"/>
                <w:sz w:val="24"/>
                <w:highlight w:val="none"/>
                <w:shd w:val="clear" w:color="auto" w:fill="FFFFFF"/>
              </w:rPr>
              <w:t>工业</w:t>
            </w:r>
          </w:p>
        </w:tc>
      </w:tr>
      <w:tr w14:paraId="48010A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5913E4FB">
            <w:pPr>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1</w:t>
            </w:r>
            <w:r>
              <w:rPr>
                <w:color w:val="auto"/>
                <w:sz w:val="21"/>
                <w:szCs w:val="21"/>
                <w:highlight w:val="none"/>
              </w:rPr>
              <w:t>5</w:t>
            </w:r>
          </w:p>
        </w:tc>
        <w:tc>
          <w:tcPr>
            <w:tcW w:w="1119" w:type="dxa"/>
            <w:tcBorders>
              <w:top w:val="single" w:color="000000" w:sz="4" w:space="0"/>
              <w:left w:val="nil"/>
              <w:bottom w:val="single" w:color="000000" w:sz="4" w:space="0"/>
              <w:right w:val="single" w:color="000000" w:sz="4" w:space="0"/>
            </w:tcBorders>
            <w:shd w:val="clear" w:color="auto" w:fill="auto"/>
            <w:vAlign w:val="center"/>
          </w:tcPr>
          <w:p w14:paraId="75126350">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台式高速冷冻离心机</w:t>
            </w:r>
          </w:p>
        </w:tc>
        <w:tc>
          <w:tcPr>
            <w:tcW w:w="562" w:type="dxa"/>
            <w:tcBorders>
              <w:top w:val="single" w:color="000000" w:sz="4" w:space="0"/>
              <w:left w:val="nil"/>
              <w:bottom w:val="single" w:color="000000" w:sz="4" w:space="0"/>
              <w:right w:val="single" w:color="000000" w:sz="4" w:space="0"/>
            </w:tcBorders>
            <w:shd w:val="clear" w:color="auto" w:fill="auto"/>
            <w:vAlign w:val="center"/>
          </w:tcPr>
          <w:p w14:paraId="17837B4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color w:val="auto"/>
                <w:sz w:val="21"/>
                <w:szCs w:val="21"/>
                <w:highlight w:val="none"/>
              </w:rPr>
              <w:t>1</w:t>
            </w:r>
          </w:p>
        </w:tc>
        <w:tc>
          <w:tcPr>
            <w:tcW w:w="519" w:type="dxa"/>
            <w:tcBorders>
              <w:top w:val="single" w:color="000000" w:sz="4" w:space="0"/>
              <w:left w:val="nil"/>
              <w:bottom w:val="single" w:color="000000" w:sz="4" w:space="0"/>
              <w:right w:val="single" w:color="000000" w:sz="4" w:space="0"/>
            </w:tcBorders>
            <w:shd w:val="clear" w:color="auto" w:fill="auto"/>
            <w:vAlign w:val="center"/>
          </w:tcPr>
          <w:p w14:paraId="15303BC9">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台</w:t>
            </w:r>
          </w:p>
        </w:tc>
        <w:tc>
          <w:tcPr>
            <w:tcW w:w="5194" w:type="dxa"/>
            <w:tcBorders>
              <w:top w:val="single" w:color="000000" w:sz="4" w:space="0"/>
              <w:left w:val="nil"/>
              <w:bottom w:val="single" w:color="000000" w:sz="4" w:space="0"/>
              <w:right w:val="single" w:color="auto" w:sz="4" w:space="0"/>
            </w:tcBorders>
            <w:shd w:val="clear" w:color="auto" w:fill="auto"/>
            <w:vAlign w:val="top"/>
          </w:tcPr>
          <w:p w14:paraId="5B26E047">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一、功能要求：</w:t>
            </w:r>
          </w:p>
          <w:p w14:paraId="6A43B954">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1. ≥7英寸液晶屏，运行时转速，离心力，温度同屏显示，离心力自动换算；出现故障时，语音和文字同时提示，并显示解决方案。</w:t>
            </w:r>
          </w:p>
          <w:p w14:paraId="244B0E93">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Cs w:val="18"/>
                <w:highlight w:val="none"/>
              </w:rPr>
              <w:t>▲</w:t>
            </w:r>
            <w:r>
              <w:rPr>
                <w:color w:val="auto"/>
                <w:sz w:val="21"/>
                <w:szCs w:val="18"/>
                <w:highlight w:val="none"/>
              </w:rPr>
              <w:t>2. ≥5个快捷程序组单独按键，可存储≥99个程序组。</w:t>
            </w:r>
          </w:p>
          <w:p w14:paraId="4A30E648">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3.实时显示仪器状态，采用全程动态监测平衡状态。</w:t>
            </w:r>
          </w:p>
          <w:p w14:paraId="0DC7FBD7">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4. ≥10级升降速档位，可设置自由停车时间。</w:t>
            </w:r>
          </w:p>
          <w:p w14:paraId="7310D16C">
            <w:pPr>
              <w:keepNext w:val="0"/>
              <w:keepLines w:val="0"/>
              <w:suppressLineNumbers w:val="0"/>
              <w:wordWrap w:val="0"/>
              <w:spacing w:before="0" w:beforeAutospacing="0" w:after="0" w:afterAutospacing="0"/>
              <w:ind w:left="0" w:right="0"/>
              <w:rPr>
                <w:rFonts w:hint="eastAsia" w:eastAsia="宋体"/>
                <w:color w:val="auto"/>
                <w:sz w:val="21"/>
                <w:szCs w:val="18"/>
                <w:highlight w:val="none"/>
                <w:lang w:eastAsia="zh-CN"/>
              </w:rPr>
            </w:pPr>
            <w:r>
              <w:rPr>
                <w:rFonts w:hint="eastAsia"/>
                <w:color w:val="auto"/>
                <w:szCs w:val="18"/>
                <w:highlight w:val="none"/>
              </w:rPr>
              <w:t>▲</w:t>
            </w:r>
            <w:r>
              <w:rPr>
                <w:color w:val="auto"/>
                <w:sz w:val="21"/>
                <w:szCs w:val="18"/>
                <w:highlight w:val="none"/>
              </w:rPr>
              <w:t>5.</w:t>
            </w:r>
            <w:r>
              <w:rPr>
                <w:rFonts w:hint="eastAsia"/>
                <w:color w:val="auto"/>
                <w:sz w:val="21"/>
                <w:szCs w:val="18"/>
                <w:highlight w:val="none"/>
              </w:rPr>
              <w:t>可自由设置梯段离心程序，阶梯程序组≥</w:t>
            </w:r>
            <w:r>
              <w:rPr>
                <w:color w:val="auto"/>
                <w:sz w:val="21"/>
                <w:szCs w:val="18"/>
                <w:highlight w:val="none"/>
              </w:rPr>
              <w:t>10</w:t>
            </w:r>
            <w:r>
              <w:rPr>
                <w:rFonts w:hint="eastAsia"/>
                <w:color w:val="auto"/>
                <w:sz w:val="21"/>
                <w:szCs w:val="18"/>
                <w:highlight w:val="none"/>
              </w:rPr>
              <w:t>0，阶梯段落数量：2-15</w:t>
            </w:r>
            <w:r>
              <w:rPr>
                <w:rFonts w:hint="eastAsia"/>
                <w:color w:val="auto"/>
                <w:sz w:val="21"/>
                <w:szCs w:val="18"/>
                <w:highlight w:val="none"/>
                <w:lang w:eastAsia="zh-CN"/>
              </w:rPr>
              <w:t>。</w:t>
            </w:r>
          </w:p>
          <w:p w14:paraId="6F2E74E7">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6.具有门盖，超速，超温，过流，过压，过热等保护功能。</w:t>
            </w:r>
          </w:p>
          <w:p w14:paraId="72FD8809">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7.门盖双锁扣设计，机身自带更换转子工具架设计。</w:t>
            </w:r>
          </w:p>
          <w:p w14:paraId="528AD5A3">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8.制冷系统：无氟制冷压缩机R404a，具有除霜和预冷功能。</w:t>
            </w:r>
          </w:p>
          <w:p w14:paraId="56615D57">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9.使用记录：具有小时&amp;分、分&amp;秒两种计时方式，正计时、倒计时两种模式。</w:t>
            </w:r>
          </w:p>
          <w:p w14:paraId="5308C444">
            <w:pPr>
              <w:keepNext w:val="0"/>
              <w:keepLines w:val="0"/>
              <w:suppressLineNumbers w:val="0"/>
              <w:spacing w:before="0" w:beforeAutospacing="0" w:after="0" w:afterAutospacing="0"/>
              <w:ind w:left="0" w:right="0"/>
              <w:rPr>
                <w:color w:val="auto"/>
                <w:sz w:val="21"/>
                <w:szCs w:val="18"/>
                <w:highlight w:val="none"/>
              </w:rPr>
            </w:pPr>
            <w:r>
              <w:rPr>
                <w:color w:val="auto"/>
                <w:sz w:val="21"/>
                <w:szCs w:val="18"/>
                <w:highlight w:val="none"/>
              </w:rPr>
              <w:t>10.</w:t>
            </w:r>
            <w:r>
              <w:rPr>
                <w:rFonts w:hint="eastAsia"/>
                <w:color w:val="auto"/>
                <w:sz w:val="21"/>
                <w:szCs w:val="18"/>
                <w:highlight w:val="none"/>
              </w:rPr>
              <w:t>具备</w:t>
            </w:r>
            <w:r>
              <w:rPr>
                <w:rFonts w:hint="eastAsia"/>
                <w:color w:val="auto"/>
                <w:sz w:val="21"/>
                <w:szCs w:val="18"/>
                <w:highlight w:val="none"/>
                <w:lang w:val="en-US" w:eastAsia="zh-CN"/>
              </w:rPr>
              <w:t>转</w:t>
            </w:r>
            <w:r>
              <w:rPr>
                <w:rFonts w:hint="eastAsia"/>
                <w:color w:val="auto"/>
                <w:sz w:val="21"/>
                <w:szCs w:val="18"/>
                <w:highlight w:val="none"/>
              </w:rPr>
              <w:t>子自动识别系统</w:t>
            </w:r>
            <w:r>
              <w:rPr>
                <w:color w:val="auto"/>
                <w:sz w:val="21"/>
                <w:szCs w:val="18"/>
                <w:highlight w:val="none"/>
              </w:rPr>
              <w:t>。</w:t>
            </w:r>
          </w:p>
          <w:p w14:paraId="08A269AE">
            <w:pPr>
              <w:keepNext w:val="0"/>
              <w:keepLines w:val="0"/>
              <w:suppressLineNumbers w:val="0"/>
              <w:wordWrap w:val="0"/>
              <w:spacing w:before="0" w:beforeAutospacing="0" w:after="0" w:afterAutospacing="0"/>
              <w:ind w:left="0" w:right="0"/>
              <w:rPr>
                <w:rFonts w:hint="eastAsia" w:eastAsia="宋体"/>
                <w:color w:val="auto"/>
                <w:sz w:val="21"/>
                <w:szCs w:val="18"/>
                <w:highlight w:val="none"/>
                <w:lang w:eastAsia="zh-CN"/>
              </w:rPr>
            </w:pPr>
            <w:r>
              <w:rPr>
                <w:color w:val="auto"/>
                <w:sz w:val="21"/>
                <w:szCs w:val="18"/>
                <w:highlight w:val="none"/>
              </w:rPr>
              <w:t>二、主要技术指标</w:t>
            </w:r>
            <w:r>
              <w:rPr>
                <w:rFonts w:hint="eastAsia"/>
                <w:color w:val="auto"/>
                <w:sz w:val="21"/>
                <w:szCs w:val="18"/>
                <w:highlight w:val="none"/>
                <w:lang w:eastAsia="zh-CN"/>
              </w:rPr>
              <w:t>：</w:t>
            </w:r>
          </w:p>
          <w:p w14:paraId="3FC7A0C8">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1.最高转速≥16500rpm</w:t>
            </w:r>
          </w:p>
          <w:p w14:paraId="1B6E8F08">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2.最大相对离心力≥26145×g</w:t>
            </w:r>
          </w:p>
          <w:p w14:paraId="7E0852FA">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3.最大容量：6*50ml/尖圆底通用</w:t>
            </w:r>
          </w:p>
          <w:p w14:paraId="688466D1">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4.温度设置范围：-20</w:t>
            </w:r>
            <w:r>
              <w:rPr>
                <w:rFonts w:hint="eastAsia"/>
                <w:color w:val="auto"/>
                <w:sz w:val="21"/>
                <w:szCs w:val="18"/>
                <w:highlight w:val="none"/>
              </w:rPr>
              <w:t>℃</w:t>
            </w:r>
            <w:r>
              <w:rPr>
                <w:color w:val="auto"/>
                <w:sz w:val="21"/>
                <w:szCs w:val="18"/>
                <w:highlight w:val="none"/>
              </w:rPr>
              <w:t>～40</w:t>
            </w:r>
            <w:r>
              <w:rPr>
                <w:rFonts w:hint="eastAsia"/>
                <w:color w:val="auto"/>
                <w:sz w:val="21"/>
                <w:szCs w:val="18"/>
                <w:highlight w:val="none"/>
              </w:rPr>
              <w:t>℃</w:t>
            </w:r>
          </w:p>
          <w:p w14:paraId="0134B118">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5.温度精度:±1.0</w:t>
            </w:r>
            <w:r>
              <w:rPr>
                <w:rFonts w:hint="eastAsia"/>
                <w:color w:val="auto"/>
                <w:sz w:val="21"/>
                <w:szCs w:val="18"/>
                <w:highlight w:val="none"/>
              </w:rPr>
              <w:t>℃</w:t>
            </w:r>
          </w:p>
          <w:p w14:paraId="61CCC462">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6.转速精度：±10r/min</w:t>
            </w:r>
          </w:p>
          <w:p w14:paraId="12654F0D">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 xml:space="preserve">7.定时范围：1min～99H59min59S   </w:t>
            </w:r>
          </w:p>
          <w:p w14:paraId="656C315B">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8.角转子</w:t>
            </w:r>
            <w:r>
              <w:rPr>
                <w:rFonts w:hint="eastAsia"/>
                <w:color w:val="auto"/>
                <w:sz w:val="21"/>
                <w:szCs w:val="18"/>
                <w:highlight w:val="none"/>
              </w:rPr>
              <w:t>：1个，</w:t>
            </w:r>
            <w:r>
              <w:rPr>
                <w:color w:val="auto"/>
                <w:sz w:val="21"/>
                <w:szCs w:val="18"/>
                <w:highlight w:val="none"/>
              </w:rPr>
              <w:t>6×50ml尖圆底通用，最高转速12000rpm/min，最大相对离心力16227×g；含适配器6×15ml尖底1套。</w:t>
            </w:r>
          </w:p>
          <w:p w14:paraId="48382843">
            <w:pPr>
              <w:keepNext w:val="0"/>
              <w:keepLines w:val="0"/>
              <w:suppressLineNumbers w:val="0"/>
              <w:wordWrap w:val="0"/>
              <w:spacing w:before="0" w:beforeAutospacing="0" w:after="0" w:afterAutospacing="0"/>
              <w:ind w:left="0" w:right="0"/>
              <w:rPr>
                <w:rFonts w:hint="eastAsia" w:ascii="Times New Roman" w:hAnsi="Times New Roman" w:eastAsia="宋体" w:cs="Times New Roman"/>
                <w:color w:val="auto"/>
                <w:kern w:val="2"/>
                <w:sz w:val="21"/>
                <w:szCs w:val="18"/>
                <w:highlight w:val="none"/>
                <w:lang w:val="en-US" w:eastAsia="zh-CN" w:bidi="ar-SA"/>
              </w:rPr>
            </w:pPr>
            <w:r>
              <w:rPr>
                <w:color w:val="auto"/>
                <w:sz w:val="21"/>
                <w:szCs w:val="18"/>
                <w:highlight w:val="none"/>
              </w:rPr>
              <w:t>9</w:t>
            </w:r>
            <w:r>
              <w:rPr>
                <w:rFonts w:hint="eastAsia"/>
                <w:color w:val="auto"/>
                <w:sz w:val="21"/>
                <w:szCs w:val="18"/>
                <w:highlight w:val="none"/>
              </w:rPr>
              <w:t>.售后质保：整机质保≥3年。</w:t>
            </w:r>
          </w:p>
        </w:tc>
        <w:tc>
          <w:tcPr>
            <w:tcW w:w="1497" w:type="dxa"/>
            <w:tcBorders>
              <w:top w:val="single" w:color="000000" w:sz="4" w:space="0"/>
              <w:left w:val="single" w:color="auto" w:sz="4" w:space="0"/>
              <w:bottom w:val="single" w:color="000000" w:sz="4" w:space="0"/>
              <w:right w:val="single" w:color="000000" w:sz="4" w:space="0"/>
            </w:tcBorders>
            <w:vAlign w:val="center"/>
          </w:tcPr>
          <w:p w14:paraId="7CF8FE6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cs="宋体"/>
                <w:b w:val="0"/>
                <w:bCs w:val="0"/>
                <w:color w:val="auto"/>
                <w:szCs w:val="21"/>
                <w:highlight w:val="none"/>
                <w:u w:val="none"/>
              </w:rPr>
            </w:pPr>
            <w:r>
              <w:rPr>
                <w:rFonts w:hint="eastAsia" w:eastAsia="宋体" w:asciiTheme="minorEastAsia" w:hAnsiTheme="minorEastAsia" w:cstheme="minorEastAsia"/>
                <w:color w:val="auto"/>
                <w:sz w:val="24"/>
                <w:highlight w:val="none"/>
                <w:shd w:val="clear" w:color="auto" w:fill="FFFFFF"/>
              </w:rPr>
              <w:t>工业</w:t>
            </w:r>
          </w:p>
        </w:tc>
      </w:tr>
      <w:tr w14:paraId="005C39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076C1D81">
            <w:pPr>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1</w:t>
            </w:r>
            <w:r>
              <w:rPr>
                <w:color w:val="auto"/>
                <w:sz w:val="21"/>
                <w:szCs w:val="21"/>
                <w:highlight w:val="none"/>
              </w:rPr>
              <w:t>6</w:t>
            </w:r>
          </w:p>
        </w:tc>
        <w:tc>
          <w:tcPr>
            <w:tcW w:w="1119" w:type="dxa"/>
            <w:tcBorders>
              <w:top w:val="single" w:color="000000" w:sz="4" w:space="0"/>
              <w:left w:val="nil"/>
              <w:bottom w:val="single" w:color="000000" w:sz="4" w:space="0"/>
              <w:right w:val="single" w:color="000000" w:sz="4" w:space="0"/>
            </w:tcBorders>
            <w:shd w:val="clear" w:color="auto" w:fill="auto"/>
            <w:vAlign w:val="center"/>
          </w:tcPr>
          <w:p w14:paraId="2361934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台式低速冷冻离心机</w:t>
            </w:r>
          </w:p>
        </w:tc>
        <w:tc>
          <w:tcPr>
            <w:tcW w:w="562" w:type="dxa"/>
            <w:tcBorders>
              <w:top w:val="single" w:color="000000" w:sz="4" w:space="0"/>
              <w:left w:val="nil"/>
              <w:bottom w:val="single" w:color="000000" w:sz="4" w:space="0"/>
              <w:right w:val="single" w:color="000000" w:sz="4" w:space="0"/>
            </w:tcBorders>
            <w:shd w:val="clear" w:color="auto" w:fill="auto"/>
            <w:vAlign w:val="center"/>
          </w:tcPr>
          <w:p w14:paraId="4A6EF84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color w:val="auto"/>
                <w:sz w:val="21"/>
                <w:szCs w:val="21"/>
                <w:highlight w:val="none"/>
              </w:rPr>
              <w:t>1</w:t>
            </w:r>
          </w:p>
        </w:tc>
        <w:tc>
          <w:tcPr>
            <w:tcW w:w="519" w:type="dxa"/>
            <w:tcBorders>
              <w:top w:val="single" w:color="000000" w:sz="4" w:space="0"/>
              <w:left w:val="nil"/>
              <w:bottom w:val="single" w:color="000000" w:sz="4" w:space="0"/>
              <w:right w:val="single" w:color="000000" w:sz="4" w:space="0"/>
            </w:tcBorders>
            <w:shd w:val="clear" w:color="auto" w:fill="auto"/>
            <w:vAlign w:val="center"/>
          </w:tcPr>
          <w:p w14:paraId="2A350E9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台</w:t>
            </w:r>
          </w:p>
        </w:tc>
        <w:tc>
          <w:tcPr>
            <w:tcW w:w="5194" w:type="dxa"/>
            <w:tcBorders>
              <w:top w:val="single" w:color="000000" w:sz="4" w:space="0"/>
              <w:left w:val="nil"/>
              <w:bottom w:val="single" w:color="000000" w:sz="4" w:space="0"/>
              <w:right w:val="single" w:color="auto" w:sz="4" w:space="0"/>
            </w:tcBorders>
            <w:shd w:val="clear" w:color="auto" w:fill="auto"/>
            <w:vAlign w:val="top"/>
          </w:tcPr>
          <w:p w14:paraId="3659719A">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一、功能要求：</w:t>
            </w:r>
          </w:p>
          <w:p w14:paraId="25B8C1EC">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1. ≥7英寸液晶屏，运行时转速，离心力，温度同屏显示，离心力自动换算；出现故障时，语音和文字同时提示，并显示解决方案。</w:t>
            </w:r>
          </w:p>
          <w:p w14:paraId="3EC58034">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▲2. ≥5个快捷程序组单独按键，可存储≥99个程序组。</w:t>
            </w:r>
          </w:p>
          <w:p w14:paraId="58577B6B">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▲3.实时显示仪器状态，采用全程动态监测平衡状态。</w:t>
            </w:r>
          </w:p>
          <w:p w14:paraId="4F4C9706">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4. ≥10级升降速档位，可设置自由停车时间。</w:t>
            </w:r>
          </w:p>
          <w:p w14:paraId="165317E0">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5</w:t>
            </w:r>
            <w:r>
              <w:rPr>
                <w:rFonts w:hint="eastAsia"/>
                <w:color w:val="auto"/>
                <w:sz w:val="21"/>
                <w:szCs w:val="18"/>
                <w:highlight w:val="none"/>
              </w:rPr>
              <w:t>.</w:t>
            </w:r>
            <w:r>
              <w:rPr>
                <w:rFonts w:hint="eastAsia"/>
                <w:color w:val="auto"/>
                <w:highlight w:val="none"/>
                <w:lang w:val="en-US" w:eastAsia="zh-CN"/>
              </w:rPr>
              <w:t>具备</w:t>
            </w:r>
            <w:r>
              <w:rPr>
                <w:rFonts w:hint="eastAsia"/>
                <w:color w:val="auto"/>
                <w:sz w:val="21"/>
                <w:szCs w:val="18"/>
                <w:highlight w:val="none"/>
              </w:rPr>
              <w:t>转子自动识别系统。</w:t>
            </w:r>
          </w:p>
          <w:p w14:paraId="700CB823">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6</w:t>
            </w:r>
            <w:r>
              <w:rPr>
                <w:rFonts w:hint="eastAsia"/>
                <w:color w:val="auto"/>
                <w:sz w:val="21"/>
                <w:szCs w:val="18"/>
                <w:highlight w:val="none"/>
              </w:rPr>
              <w:t>.具有门盖，超速，超温，过流，过压，过热等保护功能。</w:t>
            </w:r>
          </w:p>
          <w:p w14:paraId="7D8C43C6">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7</w:t>
            </w:r>
            <w:r>
              <w:rPr>
                <w:rFonts w:hint="eastAsia"/>
                <w:color w:val="auto"/>
                <w:sz w:val="21"/>
                <w:szCs w:val="18"/>
                <w:highlight w:val="none"/>
              </w:rPr>
              <w:t>.门盖双锁扣设计，机身自带更换转子工具架设计。</w:t>
            </w:r>
          </w:p>
          <w:p w14:paraId="3B4D6614">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8.</w:t>
            </w:r>
            <w:r>
              <w:rPr>
                <w:rFonts w:hint="eastAsia"/>
                <w:color w:val="auto"/>
                <w:sz w:val="21"/>
                <w:szCs w:val="18"/>
                <w:highlight w:val="none"/>
              </w:rPr>
              <w:t>制冷系统：无氟制冷压缩机R404a，具有除霜和预冷功能。</w:t>
            </w:r>
          </w:p>
          <w:p w14:paraId="7E8F27A9">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w:t>
            </w:r>
            <w:r>
              <w:rPr>
                <w:color w:val="auto"/>
                <w:sz w:val="21"/>
                <w:szCs w:val="18"/>
                <w:highlight w:val="none"/>
              </w:rPr>
              <w:t>9</w:t>
            </w:r>
            <w:r>
              <w:rPr>
                <w:rFonts w:hint="eastAsia"/>
                <w:color w:val="auto"/>
                <w:sz w:val="21"/>
                <w:szCs w:val="18"/>
                <w:highlight w:val="none"/>
              </w:rPr>
              <w:t>.使用记录：具有小时&amp;分、分&amp;秒两种计时方式，正计时、倒计时两种模式。</w:t>
            </w:r>
          </w:p>
          <w:p w14:paraId="2D00602F">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▲1</w:t>
            </w:r>
            <w:r>
              <w:rPr>
                <w:color w:val="auto"/>
                <w:sz w:val="21"/>
                <w:szCs w:val="18"/>
                <w:highlight w:val="none"/>
              </w:rPr>
              <w:t>0</w:t>
            </w:r>
            <w:r>
              <w:rPr>
                <w:rFonts w:hint="eastAsia"/>
                <w:color w:val="auto"/>
                <w:sz w:val="21"/>
                <w:szCs w:val="18"/>
                <w:highlight w:val="none"/>
              </w:rPr>
              <w:t>.在开机状态，离心机开盖和长时间未使用，压缩机智能停机，并设有预冷功能。</w:t>
            </w:r>
          </w:p>
          <w:p w14:paraId="4D22E192">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二、主要技术指标：</w:t>
            </w:r>
          </w:p>
          <w:p w14:paraId="6845C037">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1.最高转速：≥5500rpm；</w:t>
            </w:r>
          </w:p>
          <w:p w14:paraId="0527A4A8">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2.最大相对离心力：≥4919×g；</w:t>
            </w:r>
          </w:p>
          <w:p w14:paraId="1DBA00A8">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3.温度设置范围：-20℃～40℃；</w:t>
            </w:r>
          </w:p>
          <w:p w14:paraId="57CB8360">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4.最大容量：1000ml；</w:t>
            </w:r>
          </w:p>
          <w:p w14:paraId="24EE9274">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5.离心腔直径：φ380mm；</w:t>
            </w:r>
          </w:p>
          <w:p w14:paraId="7ACE8F08">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6.转速精度：±10r/min；</w:t>
            </w:r>
          </w:p>
          <w:p w14:paraId="378C2F5F">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7.噪音：≤60dB (A)；</w:t>
            </w:r>
          </w:p>
          <w:p w14:paraId="54648E71">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8.定时范围：1min～99min；</w:t>
            </w:r>
          </w:p>
          <w:p w14:paraId="1E103292">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w:t>
            </w:r>
            <w:r>
              <w:rPr>
                <w:color w:val="auto"/>
                <w:sz w:val="21"/>
                <w:szCs w:val="18"/>
                <w:highlight w:val="none"/>
              </w:rPr>
              <w:t>9</w:t>
            </w:r>
            <w:r>
              <w:rPr>
                <w:rFonts w:hint="eastAsia"/>
                <w:color w:val="auto"/>
                <w:sz w:val="21"/>
                <w:szCs w:val="18"/>
                <w:highlight w:val="none"/>
              </w:rPr>
              <w:t>.转子：4×250ml水平转子，含4×4×50ml尖底适配器1套；4×10×15ml尖底适配器1套，最高转速4000rpm/min，最大相对离心力3040×g；</w:t>
            </w:r>
          </w:p>
          <w:p w14:paraId="57174D2A">
            <w:pPr>
              <w:keepNext w:val="0"/>
              <w:keepLines w:val="0"/>
              <w:suppressLineNumbers w:val="0"/>
              <w:wordWrap w:val="0"/>
              <w:spacing w:before="0" w:beforeAutospacing="0" w:after="0" w:afterAutospacing="0"/>
              <w:ind w:left="0" w:right="0"/>
              <w:rPr>
                <w:rFonts w:hint="eastAsia" w:ascii="Times New Roman" w:hAnsi="Times New Roman" w:eastAsia="宋体" w:cs="Times New Roman"/>
                <w:color w:val="auto"/>
                <w:kern w:val="2"/>
                <w:sz w:val="21"/>
                <w:szCs w:val="18"/>
                <w:highlight w:val="none"/>
                <w:lang w:val="en-US" w:eastAsia="zh-CN" w:bidi="ar-SA"/>
              </w:rPr>
            </w:pPr>
            <w:r>
              <w:rPr>
                <w:rFonts w:hint="eastAsia"/>
                <w:color w:val="auto"/>
                <w:sz w:val="21"/>
                <w:szCs w:val="18"/>
                <w:highlight w:val="none"/>
              </w:rPr>
              <w:t>1</w:t>
            </w:r>
            <w:r>
              <w:rPr>
                <w:color w:val="auto"/>
                <w:sz w:val="21"/>
                <w:szCs w:val="18"/>
                <w:highlight w:val="none"/>
              </w:rPr>
              <w:t>0</w:t>
            </w:r>
            <w:r>
              <w:rPr>
                <w:rFonts w:hint="eastAsia"/>
                <w:color w:val="auto"/>
                <w:sz w:val="21"/>
                <w:szCs w:val="18"/>
                <w:highlight w:val="none"/>
              </w:rPr>
              <w:t>.售后质保：整机质保≥3年。</w:t>
            </w:r>
          </w:p>
        </w:tc>
        <w:tc>
          <w:tcPr>
            <w:tcW w:w="1497" w:type="dxa"/>
            <w:tcBorders>
              <w:top w:val="single" w:color="000000" w:sz="4" w:space="0"/>
              <w:left w:val="single" w:color="auto" w:sz="4" w:space="0"/>
              <w:bottom w:val="single" w:color="000000" w:sz="4" w:space="0"/>
              <w:right w:val="single" w:color="000000" w:sz="4" w:space="0"/>
            </w:tcBorders>
            <w:vAlign w:val="center"/>
          </w:tcPr>
          <w:p w14:paraId="5EB63C5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cs="宋体"/>
                <w:b w:val="0"/>
                <w:bCs w:val="0"/>
                <w:color w:val="auto"/>
                <w:szCs w:val="21"/>
                <w:highlight w:val="none"/>
                <w:u w:val="none"/>
              </w:rPr>
            </w:pPr>
            <w:r>
              <w:rPr>
                <w:rFonts w:hint="eastAsia" w:eastAsia="宋体" w:asciiTheme="minorEastAsia" w:hAnsiTheme="minorEastAsia" w:cstheme="minorEastAsia"/>
                <w:color w:val="auto"/>
                <w:sz w:val="24"/>
                <w:highlight w:val="none"/>
                <w:shd w:val="clear" w:color="auto" w:fill="FFFFFF"/>
              </w:rPr>
              <w:t>工业</w:t>
            </w:r>
          </w:p>
        </w:tc>
      </w:tr>
      <w:tr w14:paraId="64873F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6A183D6D">
            <w:pPr>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1</w:t>
            </w:r>
            <w:r>
              <w:rPr>
                <w:color w:val="auto"/>
                <w:sz w:val="21"/>
                <w:szCs w:val="21"/>
                <w:highlight w:val="none"/>
              </w:rPr>
              <w:t>7</w:t>
            </w:r>
          </w:p>
        </w:tc>
        <w:tc>
          <w:tcPr>
            <w:tcW w:w="1119" w:type="dxa"/>
            <w:tcBorders>
              <w:top w:val="single" w:color="000000" w:sz="4" w:space="0"/>
              <w:left w:val="nil"/>
              <w:bottom w:val="single" w:color="000000" w:sz="4" w:space="0"/>
              <w:right w:val="single" w:color="000000" w:sz="4" w:space="0"/>
            </w:tcBorders>
            <w:shd w:val="clear" w:color="auto" w:fill="auto"/>
            <w:vAlign w:val="center"/>
          </w:tcPr>
          <w:p w14:paraId="54B167F3">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体式显微镜</w:t>
            </w:r>
          </w:p>
        </w:tc>
        <w:tc>
          <w:tcPr>
            <w:tcW w:w="562" w:type="dxa"/>
            <w:tcBorders>
              <w:top w:val="single" w:color="000000" w:sz="4" w:space="0"/>
              <w:left w:val="nil"/>
              <w:bottom w:val="single" w:color="000000" w:sz="4" w:space="0"/>
              <w:right w:val="single" w:color="000000" w:sz="4" w:space="0"/>
            </w:tcBorders>
            <w:shd w:val="clear" w:color="auto" w:fill="auto"/>
            <w:vAlign w:val="center"/>
          </w:tcPr>
          <w:p w14:paraId="336E7B1E">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color w:val="auto"/>
                <w:sz w:val="21"/>
                <w:szCs w:val="21"/>
                <w:highlight w:val="none"/>
              </w:rPr>
              <w:t>2</w:t>
            </w:r>
          </w:p>
        </w:tc>
        <w:tc>
          <w:tcPr>
            <w:tcW w:w="519" w:type="dxa"/>
            <w:tcBorders>
              <w:top w:val="single" w:color="000000" w:sz="4" w:space="0"/>
              <w:left w:val="nil"/>
              <w:bottom w:val="single" w:color="000000" w:sz="4" w:space="0"/>
              <w:right w:val="single" w:color="000000" w:sz="4" w:space="0"/>
            </w:tcBorders>
            <w:shd w:val="clear" w:color="auto" w:fill="auto"/>
            <w:vAlign w:val="center"/>
          </w:tcPr>
          <w:p w14:paraId="0B667189">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台</w:t>
            </w:r>
          </w:p>
        </w:tc>
        <w:tc>
          <w:tcPr>
            <w:tcW w:w="5194" w:type="dxa"/>
            <w:tcBorders>
              <w:top w:val="single" w:color="000000" w:sz="4" w:space="0"/>
              <w:left w:val="nil"/>
              <w:bottom w:val="single" w:color="000000" w:sz="4" w:space="0"/>
              <w:right w:val="single" w:color="auto" w:sz="4" w:space="0"/>
            </w:tcBorders>
            <w:shd w:val="clear" w:color="auto" w:fill="auto"/>
            <w:vAlign w:val="top"/>
          </w:tcPr>
          <w:p w14:paraId="252688A2">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一、用途：体视显微镜配备带可调节角度的反光镜透射照明底座，用于检卵、胚胎移植、胚胎换液等操作。</w:t>
            </w:r>
          </w:p>
          <w:p w14:paraId="049D5E0D">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二、技术参数：</w:t>
            </w:r>
          </w:p>
          <w:p w14:paraId="1B565B65">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▲1、连续变焦，</w:t>
            </w:r>
            <w:r>
              <w:rPr>
                <w:rFonts w:hint="eastAsia"/>
                <w:color w:val="auto"/>
                <w:highlight w:val="none"/>
              </w:rPr>
              <w:t>变焦比≥12：1</w:t>
            </w:r>
            <w:r>
              <w:rPr>
                <w:rFonts w:hint="eastAsia"/>
                <w:color w:val="auto"/>
                <w:sz w:val="21"/>
                <w:szCs w:val="18"/>
                <w:highlight w:val="none"/>
              </w:rPr>
              <w:t>，变倍范围≥0.63X～8X（0.63/1/2/3/4/6/8xstops），标准放大倍数≥6.3X～80X。具有平行光学系统，机身变倍体采用复消色差光学系统。</w:t>
            </w:r>
          </w:p>
          <w:p w14:paraId="38F51438">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▲2、在最小变焦下：1X物镜拥有≥35mm的视野，可直接获取35mm皮式培养皿的整体图像。</w:t>
            </w:r>
          </w:p>
          <w:p w14:paraId="7EA3B285">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▲3、聚焦机构：同轴粗、微调聚焦装置，内置平衡配重。</w:t>
            </w:r>
          </w:p>
          <w:p w14:paraId="126962DC">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4、目镜筒：人机学三目镜筒，观察角度0-30°可调节，视场数≥22。</w:t>
            </w:r>
          </w:p>
          <w:p w14:paraId="10CFA5C0">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5、目镜：10×/视野≥22mm，双目视度可调。</w:t>
            </w:r>
          </w:p>
          <w:p w14:paraId="552CCE45">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6、</w:t>
            </w:r>
            <w:r>
              <w:rPr>
                <w:rFonts w:hint="eastAsia"/>
                <w:color w:val="auto"/>
                <w:highlight w:val="none"/>
              </w:rPr>
              <w:t>配备1倍</w:t>
            </w:r>
            <w:r>
              <w:rPr>
                <w:rFonts w:hint="eastAsia"/>
                <w:color w:val="auto"/>
                <w:sz w:val="21"/>
                <w:szCs w:val="18"/>
                <w:highlight w:val="none"/>
              </w:rPr>
              <w:t>大视野、高分辨率平场复消色差物镜，工作距离≥70mm。</w:t>
            </w:r>
          </w:p>
          <w:p w14:paraId="16392083">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▲7、光纤透射照明台架。透射照明方式：明场、底部斜照明（具有可调角度反光镜）。内置色彩平衡滤光片、</w:t>
            </w:r>
            <w:r>
              <w:rPr>
                <w:rFonts w:hint="eastAsia"/>
                <w:color w:val="auto"/>
                <w:highlight w:val="none"/>
              </w:rPr>
              <w:t>1/4减光片、1/16减光片</w:t>
            </w:r>
            <w:r>
              <w:rPr>
                <w:rFonts w:hint="eastAsia"/>
                <w:color w:val="auto"/>
                <w:sz w:val="21"/>
                <w:szCs w:val="18"/>
                <w:highlight w:val="none"/>
              </w:rPr>
              <w:t>。内置斜射相干对比照明带刻度调节，</w:t>
            </w:r>
            <w:r>
              <w:rPr>
                <w:rFonts w:hint="eastAsia"/>
                <w:color w:val="auto"/>
                <w:szCs w:val="18"/>
                <w:highlight w:val="none"/>
              </w:rPr>
              <w:t>机架有粗微调焦机构，同时底座</w:t>
            </w:r>
            <w:r>
              <w:rPr>
                <w:rFonts w:hint="eastAsia"/>
                <w:color w:val="auto"/>
                <w:sz w:val="21"/>
                <w:szCs w:val="18"/>
                <w:highlight w:val="none"/>
              </w:rPr>
              <w:t>具备微调焦机构。</w:t>
            </w:r>
          </w:p>
          <w:p w14:paraId="70C430AB">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8、配备恒温台，温度可控范围：室温～60℃；玻璃厚度：≥1.0(mm)；外形尺寸：约W251×D238(mm)；加热面积：约W185×D175(mm)。</w:t>
            </w:r>
          </w:p>
          <w:p w14:paraId="178A8B65">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9、配备LCD触控高清显示屏，≥800万像素相机：</w:t>
            </w:r>
          </w:p>
          <w:p w14:paraId="01EAC8B2">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（1）相机参数指标：背照式≥800万像素CMOS传感器，</w:t>
            </w:r>
            <w:r>
              <w:rPr>
                <w:color w:val="auto"/>
                <w:highlight w:val="none"/>
              </w:rPr>
              <w:t>4K</w:t>
            </w:r>
            <w:r>
              <w:rPr>
                <w:rFonts w:hint="eastAsia"/>
                <w:color w:val="auto"/>
                <w:highlight w:val="none"/>
                <w:lang w:val="en-US" w:eastAsia="zh-CN"/>
              </w:rPr>
              <w:t xml:space="preserve"> </w:t>
            </w:r>
            <w:r>
              <w:rPr>
                <w:rFonts w:hint="eastAsia"/>
                <w:color w:val="auto"/>
                <w:sz w:val="21"/>
                <w:szCs w:val="18"/>
                <w:highlight w:val="none"/>
              </w:rPr>
              <w:t>HDMI/USB多接口输出，</w:t>
            </w:r>
            <w:r>
              <w:rPr>
                <w:rFonts w:hint="eastAsia"/>
                <w:color w:val="auto"/>
                <w:szCs w:val="18"/>
                <w:highlight w:val="none"/>
              </w:rPr>
              <w:t>4</w:t>
            </w:r>
            <w:r>
              <w:rPr>
                <w:color w:val="auto"/>
                <w:szCs w:val="18"/>
                <w:highlight w:val="none"/>
              </w:rPr>
              <w:t>K</w:t>
            </w:r>
            <w:r>
              <w:rPr>
                <w:rFonts w:hint="eastAsia"/>
                <w:color w:val="auto"/>
                <w:szCs w:val="18"/>
                <w:highlight w:val="none"/>
              </w:rPr>
              <w:t>帧速≥</w:t>
            </w:r>
            <w:r>
              <w:rPr>
                <w:color w:val="auto"/>
                <w:szCs w:val="18"/>
                <w:highlight w:val="none"/>
              </w:rPr>
              <w:t>30</w:t>
            </w:r>
            <w:r>
              <w:rPr>
                <w:rFonts w:hint="eastAsia"/>
                <w:color w:val="auto"/>
                <w:szCs w:val="18"/>
                <w:highlight w:val="none"/>
              </w:rPr>
              <w:t>fps，</w:t>
            </w:r>
            <w:r>
              <w:rPr>
                <w:rFonts w:hint="eastAsia"/>
                <w:color w:val="auto"/>
                <w:sz w:val="21"/>
                <w:szCs w:val="18"/>
                <w:highlight w:val="none"/>
              </w:rPr>
              <w:t>SD卡或者U盘保存捕获图像或视频，通过触摸屏或鼠标实现相机控制，实现曝光、增益、白平衡与对焦的精确调节等功能。</w:t>
            </w:r>
          </w:p>
          <w:p w14:paraId="05DAF9F4">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（2）屏幕参数指标：面板类型：IPSLCD触控显示屏，屏幕尺寸≥13.3英寸，分辨率3840×2160(4K)，亮度≥400cd/m²，对比度≥1000:1，响应时间≤3ms，支持十点电容触控。</w:t>
            </w:r>
          </w:p>
          <w:p w14:paraId="57297786">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（3）平板支架。</w:t>
            </w:r>
          </w:p>
          <w:p w14:paraId="05E25FC9">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三、配置清单：</w:t>
            </w:r>
          </w:p>
          <w:p w14:paraId="228005C3">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1、体视显微镜主体，1个；</w:t>
            </w:r>
          </w:p>
          <w:p w14:paraId="237924CF">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2、10X目镜，2个；</w:t>
            </w:r>
          </w:p>
          <w:p w14:paraId="448D9D4A">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3、三目镜筒，1个；</w:t>
            </w:r>
          </w:p>
          <w:p w14:paraId="149FB831">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4、1X平场复消色差物镜，1个；</w:t>
            </w:r>
          </w:p>
          <w:p w14:paraId="479766FD">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5、粗微调焦机构，1个；</w:t>
            </w:r>
          </w:p>
          <w:p w14:paraId="0B184B69">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6</w:t>
            </w:r>
            <w:r>
              <w:rPr>
                <w:rFonts w:hint="eastAsia"/>
                <w:color w:val="auto"/>
                <w:sz w:val="21"/>
                <w:szCs w:val="18"/>
                <w:highlight w:val="none"/>
              </w:rPr>
              <w:t>、光纤透射照明底座，1个；</w:t>
            </w:r>
          </w:p>
          <w:p w14:paraId="19663EB6">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7</w:t>
            </w:r>
            <w:r>
              <w:rPr>
                <w:rFonts w:hint="eastAsia"/>
                <w:color w:val="auto"/>
                <w:sz w:val="21"/>
                <w:szCs w:val="18"/>
                <w:highlight w:val="none"/>
              </w:rPr>
              <w:t>、玻璃热台，1个；</w:t>
            </w:r>
          </w:p>
          <w:p w14:paraId="078D31AF">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8</w:t>
            </w:r>
            <w:r>
              <w:rPr>
                <w:rFonts w:hint="eastAsia"/>
                <w:color w:val="auto"/>
                <w:sz w:val="21"/>
                <w:szCs w:val="18"/>
                <w:highlight w:val="none"/>
              </w:rPr>
              <w:t>、摄像接口，1个；</w:t>
            </w:r>
          </w:p>
          <w:p w14:paraId="14B4B065">
            <w:pPr>
              <w:keepNext w:val="0"/>
              <w:keepLines w:val="0"/>
              <w:suppressLineNumbers w:val="0"/>
              <w:wordWrap w:val="0"/>
              <w:spacing w:before="0" w:beforeAutospacing="0" w:after="0" w:afterAutospacing="0"/>
              <w:ind w:left="0" w:right="0"/>
              <w:rPr>
                <w:color w:val="auto"/>
                <w:sz w:val="21"/>
                <w:szCs w:val="18"/>
                <w:highlight w:val="none"/>
              </w:rPr>
            </w:pPr>
            <w:r>
              <w:rPr>
                <w:color w:val="auto"/>
                <w:sz w:val="21"/>
                <w:szCs w:val="18"/>
                <w:highlight w:val="none"/>
              </w:rPr>
              <w:t>9</w:t>
            </w:r>
            <w:r>
              <w:rPr>
                <w:rFonts w:hint="eastAsia"/>
                <w:color w:val="auto"/>
                <w:sz w:val="21"/>
                <w:szCs w:val="18"/>
                <w:highlight w:val="none"/>
              </w:rPr>
              <w:t>、显微镜相机，1个；</w:t>
            </w:r>
          </w:p>
          <w:p w14:paraId="30080D78">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1</w:t>
            </w:r>
            <w:r>
              <w:rPr>
                <w:color w:val="auto"/>
                <w:sz w:val="21"/>
                <w:szCs w:val="18"/>
                <w:highlight w:val="none"/>
              </w:rPr>
              <w:t>0</w:t>
            </w:r>
            <w:r>
              <w:rPr>
                <w:rFonts w:hint="eastAsia"/>
                <w:color w:val="auto"/>
                <w:sz w:val="21"/>
                <w:szCs w:val="18"/>
                <w:highlight w:val="none"/>
              </w:rPr>
              <w:t>、平板，1台；</w:t>
            </w:r>
          </w:p>
          <w:p w14:paraId="22C7B7AB">
            <w:pPr>
              <w:keepNext w:val="0"/>
              <w:keepLines w:val="0"/>
              <w:suppressLineNumbers w:val="0"/>
              <w:wordWrap w:val="0"/>
              <w:spacing w:before="0" w:beforeAutospacing="0" w:after="0" w:afterAutospacing="0"/>
              <w:ind w:left="0" w:right="0"/>
              <w:rPr>
                <w:color w:val="auto"/>
                <w:sz w:val="21"/>
                <w:szCs w:val="18"/>
                <w:highlight w:val="none"/>
              </w:rPr>
            </w:pPr>
            <w:r>
              <w:rPr>
                <w:rFonts w:hint="eastAsia"/>
                <w:color w:val="auto"/>
                <w:sz w:val="21"/>
                <w:szCs w:val="18"/>
                <w:highlight w:val="none"/>
              </w:rPr>
              <w:t>1</w:t>
            </w:r>
            <w:r>
              <w:rPr>
                <w:color w:val="auto"/>
                <w:sz w:val="21"/>
                <w:szCs w:val="18"/>
                <w:highlight w:val="none"/>
              </w:rPr>
              <w:t>1</w:t>
            </w:r>
            <w:r>
              <w:rPr>
                <w:rFonts w:hint="eastAsia"/>
                <w:color w:val="auto"/>
                <w:sz w:val="21"/>
                <w:szCs w:val="18"/>
                <w:highlight w:val="none"/>
              </w:rPr>
              <w:t>、平板支架，1个；</w:t>
            </w:r>
          </w:p>
          <w:p w14:paraId="47F3CE19">
            <w:pPr>
              <w:keepNext w:val="0"/>
              <w:keepLines w:val="0"/>
              <w:suppressLineNumbers w:val="0"/>
              <w:wordWrap w:val="0"/>
              <w:spacing w:before="0" w:beforeAutospacing="0" w:after="0" w:afterAutospacing="0"/>
              <w:ind w:left="0" w:right="0"/>
              <w:rPr>
                <w:rFonts w:hint="eastAsia" w:ascii="Times New Roman" w:hAnsi="Times New Roman" w:eastAsia="宋体" w:cs="Times New Roman"/>
                <w:color w:val="auto"/>
                <w:kern w:val="2"/>
                <w:sz w:val="21"/>
                <w:szCs w:val="18"/>
                <w:highlight w:val="none"/>
                <w:lang w:val="en-US" w:eastAsia="zh-CN" w:bidi="ar-SA"/>
              </w:rPr>
            </w:pPr>
            <w:r>
              <w:rPr>
                <w:rFonts w:hint="eastAsia"/>
                <w:color w:val="auto"/>
                <w:sz w:val="21"/>
                <w:szCs w:val="18"/>
                <w:highlight w:val="none"/>
              </w:rPr>
              <w:t>1</w:t>
            </w:r>
            <w:r>
              <w:rPr>
                <w:color w:val="auto"/>
                <w:sz w:val="21"/>
                <w:szCs w:val="18"/>
                <w:highlight w:val="none"/>
              </w:rPr>
              <w:t>2</w:t>
            </w:r>
            <w:r>
              <w:rPr>
                <w:rFonts w:hint="eastAsia"/>
                <w:color w:val="auto"/>
                <w:sz w:val="21"/>
                <w:szCs w:val="18"/>
                <w:highlight w:val="none"/>
              </w:rPr>
              <w:t>、防尘罩，1个。</w:t>
            </w:r>
          </w:p>
        </w:tc>
        <w:tc>
          <w:tcPr>
            <w:tcW w:w="1497" w:type="dxa"/>
            <w:tcBorders>
              <w:top w:val="single" w:color="000000" w:sz="4" w:space="0"/>
              <w:left w:val="single" w:color="auto" w:sz="4" w:space="0"/>
              <w:bottom w:val="single" w:color="000000" w:sz="4" w:space="0"/>
              <w:right w:val="single" w:color="000000" w:sz="4" w:space="0"/>
            </w:tcBorders>
            <w:vAlign w:val="center"/>
          </w:tcPr>
          <w:p w14:paraId="35A4981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cs="宋体"/>
                <w:b w:val="0"/>
                <w:bCs w:val="0"/>
                <w:color w:val="auto"/>
                <w:szCs w:val="21"/>
                <w:highlight w:val="none"/>
                <w:u w:val="none"/>
              </w:rPr>
            </w:pPr>
            <w:r>
              <w:rPr>
                <w:rFonts w:hint="eastAsia" w:eastAsia="宋体" w:asciiTheme="minorEastAsia" w:hAnsiTheme="minorEastAsia" w:cstheme="minorEastAsia"/>
                <w:color w:val="auto"/>
                <w:sz w:val="24"/>
                <w:highlight w:val="none"/>
                <w:shd w:val="clear" w:color="auto" w:fill="FFFFFF"/>
              </w:rPr>
              <w:t>工业</w:t>
            </w:r>
          </w:p>
        </w:tc>
      </w:tr>
      <w:tr w14:paraId="42EF32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68C502AA">
            <w:pPr>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1</w:t>
            </w:r>
            <w:r>
              <w:rPr>
                <w:color w:val="auto"/>
                <w:sz w:val="21"/>
                <w:szCs w:val="21"/>
                <w:highlight w:val="none"/>
              </w:rPr>
              <w:t>8</w:t>
            </w:r>
          </w:p>
        </w:tc>
        <w:tc>
          <w:tcPr>
            <w:tcW w:w="1119" w:type="dxa"/>
            <w:tcBorders>
              <w:top w:val="single" w:color="000000" w:sz="4" w:space="0"/>
              <w:left w:val="nil"/>
              <w:bottom w:val="single" w:color="000000" w:sz="4" w:space="0"/>
              <w:right w:val="single" w:color="000000" w:sz="4" w:space="0"/>
            </w:tcBorders>
            <w:shd w:val="clear" w:color="auto" w:fill="auto"/>
            <w:vAlign w:val="center"/>
          </w:tcPr>
          <w:p w14:paraId="1B5585EE">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检验数字孪生综合实训平台</w:t>
            </w:r>
          </w:p>
        </w:tc>
        <w:tc>
          <w:tcPr>
            <w:tcW w:w="562" w:type="dxa"/>
            <w:tcBorders>
              <w:top w:val="single" w:color="000000" w:sz="4" w:space="0"/>
              <w:left w:val="nil"/>
              <w:bottom w:val="single" w:color="000000" w:sz="4" w:space="0"/>
              <w:right w:val="single" w:color="000000" w:sz="4" w:space="0"/>
            </w:tcBorders>
            <w:shd w:val="clear" w:color="auto" w:fill="auto"/>
            <w:vAlign w:val="center"/>
          </w:tcPr>
          <w:p w14:paraId="18935833">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color w:val="auto"/>
                <w:sz w:val="21"/>
                <w:szCs w:val="21"/>
                <w:highlight w:val="none"/>
              </w:rPr>
              <w:t>3</w:t>
            </w:r>
          </w:p>
        </w:tc>
        <w:tc>
          <w:tcPr>
            <w:tcW w:w="519" w:type="dxa"/>
            <w:tcBorders>
              <w:top w:val="single" w:color="000000" w:sz="4" w:space="0"/>
              <w:left w:val="nil"/>
              <w:bottom w:val="single" w:color="000000" w:sz="4" w:space="0"/>
              <w:right w:val="single" w:color="000000" w:sz="4" w:space="0"/>
            </w:tcBorders>
            <w:shd w:val="clear" w:color="auto" w:fill="auto"/>
            <w:vAlign w:val="center"/>
          </w:tcPr>
          <w:p w14:paraId="310F1FBF">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套</w:t>
            </w:r>
          </w:p>
        </w:tc>
        <w:tc>
          <w:tcPr>
            <w:tcW w:w="5194" w:type="dxa"/>
            <w:tcBorders>
              <w:top w:val="single" w:color="000000" w:sz="4" w:space="0"/>
              <w:left w:val="nil"/>
              <w:bottom w:val="single" w:color="000000" w:sz="4" w:space="0"/>
              <w:right w:val="single" w:color="auto" w:sz="4" w:space="0"/>
            </w:tcBorders>
            <w:shd w:val="clear" w:color="auto" w:fill="auto"/>
            <w:vAlign w:val="top"/>
          </w:tcPr>
          <w:p w14:paraId="33633CBD">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一、技术要求：</w:t>
            </w:r>
          </w:p>
          <w:p w14:paraId="76D5708B">
            <w:pPr>
              <w:keepNext w:val="0"/>
              <w:keepLines w:val="0"/>
              <w:suppressLineNumbers w:val="0"/>
              <w:spacing w:before="0" w:beforeAutospacing="0" w:after="0" w:afterAutospacing="0"/>
              <w:ind w:left="0" w:right="0"/>
              <w:rPr>
                <w:color w:val="auto"/>
                <w:sz w:val="21"/>
                <w:szCs w:val="21"/>
                <w:highlight w:val="none"/>
              </w:rPr>
            </w:pPr>
            <w:r>
              <w:rPr>
                <w:rFonts w:hint="eastAsia"/>
                <w:color w:val="auto"/>
                <w:szCs w:val="15"/>
                <w:highlight w:val="none"/>
              </w:rPr>
              <w:t>▲</w:t>
            </w:r>
            <w:r>
              <w:rPr>
                <w:rFonts w:hint="eastAsia"/>
                <w:color w:val="auto"/>
                <w:sz w:val="21"/>
                <w:szCs w:val="21"/>
                <w:highlight w:val="none"/>
              </w:rPr>
              <w:t>（一）生化分析仪，可开展如下实验项目（包括但不限于）：</w:t>
            </w:r>
          </w:p>
          <w:p w14:paraId="31FAF03C">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w:t>
            </w:r>
            <w:r>
              <w:rPr>
                <w:rFonts w:hint="eastAsia"/>
                <w:color w:val="auto"/>
                <w:sz w:val="21"/>
                <w:szCs w:val="21"/>
                <w:highlight w:val="none"/>
              </w:rPr>
              <w:t>电解质5项</w:t>
            </w:r>
          </w:p>
          <w:p w14:paraId="1003377D">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2</w:t>
            </w:r>
            <w:r>
              <w:rPr>
                <w:color w:val="auto"/>
                <w:sz w:val="21"/>
                <w:szCs w:val="21"/>
                <w:highlight w:val="none"/>
              </w:rPr>
              <w:t>.</w:t>
            </w:r>
            <w:r>
              <w:rPr>
                <w:rFonts w:hint="eastAsia"/>
                <w:color w:val="auto"/>
                <w:sz w:val="21"/>
                <w:szCs w:val="21"/>
                <w:highlight w:val="none"/>
              </w:rPr>
              <w:t>肾功5项</w:t>
            </w:r>
          </w:p>
          <w:p w14:paraId="63B2A64D">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3</w:t>
            </w:r>
            <w:r>
              <w:rPr>
                <w:color w:val="auto"/>
                <w:sz w:val="21"/>
                <w:szCs w:val="21"/>
                <w:highlight w:val="none"/>
              </w:rPr>
              <w:t>.</w:t>
            </w:r>
            <w:r>
              <w:rPr>
                <w:rFonts w:hint="eastAsia"/>
                <w:color w:val="auto"/>
                <w:sz w:val="21"/>
                <w:szCs w:val="21"/>
                <w:highlight w:val="none"/>
              </w:rPr>
              <w:t>肝功全套</w:t>
            </w:r>
          </w:p>
          <w:p w14:paraId="684DB01A">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4</w:t>
            </w:r>
            <w:r>
              <w:rPr>
                <w:color w:val="auto"/>
                <w:sz w:val="21"/>
                <w:szCs w:val="21"/>
                <w:highlight w:val="none"/>
              </w:rPr>
              <w:t>.</w:t>
            </w:r>
            <w:r>
              <w:rPr>
                <w:rFonts w:hint="eastAsia"/>
                <w:color w:val="auto"/>
                <w:sz w:val="21"/>
                <w:szCs w:val="21"/>
                <w:highlight w:val="none"/>
              </w:rPr>
              <w:t>血脂4项</w:t>
            </w:r>
          </w:p>
          <w:p w14:paraId="57223E07">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5</w:t>
            </w:r>
            <w:r>
              <w:rPr>
                <w:color w:val="auto"/>
                <w:sz w:val="21"/>
                <w:szCs w:val="21"/>
                <w:highlight w:val="none"/>
              </w:rPr>
              <w:t>.</w:t>
            </w:r>
            <w:r>
              <w:rPr>
                <w:rFonts w:hint="eastAsia"/>
                <w:color w:val="auto"/>
                <w:sz w:val="21"/>
                <w:szCs w:val="21"/>
                <w:highlight w:val="none"/>
              </w:rPr>
              <w:t>血脂7项</w:t>
            </w:r>
          </w:p>
          <w:p w14:paraId="22B88576">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6</w:t>
            </w:r>
            <w:r>
              <w:rPr>
                <w:color w:val="auto"/>
                <w:sz w:val="21"/>
                <w:szCs w:val="21"/>
                <w:highlight w:val="none"/>
              </w:rPr>
              <w:t>.</w:t>
            </w:r>
            <w:r>
              <w:rPr>
                <w:rFonts w:hint="eastAsia"/>
                <w:color w:val="auto"/>
                <w:sz w:val="21"/>
                <w:szCs w:val="21"/>
                <w:highlight w:val="none"/>
              </w:rPr>
              <w:t>心肌酶谱6项+肌红</w:t>
            </w:r>
          </w:p>
          <w:p w14:paraId="504460F9">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7</w:t>
            </w:r>
            <w:r>
              <w:rPr>
                <w:color w:val="auto"/>
                <w:sz w:val="21"/>
                <w:szCs w:val="21"/>
                <w:highlight w:val="none"/>
              </w:rPr>
              <w:t>.</w:t>
            </w:r>
            <w:r>
              <w:rPr>
                <w:rFonts w:hint="eastAsia"/>
                <w:color w:val="auto"/>
                <w:sz w:val="21"/>
                <w:szCs w:val="21"/>
                <w:highlight w:val="none"/>
              </w:rPr>
              <w:t>胸水生化</w:t>
            </w:r>
          </w:p>
          <w:p w14:paraId="029FAB64">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8</w:t>
            </w:r>
            <w:r>
              <w:rPr>
                <w:color w:val="auto"/>
                <w:sz w:val="21"/>
                <w:szCs w:val="21"/>
                <w:highlight w:val="none"/>
              </w:rPr>
              <w:t>.</w:t>
            </w:r>
            <w:r>
              <w:rPr>
                <w:rFonts w:hint="eastAsia"/>
                <w:color w:val="auto"/>
                <w:sz w:val="21"/>
                <w:szCs w:val="21"/>
                <w:highlight w:val="none"/>
              </w:rPr>
              <w:t>腹水生化</w:t>
            </w:r>
          </w:p>
          <w:p w14:paraId="497165A8">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9</w:t>
            </w:r>
            <w:r>
              <w:rPr>
                <w:color w:val="auto"/>
                <w:sz w:val="21"/>
                <w:szCs w:val="21"/>
                <w:highlight w:val="none"/>
              </w:rPr>
              <w:t>.</w:t>
            </w:r>
            <w:r>
              <w:rPr>
                <w:rFonts w:hint="eastAsia"/>
                <w:color w:val="auto"/>
                <w:sz w:val="21"/>
                <w:szCs w:val="21"/>
                <w:highlight w:val="none"/>
              </w:rPr>
              <w:t>脑脊液生化</w:t>
            </w:r>
          </w:p>
          <w:p w14:paraId="633F5B0B">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0.</w:t>
            </w:r>
            <w:r>
              <w:rPr>
                <w:rFonts w:hint="eastAsia"/>
                <w:color w:val="auto"/>
                <w:sz w:val="21"/>
                <w:szCs w:val="21"/>
                <w:highlight w:val="none"/>
              </w:rPr>
              <w:t>血清蛋白电泳</w:t>
            </w:r>
          </w:p>
          <w:p w14:paraId="5F83B459">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1.</w:t>
            </w:r>
            <w:r>
              <w:rPr>
                <w:rFonts w:hint="eastAsia"/>
                <w:color w:val="auto"/>
                <w:sz w:val="21"/>
                <w:szCs w:val="21"/>
                <w:highlight w:val="none"/>
              </w:rPr>
              <w:t>血红蛋白电泳</w:t>
            </w:r>
          </w:p>
          <w:p w14:paraId="5EB6650A">
            <w:pPr>
              <w:keepNext w:val="0"/>
              <w:keepLines w:val="0"/>
              <w:suppressLineNumbers w:val="0"/>
              <w:spacing w:before="0" w:beforeAutospacing="0" w:after="0" w:afterAutospacing="0"/>
              <w:ind w:left="0" w:right="0"/>
              <w:rPr>
                <w:color w:val="auto"/>
                <w:sz w:val="21"/>
                <w:szCs w:val="21"/>
                <w:highlight w:val="none"/>
              </w:rPr>
            </w:pPr>
            <w:r>
              <w:rPr>
                <w:color w:val="auto"/>
                <w:sz w:val="21"/>
                <w:szCs w:val="21"/>
                <w:highlight w:val="none"/>
              </w:rPr>
              <w:t>12.</w:t>
            </w:r>
            <w:r>
              <w:rPr>
                <w:rFonts w:hint="eastAsia"/>
                <w:color w:val="auto"/>
                <w:sz w:val="21"/>
                <w:szCs w:val="21"/>
                <w:highlight w:val="none"/>
              </w:rPr>
              <w:t>血糖</w:t>
            </w:r>
          </w:p>
          <w:p w14:paraId="186E03B0">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3.</w:t>
            </w:r>
            <w:r>
              <w:rPr>
                <w:rFonts w:hint="eastAsia"/>
                <w:color w:val="auto"/>
                <w:sz w:val="21"/>
                <w:szCs w:val="21"/>
                <w:highlight w:val="none"/>
              </w:rPr>
              <w:t>穿刺液生化</w:t>
            </w:r>
          </w:p>
          <w:p w14:paraId="041D6EA3">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4.</w:t>
            </w:r>
            <w:r>
              <w:rPr>
                <w:rFonts w:hint="eastAsia"/>
                <w:color w:val="auto"/>
                <w:sz w:val="21"/>
                <w:szCs w:val="21"/>
                <w:highlight w:val="none"/>
              </w:rPr>
              <w:t>胰腺炎系列检测</w:t>
            </w:r>
          </w:p>
          <w:p w14:paraId="786BD691">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5.</w:t>
            </w:r>
            <w:r>
              <w:rPr>
                <w:rFonts w:hint="eastAsia"/>
                <w:color w:val="auto"/>
                <w:sz w:val="21"/>
                <w:szCs w:val="21"/>
                <w:highlight w:val="none"/>
              </w:rPr>
              <w:t>心肌损伤标志物定量</w:t>
            </w:r>
          </w:p>
          <w:p w14:paraId="5024BEDE">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6.</w:t>
            </w:r>
            <w:r>
              <w:rPr>
                <w:rFonts w:hint="eastAsia"/>
                <w:color w:val="auto"/>
                <w:sz w:val="21"/>
                <w:szCs w:val="21"/>
                <w:highlight w:val="none"/>
              </w:rPr>
              <w:t>尿微量白蛋白/肌酐</w:t>
            </w:r>
          </w:p>
          <w:p w14:paraId="2121593D">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7.</w:t>
            </w:r>
            <w:r>
              <w:rPr>
                <w:rFonts w:hint="eastAsia"/>
                <w:color w:val="auto"/>
                <w:sz w:val="21"/>
                <w:szCs w:val="21"/>
                <w:highlight w:val="none"/>
              </w:rPr>
              <w:t>尿钾钠氯</w:t>
            </w:r>
          </w:p>
          <w:p w14:paraId="544A847E">
            <w:pPr>
              <w:keepNext w:val="0"/>
              <w:keepLines w:val="0"/>
              <w:suppressLineNumbers w:val="0"/>
              <w:spacing w:before="0" w:beforeAutospacing="0" w:after="0" w:afterAutospacing="0"/>
              <w:ind w:left="0" w:right="0"/>
              <w:rPr>
                <w:color w:val="auto"/>
                <w:sz w:val="21"/>
                <w:szCs w:val="21"/>
                <w:highlight w:val="none"/>
              </w:rPr>
            </w:pPr>
            <w:r>
              <w:rPr>
                <w:rFonts w:hint="eastAsia"/>
                <w:color w:val="auto"/>
                <w:szCs w:val="15"/>
                <w:highlight w:val="none"/>
              </w:rPr>
              <w:t>▲</w:t>
            </w:r>
            <w:r>
              <w:rPr>
                <w:rFonts w:hint="eastAsia"/>
                <w:color w:val="auto"/>
                <w:sz w:val="21"/>
                <w:szCs w:val="21"/>
                <w:highlight w:val="none"/>
              </w:rPr>
              <w:t>（二）血液分析仪，可开展血常规实验项目（不少于2</w:t>
            </w:r>
            <w:r>
              <w:rPr>
                <w:color w:val="auto"/>
                <w:sz w:val="21"/>
                <w:szCs w:val="21"/>
                <w:highlight w:val="none"/>
              </w:rPr>
              <w:t>4</w:t>
            </w:r>
            <w:r>
              <w:rPr>
                <w:rFonts w:hint="eastAsia"/>
                <w:color w:val="auto"/>
                <w:sz w:val="21"/>
                <w:szCs w:val="21"/>
                <w:highlight w:val="none"/>
              </w:rPr>
              <w:t>项）；</w:t>
            </w:r>
          </w:p>
          <w:p w14:paraId="15DDB59E">
            <w:pPr>
              <w:keepNext w:val="0"/>
              <w:keepLines w:val="0"/>
              <w:suppressLineNumbers w:val="0"/>
              <w:spacing w:before="0" w:beforeAutospacing="0" w:after="0" w:afterAutospacing="0"/>
              <w:ind w:left="0" w:right="0"/>
              <w:rPr>
                <w:color w:val="auto"/>
                <w:sz w:val="21"/>
                <w:szCs w:val="21"/>
                <w:highlight w:val="none"/>
              </w:rPr>
            </w:pPr>
            <w:r>
              <w:rPr>
                <w:rFonts w:hint="eastAsia"/>
                <w:color w:val="auto"/>
                <w:szCs w:val="15"/>
                <w:highlight w:val="none"/>
              </w:rPr>
              <w:t>▲</w:t>
            </w:r>
            <w:r>
              <w:rPr>
                <w:rFonts w:hint="eastAsia"/>
                <w:color w:val="auto"/>
                <w:sz w:val="21"/>
                <w:szCs w:val="21"/>
                <w:highlight w:val="none"/>
              </w:rPr>
              <w:t>（三）尿液分析仪：可开展尿液分析+沉渣定量实验项目（不少于23项）；</w:t>
            </w:r>
          </w:p>
          <w:p w14:paraId="44D755C2">
            <w:pPr>
              <w:keepNext w:val="0"/>
              <w:keepLines w:val="0"/>
              <w:suppressLineNumbers w:val="0"/>
              <w:spacing w:before="0" w:beforeAutospacing="0" w:after="0" w:afterAutospacing="0"/>
              <w:ind w:left="0" w:right="0"/>
              <w:rPr>
                <w:color w:val="auto"/>
                <w:sz w:val="21"/>
                <w:szCs w:val="21"/>
                <w:highlight w:val="none"/>
              </w:rPr>
            </w:pPr>
            <w:r>
              <w:rPr>
                <w:rFonts w:hint="eastAsia"/>
                <w:color w:val="auto"/>
                <w:szCs w:val="15"/>
                <w:highlight w:val="none"/>
              </w:rPr>
              <w:t>▲</w:t>
            </w:r>
            <w:r>
              <w:rPr>
                <w:rFonts w:hint="eastAsia"/>
                <w:color w:val="auto"/>
                <w:sz w:val="21"/>
                <w:szCs w:val="21"/>
                <w:highlight w:val="none"/>
              </w:rPr>
              <w:t>（四）凝血分析仪：可开展凝血四项+D二聚体实验项目；</w:t>
            </w:r>
          </w:p>
          <w:p w14:paraId="644350A4">
            <w:pPr>
              <w:keepNext w:val="0"/>
              <w:keepLines w:val="0"/>
              <w:suppressLineNumbers w:val="0"/>
              <w:spacing w:before="0" w:beforeAutospacing="0" w:after="0" w:afterAutospacing="0"/>
              <w:ind w:left="0" w:right="0"/>
              <w:rPr>
                <w:color w:val="auto"/>
                <w:sz w:val="21"/>
                <w:szCs w:val="21"/>
                <w:highlight w:val="none"/>
              </w:rPr>
            </w:pPr>
            <w:r>
              <w:rPr>
                <w:rFonts w:hint="eastAsia"/>
                <w:color w:val="auto"/>
                <w:szCs w:val="15"/>
                <w:highlight w:val="none"/>
              </w:rPr>
              <w:t>▲</w:t>
            </w:r>
            <w:r>
              <w:rPr>
                <w:rFonts w:hint="eastAsia"/>
                <w:color w:val="auto"/>
                <w:sz w:val="21"/>
                <w:szCs w:val="21"/>
                <w:highlight w:val="none"/>
              </w:rPr>
              <w:t>（五）免疫分析仪，可开展如下实验项目（包括但不限于）：</w:t>
            </w:r>
          </w:p>
          <w:p w14:paraId="401FC180">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w:t>
            </w:r>
            <w:r>
              <w:rPr>
                <w:rFonts w:hint="eastAsia"/>
                <w:color w:val="auto"/>
                <w:sz w:val="21"/>
                <w:szCs w:val="21"/>
                <w:highlight w:val="none"/>
              </w:rPr>
              <w:t>免疫球蛋白</w:t>
            </w:r>
          </w:p>
          <w:p w14:paraId="36EDD508">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2</w:t>
            </w:r>
            <w:r>
              <w:rPr>
                <w:color w:val="auto"/>
                <w:sz w:val="21"/>
                <w:szCs w:val="21"/>
                <w:highlight w:val="none"/>
              </w:rPr>
              <w:t>.</w:t>
            </w:r>
            <w:r>
              <w:rPr>
                <w:rFonts w:hint="eastAsia"/>
                <w:color w:val="auto"/>
                <w:sz w:val="21"/>
                <w:szCs w:val="21"/>
                <w:highlight w:val="none"/>
              </w:rPr>
              <w:t>补体C3、C4</w:t>
            </w:r>
          </w:p>
          <w:p w14:paraId="2FC28AD7">
            <w:pPr>
              <w:keepNext w:val="0"/>
              <w:keepLines w:val="0"/>
              <w:suppressLineNumbers w:val="0"/>
              <w:spacing w:before="0" w:beforeAutospacing="0" w:after="0" w:afterAutospacing="0"/>
              <w:ind w:left="0" w:right="0"/>
              <w:rPr>
                <w:color w:val="auto"/>
                <w:sz w:val="21"/>
                <w:szCs w:val="21"/>
                <w:highlight w:val="none"/>
              </w:rPr>
            </w:pPr>
            <w:r>
              <w:rPr>
                <w:color w:val="auto"/>
                <w:sz w:val="21"/>
                <w:szCs w:val="21"/>
                <w:highlight w:val="none"/>
              </w:rPr>
              <w:t>3.</w:t>
            </w:r>
            <w:r>
              <w:rPr>
                <w:rFonts w:hint="eastAsia"/>
                <w:color w:val="auto"/>
                <w:sz w:val="21"/>
                <w:szCs w:val="21"/>
                <w:highlight w:val="none"/>
              </w:rPr>
              <w:t>ASO+RF+抗CCP</w:t>
            </w:r>
          </w:p>
          <w:p w14:paraId="1A32BCC1">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4</w:t>
            </w:r>
            <w:r>
              <w:rPr>
                <w:color w:val="auto"/>
                <w:sz w:val="21"/>
                <w:szCs w:val="21"/>
                <w:highlight w:val="none"/>
              </w:rPr>
              <w:t>.</w:t>
            </w:r>
            <w:r>
              <w:rPr>
                <w:rFonts w:hint="eastAsia"/>
                <w:color w:val="auto"/>
                <w:sz w:val="21"/>
                <w:szCs w:val="21"/>
                <w:highlight w:val="none"/>
              </w:rPr>
              <w:t>乙肝标志物五项定性</w:t>
            </w:r>
          </w:p>
          <w:p w14:paraId="3CBDED1D">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5</w:t>
            </w:r>
            <w:r>
              <w:rPr>
                <w:color w:val="auto"/>
                <w:sz w:val="21"/>
                <w:szCs w:val="21"/>
                <w:highlight w:val="none"/>
              </w:rPr>
              <w:t>.</w:t>
            </w:r>
            <w:r>
              <w:rPr>
                <w:rFonts w:hint="eastAsia"/>
                <w:color w:val="auto"/>
                <w:sz w:val="21"/>
                <w:szCs w:val="21"/>
                <w:highlight w:val="none"/>
              </w:rPr>
              <w:t>乙肝标志物七项定性</w:t>
            </w:r>
          </w:p>
          <w:p w14:paraId="26CC9F5B">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6</w:t>
            </w:r>
            <w:r>
              <w:rPr>
                <w:color w:val="auto"/>
                <w:sz w:val="21"/>
                <w:szCs w:val="21"/>
                <w:highlight w:val="none"/>
              </w:rPr>
              <w:t>.</w:t>
            </w:r>
            <w:r>
              <w:rPr>
                <w:rFonts w:hint="eastAsia"/>
                <w:color w:val="auto"/>
                <w:sz w:val="21"/>
                <w:szCs w:val="21"/>
                <w:highlight w:val="none"/>
              </w:rPr>
              <w:t>乙肝标志物五项定量</w:t>
            </w:r>
          </w:p>
          <w:p w14:paraId="187D3353">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7</w:t>
            </w:r>
            <w:r>
              <w:rPr>
                <w:color w:val="auto"/>
                <w:sz w:val="21"/>
                <w:szCs w:val="21"/>
                <w:highlight w:val="none"/>
              </w:rPr>
              <w:t>.</w:t>
            </w:r>
            <w:r>
              <w:rPr>
                <w:rFonts w:hint="eastAsia"/>
                <w:color w:val="auto"/>
                <w:sz w:val="21"/>
                <w:szCs w:val="21"/>
                <w:highlight w:val="none"/>
              </w:rPr>
              <w:t>肝炎标志物(3项)</w:t>
            </w:r>
          </w:p>
          <w:p w14:paraId="39890813">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8</w:t>
            </w:r>
            <w:r>
              <w:rPr>
                <w:color w:val="auto"/>
                <w:sz w:val="21"/>
                <w:szCs w:val="21"/>
                <w:highlight w:val="none"/>
              </w:rPr>
              <w:t>.</w:t>
            </w:r>
            <w:r>
              <w:rPr>
                <w:rFonts w:hint="eastAsia"/>
                <w:color w:val="auto"/>
                <w:sz w:val="21"/>
                <w:szCs w:val="21"/>
                <w:highlight w:val="none"/>
              </w:rPr>
              <w:t>糖尿病自身抗体</w:t>
            </w:r>
          </w:p>
          <w:p w14:paraId="2412C54B">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9</w:t>
            </w:r>
            <w:r>
              <w:rPr>
                <w:color w:val="auto"/>
                <w:sz w:val="21"/>
                <w:szCs w:val="21"/>
                <w:highlight w:val="none"/>
              </w:rPr>
              <w:t>.</w:t>
            </w:r>
            <w:r>
              <w:rPr>
                <w:rFonts w:hint="eastAsia"/>
                <w:color w:val="auto"/>
                <w:sz w:val="21"/>
                <w:szCs w:val="21"/>
                <w:highlight w:val="none"/>
              </w:rPr>
              <w:t>自身免疫抗核抗体谱</w:t>
            </w:r>
          </w:p>
          <w:p w14:paraId="24E4EBA3">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0.</w:t>
            </w:r>
            <w:r>
              <w:rPr>
                <w:rFonts w:hint="eastAsia"/>
                <w:color w:val="auto"/>
                <w:sz w:val="21"/>
                <w:szCs w:val="21"/>
                <w:highlight w:val="none"/>
              </w:rPr>
              <w:t>自身免疫肝病抗体谱</w:t>
            </w:r>
          </w:p>
          <w:p w14:paraId="69A0E402">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1.</w:t>
            </w:r>
            <w:r>
              <w:rPr>
                <w:rFonts w:hint="eastAsia"/>
                <w:color w:val="auto"/>
                <w:sz w:val="21"/>
                <w:szCs w:val="21"/>
                <w:highlight w:val="none"/>
              </w:rPr>
              <w:t>感染性疾病血清标志物</w:t>
            </w:r>
          </w:p>
          <w:p w14:paraId="08C657E6">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2.</w:t>
            </w:r>
            <w:r>
              <w:rPr>
                <w:rFonts w:hint="eastAsia"/>
                <w:color w:val="auto"/>
                <w:sz w:val="21"/>
                <w:szCs w:val="21"/>
                <w:highlight w:val="none"/>
              </w:rPr>
              <w:t>自身免疫血管炎抗体谱</w:t>
            </w:r>
          </w:p>
          <w:p w14:paraId="531BEBE8">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3.</w:t>
            </w:r>
            <w:r>
              <w:rPr>
                <w:rFonts w:hint="eastAsia"/>
                <w:color w:val="auto"/>
                <w:sz w:val="21"/>
                <w:szCs w:val="21"/>
                <w:highlight w:val="none"/>
              </w:rPr>
              <w:t>结缔组织病抗体</w:t>
            </w:r>
          </w:p>
          <w:p w14:paraId="162FF80B">
            <w:pPr>
              <w:keepNext w:val="0"/>
              <w:keepLines w:val="0"/>
              <w:suppressLineNumbers w:val="0"/>
              <w:spacing w:before="0" w:beforeAutospacing="0" w:after="0" w:afterAutospacing="0"/>
              <w:ind w:left="0" w:right="0"/>
              <w:rPr>
                <w:color w:val="auto"/>
                <w:sz w:val="21"/>
                <w:szCs w:val="21"/>
                <w:highlight w:val="none"/>
              </w:rPr>
            </w:pPr>
            <w:r>
              <w:rPr>
                <w:color w:val="auto"/>
                <w:sz w:val="21"/>
                <w:szCs w:val="21"/>
                <w:highlight w:val="none"/>
              </w:rPr>
              <w:t>14.</w:t>
            </w:r>
            <w:r>
              <w:rPr>
                <w:rFonts w:hint="eastAsia"/>
                <w:color w:val="auto"/>
                <w:sz w:val="21"/>
                <w:szCs w:val="21"/>
                <w:highlight w:val="none"/>
              </w:rPr>
              <w:t>HIV和HIV-P24抗原</w:t>
            </w:r>
          </w:p>
          <w:p w14:paraId="1FDE26BC">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5.</w:t>
            </w:r>
            <w:r>
              <w:rPr>
                <w:rFonts w:hint="eastAsia"/>
                <w:color w:val="auto"/>
                <w:sz w:val="21"/>
                <w:szCs w:val="21"/>
                <w:highlight w:val="none"/>
              </w:rPr>
              <w:t>胰岛素</w:t>
            </w:r>
          </w:p>
          <w:p w14:paraId="3AC28C47">
            <w:pPr>
              <w:keepNext w:val="0"/>
              <w:keepLines w:val="0"/>
              <w:suppressLineNumbers w:val="0"/>
              <w:spacing w:before="0" w:beforeAutospacing="0" w:after="0" w:afterAutospacing="0"/>
              <w:ind w:left="0" w:right="0"/>
              <w:rPr>
                <w:color w:val="auto"/>
                <w:sz w:val="21"/>
                <w:szCs w:val="21"/>
                <w:highlight w:val="none"/>
              </w:rPr>
            </w:pPr>
            <w:r>
              <w:rPr>
                <w:color w:val="auto"/>
                <w:sz w:val="21"/>
                <w:szCs w:val="21"/>
                <w:highlight w:val="none"/>
              </w:rPr>
              <w:t>16.</w:t>
            </w:r>
            <w:r>
              <w:rPr>
                <w:rFonts w:hint="eastAsia"/>
                <w:color w:val="auto"/>
                <w:sz w:val="21"/>
                <w:szCs w:val="21"/>
                <w:highlight w:val="none"/>
              </w:rPr>
              <w:t>C肽释放实验</w:t>
            </w:r>
          </w:p>
          <w:p w14:paraId="5E886309">
            <w:pPr>
              <w:keepNext w:val="0"/>
              <w:keepLines w:val="0"/>
              <w:suppressLineNumbers w:val="0"/>
              <w:spacing w:before="0" w:beforeAutospacing="0" w:after="0" w:afterAutospacing="0"/>
              <w:ind w:left="0" w:right="0"/>
              <w:rPr>
                <w:color w:val="auto"/>
                <w:sz w:val="21"/>
                <w:szCs w:val="21"/>
                <w:highlight w:val="none"/>
              </w:rPr>
            </w:pPr>
            <w:r>
              <w:rPr>
                <w:color w:val="auto"/>
                <w:sz w:val="21"/>
                <w:szCs w:val="21"/>
                <w:highlight w:val="none"/>
              </w:rPr>
              <w:t>17.</w:t>
            </w:r>
            <w:r>
              <w:rPr>
                <w:rFonts w:hint="eastAsia"/>
                <w:color w:val="auto"/>
                <w:sz w:val="21"/>
                <w:szCs w:val="21"/>
                <w:highlight w:val="none"/>
              </w:rPr>
              <w:t>甲功(全套)</w:t>
            </w:r>
          </w:p>
          <w:p w14:paraId="1C2710A5">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8.</w:t>
            </w:r>
            <w:r>
              <w:rPr>
                <w:rFonts w:hint="eastAsia"/>
                <w:color w:val="auto"/>
                <w:sz w:val="21"/>
                <w:szCs w:val="21"/>
                <w:highlight w:val="none"/>
              </w:rPr>
              <w:t>性激素六项</w:t>
            </w:r>
          </w:p>
          <w:p w14:paraId="66C701EF">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9.</w:t>
            </w:r>
            <w:r>
              <w:rPr>
                <w:rFonts w:hint="eastAsia"/>
                <w:color w:val="auto"/>
                <w:sz w:val="21"/>
                <w:szCs w:val="21"/>
                <w:highlight w:val="none"/>
              </w:rPr>
              <w:t>肿瘤(全套)</w:t>
            </w:r>
          </w:p>
          <w:p w14:paraId="4D976EED">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2</w:t>
            </w:r>
            <w:r>
              <w:rPr>
                <w:color w:val="auto"/>
                <w:sz w:val="21"/>
                <w:szCs w:val="21"/>
                <w:highlight w:val="none"/>
              </w:rPr>
              <w:t>0.</w:t>
            </w:r>
            <w:r>
              <w:rPr>
                <w:rFonts w:hint="eastAsia"/>
                <w:color w:val="auto"/>
                <w:sz w:val="21"/>
                <w:szCs w:val="21"/>
                <w:highlight w:val="none"/>
              </w:rPr>
              <w:t>肝纤谱</w:t>
            </w:r>
          </w:p>
          <w:p w14:paraId="44A3DAB6">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2</w:t>
            </w:r>
            <w:r>
              <w:rPr>
                <w:color w:val="auto"/>
                <w:sz w:val="21"/>
                <w:szCs w:val="21"/>
                <w:highlight w:val="none"/>
              </w:rPr>
              <w:t>1.</w:t>
            </w:r>
            <w:r>
              <w:rPr>
                <w:rFonts w:hint="eastAsia"/>
                <w:color w:val="auto"/>
                <w:sz w:val="21"/>
                <w:szCs w:val="21"/>
                <w:highlight w:val="none"/>
              </w:rPr>
              <w:t>甲功5(5项)</w:t>
            </w:r>
          </w:p>
          <w:p w14:paraId="6E99EB31">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2</w:t>
            </w:r>
            <w:r>
              <w:rPr>
                <w:color w:val="auto"/>
                <w:sz w:val="21"/>
                <w:szCs w:val="21"/>
                <w:highlight w:val="none"/>
              </w:rPr>
              <w:t>2.</w:t>
            </w:r>
            <w:r>
              <w:rPr>
                <w:rFonts w:hint="eastAsia"/>
                <w:color w:val="auto"/>
                <w:sz w:val="21"/>
                <w:szCs w:val="21"/>
                <w:highlight w:val="none"/>
              </w:rPr>
              <w:t>骨代谢检查</w:t>
            </w:r>
          </w:p>
          <w:p w14:paraId="175EA328">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2</w:t>
            </w:r>
            <w:r>
              <w:rPr>
                <w:color w:val="auto"/>
                <w:sz w:val="21"/>
                <w:szCs w:val="21"/>
                <w:highlight w:val="none"/>
              </w:rPr>
              <w:t>3.</w:t>
            </w:r>
            <w:r>
              <w:rPr>
                <w:rFonts w:hint="eastAsia"/>
                <w:color w:val="auto"/>
                <w:sz w:val="21"/>
                <w:szCs w:val="21"/>
                <w:highlight w:val="none"/>
              </w:rPr>
              <w:t>高血压5项</w:t>
            </w:r>
          </w:p>
          <w:p w14:paraId="3C2ADF38">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（六）其它，可开展如下实验项目（包括但不限于）：</w:t>
            </w:r>
          </w:p>
          <w:p w14:paraId="4009B6FE">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w:t>
            </w:r>
            <w:r>
              <w:rPr>
                <w:rFonts w:hint="eastAsia"/>
                <w:color w:val="auto"/>
                <w:sz w:val="21"/>
                <w:szCs w:val="21"/>
                <w:highlight w:val="none"/>
              </w:rPr>
              <w:t>血气分析</w:t>
            </w:r>
          </w:p>
          <w:p w14:paraId="6DAABC6B">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2</w:t>
            </w:r>
            <w:r>
              <w:rPr>
                <w:color w:val="auto"/>
                <w:sz w:val="21"/>
                <w:szCs w:val="21"/>
                <w:highlight w:val="none"/>
              </w:rPr>
              <w:t>.</w:t>
            </w:r>
            <w:r>
              <w:rPr>
                <w:rFonts w:hint="eastAsia"/>
                <w:color w:val="auto"/>
                <w:sz w:val="21"/>
                <w:szCs w:val="21"/>
                <w:highlight w:val="none"/>
              </w:rPr>
              <w:t>血流变分析</w:t>
            </w:r>
          </w:p>
          <w:p w14:paraId="7073496E">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3</w:t>
            </w:r>
            <w:r>
              <w:rPr>
                <w:color w:val="auto"/>
                <w:sz w:val="21"/>
                <w:szCs w:val="21"/>
                <w:highlight w:val="none"/>
              </w:rPr>
              <w:t>.</w:t>
            </w:r>
            <w:r>
              <w:rPr>
                <w:rFonts w:hint="eastAsia"/>
                <w:color w:val="auto"/>
                <w:sz w:val="21"/>
                <w:szCs w:val="21"/>
                <w:highlight w:val="none"/>
              </w:rPr>
              <w:t>心包液生化</w:t>
            </w:r>
          </w:p>
          <w:p w14:paraId="7D538C60">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4</w:t>
            </w:r>
            <w:r>
              <w:rPr>
                <w:color w:val="auto"/>
                <w:sz w:val="21"/>
                <w:szCs w:val="21"/>
                <w:highlight w:val="none"/>
              </w:rPr>
              <w:t>.</w:t>
            </w:r>
            <w:r>
              <w:rPr>
                <w:rFonts w:hint="eastAsia"/>
                <w:color w:val="auto"/>
                <w:sz w:val="21"/>
                <w:szCs w:val="21"/>
                <w:highlight w:val="none"/>
              </w:rPr>
              <w:t>尿液分析+尿镜检</w:t>
            </w:r>
          </w:p>
          <w:p w14:paraId="58E09E04">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5</w:t>
            </w:r>
            <w:r>
              <w:rPr>
                <w:color w:val="auto"/>
                <w:sz w:val="21"/>
                <w:szCs w:val="21"/>
                <w:highlight w:val="none"/>
              </w:rPr>
              <w:t>.</w:t>
            </w:r>
            <w:r>
              <w:rPr>
                <w:rFonts w:hint="eastAsia"/>
                <w:color w:val="auto"/>
                <w:sz w:val="21"/>
                <w:szCs w:val="21"/>
                <w:highlight w:val="none"/>
              </w:rPr>
              <w:t>粪便常规</w:t>
            </w:r>
          </w:p>
          <w:p w14:paraId="21AFFCFF">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6</w:t>
            </w:r>
            <w:r>
              <w:rPr>
                <w:color w:val="auto"/>
                <w:sz w:val="21"/>
                <w:szCs w:val="21"/>
                <w:highlight w:val="none"/>
              </w:rPr>
              <w:t>.</w:t>
            </w:r>
            <w:r>
              <w:rPr>
                <w:rFonts w:hint="eastAsia"/>
                <w:color w:val="auto"/>
                <w:sz w:val="21"/>
                <w:szCs w:val="21"/>
                <w:highlight w:val="none"/>
              </w:rPr>
              <w:t>粪便常规+隐血</w:t>
            </w:r>
          </w:p>
          <w:p w14:paraId="07E37FBD">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7</w:t>
            </w:r>
            <w:r>
              <w:rPr>
                <w:color w:val="auto"/>
                <w:sz w:val="21"/>
                <w:szCs w:val="21"/>
                <w:highlight w:val="none"/>
              </w:rPr>
              <w:t>.</w:t>
            </w:r>
            <w:r>
              <w:rPr>
                <w:rFonts w:hint="eastAsia"/>
                <w:color w:val="auto"/>
                <w:sz w:val="21"/>
                <w:szCs w:val="21"/>
                <w:highlight w:val="none"/>
              </w:rPr>
              <w:t>阴道分泌物检查</w:t>
            </w:r>
          </w:p>
          <w:p w14:paraId="73E95FC2">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8</w:t>
            </w:r>
            <w:r>
              <w:rPr>
                <w:color w:val="auto"/>
                <w:sz w:val="21"/>
                <w:szCs w:val="21"/>
                <w:highlight w:val="none"/>
              </w:rPr>
              <w:t>.</w:t>
            </w:r>
            <w:r>
              <w:rPr>
                <w:rFonts w:hint="eastAsia"/>
                <w:color w:val="auto"/>
                <w:sz w:val="21"/>
                <w:szCs w:val="21"/>
                <w:highlight w:val="none"/>
              </w:rPr>
              <w:t>脑脊液常规</w:t>
            </w:r>
          </w:p>
          <w:p w14:paraId="7A78741F">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9</w:t>
            </w:r>
            <w:r>
              <w:rPr>
                <w:color w:val="auto"/>
                <w:sz w:val="21"/>
                <w:szCs w:val="21"/>
                <w:highlight w:val="none"/>
              </w:rPr>
              <w:t>.</w:t>
            </w:r>
            <w:r>
              <w:rPr>
                <w:rFonts w:hint="eastAsia"/>
                <w:color w:val="auto"/>
                <w:sz w:val="21"/>
                <w:szCs w:val="21"/>
                <w:highlight w:val="none"/>
              </w:rPr>
              <w:t>胸水常规</w:t>
            </w:r>
          </w:p>
          <w:p w14:paraId="3D512D0B">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0.</w:t>
            </w:r>
            <w:r>
              <w:rPr>
                <w:rFonts w:hint="eastAsia"/>
                <w:color w:val="auto"/>
                <w:sz w:val="21"/>
                <w:szCs w:val="21"/>
                <w:highlight w:val="none"/>
              </w:rPr>
              <w:t>腹水常规</w:t>
            </w:r>
          </w:p>
          <w:p w14:paraId="76202EB1">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1.</w:t>
            </w:r>
            <w:r>
              <w:rPr>
                <w:rFonts w:hint="eastAsia"/>
                <w:color w:val="auto"/>
                <w:sz w:val="21"/>
                <w:szCs w:val="21"/>
                <w:highlight w:val="none"/>
              </w:rPr>
              <w:t>精液常规</w:t>
            </w:r>
          </w:p>
          <w:p w14:paraId="6E6A1C5C">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2.</w:t>
            </w:r>
            <w:r>
              <w:rPr>
                <w:rFonts w:hint="eastAsia"/>
                <w:color w:val="auto"/>
                <w:sz w:val="21"/>
                <w:szCs w:val="21"/>
                <w:highlight w:val="none"/>
              </w:rPr>
              <w:t>前列腺液常规</w:t>
            </w:r>
          </w:p>
          <w:p w14:paraId="682CD10F">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3.</w:t>
            </w:r>
            <w:r>
              <w:rPr>
                <w:rFonts w:hint="eastAsia"/>
                <w:color w:val="auto"/>
                <w:sz w:val="21"/>
                <w:szCs w:val="21"/>
                <w:highlight w:val="none"/>
              </w:rPr>
              <w:t>一般穿刺液常规</w:t>
            </w:r>
          </w:p>
          <w:p w14:paraId="15BD3F5A">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4.</w:t>
            </w:r>
            <w:r>
              <w:rPr>
                <w:rFonts w:hint="eastAsia"/>
                <w:color w:val="auto"/>
                <w:sz w:val="21"/>
                <w:szCs w:val="21"/>
                <w:highlight w:val="none"/>
              </w:rPr>
              <w:t>尿镜检</w:t>
            </w:r>
          </w:p>
          <w:p w14:paraId="479E79D3">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5.</w:t>
            </w:r>
            <w:r>
              <w:rPr>
                <w:rFonts w:hint="eastAsia"/>
                <w:color w:val="auto"/>
                <w:sz w:val="21"/>
                <w:szCs w:val="21"/>
                <w:highlight w:val="none"/>
              </w:rPr>
              <w:t>粪便寄生虫</w:t>
            </w:r>
          </w:p>
          <w:p w14:paraId="1779B718">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6.</w:t>
            </w:r>
            <w:r>
              <w:rPr>
                <w:rFonts w:hint="eastAsia"/>
                <w:color w:val="auto"/>
                <w:sz w:val="21"/>
                <w:szCs w:val="21"/>
                <w:highlight w:val="none"/>
              </w:rPr>
              <w:t>血管紧张素I</w:t>
            </w:r>
          </w:p>
          <w:p w14:paraId="1AA67FF0">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7.</w:t>
            </w:r>
            <w:r>
              <w:rPr>
                <w:rFonts w:hint="eastAsia"/>
                <w:color w:val="auto"/>
                <w:sz w:val="21"/>
                <w:szCs w:val="21"/>
                <w:highlight w:val="none"/>
              </w:rPr>
              <w:t>一般细菌涂片检查</w:t>
            </w:r>
          </w:p>
          <w:p w14:paraId="14D18CC4">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8.</w:t>
            </w:r>
            <w:r>
              <w:rPr>
                <w:rFonts w:hint="eastAsia"/>
                <w:color w:val="auto"/>
                <w:sz w:val="21"/>
                <w:szCs w:val="21"/>
                <w:highlight w:val="none"/>
              </w:rPr>
              <w:t>标本直接涂片检查</w:t>
            </w:r>
          </w:p>
          <w:p w14:paraId="321A1C71">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9.</w:t>
            </w:r>
            <w:r>
              <w:rPr>
                <w:rFonts w:hint="eastAsia"/>
                <w:color w:val="auto"/>
                <w:sz w:val="21"/>
                <w:szCs w:val="21"/>
                <w:highlight w:val="none"/>
              </w:rPr>
              <w:t>内毒素+葡聚糖测定</w:t>
            </w:r>
          </w:p>
          <w:p w14:paraId="4DDB0FDD">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2</w:t>
            </w:r>
            <w:r>
              <w:rPr>
                <w:color w:val="auto"/>
                <w:sz w:val="21"/>
                <w:szCs w:val="21"/>
                <w:highlight w:val="none"/>
              </w:rPr>
              <w:t>0.</w:t>
            </w:r>
            <w:r>
              <w:rPr>
                <w:rFonts w:hint="eastAsia"/>
                <w:color w:val="auto"/>
                <w:sz w:val="21"/>
                <w:szCs w:val="21"/>
                <w:highlight w:val="none"/>
              </w:rPr>
              <w:t>血型鉴定</w:t>
            </w:r>
          </w:p>
          <w:p w14:paraId="6CD49F9C">
            <w:pPr>
              <w:keepNext w:val="0"/>
              <w:keepLines w:val="0"/>
              <w:suppressLineNumbers w:val="0"/>
              <w:spacing w:before="0" w:beforeAutospacing="0" w:after="0" w:afterAutospacing="0"/>
              <w:ind w:left="0" w:right="0"/>
              <w:rPr>
                <w:color w:val="auto"/>
                <w:sz w:val="21"/>
                <w:szCs w:val="21"/>
                <w:highlight w:val="none"/>
              </w:rPr>
            </w:pPr>
            <w:r>
              <w:rPr>
                <w:rFonts w:hint="eastAsia"/>
                <w:color w:val="auto"/>
                <w:szCs w:val="15"/>
                <w:highlight w:val="none"/>
              </w:rPr>
              <w:t>▲</w:t>
            </w:r>
            <w:r>
              <w:rPr>
                <w:rFonts w:hint="eastAsia"/>
                <w:color w:val="auto"/>
                <w:sz w:val="21"/>
                <w:szCs w:val="21"/>
                <w:highlight w:val="none"/>
              </w:rPr>
              <w:t>（七）实验案例，系统内置如下实验案例（包括但不限于）：</w:t>
            </w:r>
          </w:p>
          <w:p w14:paraId="044F97BE">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w:t>
            </w:r>
            <w:r>
              <w:rPr>
                <w:rFonts w:hint="eastAsia"/>
                <w:color w:val="auto"/>
                <w:sz w:val="21"/>
                <w:szCs w:val="21"/>
                <w:highlight w:val="none"/>
              </w:rPr>
              <w:t>脂血</w:t>
            </w:r>
          </w:p>
          <w:p w14:paraId="55831E49">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2</w:t>
            </w:r>
            <w:r>
              <w:rPr>
                <w:color w:val="auto"/>
                <w:sz w:val="21"/>
                <w:szCs w:val="21"/>
                <w:highlight w:val="none"/>
              </w:rPr>
              <w:t>.</w:t>
            </w:r>
            <w:r>
              <w:rPr>
                <w:rFonts w:hint="eastAsia"/>
                <w:color w:val="auto"/>
                <w:sz w:val="21"/>
                <w:szCs w:val="21"/>
                <w:highlight w:val="none"/>
              </w:rPr>
              <w:t>溶血</w:t>
            </w:r>
          </w:p>
          <w:p w14:paraId="5360ED2D">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3</w:t>
            </w:r>
            <w:r>
              <w:rPr>
                <w:color w:val="auto"/>
                <w:sz w:val="21"/>
                <w:szCs w:val="21"/>
                <w:highlight w:val="none"/>
              </w:rPr>
              <w:t>.</w:t>
            </w:r>
            <w:r>
              <w:rPr>
                <w:rFonts w:hint="eastAsia"/>
                <w:color w:val="auto"/>
                <w:sz w:val="21"/>
                <w:szCs w:val="21"/>
                <w:highlight w:val="none"/>
              </w:rPr>
              <w:t>肝胆疾病</w:t>
            </w:r>
          </w:p>
          <w:p w14:paraId="23EFA27D">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4</w:t>
            </w:r>
            <w:r>
              <w:rPr>
                <w:color w:val="auto"/>
                <w:sz w:val="21"/>
                <w:szCs w:val="21"/>
                <w:highlight w:val="none"/>
              </w:rPr>
              <w:t>.</w:t>
            </w:r>
            <w:r>
              <w:rPr>
                <w:rFonts w:hint="eastAsia"/>
                <w:color w:val="auto"/>
                <w:sz w:val="21"/>
                <w:szCs w:val="21"/>
                <w:highlight w:val="none"/>
              </w:rPr>
              <w:t>肾脏疾病</w:t>
            </w:r>
          </w:p>
          <w:p w14:paraId="459AE66E">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5</w:t>
            </w:r>
            <w:r>
              <w:rPr>
                <w:color w:val="auto"/>
                <w:sz w:val="21"/>
                <w:szCs w:val="21"/>
                <w:highlight w:val="none"/>
              </w:rPr>
              <w:t>.</w:t>
            </w:r>
            <w:r>
              <w:rPr>
                <w:rFonts w:hint="eastAsia"/>
                <w:color w:val="auto"/>
                <w:sz w:val="21"/>
                <w:szCs w:val="21"/>
                <w:highlight w:val="none"/>
              </w:rPr>
              <w:t>心血管疾病</w:t>
            </w:r>
          </w:p>
          <w:p w14:paraId="1E865C7D">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6</w:t>
            </w:r>
            <w:r>
              <w:rPr>
                <w:color w:val="auto"/>
                <w:sz w:val="21"/>
                <w:szCs w:val="21"/>
                <w:highlight w:val="none"/>
              </w:rPr>
              <w:t>.</w:t>
            </w:r>
            <w:r>
              <w:rPr>
                <w:rFonts w:hint="eastAsia"/>
                <w:color w:val="auto"/>
                <w:sz w:val="21"/>
                <w:szCs w:val="21"/>
                <w:highlight w:val="none"/>
              </w:rPr>
              <w:t>脑膜炎</w:t>
            </w:r>
          </w:p>
          <w:p w14:paraId="5EB04A94">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7</w:t>
            </w:r>
            <w:r>
              <w:rPr>
                <w:color w:val="auto"/>
                <w:sz w:val="21"/>
                <w:szCs w:val="21"/>
                <w:highlight w:val="none"/>
              </w:rPr>
              <w:t>.</w:t>
            </w:r>
            <w:r>
              <w:rPr>
                <w:rFonts w:hint="eastAsia"/>
                <w:color w:val="auto"/>
                <w:sz w:val="21"/>
                <w:szCs w:val="21"/>
                <w:highlight w:val="none"/>
              </w:rPr>
              <w:t>糖尿病</w:t>
            </w:r>
          </w:p>
          <w:p w14:paraId="5C4E2014">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8</w:t>
            </w:r>
            <w:r>
              <w:rPr>
                <w:color w:val="auto"/>
                <w:sz w:val="21"/>
                <w:szCs w:val="21"/>
                <w:highlight w:val="none"/>
              </w:rPr>
              <w:t>.</w:t>
            </w:r>
            <w:r>
              <w:rPr>
                <w:rFonts w:hint="eastAsia"/>
                <w:color w:val="auto"/>
                <w:sz w:val="21"/>
                <w:szCs w:val="21"/>
                <w:highlight w:val="none"/>
              </w:rPr>
              <w:t>电解质</w:t>
            </w:r>
          </w:p>
          <w:p w14:paraId="5BE86665">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9</w:t>
            </w:r>
            <w:r>
              <w:rPr>
                <w:color w:val="auto"/>
                <w:sz w:val="21"/>
                <w:szCs w:val="21"/>
                <w:highlight w:val="none"/>
              </w:rPr>
              <w:t>.</w:t>
            </w:r>
            <w:r>
              <w:rPr>
                <w:rFonts w:hint="eastAsia"/>
                <w:color w:val="auto"/>
                <w:sz w:val="21"/>
                <w:szCs w:val="21"/>
                <w:highlight w:val="none"/>
              </w:rPr>
              <w:t>血脂</w:t>
            </w:r>
          </w:p>
          <w:p w14:paraId="728C9403">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0.</w:t>
            </w:r>
            <w:r>
              <w:rPr>
                <w:rFonts w:hint="eastAsia"/>
                <w:color w:val="auto"/>
                <w:sz w:val="21"/>
                <w:szCs w:val="21"/>
                <w:highlight w:val="none"/>
              </w:rPr>
              <w:t>胃肠道</w:t>
            </w:r>
          </w:p>
          <w:p w14:paraId="2AF27047">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1.</w:t>
            </w:r>
            <w:r>
              <w:rPr>
                <w:rFonts w:hint="eastAsia"/>
                <w:color w:val="auto"/>
                <w:sz w:val="21"/>
                <w:szCs w:val="21"/>
                <w:highlight w:val="none"/>
              </w:rPr>
              <w:t>胰腺</w:t>
            </w:r>
          </w:p>
          <w:p w14:paraId="48F1BC20">
            <w:pPr>
              <w:keepNext w:val="0"/>
              <w:keepLines w:val="0"/>
              <w:suppressLineNumbers w:val="0"/>
              <w:spacing w:before="0" w:beforeAutospacing="0" w:after="0" w:afterAutospacing="0"/>
              <w:ind w:left="0" w:right="0"/>
              <w:rPr>
                <w:color w:val="auto"/>
                <w:sz w:val="21"/>
                <w:szCs w:val="21"/>
                <w:highlight w:val="none"/>
              </w:rPr>
            </w:pPr>
            <w:r>
              <w:rPr>
                <w:color w:val="auto"/>
                <w:sz w:val="21"/>
                <w:szCs w:val="21"/>
                <w:highlight w:val="none"/>
              </w:rPr>
              <w:t>12.</w:t>
            </w:r>
            <w:r>
              <w:rPr>
                <w:rFonts w:hint="eastAsia"/>
                <w:color w:val="auto"/>
                <w:sz w:val="21"/>
                <w:szCs w:val="21"/>
                <w:highlight w:val="none"/>
              </w:rPr>
              <w:t>白血病</w:t>
            </w:r>
          </w:p>
          <w:p w14:paraId="26732F3B">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3.</w:t>
            </w:r>
            <w:r>
              <w:rPr>
                <w:rFonts w:hint="eastAsia"/>
                <w:color w:val="auto"/>
                <w:sz w:val="21"/>
                <w:szCs w:val="21"/>
                <w:highlight w:val="none"/>
              </w:rPr>
              <w:t>贫血</w:t>
            </w:r>
          </w:p>
          <w:p w14:paraId="47D80627">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4.</w:t>
            </w:r>
            <w:r>
              <w:rPr>
                <w:rFonts w:hint="eastAsia"/>
                <w:color w:val="auto"/>
                <w:sz w:val="21"/>
                <w:szCs w:val="21"/>
                <w:highlight w:val="none"/>
              </w:rPr>
              <w:t>血小板相关疾病</w:t>
            </w:r>
          </w:p>
          <w:p w14:paraId="7897A37B">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5.</w:t>
            </w:r>
            <w:r>
              <w:rPr>
                <w:rFonts w:hint="eastAsia"/>
                <w:color w:val="auto"/>
                <w:sz w:val="21"/>
                <w:szCs w:val="21"/>
                <w:highlight w:val="none"/>
              </w:rPr>
              <w:t>寄生虫感染</w:t>
            </w:r>
          </w:p>
          <w:p w14:paraId="61A7C561">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6.</w:t>
            </w:r>
            <w:r>
              <w:rPr>
                <w:rFonts w:hint="eastAsia"/>
                <w:color w:val="auto"/>
                <w:sz w:val="21"/>
                <w:szCs w:val="21"/>
                <w:highlight w:val="none"/>
              </w:rPr>
              <w:t>细菌感染</w:t>
            </w:r>
          </w:p>
          <w:p w14:paraId="687CD79F">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7.</w:t>
            </w:r>
            <w:r>
              <w:rPr>
                <w:rFonts w:hint="eastAsia"/>
                <w:color w:val="auto"/>
                <w:sz w:val="21"/>
                <w:szCs w:val="21"/>
                <w:highlight w:val="none"/>
              </w:rPr>
              <w:t>病毒感染</w:t>
            </w:r>
          </w:p>
          <w:p w14:paraId="73986879">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8.</w:t>
            </w:r>
            <w:r>
              <w:rPr>
                <w:rFonts w:hint="eastAsia"/>
                <w:color w:val="auto"/>
                <w:sz w:val="21"/>
                <w:szCs w:val="21"/>
                <w:highlight w:val="none"/>
              </w:rPr>
              <w:t>血型鉴定</w:t>
            </w:r>
          </w:p>
          <w:p w14:paraId="37AA4063">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9.</w:t>
            </w:r>
            <w:r>
              <w:rPr>
                <w:rFonts w:hint="eastAsia"/>
                <w:color w:val="auto"/>
                <w:sz w:val="21"/>
                <w:szCs w:val="21"/>
                <w:highlight w:val="none"/>
              </w:rPr>
              <w:t>血常规一般性实验</w:t>
            </w:r>
          </w:p>
          <w:p w14:paraId="393128FA">
            <w:pPr>
              <w:keepNext w:val="0"/>
              <w:keepLines w:val="0"/>
              <w:suppressLineNumbers w:val="0"/>
              <w:spacing w:before="0" w:beforeAutospacing="0" w:after="0" w:afterAutospacing="0"/>
              <w:ind w:left="0" w:right="0"/>
              <w:rPr>
                <w:color w:val="auto"/>
                <w:sz w:val="21"/>
                <w:szCs w:val="21"/>
                <w:highlight w:val="none"/>
              </w:rPr>
            </w:pPr>
            <w:r>
              <w:rPr>
                <w:color w:val="auto"/>
                <w:sz w:val="21"/>
                <w:szCs w:val="21"/>
                <w:highlight w:val="none"/>
              </w:rPr>
              <w:t>20.</w:t>
            </w:r>
            <w:r>
              <w:rPr>
                <w:rFonts w:hint="eastAsia"/>
                <w:color w:val="auto"/>
                <w:sz w:val="21"/>
                <w:szCs w:val="21"/>
                <w:highlight w:val="none"/>
              </w:rPr>
              <w:t>血常规危急值处理</w:t>
            </w:r>
          </w:p>
          <w:p w14:paraId="79CC5B6E">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2</w:t>
            </w:r>
            <w:r>
              <w:rPr>
                <w:color w:val="auto"/>
                <w:sz w:val="21"/>
                <w:szCs w:val="21"/>
                <w:highlight w:val="none"/>
              </w:rPr>
              <w:t>1.</w:t>
            </w:r>
            <w:r>
              <w:rPr>
                <w:rFonts w:hint="eastAsia"/>
                <w:color w:val="auto"/>
                <w:sz w:val="21"/>
                <w:szCs w:val="21"/>
                <w:highlight w:val="none"/>
              </w:rPr>
              <w:t>血常规复检处理</w:t>
            </w:r>
          </w:p>
          <w:p w14:paraId="20600BE8">
            <w:pPr>
              <w:keepNext w:val="0"/>
              <w:keepLines w:val="0"/>
              <w:suppressLineNumbers w:val="0"/>
              <w:spacing w:before="0" w:beforeAutospacing="0" w:after="0" w:afterAutospacing="0"/>
              <w:ind w:left="0" w:right="0"/>
              <w:rPr>
                <w:color w:val="auto"/>
                <w:sz w:val="21"/>
                <w:szCs w:val="21"/>
                <w:highlight w:val="none"/>
              </w:rPr>
            </w:pPr>
            <w:r>
              <w:rPr>
                <w:color w:val="auto"/>
                <w:sz w:val="21"/>
                <w:szCs w:val="21"/>
                <w:highlight w:val="none"/>
              </w:rPr>
              <w:t>22.</w:t>
            </w:r>
            <w:r>
              <w:rPr>
                <w:rFonts w:hint="eastAsia"/>
                <w:color w:val="auto"/>
                <w:sz w:val="21"/>
                <w:szCs w:val="21"/>
                <w:highlight w:val="none"/>
              </w:rPr>
              <w:t>肾结石</w:t>
            </w:r>
          </w:p>
          <w:p w14:paraId="5FDBBED9">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2</w:t>
            </w:r>
            <w:r>
              <w:rPr>
                <w:color w:val="auto"/>
                <w:sz w:val="21"/>
                <w:szCs w:val="21"/>
                <w:highlight w:val="none"/>
              </w:rPr>
              <w:t>3.</w:t>
            </w:r>
            <w:r>
              <w:rPr>
                <w:rFonts w:hint="eastAsia"/>
                <w:color w:val="auto"/>
                <w:sz w:val="21"/>
                <w:szCs w:val="21"/>
                <w:highlight w:val="none"/>
              </w:rPr>
              <w:t>输尿管结石</w:t>
            </w:r>
          </w:p>
          <w:p w14:paraId="7D1648A8">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2</w:t>
            </w:r>
            <w:r>
              <w:rPr>
                <w:color w:val="auto"/>
                <w:sz w:val="21"/>
                <w:szCs w:val="21"/>
                <w:highlight w:val="none"/>
              </w:rPr>
              <w:t>4.</w:t>
            </w:r>
            <w:r>
              <w:rPr>
                <w:rFonts w:hint="eastAsia"/>
                <w:color w:val="auto"/>
                <w:sz w:val="21"/>
                <w:szCs w:val="21"/>
                <w:highlight w:val="none"/>
              </w:rPr>
              <w:t>膀胱结石</w:t>
            </w:r>
          </w:p>
          <w:p w14:paraId="59010320">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2</w:t>
            </w:r>
            <w:r>
              <w:rPr>
                <w:color w:val="auto"/>
                <w:sz w:val="21"/>
                <w:szCs w:val="21"/>
                <w:highlight w:val="none"/>
              </w:rPr>
              <w:t>5.</w:t>
            </w:r>
            <w:r>
              <w:rPr>
                <w:rFonts w:hint="eastAsia"/>
                <w:color w:val="auto"/>
                <w:sz w:val="21"/>
                <w:szCs w:val="21"/>
                <w:highlight w:val="none"/>
              </w:rPr>
              <w:t>丝虫病</w:t>
            </w:r>
          </w:p>
          <w:p w14:paraId="6DB79AF6">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2</w:t>
            </w:r>
            <w:r>
              <w:rPr>
                <w:color w:val="auto"/>
                <w:sz w:val="21"/>
                <w:szCs w:val="21"/>
                <w:highlight w:val="none"/>
              </w:rPr>
              <w:t>6.</w:t>
            </w:r>
            <w:r>
              <w:rPr>
                <w:rFonts w:hint="eastAsia"/>
                <w:color w:val="auto"/>
                <w:sz w:val="21"/>
                <w:szCs w:val="21"/>
                <w:highlight w:val="none"/>
              </w:rPr>
              <w:t>系统化脓性感染</w:t>
            </w:r>
          </w:p>
          <w:p w14:paraId="46CC5C5D">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2</w:t>
            </w:r>
            <w:r>
              <w:rPr>
                <w:color w:val="auto"/>
                <w:sz w:val="21"/>
                <w:szCs w:val="21"/>
                <w:highlight w:val="none"/>
              </w:rPr>
              <w:t>7.</w:t>
            </w:r>
            <w:r>
              <w:rPr>
                <w:rFonts w:hint="eastAsia"/>
                <w:color w:val="auto"/>
                <w:sz w:val="21"/>
                <w:szCs w:val="21"/>
                <w:highlight w:val="none"/>
              </w:rPr>
              <w:t>尿常规一般性实验</w:t>
            </w:r>
          </w:p>
          <w:p w14:paraId="7E601D82">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2</w:t>
            </w:r>
            <w:r>
              <w:rPr>
                <w:color w:val="auto"/>
                <w:sz w:val="21"/>
                <w:szCs w:val="21"/>
                <w:highlight w:val="none"/>
              </w:rPr>
              <w:t>8.</w:t>
            </w:r>
            <w:r>
              <w:rPr>
                <w:rFonts w:hint="eastAsia"/>
                <w:color w:val="auto"/>
                <w:sz w:val="21"/>
                <w:szCs w:val="21"/>
                <w:highlight w:val="none"/>
              </w:rPr>
              <w:t>过敏性紫癜</w:t>
            </w:r>
          </w:p>
          <w:p w14:paraId="0F4993D1">
            <w:pPr>
              <w:keepNext w:val="0"/>
              <w:keepLines w:val="0"/>
              <w:suppressLineNumbers w:val="0"/>
              <w:spacing w:before="0" w:beforeAutospacing="0" w:after="0" w:afterAutospacing="0"/>
              <w:ind w:left="0" w:right="0"/>
              <w:rPr>
                <w:color w:val="auto"/>
                <w:sz w:val="21"/>
                <w:szCs w:val="21"/>
                <w:highlight w:val="none"/>
              </w:rPr>
            </w:pPr>
            <w:r>
              <w:rPr>
                <w:color w:val="auto"/>
                <w:sz w:val="21"/>
                <w:szCs w:val="21"/>
                <w:highlight w:val="none"/>
              </w:rPr>
              <w:t>29.</w:t>
            </w:r>
            <w:r>
              <w:rPr>
                <w:rFonts w:hint="eastAsia"/>
                <w:color w:val="auto"/>
                <w:sz w:val="21"/>
                <w:szCs w:val="21"/>
                <w:highlight w:val="none"/>
              </w:rPr>
              <w:t>ITP</w:t>
            </w:r>
          </w:p>
          <w:p w14:paraId="11156308">
            <w:pPr>
              <w:keepNext w:val="0"/>
              <w:keepLines w:val="0"/>
              <w:suppressLineNumbers w:val="0"/>
              <w:spacing w:before="0" w:beforeAutospacing="0" w:after="0" w:afterAutospacing="0"/>
              <w:ind w:left="0" w:right="0"/>
              <w:rPr>
                <w:color w:val="auto"/>
                <w:sz w:val="21"/>
                <w:szCs w:val="21"/>
                <w:highlight w:val="none"/>
              </w:rPr>
            </w:pPr>
            <w:r>
              <w:rPr>
                <w:color w:val="auto"/>
                <w:sz w:val="21"/>
                <w:szCs w:val="21"/>
                <w:highlight w:val="none"/>
              </w:rPr>
              <w:t>30.</w:t>
            </w:r>
            <w:r>
              <w:rPr>
                <w:rFonts w:hint="eastAsia"/>
                <w:color w:val="auto"/>
                <w:sz w:val="21"/>
                <w:szCs w:val="21"/>
                <w:highlight w:val="none"/>
              </w:rPr>
              <w:t>TTP</w:t>
            </w:r>
          </w:p>
          <w:p w14:paraId="700B284E">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3</w:t>
            </w:r>
            <w:r>
              <w:rPr>
                <w:color w:val="auto"/>
                <w:sz w:val="21"/>
                <w:szCs w:val="21"/>
                <w:highlight w:val="none"/>
              </w:rPr>
              <w:t>1.</w:t>
            </w:r>
            <w:r>
              <w:rPr>
                <w:rFonts w:hint="eastAsia"/>
                <w:color w:val="auto"/>
                <w:sz w:val="21"/>
                <w:szCs w:val="21"/>
                <w:highlight w:val="none"/>
              </w:rPr>
              <w:t>血友病</w:t>
            </w:r>
          </w:p>
          <w:p w14:paraId="1E2EAB52">
            <w:pPr>
              <w:keepNext w:val="0"/>
              <w:keepLines w:val="0"/>
              <w:suppressLineNumbers w:val="0"/>
              <w:spacing w:before="0" w:beforeAutospacing="0" w:after="0" w:afterAutospacing="0"/>
              <w:ind w:left="0" w:right="0"/>
              <w:rPr>
                <w:color w:val="auto"/>
                <w:sz w:val="21"/>
                <w:szCs w:val="21"/>
                <w:highlight w:val="none"/>
              </w:rPr>
            </w:pPr>
            <w:r>
              <w:rPr>
                <w:color w:val="auto"/>
                <w:sz w:val="21"/>
                <w:szCs w:val="21"/>
                <w:highlight w:val="none"/>
              </w:rPr>
              <w:t>32.</w:t>
            </w:r>
            <w:r>
              <w:rPr>
                <w:rFonts w:hint="eastAsia"/>
                <w:color w:val="auto"/>
                <w:sz w:val="21"/>
                <w:szCs w:val="21"/>
                <w:highlight w:val="none"/>
              </w:rPr>
              <w:t>DIC</w:t>
            </w:r>
          </w:p>
          <w:p w14:paraId="2DD21AE1">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3</w:t>
            </w:r>
            <w:r>
              <w:rPr>
                <w:color w:val="auto"/>
                <w:sz w:val="21"/>
                <w:szCs w:val="21"/>
                <w:highlight w:val="none"/>
              </w:rPr>
              <w:t>3.</w:t>
            </w:r>
            <w:r>
              <w:rPr>
                <w:rFonts w:hint="eastAsia"/>
                <w:color w:val="auto"/>
                <w:sz w:val="21"/>
                <w:szCs w:val="21"/>
                <w:highlight w:val="none"/>
              </w:rPr>
              <w:t>急性心肌梗死</w:t>
            </w:r>
          </w:p>
          <w:p w14:paraId="26CDA158">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3</w:t>
            </w:r>
            <w:r>
              <w:rPr>
                <w:color w:val="auto"/>
                <w:sz w:val="21"/>
                <w:szCs w:val="21"/>
                <w:highlight w:val="none"/>
              </w:rPr>
              <w:t>4.</w:t>
            </w:r>
            <w:r>
              <w:rPr>
                <w:rFonts w:hint="eastAsia"/>
                <w:color w:val="auto"/>
                <w:sz w:val="21"/>
                <w:szCs w:val="21"/>
                <w:highlight w:val="none"/>
              </w:rPr>
              <w:t>脑梗死</w:t>
            </w:r>
          </w:p>
          <w:p w14:paraId="000D8FC8">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3</w:t>
            </w:r>
            <w:r>
              <w:rPr>
                <w:color w:val="auto"/>
                <w:sz w:val="21"/>
                <w:szCs w:val="21"/>
                <w:highlight w:val="none"/>
              </w:rPr>
              <w:t>5.</w:t>
            </w:r>
            <w:r>
              <w:rPr>
                <w:rFonts w:hint="eastAsia"/>
                <w:color w:val="auto"/>
                <w:sz w:val="21"/>
                <w:szCs w:val="21"/>
                <w:highlight w:val="none"/>
              </w:rPr>
              <w:t>肺栓塞</w:t>
            </w:r>
          </w:p>
          <w:p w14:paraId="59246F4D">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3</w:t>
            </w:r>
            <w:r>
              <w:rPr>
                <w:color w:val="auto"/>
                <w:sz w:val="21"/>
                <w:szCs w:val="21"/>
                <w:highlight w:val="none"/>
              </w:rPr>
              <w:t>6.</w:t>
            </w:r>
            <w:r>
              <w:rPr>
                <w:rFonts w:hint="eastAsia"/>
                <w:color w:val="auto"/>
                <w:sz w:val="21"/>
                <w:szCs w:val="21"/>
                <w:highlight w:val="none"/>
              </w:rPr>
              <w:t>血管和血管内皮检验</w:t>
            </w:r>
          </w:p>
          <w:p w14:paraId="41CF0AC6">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3</w:t>
            </w:r>
            <w:r>
              <w:rPr>
                <w:color w:val="auto"/>
                <w:sz w:val="21"/>
                <w:szCs w:val="21"/>
                <w:highlight w:val="none"/>
              </w:rPr>
              <w:t>7.</w:t>
            </w:r>
            <w:r>
              <w:rPr>
                <w:rFonts w:hint="eastAsia"/>
                <w:color w:val="auto"/>
                <w:sz w:val="21"/>
                <w:szCs w:val="21"/>
                <w:highlight w:val="none"/>
              </w:rPr>
              <w:t>血小板检验</w:t>
            </w:r>
          </w:p>
          <w:p w14:paraId="11512FBD">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3</w:t>
            </w:r>
            <w:r>
              <w:rPr>
                <w:color w:val="auto"/>
                <w:sz w:val="21"/>
                <w:szCs w:val="21"/>
                <w:highlight w:val="none"/>
              </w:rPr>
              <w:t>8.</w:t>
            </w:r>
            <w:r>
              <w:rPr>
                <w:rFonts w:hint="eastAsia"/>
                <w:color w:val="auto"/>
                <w:sz w:val="21"/>
                <w:szCs w:val="21"/>
                <w:highlight w:val="none"/>
              </w:rPr>
              <w:t>凝血系统检验（凝血四项）</w:t>
            </w:r>
          </w:p>
          <w:p w14:paraId="3AD64530">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3</w:t>
            </w:r>
            <w:r>
              <w:rPr>
                <w:color w:val="auto"/>
                <w:sz w:val="21"/>
                <w:szCs w:val="21"/>
                <w:highlight w:val="none"/>
              </w:rPr>
              <w:t>9.</w:t>
            </w:r>
            <w:r>
              <w:rPr>
                <w:rFonts w:hint="eastAsia"/>
                <w:color w:val="auto"/>
                <w:sz w:val="21"/>
                <w:szCs w:val="21"/>
                <w:highlight w:val="none"/>
              </w:rPr>
              <w:t>抗凝物质检验</w:t>
            </w:r>
          </w:p>
          <w:p w14:paraId="78A60D08">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4</w:t>
            </w:r>
            <w:r>
              <w:rPr>
                <w:color w:val="auto"/>
                <w:sz w:val="21"/>
                <w:szCs w:val="21"/>
                <w:highlight w:val="none"/>
              </w:rPr>
              <w:t>0.</w:t>
            </w:r>
            <w:r>
              <w:rPr>
                <w:rFonts w:hint="eastAsia"/>
                <w:color w:val="auto"/>
                <w:sz w:val="21"/>
                <w:szCs w:val="21"/>
                <w:highlight w:val="none"/>
              </w:rPr>
              <w:t>纤溶系统</w:t>
            </w:r>
          </w:p>
          <w:p w14:paraId="3E35F2FB">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4</w:t>
            </w:r>
            <w:r>
              <w:rPr>
                <w:color w:val="auto"/>
                <w:sz w:val="21"/>
                <w:szCs w:val="21"/>
                <w:highlight w:val="none"/>
              </w:rPr>
              <w:t>1.</w:t>
            </w:r>
            <w:r>
              <w:rPr>
                <w:rFonts w:hint="eastAsia"/>
                <w:color w:val="auto"/>
                <w:sz w:val="21"/>
                <w:szCs w:val="21"/>
                <w:highlight w:val="none"/>
              </w:rPr>
              <w:t>免疫球蛋白</w:t>
            </w:r>
          </w:p>
          <w:p w14:paraId="24F970AC">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4</w:t>
            </w:r>
            <w:r>
              <w:rPr>
                <w:color w:val="auto"/>
                <w:sz w:val="21"/>
                <w:szCs w:val="21"/>
                <w:highlight w:val="none"/>
              </w:rPr>
              <w:t>2.</w:t>
            </w:r>
            <w:r>
              <w:rPr>
                <w:rFonts w:hint="eastAsia"/>
                <w:color w:val="auto"/>
                <w:sz w:val="21"/>
                <w:szCs w:val="21"/>
                <w:highlight w:val="none"/>
              </w:rPr>
              <w:t>补体</w:t>
            </w:r>
          </w:p>
          <w:p w14:paraId="1D9C5F03">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4</w:t>
            </w:r>
            <w:r>
              <w:rPr>
                <w:color w:val="auto"/>
                <w:sz w:val="21"/>
                <w:szCs w:val="21"/>
                <w:highlight w:val="none"/>
              </w:rPr>
              <w:t>3.</w:t>
            </w:r>
            <w:r>
              <w:rPr>
                <w:rFonts w:hint="eastAsia"/>
                <w:color w:val="auto"/>
                <w:sz w:val="21"/>
                <w:szCs w:val="21"/>
                <w:highlight w:val="none"/>
              </w:rPr>
              <w:t>肝炎</w:t>
            </w:r>
          </w:p>
          <w:p w14:paraId="43FDB294">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4</w:t>
            </w:r>
            <w:r>
              <w:rPr>
                <w:color w:val="auto"/>
                <w:sz w:val="21"/>
                <w:szCs w:val="21"/>
                <w:highlight w:val="none"/>
              </w:rPr>
              <w:t>4.</w:t>
            </w:r>
            <w:r>
              <w:rPr>
                <w:rFonts w:hint="eastAsia"/>
                <w:color w:val="auto"/>
                <w:sz w:val="21"/>
                <w:szCs w:val="21"/>
                <w:highlight w:val="none"/>
              </w:rPr>
              <w:t>梅毒</w:t>
            </w:r>
          </w:p>
          <w:p w14:paraId="444FA9CA">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4</w:t>
            </w:r>
            <w:r>
              <w:rPr>
                <w:color w:val="auto"/>
                <w:sz w:val="21"/>
                <w:szCs w:val="21"/>
                <w:highlight w:val="none"/>
              </w:rPr>
              <w:t>5.</w:t>
            </w:r>
            <w:r>
              <w:rPr>
                <w:rFonts w:hint="eastAsia"/>
                <w:color w:val="auto"/>
                <w:sz w:val="21"/>
                <w:szCs w:val="21"/>
                <w:highlight w:val="none"/>
              </w:rPr>
              <w:t>艾滋</w:t>
            </w:r>
          </w:p>
          <w:p w14:paraId="3372DA48">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4</w:t>
            </w:r>
            <w:r>
              <w:rPr>
                <w:color w:val="auto"/>
                <w:sz w:val="21"/>
                <w:szCs w:val="21"/>
                <w:highlight w:val="none"/>
              </w:rPr>
              <w:t>6.</w:t>
            </w:r>
            <w:r>
              <w:rPr>
                <w:rFonts w:hint="eastAsia"/>
                <w:color w:val="auto"/>
                <w:sz w:val="21"/>
                <w:szCs w:val="21"/>
                <w:highlight w:val="none"/>
              </w:rPr>
              <w:t>胰岛素、C肽</w:t>
            </w:r>
          </w:p>
          <w:p w14:paraId="31D37F27">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4</w:t>
            </w:r>
            <w:r>
              <w:rPr>
                <w:color w:val="auto"/>
                <w:sz w:val="21"/>
                <w:szCs w:val="21"/>
                <w:highlight w:val="none"/>
              </w:rPr>
              <w:t>7.</w:t>
            </w:r>
            <w:r>
              <w:rPr>
                <w:rFonts w:hint="eastAsia"/>
                <w:color w:val="auto"/>
                <w:sz w:val="21"/>
                <w:szCs w:val="21"/>
                <w:highlight w:val="none"/>
              </w:rPr>
              <w:t>骨代谢</w:t>
            </w:r>
          </w:p>
          <w:p w14:paraId="5FC39E89">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（八）提供如下模拟标本（包括但不限于）：</w:t>
            </w:r>
          </w:p>
          <w:p w14:paraId="2EBF8F63">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w:t>
            </w:r>
            <w:r>
              <w:rPr>
                <w:rFonts w:hint="eastAsia"/>
                <w:color w:val="auto"/>
                <w:sz w:val="21"/>
                <w:szCs w:val="21"/>
                <w:highlight w:val="none"/>
              </w:rPr>
              <w:t>正常全血标本，≥12份</w:t>
            </w:r>
          </w:p>
          <w:p w14:paraId="0F8A858C">
            <w:pPr>
              <w:keepNext w:val="0"/>
              <w:keepLines w:val="0"/>
              <w:suppressLineNumbers w:val="0"/>
              <w:spacing w:before="0" w:beforeAutospacing="0" w:after="0" w:afterAutospacing="0"/>
              <w:ind w:left="0" w:right="0"/>
              <w:rPr>
                <w:color w:val="auto"/>
                <w:sz w:val="21"/>
                <w:szCs w:val="21"/>
                <w:highlight w:val="none"/>
              </w:rPr>
            </w:pPr>
            <w:r>
              <w:rPr>
                <w:color w:val="auto"/>
                <w:sz w:val="21"/>
                <w:szCs w:val="21"/>
                <w:highlight w:val="none"/>
              </w:rPr>
              <w:t>2.</w:t>
            </w:r>
            <w:r>
              <w:rPr>
                <w:rFonts w:hint="eastAsia"/>
                <w:color w:val="auto"/>
                <w:sz w:val="21"/>
                <w:szCs w:val="21"/>
                <w:highlight w:val="none"/>
              </w:rPr>
              <w:t>凝块全血标本，≥1份</w:t>
            </w:r>
          </w:p>
          <w:p w14:paraId="1C0E612E">
            <w:pPr>
              <w:keepNext w:val="0"/>
              <w:keepLines w:val="0"/>
              <w:suppressLineNumbers w:val="0"/>
              <w:spacing w:before="0" w:beforeAutospacing="0" w:after="0" w:afterAutospacing="0"/>
              <w:ind w:left="0" w:right="0"/>
              <w:rPr>
                <w:color w:val="auto"/>
                <w:sz w:val="21"/>
                <w:szCs w:val="21"/>
                <w:highlight w:val="none"/>
              </w:rPr>
            </w:pPr>
            <w:r>
              <w:rPr>
                <w:color w:val="auto"/>
                <w:sz w:val="21"/>
                <w:szCs w:val="21"/>
                <w:highlight w:val="none"/>
              </w:rPr>
              <w:t>3.</w:t>
            </w:r>
            <w:r>
              <w:rPr>
                <w:rFonts w:hint="eastAsia"/>
                <w:color w:val="auto"/>
                <w:sz w:val="21"/>
                <w:szCs w:val="21"/>
                <w:highlight w:val="none"/>
              </w:rPr>
              <w:t>正常血清血浆标本，≥25份</w:t>
            </w:r>
          </w:p>
          <w:p w14:paraId="61BC31B6">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4</w:t>
            </w:r>
            <w:r>
              <w:rPr>
                <w:color w:val="auto"/>
                <w:sz w:val="21"/>
                <w:szCs w:val="21"/>
                <w:highlight w:val="none"/>
              </w:rPr>
              <w:t>.</w:t>
            </w:r>
            <w:r>
              <w:rPr>
                <w:rFonts w:hint="eastAsia"/>
                <w:color w:val="auto"/>
                <w:sz w:val="21"/>
                <w:szCs w:val="21"/>
                <w:highlight w:val="none"/>
              </w:rPr>
              <w:t>脂血标本，≥1份</w:t>
            </w:r>
          </w:p>
          <w:p w14:paraId="606564FB">
            <w:pPr>
              <w:keepNext w:val="0"/>
              <w:keepLines w:val="0"/>
              <w:suppressLineNumbers w:val="0"/>
              <w:spacing w:before="0" w:beforeAutospacing="0" w:after="0" w:afterAutospacing="0"/>
              <w:ind w:left="0" w:right="0"/>
              <w:rPr>
                <w:color w:val="auto"/>
                <w:sz w:val="21"/>
                <w:szCs w:val="21"/>
                <w:highlight w:val="none"/>
              </w:rPr>
            </w:pPr>
            <w:r>
              <w:rPr>
                <w:color w:val="auto"/>
                <w:sz w:val="21"/>
                <w:szCs w:val="21"/>
                <w:highlight w:val="none"/>
              </w:rPr>
              <w:t>5.</w:t>
            </w:r>
            <w:r>
              <w:rPr>
                <w:rFonts w:hint="eastAsia"/>
                <w:color w:val="auto"/>
                <w:sz w:val="21"/>
                <w:szCs w:val="21"/>
                <w:highlight w:val="none"/>
              </w:rPr>
              <w:t>溶血标本，≥1份</w:t>
            </w:r>
          </w:p>
          <w:p w14:paraId="4F242F49">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6</w:t>
            </w:r>
            <w:r>
              <w:rPr>
                <w:color w:val="auto"/>
                <w:sz w:val="21"/>
                <w:szCs w:val="21"/>
                <w:highlight w:val="none"/>
              </w:rPr>
              <w:t>.</w:t>
            </w:r>
            <w:r>
              <w:rPr>
                <w:rFonts w:hint="eastAsia"/>
                <w:color w:val="auto"/>
                <w:sz w:val="21"/>
                <w:szCs w:val="21"/>
                <w:highlight w:val="none"/>
              </w:rPr>
              <w:t>血量少标本，≥1份</w:t>
            </w:r>
          </w:p>
          <w:p w14:paraId="520CAD11">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7</w:t>
            </w:r>
            <w:r>
              <w:rPr>
                <w:color w:val="auto"/>
                <w:sz w:val="21"/>
                <w:szCs w:val="21"/>
                <w:highlight w:val="none"/>
              </w:rPr>
              <w:t>.</w:t>
            </w:r>
            <w:r>
              <w:rPr>
                <w:rFonts w:hint="eastAsia"/>
                <w:color w:val="auto"/>
                <w:sz w:val="21"/>
                <w:szCs w:val="21"/>
                <w:highlight w:val="none"/>
              </w:rPr>
              <w:t>正常尿标本，≥4份</w:t>
            </w:r>
          </w:p>
          <w:p w14:paraId="091137E8">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8</w:t>
            </w:r>
            <w:r>
              <w:rPr>
                <w:color w:val="auto"/>
                <w:sz w:val="21"/>
                <w:szCs w:val="21"/>
                <w:highlight w:val="none"/>
              </w:rPr>
              <w:t>.</w:t>
            </w:r>
            <w:r>
              <w:rPr>
                <w:rFonts w:hint="eastAsia"/>
                <w:color w:val="auto"/>
                <w:sz w:val="21"/>
                <w:szCs w:val="21"/>
                <w:highlight w:val="none"/>
              </w:rPr>
              <w:t>血尿标本，≥3份</w:t>
            </w:r>
          </w:p>
          <w:p w14:paraId="3EC73E9F">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9</w:t>
            </w:r>
            <w:r>
              <w:rPr>
                <w:color w:val="auto"/>
                <w:sz w:val="21"/>
                <w:szCs w:val="21"/>
                <w:highlight w:val="none"/>
              </w:rPr>
              <w:t>.</w:t>
            </w:r>
            <w:r>
              <w:rPr>
                <w:rFonts w:hint="eastAsia"/>
                <w:color w:val="auto"/>
                <w:sz w:val="21"/>
                <w:szCs w:val="21"/>
                <w:highlight w:val="none"/>
              </w:rPr>
              <w:t>乳糜尿标本，≥3份</w:t>
            </w:r>
          </w:p>
          <w:p w14:paraId="5D74FBBA">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0.</w:t>
            </w:r>
            <w:r>
              <w:rPr>
                <w:rFonts w:hint="eastAsia"/>
                <w:color w:val="auto"/>
                <w:sz w:val="21"/>
                <w:szCs w:val="21"/>
                <w:highlight w:val="none"/>
              </w:rPr>
              <w:t>细菌尿标本，≥1份</w:t>
            </w:r>
          </w:p>
          <w:p w14:paraId="108B5337">
            <w:pPr>
              <w:keepNext w:val="0"/>
              <w:keepLines w:val="0"/>
              <w:suppressLineNumbers w:val="0"/>
              <w:spacing w:before="0" w:beforeAutospacing="0" w:after="0" w:afterAutospacing="0"/>
              <w:ind w:left="0" w:right="0"/>
              <w:rPr>
                <w:color w:val="auto"/>
                <w:sz w:val="21"/>
                <w:szCs w:val="21"/>
                <w:highlight w:val="none"/>
              </w:rPr>
            </w:pPr>
            <w:r>
              <w:rPr>
                <w:color w:val="auto"/>
                <w:sz w:val="21"/>
                <w:szCs w:val="21"/>
                <w:highlight w:val="none"/>
              </w:rPr>
              <w:t>11.</w:t>
            </w:r>
            <w:r>
              <w:rPr>
                <w:rFonts w:hint="eastAsia"/>
                <w:color w:val="auto"/>
                <w:sz w:val="21"/>
                <w:szCs w:val="21"/>
                <w:highlight w:val="none"/>
              </w:rPr>
              <w:t>正常脑脊液标本，≥1份</w:t>
            </w:r>
          </w:p>
          <w:p w14:paraId="1CFC4C55">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2.</w:t>
            </w:r>
            <w:r>
              <w:rPr>
                <w:rFonts w:hint="eastAsia"/>
                <w:color w:val="auto"/>
                <w:sz w:val="21"/>
                <w:szCs w:val="21"/>
                <w:highlight w:val="none"/>
              </w:rPr>
              <w:t>异常脑脊液标本，≥1份</w:t>
            </w:r>
          </w:p>
          <w:p w14:paraId="35180456">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3.</w:t>
            </w:r>
            <w:r>
              <w:rPr>
                <w:rFonts w:hint="eastAsia"/>
                <w:color w:val="auto"/>
                <w:sz w:val="21"/>
                <w:szCs w:val="21"/>
                <w:highlight w:val="none"/>
              </w:rPr>
              <w:t>正常胸腹水标本，≥1份</w:t>
            </w:r>
          </w:p>
          <w:p w14:paraId="1331F0DE">
            <w:pPr>
              <w:keepNext w:val="0"/>
              <w:keepLines w:val="0"/>
              <w:suppressLineNumbers w:val="0"/>
              <w:spacing w:before="0" w:beforeAutospacing="0" w:after="0" w:afterAutospacing="0"/>
              <w:ind w:left="0" w:right="0"/>
              <w:rPr>
                <w:color w:val="auto"/>
                <w:sz w:val="21"/>
                <w:szCs w:val="21"/>
                <w:highlight w:val="none"/>
              </w:rPr>
            </w:pPr>
            <w:r>
              <w:rPr>
                <w:color w:val="auto"/>
                <w:sz w:val="21"/>
                <w:szCs w:val="21"/>
                <w:highlight w:val="none"/>
              </w:rPr>
              <w:t>14.</w:t>
            </w:r>
            <w:r>
              <w:rPr>
                <w:rFonts w:hint="eastAsia"/>
                <w:color w:val="auto"/>
                <w:sz w:val="21"/>
                <w:szCs w:val="21"/>
                <w:highlight w:val="none"/>
              </w:rPr>
              <w:t>异常胸腹水标本，≥1份</w:t>
            </w:r>
          </w:p>
          <w:p w14:paraId="66854B22">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二、数字孪生实训一体机：</w:t>
            </w:r>
          </w:p>
          <w:p w14:paraId="7752BCA8">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（一）硬件参数：</w:t>
            </w:r>
          </w:p>
          <w:p w14:paraId="0DA0F9B7">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w:t>
            </w:r>
            <w:r>
              <w:rPr>
                <w:rFonts w:hint="eastAsia"/>
                <w:color w:val="auto"/>
                <w:sz w:val="21"/>
                <w:szCs w:val="21"/>
                <w:highlight w:val="none"/>
              </w:rPr>
              <w:t>进样控制单元：可模拟手动进样、半自动进样及全自动进样，一次可进10个样本，可模拟进样故障。</w:t>
            </w:r>
          </w:p>
          <w:p w14:paraId="29846B90">
            <w:pPr>
              <w:keepNext w:val="0"/>
              <w:keepLines w:val="0"/>
              <w:suppressLineNumbers w:val="0"/>
              <w:spacing w:before="0" w:beforeAutospacing="0" w:after="0" w:afterAutospacing="0"/>
              <w:ind w:left="0" w:right="0"/>
              <w:rPr>
                <w:color w:val="auto"/>
                <w:sz w:val="21"/>
                <w:szCs w:val="21"/>
                <w:highlight w:val="none"/>
              </w:rPr>
            </w:pPr>
            <w:r>
              <w:rPr>
                <w:color w:val="auto"/>
                <w:sz w:val="21"/>
                <w:szCs w:val="21"/>
                <w:highlight w:val="none"/>
              </w:rPr>
              <w:t>2.</w:t>
            </w:r>
            <w:r>
              <w:rPr>
                <w:rFonts w:hint="eastAsia"/>
                <w:color w:val="auto"/>
                <w:sz w:val="21"/>
                <w:szCs w:val="21"/>
                <w:highlight w:val="none"/>
              </w:rPr>
              <w:t>显示单元：主控触摸屏≥21.5寸。</w:t>
            </w:r>
          </w:p>
          <w:p w14:paraId="2E1DEECC">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3</w:t>
            </w:r>
            <w:r>
              <w:rPr>
                <w:color w:val="auto"/>
                <w:sz w:val="21"/>
                <w:szCs w:val="21"/>
                <w:highlight w:val="none"/>
              </w:rPr>
              <w:t>.</w:t>
            </w:r>
            <w:r>
              <w:rPr>
                <w:rFonts w:hint="eastAsia"/>
                <w:color w:val="auto"/>
                <w:sz w:val="21"/>
                <w:szCs w:val="21"/>
                <w:highlight w:val="none"/>
              </w:rPr>
              <w:t>主控机配置：</w:t>
            </w:r>
            <w:r>
              <w:rPr>
                <w:rFonts w:hint="eastAsia"/>
                <w:color w:val="auto"/>
                <w:szCs w:val="21"/>
                <w:highlight w:val="none"/>
              </w:rPr>
              <w:t>CPU基础频率≥1.60 GHz，最高睿频≥4.20 GHz，内存≥8G，硬盘≥256G SDD。</w:t>
            </w:r>
          </w:p>
          <w:p w14:paraId="76A30CC3">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4</w:t>
            </w:r>
            <w:r>
              <w:rPr>
                <w:color w:val="auto"/>
                <w:sz w:val="21"/>
                <w:szCs w:val="21"/>
                <w:highlight w:val="none"/>
              </w:rPr>
              <w:t>.</w:t>
            </w:r>
            <w:r>
              <w:rPr>
                <w:rFonts w:hint="eastAsia"/>
                <w:color w:val="auto"/>
                <w:sz w:val="21"/>
                <w:szCs w:val="21"/>
                <w:highlight w:val="none"/>
              </w:rPr>
              <w:t>条码扫描：工业级嵌入式条码扫描。</w:t>
            </w:r>
          </w:p>
          <w:p w14:paraId="77EBCFE0">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5</w:t>
            </w:r>
            <w:r>
              <w:rPr>
                <w:color w:val="auto"/>
                <w:sz w:val="21"/>
                <w:szCs w:val="21"/>
                <w:highlight w:val="none"/>
              </w:rPr>
              <w:t>.</w:t>
            </w:r>
            <w:r>
              <w:rPr>
                <w:rFonts w:hint="eastAsia"/>
                <w:color w:val="auto"/>
                <w:sz w:val="21"/>
                <w:szCs w:val="21"/>
                <w:highlight w:val="none"/>
              </w:rPr>
              <w:t>摄像头：AI工业摄像头，≥200万像素。</w:t>
            </w:r>
          </w:p>
          <w:p w14:paraId="27BC7137">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6</w:t>
            </w:r>
            <w:r>
              <w:rPr>
                <w:color w:val="auto"/>
                <w:sz w:val="21"/>
                <w:szCs w:val="21"/>
                <w:highlight w:val="none"/>
              </w:rPr>
              <w:t>.</w:t>
            </w:r>
            <w:r>
              <w:rPr>
                <w:rFonts w:hint="eastAsia"/>
                <w:color w:val="auto"/>
                <w:sz w:val="21"/>
                <w:szCs w:val="21"/>
                <w:highlight w:val="none"/>
              </w:rPr>
              <w:t>试管架：提供≥2套与系统配套试管架，≥1个试管架可进10个样本。</w:t>
            </w:r>
          </w:p>
          <w:p w14:paraId="2143A3C7">
            <w:pPr>
              <w:keepNext w:val="0"/>
              <w:keepLines w:val="0"/>
              <w:suppressLineNumbers w:val="0"/>
              <w:spacing w:before="0" w:beforeAutospacing="0" w:after="0" w:afterAutospacing="0"/>
              <w:ind w:left="0" w:right="0"/>
              <w:rPr>
                <w:color w:val="auto"/>
                <w:sz w:val="21"/>
                <w:szCs w:val="21"/>
                <w:highlight w:val="none"/>
              </w:rPr>
            </w:pPr>
            <w:r>
              <w:rPr>
                <w:color w:val="auto"/>
                <w:sz w:val="21"/>
                <w:szCs w:val="21"/>
                <w:highlight w:val="none"/>
              </w:rPr>
              <w:t>7.</w:t>
            </w:r>
            <w:r>
              <w:rPr>
                <w:rFonts w:hint="eastAsia"/>
                <w:color w:val="auto"/>
                <w:sz w:val="21"/>
                <w:szCs w:val="21"/>
                <w:highlight w:val="none"/>
              </w:rPr>
              <w:t>键盘鼠标：无线/有线均可。</w:t>
            </w:r>
          </w:p>
          <w:p w14:paraId="2538BFA0">
            <w:pPr>
              <w:keepNext w:val="0"/>
              <w:keepLines w:val="0"/>
              <w:suppressLineNumbers w:val="0"/>
              <w:spacing w:before="0" w:beforeAutospacing="0" w:after="0" w:afterAutospacing="0"/>
              <w:ind w:left="0" w:right="0"/>
              <w:rPr>
                <w:color w:val="auto"/>
                <w:sz w:val="21"/>
                <w:szCs w:val="21"/>
                <w:highlight w:val="none"/>
              </w:rPr>
            </w:pPr>
            <w:r>
              <w:rPr>
                <w:color w:val="auto"/>
                <w:sz w:val="21"/>
                <w:szCs w:val="21"/>
                <w:highlight w:val="none"/>
              </w:rPr>
              <w:t>8.</w:t>
            </w:r>
            <w:r>
              <w:rPr>
                <w:rFonts w:hint="eastAsia"/>
                <w:color w:val="auto"/>
                <w:sz w:val="21"/>
                <w:szCs w:val="21"/>
                <w:highlight w:val="none"/>
              </w:rPr>
              <w:t>设备外接接口：具有USB、HDMI、网络接口等。</w:t>
            </w:r>
          </w:p>
          <w:p w14:paraId="736C218F">
            <w:pPr>
              <w:keepNext w:val="0"/>
              <w:keepLines w:val="0"/>
              <w:suppressLineNumbers w:val="0"/>
              <w:spacing w:before="0" w:beforeAutospacing="0" w:after="0" w:afterAutospacing="0"/>
              <w:ind w:left="0" w:right="0"/>
              <w:rPr>
                <w:color w:val="auto"/>
                <w:sz w:val="21"/>
                <w:szCs w:val="21"/>
                <w:highlight w:val="none"/>
              </w:rPr>
            </w:pPr>
            <w:r>
              <w:rPr>
                <w:color w:val="auto"/>
                <w:sz w:val="21"/>
                <w:szCs w:val="21"/>
                <w:highlight w:val="none"/>
              </w:rPr>
              <w:t>9.</w:t>
            </w:r>
            <w:r>
              <w:rPr>
                <w:rFonts w:hint="eastAsia"/>
                <w:color w:val="auto"/>
                <w:sz w:val="21"/>
                <w:szCs w:val="21"/>
                <w:highlight w:val="none"/>
              </w:rPr>
              <w:t>具有模拟进样针、手工进样按钮、紧急暂停按钮、复位按钮、状态指示灯等。</w:t>
            </w:r>
          </w:p>
          <w:p w14:paraId="2F656B1B">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0.</w:t>
            </w:r>
            <w:r>
              <w:rPr>
                <w:rFonts w:hint="eastAsia"/>
                <w:color w:val="auto"/>
                <w:sz w:val="21"/>
                <w:szCs w:val="21"/>
                <w:highlight w:val="none"/>
              </w:rPr>
              <w:t>一机多用，可模拟生化分析仪、血液分析仪、尿液分析仪、凝血分析仪、免疫分析仪。</w:t>
            </w:r>
          </w:p>
          <w:p w14:paraId="7BF3C02D">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1.</w:t>
            </w:r>
            <w:r>
              <w:rPr>
                <w:rFonts w:hint="eastAsia"/>
                <w:color w:val="auto"/>
                <w:sz w:val="21"/>
                <w:szCs w:val="21"/>
                <w:highlight w:val="none"/>
              </w:rPr>
              <w:t>可外接副屏，也可独立使用；主副显示屏具有联动（如配有副显示单元时），当设备进样时，副屏应显示其细节过程或原理动画。</w:t>
            </w:r>
          </w:p>
          <w:p w14:paraId="44D77E62">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2.</w:t>
            </w:r>
            <w:r>
              <w:rPr>
                <w:rFonts w:hint="eastAsia"/>
                <w:color w:val="auto"/>
                <w:sz w:val="21"/>
                <w:szCs w:val="21"/>
                <w:highlight w:val="none"/>
              </w:rPr>
              <w:t>模拟标本：每个模拟标本具有相应临床教学分析案例，具体详见模拟标本要求。</w:t>
            </w:r>
          </w:p>
          <w:p w14:paraId="3D4BDAD6">
            <w:pPr>
              <w:keepNext w:val="0"/>
              <w:keepLines w:val="0"/>
              <w:suppressLineNumbers w:val="0"/>
              <w:spacing w:before="0" w:beforeAutospacing="0" w:after="0" w:afterAutospacing="0"/>
              <w:ind w:left="0" w:right="0"/>
              <w:rPr>
                <w:color w:val="auto"/>
                <w:sz w:val="21"/>
                <w:szCs w:val="21"/>
                <w:highlight w:val="none"/>
              </w:rPr>
            </w:pPr>
            <w:r>
              <w:rPr>
                <w:rFonts w:hint="eastAsia"/>
                <w:color w:val="auto"/>
                <w:szCs w:val="15"/>
                <w:highlight w:val="none"/>
              </w:rPr>
              <w:t>▲</w:t>
            </w:r>
            <w:r>
              <w:rPr>
                <w:rFonts w:hint="eastAsia"/>
                <w:color w:val="auto"/>
                <w:sz w:val="21"/>
                <w:szCs w:val="21"/>
                <w:highlight w:val="none"/>
              </w:rPr>
              <w:t>（二）软件功能：</w:t>
            </w:r>
          </w:p>
          <w:p w14:paraId="5F20AF78">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w:t>
            </w:r>
            <w:r>
              <w:rPr>
                <w:rFonts w:hint="eastAsia"/>
                <w:color w:val="auto"/>
                <w:sz w:val="21"/>
                <w:szCs w:val="21"/>
                <w:highlight w:val="none"/>
              </w:rPr>
              <w:t>内置标准化数据库：内置≥2万病人检验结果数据，可自由选择项目随机模拟病人信息及模拟检验结果，并进行分析处理。</w:t>
            </w:r>
          </w:p>
          <w:p w14:paraId="048C6323">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2</w:t>
            </w:r>
            <w:r>
              <w:rPr>
                <w:color w:val="auto"/>
                <w:sz w:val="21"/>
                <w:szCs w:val="21"/>
                <w:highlight w:val="none"/>
              </w:rPr>
              <w:t>.</w:t>
            </w:r>
            <w:r>
              <w:rPr>
                <w:rFonts w:hint="eastAsia"/>
                <w:color w:val="auto"/>
                <w:sz w:val="21"/>
                <w:szCs w:val="21"/>
                <w:highlight w:val="none"/>
              </w:rPr>
              <w:t>实验过程中根据各阶段的不同，能在副显示单元展示仪器操作及原理动画。</w:t>
            </w:r>
          </w:p>
          <w:p w14:paraId="6258A961">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3</w:t>
            </w:r>
            <w:r>
              <w:rPr>
                <w:color w:val="auto"/>
                <w:sz w:val="21"/>
                <w:szCs w:val="21"/>
                <w:highlight w:val="none"/>
              </w:rPr>
              <w:t>.</w:t>
            </w:r>
            <w:r>
              <w:rPr>
                <w:rFonts w:hint="eastAsia"/>
                <w:color w:val="auto"/>
                <w:sz w:val="21"/>
                <w:szCs w:val="21"/>
                <w:highlight w:val="none"/>
              </w:rPr>
              <w:t>具有故障模拟，可模拟进样被卡，未正确放标本，未检测到标本等各种情况。</w:t>
            </w:r>
          </w:p>
          <w:p w14:paraId="1264651E">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4</w:t>
            </w:r>
            <w:r>
              <w:rPr>
                <w:color w:val="auto"/>
                <w:sz w:val="21"/>
                <w:szCs w:val="21"/>
                <w:highlight w:val="none"/>
              </w:rPr>
              <w:t>.</w:t>
            </w:r>
            <w:r>
              <w:rPr>
                <w:rFonts w:hint="eastAsia"/>
                <w:color w:val="auto"/>
                <w:sz w:val="21"/>
                <w:szCs w:val="21"/>
                <w:highlight w:val="none"/>
              </w:rPr>
              <w:t>每个设备均具有相应案例库。</w:t>
            </w:r>
          </w:p>
          <w:p w14:paraId="1635C5D4">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5</w:t>
            </w:r>
            <w:r>
              <w:rPr>
                <w:color w:val="auto"/>
                <w:sz w:val="21"/>
                <w:szCs w:val="21"/>
                <w:highlight w:val="none"/>
              </w:rPr>
              <w:t>.</w:t>
            </w:r>
            <w:r>
              <w:rPr>
                <w:rFonts w:hint="eastAsia"/>
                <w:color w:val="auto"/>
                <w:sz w:val="21"/>
                <w:szCs w:val="21"/>
                <w:highlight w:val="none"/>
              </w:rPr>
              <w:t>具有考核评价体系，实验结束具有相应评价；能根据实验结果自动评价是否需要复检，根据结果自动判断是否需要报危急值等，学生的每个操作都具有相应的评分点。</w:t>
            </w:r>
          </w:p>
          <w:p w14:paraId="360762DE">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6</w:t>
            </w:r>
            <w:r>
              <w:rPr>
                <w:color w:val="auto"/>
                <w:sz w:val="21"/>
                <w:szCs w:val="21"/>
                <w:highlight w:val="none"/>
              </w:rPr>
              <w:t>.</w:t>
            </w:r>
            <w:r>
              <w:rPr>
                <w:rFonts w:hint="eastAsia"/>
                <w:color w:val="auto"/>
                <w:sz w:val="21"/>
                <w:szCs w:val="21"/>
                <w:highlight w:val="none"/>
              </w:rPr>
              <w:t>具有实验数据查询功能。</w:t>
            </w:r>
          </w:p>
          <w:p w14:paraId="7A5D8E82">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7</w:t>
            </w:r>
            <w:r>
              <w:rPr>
                <w:color w:val="auto"/>
                <w:sz w:val="21"/>
                <w:szCs w:val="21"/>
                <w:highlight w:val="none"/>
              </w:rPr>
              <w:t>.</w:t>
            </w:r>
            <w:r>
              <w:rPr>
                <w:rFonts w:hint="eastAsia"/>
                <w:color w:val="auto"/>
                <w:sz w:val="21"/>
                <w:szCs w:val="21"/>
                <w:highlight w:val="none"/>
              </w:rPr>
              <w:t>具有AI识别标本功能，无论是模拟标本还是医院自备标本，均可进行AI识别，如是否开盖、标本是否有无异常。</w:t>
            </w:r>
          </w:p>
          <w:p w14:paraId="7CE9DC37">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8</w:t>
            </w:r>
            <w:r>
              <w:rPr>
                <w:color w:val="auto"/>
                <w:sz w:val="21"/>
                <w:szCs w:val="21"/>
                <w:highlight w:val="none"/>
              </w:rPr>
              <w:t>.</w:t>
            </w:r>
            <w:r>
              <w:rPr>
                <w:rFonts w:hint="eastAsia"/>
                <w:color w:val="auto"/>
                <w:sz w:val="21"/>
                <w:szCs w:val="21"/>
                <w:highlight w:val="none"/>
              </w:rPr>
              <w:t>整个系统基于临床真实检验实验流程及设备参数进行：选择模拟设备→选择模拟方式（手动、半自动、全自动）→上机实验或核收标本→放入标本→结果分析→审核签字→发送报告。</w:t>
            </w:r>
          </w:p>
          <w:p w14:paraId="51C69BD7">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9</w:t>
            </w:r>
            <w:r>
              <w:rPr>
                <w:color w:val="auto"/>
                <w:sz w:val="21"/>
                <w:szCs w:val="21"/>
                <w:highlight w:val="none"/>
              </w:rPr>
              <w:t>.</w:t>
            </w:r>
            <w:r>
              <w:rPr>
                <w:rFonts w:hint="eastAsia"/>
                <w:color w:val="auto"/>
                <w:sz w:val="21"/>
                <w:szCs w:val="21"/>
                <w:highlight w:val="none"/>
              </w:rPr>
              <w:t>自由上机时的功能要求：具有上机实验，模拟病人信息，增加项目，删除项目</w:t>
            </w:r>
          </w:p>
          <w:p w14:paraId="2EF30614">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0.</w:t>
            </w:r>
            <w:r>
              <w:rPr>
                <w:rFonts w:hint="eastAsia"/>
                <w:color w:val="auto"/>
                <w:sz w:val="21"/>
                <w:szCs w:val="21"/>
                <w:highlight w:val="none"/>
              </w:rPr>
              <w:t>实验数据分析处理及思维训练：根据检验结果或模拟数据及案例的不同，可进行不同的临床处置及思维分析思路，不同的结果，不同的处置，将有不同的交互及结果得分。</w:t>
            </w:r>
          </w:p>
          <w:p w14:paraId="65F297D3">
            <w:pPr>
              <w:keepNext w:val="0"/>
              <w:keepLines w:val="0"/>
              <w:suppressLineNumbers w:val="0"/>
              <w:spacing w:before="0" w:beforeAutospacing="0" w:after="0" w:afterAutospacing="0"/>
              <w:ind w:left="0" w:right="0"/>
              <w:rPr>
                <w:color w:val="auto"/>
                <w:sz w:val="21"/>
                <w:szCs w:val="21"/>
                <w:highlight w:val="none"/>
              </w:rPr>
            </w:pPr>
            <w:r>
              <w:rPr>
                <w:rFonts w:hint="eastAsia"/>
                <w:color w:val="auto"/>
                <w:szCs w:val="15"/>
                <w:highlight w:val="none"/>
              </w:rPr>
              <w:t>▲</w:t>
            </w:r>
            <w:r>
              <w:rPr>
                <w:rFonts w:hint="eastAsia"/>
                <w:color w:val="auto"/>
                <w:sz w:val="21"/>
                <w:szCs w:val="21"/>
                <w:highlight w:val="none"/>
              </w:rPr>
              <w:t>三、检验数字孪生综合实训系统管理端：</w:t>
            </w:r>
          </w:p>
          <w:p w14:paraId="317A1F96">
            <w:pPr>
              <w:keepNext w:val="0"/>
              <w:keepLines w:val="0"/>
              <w:suppressLineNumbers w:val="0"/>
              <w:tabs>
                <w:tab w:val="left" w:pos="190"/>
              </w:tabs>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w:t>
            </w:r>
            <w:r>
              <w:rPr>
                <w:rFonts w:hint="eastAsia"/>
                <w:color w:val="auto"/>
                <w:sz w:val="21"/>
                <w:szCs w:val="21"/>
                <w:highlight w:val="none"/>
              </w:rPr>
              <w:t>角色管理,可分配权限。</w:t>
            </w:r>
          </w:p>
          <w:p w14:paraId="3AEBFFC1">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2</w:t>
            </w:r>
            <w:r>
              <w:rPr>
                <w:color w:val="auto"/>
                <w:sz w:val="21"/>
                <w:szCs w:val="21"/>
                <w:highlight w:val="none"/>
              </w:rPr>
              <w:t>.</w:t>
            </w:r>
            <w:r>
              <w:rPr>
                <w:rFonts w:hint="eastAsia"/>
                <w:color w:val="auto"/>
                <w:sz w:val="21"/>
                <w:szCs w:val="21"/>
                <w:highlight w:val="none"/>
              </w:rPr>
              <w:t>管理员分类（老师管理）。</w:t>
            </w:r>
          </w:p>
          <w:p w14:paraId="1DB0B10B">
            <w:pPr>
              <w:keepNext w:val="0"/>
              <w:keepLines w:val="0"/>
              <w:suppressLineNumbers w:val="0"/>
              <w:spacing w:before="0" w:beforeAutospacing="0" w:after="0" w:afterAutospacing="0"/>
              <w:ind w:left="0" w:right="0"/>
              <w:rPr>
                <w:color w:val="auto"/>
                <w:sz w:val="21"/>
                <w:szCs w:val="21"/>
                <w:highlight w:val="none"/>
              </w:rPr>
            </w:pPr>
            <w:r>
              <w:rPr>
                <w:color w:val="auto"/>
                <w:sz w:val="21"/>
                <w:szCs w:val="21"/>
                <w:highlight w:val="none"/>
              </w:rPr>
              <w:t>3.</w:t>
            </w:r>
            <w:r>
              <w:rPr>
                <w:rFonts w:hint="eastAsia"/>
                <w:color w:val="auto"/>
                <w:sz w:val="21"/>
                <w:szCs w:val="21"/>
                <w:highlight w:val="none"/>
              </w:rPr>
              <w:t>用户分类（班级管理）。</w:t>
            </w:r>
          </w:p>
          <w:p w14:paraId="3FACD65D">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4</w:t>
            </w:r>
            <w:r>
              <w:rPr>
                <w:color w:val="auto"/>
                <w:sz w:val="21"/>
                <w:szCs w:val="21"/>
                <w:highlight w:val="none"/>
              </w:rPr>
              <w:t>.</w:t>
            </w:r>
            <w:r>
              <w:rPr>
                <w:rFonts w:hint="eastAsia"/>
                <w:color w:val="auto"/>
                <w:sz w:val="21"/>
                <w:szCs w:val="21"/>
                <w:highlight w:val="none"/>
              </w:rPr>
              <w:t>管理员（老师）管理。</w:t>
            </w:r>
          </w:p>
          <w:p w14:paraId="4A00A4B4">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5</w:t>
            </w:r>
            <w:r>
              <w:rPr>
                <w:color w:val="auto"/>
                <w:sz w:val="21"/>
                <w:szCs w:val="21"/>
                <w:highlight w:val="none"/>
              </w:rPr>
              <w:t>.</w:t>
            </w:r>
            <w:r>
              <w:rPr>
                <w:rFonts w:hint="eastAsia"/>
                <w:color w:val="auto"/>
                <w:sz w:val="21"/>
                <w:szCs w:val="21"/>
                <w:highlight w:val="none"/>
              </w:rPr>
              <w:t>用户（学生）管理,可添加、修改、删除、导入、批量停用、批量启用、批量分类。</w:t>
            </w:r>
          </w:p>
          <w:p w14:paraId="377DF563">
            <w:pPr>
              <w:keepNext w:val="0"/>
              <w:keepLines w:val="0"/>
              <w:suppressLineNumbers w:val="0"/>
              <w:spacing w:before="0" w:beforeAutospacing="0" w:after="0" w:afterAutospacing="0"/>
              <w:ind w:left="0" w:right="0"/>
              <w:rPr>
                <w:color w:val="auto"/>
                <w:sz w:val="21"/>
                <w:szCs w:val="21"/>
                <w:highlight w:val="none"/>
              </w:rPr>
            </w:pPr>
            <w:r>
              <w:rPr>
                <w:color w:val="auto"/>
                <w:sz w:val="21"/>
                <w:szCs w:val="21"/>
                <w:highlight w:val="none"/>
              </w:rPr>
              <w:t>6.</w:t>
            </w:r>
            <w:r>
              <w:rPr>
                <w:rFonts w:hint="eastAsia"/>
                <w:color w:val="auto"/>
                <w:sz w:val="21"/>
                <w:szCs w:val="21"/>
                <w:highlight w:val="none"/>
              </w:rPr>
              <w:t>字典管理，对各种数据字典进行管理，如性别、血型、标本类型、波特率等。</w:t>
            </w:r>
          </w:p>
          <w:p w14:paraId="67628D76">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7</w:t>
            </w:r>
            <w:r>
              <w:rPr>
                <w:color w:val="auto"/>
                <w:sz w:val="21"/>
                <w:szCs w:val="21"/>
                <w:highlight w:val="none"/>
              </w:rPr>
              <w:t>.</w:t>
            </w:r>
            <w:r>
              <w:rPr>
                <w:rFonts w:hint="eastAsia"/>
                <w:color w:val="auto"/>
                <w:sz w:val="21"/>
                <w:szCs w:val="21"/>
                <w:highlight w:val="none"/>
              </w:rPr>
              <w:t>参数设置：可设置模拟实验时效、模拟报告时效、危急值模拟报告时效、密码过期设置、上机开始编号，所有的设置将对系统产生影响。</w:t>
            </w:r>
          </w:p>
          <w:p w14:paraId="2AB2CE71">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8</w:t>
            </w:r>
            <w:r>
              <w:rPr>
                <w:color w:val="auto"/>
                <w:sz w:val="21"/>
                <w:szCs w:val="21"/>
                <w:highlight w:val="none"/>
              </w:rPr>
              <w:t>.</w:t>
            </w:r>
            <w:r>
              <w:rPr>
                <w:rFonts w:hint="eastAsia"/>
                <w:color w:val="auto"/>
                <w:sz w:val="21"/>
                <w:szCs w:val="21"/>
                <w:highlight w:val="none"/>
              </w:rPr>
              <w:t>联机设备管理，管理模拟设备信息。</w:t>
            </w:r>
          </w:p>
          <w:p w14:paraId="49BB59B3">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9</w:t>
            </w:r>
            <w:r>
              <w:rPr>
                <w:color w:val="auto"/>
                <w:sz w:val="21"/>
                <w:szCs w:val="21"/>
                <w:highlight w:val="none"/>
              </w:rPr>
              <w:t>.</w:t>
            </w:r>
            <w:r>
              <w:rPr>
                <w:rFonts w:hint="eastAsia"/>
                <w:color w:val="auto"/>
                <w:sz w:val="21"/>
                <w:szCs w:val="21"/>
                <w:highlight w:val="none"/>
              </w:rPr>
              <w:t>检验项目管理：</w:t>
            </w:r>
          </w:p>
          <w:p w14:paraId="7EAAA2F0">
            <w:pPr>
              <w:keepNext w:val="0"/>
              <w:keepLines w:val="0"/>
              <w:suppressLineNumbers w:val="0"/>
              <w:spacing w:before="0" w:beforeAutospacing="0" w:after="0" w:afterAutospacing="0"/>
              <w:ind w:left="0" w:right="0"/>
              <w:rPr>
                <w:color w:val="auto"/>
                <w:sz w:val="21"/>
                <w:szCs w:val="21"/>
                <w:highlight w:val="none"/>
              </w:rPr>
            </w:pPr>
            <w:r>
              <w:rPr>
                <w:color w:val="auto"/>
                <w:sz w:val="21"/>
                <w:szCs w:val="21"/>
                <w:highlight w:val="none"/>
              </w:rPr>
              <w:t xml:space="preserve">9.1 </w:t>
            </w:r>
            <w:r>
              <w:rPr>
                <w:rFonts w:hint="eastAsia"/>
                <w:color w:val="auto"/>
                <w:sz w:val="21"/>
                <w:szCs w:val="21"/>
                <w:highlight w:val="none"/>
              </w:rPr>
              <w:t>可以检验项目进行添加、编辑、删除。内容包含项目代码、项目名称、缩写代码、是否组合项目、设备名称、英文名称、标本类型、结果值类型、计算公式、启停状态、计量单位、精度、缺省值、危急值通知临床内容等。</w:t>
            </w:r>
          </w:p>
          <w:p w14:paraId="59D473AC">
            <w:pPr>
              <w:keepNext w:val="0"/>
              <w:keepLines w:val="0"/>
              <w:suppressLineNumbers w:val="0"/>
              <w:spacing w:before="0" w:beforeAutospacing="0" w:after="0" w:afterAutospacing="0"/>
              <w:ind w:left="0" w:right="0"/>
              <w:rPr>
                <w:color w:val="auto"/>
                <w:sz w:val="21"/>
                <w:szCs w:val="21"/>
                <w:highlight w:val="none"/>
              </w:rPr>
            </w:pPr>
            <w:r>
              <w:rPr>
                <w:color w:val="auto"/>
                <w:sz w:val="21"/>
                <w:szCs w:val="21"/>
                <w:highlight w:val="none"/>
              </w:rPr>
              <w:t xml:space="preserve">9.2 </w:t>
            </w:r>
            <w:r>
              <w:rPr>
                <w:rFonts w:hint="eastAsia"/>
                <w:color w:val="auto"/>
                <w:sz w:val="21"/>
                <w:szCs w:val="21"/>
                <w:highlight w:val="none"/>
              </w:rPr>
              <w:t>每个项目可设多个参考范围内容包含性别、年龄范围、年龄单位、参考范围、危急值低、危急值高等。</w:t>
            </w:r>
          </w:p>
          <w:p w14:paraId="7E37A08B">
            <w:pPr>
              <w:keepNext w:val="0"/>
              <w:keepLines w:val="0"/>
              <w:suppressLineNumbers w:val="0"/>
              <w:spacing w:before="0" w:beforeAutospacing="0" w:after="0" w:afterAutospacing="0"/>
              <w:ind w:left="0" w:right="0"/>
              <w:rPr>
                <w:color w:val="auto"/>
                <w:sz w:val="21"/>
                <w:szCs w:val="21"/>
                <w:highlight w:val="none"/>
              </w:rPr>
            </w:pPr>
            <w:r>
              <w:rPr>
                <w:color w:val="auto"/>
                <w:sz w:val="21"/>
                <w:szCs w:val="21"/>
                <w:highlight w:val="none"/>
              </w:rPr>
              <w:t xml:space="preserve">9.3 </w:t>
            </w:r>
            <w:r>
              <w:rPr>
                <w:rFonts w:hint="eastAsia"/>
                <w:color w:val="auto"/>
                <w:sz w:val="21"/>
                <w:szCs w:val="21"/>
                <w:highlight w:val="none"/>
              </w:rPr>
              <w:t>组合项目管理，设置组合项目的关联项目。</w:t>
            </w:r>
          </w:p>
          <w:p w14:paraId="1B8F0EB5">
            <w:pPr>
              <w:keepNext w:val="0"/>
              <w:keepLines w:val="0"/>
              <w:suppressLineNumbers w:val="0"/>
              <w:spacing w:before="0" w:beforeAutospacing="0" w:after="0" w:afterAutospacing="0"/>
              <w:ind w:left="0" w:right="0"/>
              <w:rPr>
                <w:color w:val="auto"/>
                <w:sz w:val="21"/>
                <w:szCs w:val="21"/>
                <w:highlight w:val="none"/>
              </w:rPr>
            </w:pPr>
            <w:r>
              <w:rPr>
                <w:color w:val="auto"/>
                <w:sz w:val="21"/>
                <w:szCs w:val="21"/>
                <w:highlight w:val="none"/>
              </w:rPr>
              <w:t>9.</w:t>
            </w:r>
            <w:r>
              <w:rPr>
                <w:rFonts w:hint="eastAsia"/>
                <w:color w:val="auto"/>
                <w:sz w:val="21"/>
                <w:szCs w:val="21"/>
                <w:highlight w:val="none"/>
              </w:rPr>
              <w:t>4</w:t>
            </w:r>
            <w:r>
              <w:rPr>
                <w:color w:val="auto"/>
                <w:sz w:val="21"/>
                <w:szCs w:val="21"/>
                <w:highlight w:val="none"/>
              </w:rPr>
              <w:t xml:space="preserve"> </w:t>
            </w:r>
            <w:r>
              <w:rPr>
                <w:rFonts w:hint="eastAsia"/>
                <w:color w:val="auto"/>
                <w:sz w:val="21"/>
                <w:szCs w:val="21"/>
                <w:highlight w:val="none"/>
              </w:rPr>
              <w:t>可设检验项目范围模板。</w:t>
            </w:r>
          </w:p>
          <w:p w14:paraId="08E90D4E">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0.</w:t>
            </w:r>
            <w:r>
              <w:rPr>
                <w:rFonts w:hint="eastAsia"/>
                <w:color w:val="auto"/>
                <w:sz w:val="21"/>
                <w:szCs w:val="21"/>
                <w:highlight w:val="none"/>
              </w:rPr>
              <w:t>案例管理：</w:t>
            </w:r>
          </w:p>
          <w:p w14:paraId="214A9174">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 xml:space="preserve">0.1 </w:t>
            </w:r>
            <w:r>
              <w:rPr>
                <w:rFonts w:hint="eastAsia"/>
                <w:color w:val="auto"/>
                <w:sz w:val="21"/>
                <w:szCs w:val="21"/>
                <w:highlight w:val="none"/>
              </w:rPr>
              <w:t>可对案例进行分类。案例的基本信息有：案例名称、案例分类、案例属性、标本类型、标本级别、病人ID、病人姓名、病人性别、病人年龄、病人年龄单位、科室、关联设备、临床诊断、案例描述（临床资料）、案例解析、用途（公用/自用）、参考分值、排序号、启停用等。</w:t>
            </w:r>
          </w:p>
          <w:p w14:paraId="0256FBBA">
            <w:pPr>
              <w:keepNext w:val="0"/>
              <w:keepLines w:val="0"/>
              <w:suppressLineNumbers w:val="0"/>
              <w:spacing w:before="0" w:beforeAutospacing="0" w:after="0" w:afterAutospacing="0"/>
              <w:ind w:left="0" w:right="0"/>
              <w:rPr>
                <w:color w:val="auto"/>
                <w:sz w:val="21"/>
                <w:szCs w:val="21"/>
                <w:highlight w:val="none"/>
              </w:rPr>
            </w:pPr>
            <w:r>
              <w:rPr>
                <w:color w:val="auto"/>
                <w:sz w:val="21"/>
                <w:szCs w:val="21"/>
                <w:highlight w:val="none"/>
              </w:rPr>
              <w:t xml:space="preserve">10.2 </w:t>
            </w:r>
            <w:r>
              <w:rPr>
                <w:rFonts w:hint="eastAsia"/>
                <w:color w:val="auto"/>
                <w:sz w:val="21"/>
                <w:szCs w:val="21"/>
                <w:highlight w:val="none"/>
              </w:rPr>
              <w:t>可自由设备案例关联的检验项目，分为首检及次检。</w:t>
            </w:r>
          </w:p>
          <w:p w14:paraId="4564F42A">
            <w:pPr>
              <w:keepNext w:val="0"/>
              <w:keepLines w:val="0"/>
              <w:suppressLineNumbers w:val="0"/>
              <w:spacing w:before="0" w:beforeAutospacing="0" w:after="0" w:afterAutospacing="0"/>
              <w:ind w:left="0" w:right="0"/>
              <w:rPr>
                <w:color w:val="auto"/>
                <w:sz w:val="21"/>
                <w:szCs w:val="21"/>
                <w:highlight w:val="none"/>
              </w:rPr>
            </w:pPr>
            <w:r>
              <w:rPr>
                <w:color w:val="auto"/>
                <w:sz w:val="21"/>
                <w:szCs w:val="21"/>
                <w:highlight w:val="none"/>
              </w:rPr>
              <w:t xml:space="preserve">10.3 </w:t>
            </w:r>
            <w:r>
              <w:rPr>
                <w:rFonts w:hint="eastAsia"/>
                <w:color w:val="auto"/>
                <w:sz w:val="21"/>
                <w:szCs w:val="21"/>
                <w:highlight w:val="none"/>
              </w:rPr>
              <w:t>检验项目参考范围会根据性别、年龄等具有变化。</w:t>
            </w:r>
          </w:p>
          <w:p w14:paraId="16AFE42F">
            <w:pPr>
              <w:keepNext w:val="0"/>
              <w:keepLines w:val="0"/>
              <w:suppressLineNumbers w:val="0"/>
              <w:spacing w:before="0" w:beforeAutospacing="0" w:after="0" w:afterAutospacing="0"/>
              <w:ind w:left="0" w:right="0"/>
              <w:rPr>
                <w:color w:val="auto"/>
                <w:sz w:val="21"/>
                <w:szCs w:val="21"/>
                <w:highlight w:val="none"/>
              </w:rPr>
            </w:pPr>
            <w:r>
              <w:rPr>
                <w:color w:val="auto"/>
                <w:sz w:val="21"/>
                <w:szCs w:val="21"/>
                <w:highlight w:val="none"/>
              </w:rPr>
              <w:t xml:space="preserve">10.4 </w:t>
            </w:r>
            <w:r>
              <w:rPr>
                <w:rFonts w:hint="eastAsia"/>
                <w:color w:val="auto"/>
                <w:sz w:val="21"/>
                <w:szCs w:val="21"/>
                <w:highlight w:val="none"/>
              </w:rPr>
              <w:t>可设置多次复检结果范围。</w:t>
            </w:r>
          </w:p>
          <w:p w14:paraId="7A3655FE">
            <w:pPr>
              <w:keepNext w:val="0"/>
              <w:keepLines w:val="0"/>
              <w:suppressLineNumbers w:val="0"/>
              <w:spacing w:before="0" w:beforeAutospacing="0" w:after="0" w:afterAutospacing="0"/>
              <w:ind w:left="0" w:right="0"/>
              <w:rPr>
                <w:color w:val="auto"/>
                <w:sz w:val="21"/>
                <w:szCs w:val="21"/>
                <w:highlight w:val="none"/>
              </w:rPr>
            </w:pPr>
            <w:r>
              <w:rPr>
                <w:color w:val="auto"/>
                <w:sz w:val="21"/>
                <w:szCs w:val="21"/>
                <w:highlight w:val="none"/>
              </w:rPr>
              <w:t xml:space="preserve">10.5 </w:t>
            </w:r>
            <w:r>
              <w:rPr>
                <w:rFonts w:hint="eastAsia"/>
                <w:color w:val="auto"/>
                <w:sz w:val="21"/>
                <w:szCs w:val="21"/>
                <w:highlight w:val="none"/>
              </w:rPr>
              <w:t>可关联条码。</w:t>
            </w:r>
          </w:p>
          <w:p w14:paraId="1F03D12D">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1.</w:t>
            </w:r>
            <w:r>
              <w:rPr>
                <w:rFonts w:hint="eastAsia"/>
                <w:color w:val="auto"/>
                <w:sz w:val="21"/>
                <w:szCs w:val="21"/>
                <w:highlight w:val="none"/>
              </w:rPr>
              <w:t>案例处置：</w:t>
            </w:r>
          </w:p>
          <w:p w14:paraId="7F81E785">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w:t>
            </w:r>
            <w:r>
              <w:rPr>
                <w:color w:val="auto"/>
                <w:sz w:val="21"/>
                <w:szCs w:val="21"/>
                <w:highlight w:val="none"/>
              </w:rPr>
              <w:t xml:space="preserve">1.1 </w:t>
            </w:r>
            <w:r>
              <w:rPr>
                <w:rFonts w:hint="eastAsia"/>
                <w:color w:val="auto"/>
                <w:sz w:val="21"/>
                <w:szCs w:val="21"/>
                <w:highlight w:val="none"/>
              </w:rPr>
              <w:t>可自由设备每个案例的处置事件，混合分析、填空、单选、多选、判断、问答、分析说明、上传文件、程序事件等；特别是程序事件该功能为系统核心。</w:t>
            </w:r>
          </w:p>
          <w:p w14:paraId="7DAC9641">
            <w:pPr>
              <w:keepNext w:val="0"/>
              <w:keepLines w:val="0"/>
              <w:suppressLineNumbers w:val="0"/>
              <w:spacing w:before="0" w:beforeAutospacing="0" w:after="0" w:afterAutospacing="0"/>
              <w:ind w:left="0" w:right="0"/>
              <w:rPr>
                <w:color w:val="auto"/>
                <w:sz w:val="21"/>
                <w:szCs w:val="21"/>
                <w:highlight w:val="none"/>
              </w:rPr>
            </w:pPr>
            <w:r>
              <w:rPr>
                <w:color w:val="auto"/>
                <w:sz w:val="21"/>
                <w:szCs w:val="21"/>
                <w:highlight w:val="none"/>
              </w:rPr>
              <w:t xml:space="preserve">11.2 </w:t>
            </w:r>
            <w:r>
              <w:rPr>
                <w:rFonts w:hint="eastAsia"/>
                <w:color w:val="auto"/>
                <w:sz w:val="21"/>
                <w:szCs w:val="21"/>
                <w:highlight w:val="none"/>
              </w:rPr>
              <w:t>案例处置设置，会根据用户不同的处理进行不同的分支处理。</w:t>
            </w:r>
          </w:p>
          <w:p w14:paraId="189B770F">
            <w:pPr>
              <w:keepNext w:val="0"/>
              <w:keepLines w:val="0"/>
              <w:suppressLineNumbers w:val="0"/>
              <w:spacing w:before="0" w:beforeAutospacing="0" w:after="0" w:afterAutospacing="0"/>
              <w:ind w:left="0" w:right="0"/>
              <w:rPr>
                <w:color w:val="auto"/>
                <w:sz w:val="21"/>
                <w:szCs w:val="21"/>
                <w:highlight w:val="none"/>
              </w:rPr>
            </w:pPr>
            <w:r>
              <w:rPr>
                <w:color w:val="auto"/>
                <w:sz w:val="21"/>
                <w:szCs w:val="21"/>
                <w:highlight w:val="none"/>
              </w:rPr>
              <w:t xml:space="preserve">11.3 </w:t>
            </w:r>
            <w:r>
              <w:rPr>
                <w:rFonts w:hint="eastAsia"/>
                <w:color w:val="auto"/>
                <w:sz w:val="21"/>
                <w:szCs w:val="21"/>
                <w:highlight w:val="none"/>
              </w:rPr>
              <w:t>可设置案例处置模板。</w:t>
            </w:r>
          </w:p>
          <w:p w14:paraId="6B28E9EB">
            <w:pPr>
              <w:keepNext w:val="0"/>
              <w:keepLines w:val="0"/>
              <w:suppressLineNumbers w:val="0"/>
              <w:spacing w:before="0" w:beforeAutospacing="0" w:after="0" w:afterAutospacing="0"/>
              <w:ind w:left="0" w:right="0"/>
              <w:rPr>
                <w:color w:val="auto"/>
                <w:sz w:val="21"/>
                <w:szCs w:val="21"/>
                <w:highlight w:val="none"/>
              </w:rPr>
            </w:pPr>
            <w:r>
              <w:rPr>
                <w:color w:val="auto"/>
                <w:sz w:val="21"/>
                <w:szCs w:val="21"/>
                <w:highlight w:val="none"/>
              </w:rPr>
              <w:t>12.</w:t>
            </w:r>
            <w:r>
              <w:rPr>
                <w:rFonts w:hint="eastAsia"/>
                <w:color w:val="auto"/>
                <w:sz w:val="21"/>
                <w:szCs w:val="21"/>
                <w:highlight w:val="none"/>
              </w:rPr>
              <w:t>教学考试：</w:t>
            </w:r>
          </w:p>
          <w:p w14:paraId="1A37C135">
            <w:pPr>
              <w:keepNext w:val="0"/>
              <w:keepLines w:val="0"/>
              <w:suppressLineNumbers w:val="0"/>
              <w:spacing w:before="0" w:beforeAutospacing="0" w:after="0" w:afterAutospacing="0"/>
              <w:ind w:left="0" w:right="0"/>
              <w:rPr>
                <w:color w:val="auto"/>
                <w:sz w:val="21"/>
                <w:szCs w:val="21"/>
                <w:highlight w:val="none"/>
              </w:rPr>
            </w:pPr>
            <w:r>
              <w:rPr>
                <w:color w:val="auto"/>
                <w:sz w:val="21"/>
                <w:szCs w:val="21"/>
                <w:highlight w:val="none"/>
              </w:rPr>
              <w:t xml:space="preserve">12.1 </w:t>
            </w:r>
            <w:r>
              <w:rPr>
                <w:rFonts w:hint="eastAsia"/>
                <w:color w:val="auto"/>
                <w:sz w:val="21"/>
                <w:szCs w:val="21"/>
                <w:highlight w:val="none"/>
              </w:rPr>
              <w:t>可发布一个或多个案例进行考试，分析。</w:t>
            </w:r>
          </w:p>
          <w:p w14:paraId="18ACC4D2">
            <w:pPr>
              <w:keepNext w:val="0"/>
              <w:keepLines w:val="0"/>
              <w:suppressLineNumbers w:val="0"/>
              <w:spacing w:before="0" w:beforeAutospacing="0" w:after="0" w:afterAutospacing="0"/>
              <w:ind w:left="0" w:right="0"/>
              <w:rPr>
                <w:color w:val="auto"/>
                <w:sz w:val="21"/>
                <w:szCs w:val="21"/>
                <w:highlight w:val="none"/>
              </w:rPr>
            </w:pPr>
            <w:r>
              <w:rPr>
                <w:color w:val="auto"/>
                <w:sz w:val="21"/>
                <w:szCs w:val="21"/>
                <w:highlight w:val="none"/>
              </w:rPr>
              <w:t xml:space="preserve">12.2 </w:t>
            </w:r>
            <w:r>
              <w:rPr>
                <w:rFonts w:hint="eastAsia"/>
                <w:color w:val="auto"/>
                <w:sz w:val="21"/>
                <w:szCs w:val="21"/>
                <w:highlight w:val="none"/>
              </w:rPr>
              <w:t>每个考试可进行指定班级、批定学生、复制新增等功能。</w:t>
            </w:r>
          </w:p>
          <w:p w14:paraId="1C53D627">
            <w:pPr>
              <w:keepNext w:val="0"/>
              <w:keepLines w:val="0"/>
              <w:suppressLineNumbers w:val="0"/>
              <w:spacing w:before="0" w:beforeAutospacing="0" w:after="0" w:afterAutospacing="0"/>
              <w:ind w:left="0" w:right="0"/>
              <w:rPr>
                <w:color w:val="auto"/>
                <w:sz w:val="21"/>
                <w:szCs w:val="21"/>
                <w:highlight w:val="none"/>
              </w:rPr>
            </w:pPr>
            <w:r>
              <w:rPr>
                <w:color w:val="auto"/>
                <w:sz w:val="21"/>
                <w:szCs w:val="21"/>
                <w:highlight w:val="none"/>
              </w:rPr>
              <w:t xml:space="preserve">12.3 </w:t>
            </w:r>
            <w:r>
              <w:rPr>
                <w:rFonts w:hint="eastAsia"/>
                <w:color w:val="auto"/>
                <w:sz w:val="21"/>
                <w:szCs w:val="21"/>
                <w:highlight w:val="none"/>
              </w:rPr>
              <w:t>可设置重考分数线、重考次数、考试顺序是否打乱、考生切屏超过多少次后执行强制交卷、考试时定期保存人脸图像（每隔多少秒保存一次）等。</w:t>
            </w:r>
          </w:p>
          <w:p w14:paraId="155B9D97">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四、售后服务</w:t>
            </w:r>
          </w:p>
          <w:p w14:paraId="3D83A252">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1.质保期：6年。</w:t>
            </w:r>
          </w:p>
          <w:p w14:paraId="74BAF8AD">
            <w:pPr>
              <w:keepNext w:val="0"/>
              <w:keepLines w:val="0"/>
              <w:suppressLineNumbers w:val="0"/>
              <w:spacing w:before="0" w:beforeAutospacing="0" w:after="0" w:afterAutospacing="0"/>
              <w:ind w:left="0" w:right="0"/>
              <w:rPr>
                <w:color w:val="auto"/>
                <w:sz w:val="21"/>
                <w:szCs w:val="21"/>
                <w:highlight w:val="none"/>
              </w:rPr>
            </w:pPr>
            <w:r>
              <w:rPr>
                <w:rFonts w:hint="eastAsia"/>
                <w:color w:val="auto"/>
                <w:sz w:val="21"/>
                <w:szCs w:val="21"/>
                <w:highlight w:val="none"/>
              </w:rPr>
              <w:t>2.培训：免费安装、调试和操作培训，不限制培训时长及培训次数直至采购人掌握为止。</w:t>
            </w:r>
          </w:p>
          <w:p w14:paraId="76D32A42">
            <w:pPr>
              <w:keepNext w:val="0"/>
              <w:keepLines w:val="0"/>
              <w:suppressLineNumbers w:val="0"/>
              <w:spacing w:before="0" w:beforeAutospacing="0" w:after="0" w:afterAutospacing="0"/>
              <w:ind w:left="0" w:right="0"/>
              <w:rPr>
                <w:rFonts w:hint="eastAsia" w:ascii="Times New Roman" w:hAnsi="Times New Roman" w:eastAsia="宋体" w:cs="Times New Roman"/>
                <w:color w:val="auto"/>
                <w:kern w:val="2"/>
                <w:sz w:val="21"/>
                <w:szCs w:val="21"/>
                <w:highlight w:val="none"/>
                <w:lang w:val="en-US" w:eastAsia="zh-CN" w:bidi="ar-SA"/>
              </w:rPr>
            </w:pPr>
            <w:r>
              <w:rPr>
                <w:color w:val="auto"/>
                <w:sz w:val="21"/>
                <w:szCs w:val="21"/>
                <w:highlight w:val="none"/>
              </w:rPr>
              <w:t>3.</w:t>
            </w:r>
            <w:r>
              <w:rPr>
                <w:rFonts w:hint="eastAsia"/>
                <w:color w:val="auto"/>
                <w:sz w:val="21"/>
                <w:szCs w:val="21"/>
                <w:highlight w:val="none"/>
              </w:rPr>
              <w:t>质保期内软件免费升级。</w:t>
            </w:r>
          </w:p>
        </w:tc>
        <w:tc>
          <w:tcPr>
            <w:tcW w:w="1497" w:type="dxa"/>
            <w:tcBorders>
              <w:top w:val="single" w:color="000000" w:sz="4" w:space="0"/>
              <w:left w:val="single" w:color="auto" w:sz="4" w:space="0"/>
              <w:bottom w:val="single" w:color="000000" w:sz="4" w:space="0"/>
              <w:right w:val="single" w:color="000000" w:sz="4" w:space="0"/>
            </w:tcBorders>
            <w:vAlign w:val="center"/>
          </w:tcPr>
          <w:p w14:paraId="407C1C1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cs="宋体"/>
                <w:b w:val="0"/>
                <w:bCs w:val="0"/>
                <w:color w:val="auto"/>
                <w:szCs w:val="21"/>
                <w:highlight w:val="none"/>
                <w:u w:val="none"/>
              </w:rPr>
            </w:pPr>
            <w:r>
              <w:rPr>
                <w:rFonts w:hint="eastAsia" w:eastAsia="宋体" w:asciiTheme="minorEastAsia" w:hAnsiTheme="minorEastAsia" w:cstheme="minorEastAsia"/>
                <w:color w:val="auto"/>
                <w:sz w:val="24"/>
                <w:highlight w:val="none"/>
                <w:shd w:val="clear" w:color="auto" w:fill="FFFFFF"/>
              </w:rPr>
              <w:t>工业</w:t>
            </w:r>
          </w:p>
        </w:tc>
      </w:tr>
      <w:tr w14:paraId="195CC4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2580625D">
            <w:pPr>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1</w:t>
            </w:r>
            <w:r>
              <w:rPr>
                <w:color w:val="auto"/>
                <w:sz w:val="21"/>
                <w:szCs w:val="21"/>
                <w:highlight w:val="none"/>
              </w:rPr>
              <w:t>9</w:t>
            </w:r>
          </w:p>
        </w:tc>
        <w:tc>
          <w:tcPr>
            <w:tcW w:w="1119" w:type="dxa"/>
            <w:tcBorders>
              <w:top w:val="single" w:color="000000" w:sz="4" w:space="0"/>
              <w:left w:val="nil"/>
              <w:bottom w:val="single" w:color="000000" w:sz="4" w:space="0"/>
              <w:right w:val="single" w:color="000000" w:sz="4" w:space="0"/>
            </w:tcBorders>
            <w:shd w:val="clear" w:color="auto" w:fill="auto"/>
            <w:vAlign w:val="center"/>
          </w:tcPr>
          <w:p w14:paraId="7E68A8A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color w:val="auto"/>
                <w:sz w:val="21"/>
                <w:szCs w:val="21"/>
                <w:highlight w:val="none"/>
              </w:rPr>
              <w:t>AI医学检验数字切片分类计数与分析软件</w:t>
            </w:r>
          </w:p>
        </w:tc>
        <w:tc>
          <w:tcPr>
            <w:tcW w:w="562" w:type="dxa"/>
            <w:tcBorders>
              <w:top w:val="single" w:color="000000" w:sz="4" w:space="0"/>
              <w:left w:val="nil"/>
              <w:bottom w:val="single" w:color="000000" w:sz="4" w:space="0"/>
              <w:right w:val="single" w:color="000000" w:sz="4" w:space="0"/>
            </w:tcBorders>
            <w:shd w:val="clear" w:color="auto" w:fill="auto"/>
            <w:vAlign w:val="center"/>
          </w:tcPr>
          <w:p w14:paraId="3273D51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color w:val="auto"/>
                <w:sz w:val="21"/>
                <w:szCs w:val="21"/>
                <w:highlight w:val="none"/>
              </w:rPr>
              <w:t>1</w:t>
            </w:r>
          </w:p>
        </w:tc>
        <w:tc>
          <w:tcPr>
            <w:tcW w:w="519" w:type="dxa"/>
            <w:tcBorders>
              <w:top w:val="single" w:color="000000" w:sz="4" w:space="0"/>
              <w:left w:val="nil"/>
              <w:bottom w:val="single" w:color="000000" w:sz="4" w:space="0"/>
              <w:right w:val="single" w:color="000000" w:sz="4" w:space="0"/>
            </w:tcBorders>
            <w:shd w:val="clear" w:color="auto" w:fill="auto"/>
            <w:vAlign w:val="center"/>
          </w:tcPr>
          <w:p w14:paraId="558FBF5E">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套</w:t>
            </w:r>
          </w:p>
        </w:tc>
        <w:tc>
          <w:tcPr>
            <w:tcW w:w="5194" w:type="dxa"/>
            <w:tcBorders>
              <w:top w:val="single" w:color="000000" w:sz="4" w:space="0"/>
              <w:left w:val="nil"/>
              <w:bottom w:val="single" w:color="000000" w:sz="4" w:space="0"/>
              <w:right w:val="single" w:color="auto" w:sz="4" w:space="0"/>
            </w:tcBorders>
            <w:shd w:val="clear" w:color="auto" w:fill="auto"/>
            <w:vAlign w:val="center"/>
          </w:tcPr>
          <w:p w14:paraId="1B829F38">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一、总体技术要求</w:t>
            </w:r>
          </w:p>
          <w:p w14:paraId="032554FD">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1、软件集资源库，教学，训练，考试，数据分析为一体。</w:t>
            </w:r>
          </w:p>
          <w:p w14:paraId="78D6A0C1">
            <w:pPr>
              <w:keepNext w:val="0"/>
              <w:keepLines w:val="0"/>
              <w:suppressLineNumbers w:val="0"/>
              <w:spacing w:before="0" w:beforeAutospacing="0" w:after="0" w:afterAutospacing="0"/>
              <w:ind w:left="0" w:right="0"/>
              <w:rPr>
                <w:color w:val="auto"/>
                <w:sz w:val="21"/>
                <w:szCs w:val="15"/>
                <w:highlight w:val="none"/>
              </w:rPr>
            </w:pPr>
            <w:r>
              <w:rPr>
                <w:rFonts w:hint="eastAsia"/>
                <w:color w:val="auto"/>
                <w:szCs w:val="15"/>
                <w:highlight w:val="none"/>
              </w:rPr>
              <w:t>▲</w:t>
            </w:r>
            <w:r>
              <w:rPr>
                <w:rFonts w:hint="eastAsia"/>
                <w:color w:val="auto"/>
                <w:sz w:val="21"/>
                <w:szCs w:val="15"/>
                <w:highlight w:val="none"/>
              </w:rPr>
              <w:t>2、软件为B/S架构，安装在服务器上，通过局域网访问；不限节点数量使用，提供免费的数据接口实现与学校原有检验综合能力与思维训练及评价系统上的数据对接。</w:t>
            </w:r>
          </w:p>
          <w:p w14:paraId="3490D535">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3、采用主流的JAVA开发。</w:t>
            </w:r>
          </w:p>
          <w:p w14:paraId="411ACDC2">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4、系统部署到本地后，用户可以自主上传数字切片内容。</w:t>
            </w:r>
          </w:p>
          <w:p w14:paraId="5B49F75C">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5、软件灵活性要求：</w:t>
            </w:r>
          </w:p>
          <w:p w14:paraId="3E4A582A">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(1)病例描述、细胞计数规则、案例分析考点等可随意设置、修改；要根据后台的设置，程序自动判断显示不同考点；</w:t>
            </w:r>
          </w:p>
          <w:p w14:paraId="06BD2E45">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(2)提供多种数据切片导入方式。</w:t>
            </w:r>
          </w:p>
          <w:p w14:paraId="72445409">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(3)每小项的分数均可自由设置。</w:t>
            </w:r>
          </w:p>
          <w:p w14:paraId="12BA43BD">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6、软件机理性要求：后台设置数据要与学生前端结合，要符合教学及临床相关标准规范，不能有知识性错误。</w:t>
            </w:r>
          </w:p>
          <w:p w14:paraId="3E186949">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7、软件交互性要求：提供快速导航功能，可快速到2、4、10、20、40、60、100等倍数浏览。</w:t>
            </w:r>
          </w:p>
          <w:p w14:paraId="7EAF01B7">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8、软件评价体系要求：</w:t>
            </w:r>
          </w:p>
          <w:p w14:paraId="252C52F4">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(1)每次练习、考核都有相应的记录。</w:t>
            </w:r>
          </w:p>
          <w:p w14:paraId="55BB3A23">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(2)评价体系灵活且可自主组合。</w:t>
            </w:r>
          </w:p>
          <w:p w14:paraId="3CEB980A">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(3)平台资源内容分类。</w:t>
            </w:r>
          </w:p>
          <w:p w14:paraId="6D376E75">
            <w:pPr>
              <w:keepNext w:val="0"/>
              <w:keepLines w:val="0"/>
              <w:suppressLineNumbers w:val="0"/>
              <w:spacing w:before="0" w:beforeAutospacing="0" w:after="0" w:afterAutospacing="0"/>
              <w:ind w:left="0" w:right="0"/>
              <w:rPr>
                <w:rFonts w:hint="default" w:eastAsia="宋体"/>
                <w:color w:val="auto"/>
                <w:sz w:val="21"/>
                <w:szCs w:val="15"/>
                <w:highlight w:val="none"/>
                <w:lang w:val="en-US" w:eastAsia="zh-CN"/>
              </w:rPr>
            </w:pPr>
            <w:r>
              <w:rPr>
                <w:rFonts w:hint="eastAsia"/>
                <w:color w:val="auto"/>
                <w:sz w:val="21"/>
                <w:szCs w:val="15"/>
                <w:highlight w:val="none"/>
                <w:lang w:val="en-US" w:eastAsia="zh-CN"/>
              </w:rPr>
              <w:t>二、资源库</w:t>
            </w:r>
          </w:p>
          <w:p w14:paraId="1829A67A">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1、具有典型疾病形态库：</w:t>
            </w:r>
          </w:p>
          <w:p w14:paraId="79015855">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（1）每种疾病具有1-5套电子片。</w:t>
            </w:r>
          </w:p>
          <w:p w14:paraId="160971CE">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（2）主要资源内容（包括但不限于）：</w:t>
            </w:r>
          </w:p>
          <w:p w14:paraId="4666FCFF">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①正常人骨髓片</w:t>
            </w:r>
          </w:p>
          <w:p w14:paraId="4078FAF3">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②红细胞相关疾病</w:t>
            </w:r>
          </w:p>
          <w:p w14:paraId="574549B4">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A.缺铁性贫血</w:t>
            </w:r>
          </w:p>
          <w:p w14:paraId="28180FD6">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B.巨幼细胞性贫血</w:t>
            </w:r>
          </w:p>
          <w:p w14:paraId="5B2F7D13">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C.再生障碍性贫血</w:t>
            </w:r>
          </w:p>
          <w:p w14:paraId="7A48A7F7">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D.遗传性椭圆形红细胞增多症</w:t>
            </w:r>
          </w:p>
          <w:p w14:paraId="2B3EE09A">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E.红细胞缗钱状排列</w:t>
            </w:r>
          </w:p>
          <w:p w14:paraId="36905158">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F.造血停滞</w:t>
            </w:r>
          </w:p>
          <w:p w14:paraId="31970B7C">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③血小板相关疾病</w:t>
            </w:r>
          </w:p>
          <w:p w14:paraId="10583480">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A.特发性血小板减少性紫癫</w:t>
            </w:r>
          </w:p>
          <w:p w14:paraId="1967AF16">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B.血栓性血小板减少性紫癜</w:t>
            </w:r>
          </w:p>
          <w:p w14:paraId="699871EC">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④白细胞相关疾病(良性)</w:t>
            </w:r>
          </w:p>
          <w:p w14:paraId="55951655">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A.白细胞减少症、粒细胞缺乏</w:t>
            </w:r>
          </w:p>
          <w:p w14:paraId="29036F3C">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B.感染相关中毒改变（中毒颗粒、杜勒小体、空泡样变）</w:t>
            </w:r>
          </w:p>
          <w:p w14:paraId="36442F03">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C.类白血病反应（各种类型）</w:t>
            </w:r>
          </w:p>
          <w:p w14:paraId="77335CAE">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D.传染性单核细胞增多症</w:t>
            </w:r>
          </w:p>
          <w:p w14:paraId="2D74816C">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E.反应性浆细胞增多症</w:t>
            </w:r>
          </w:p>
          <w:p w14:paraId="4799ABD0">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⑤MPN</w:t>
            </w:r>
          </w:p>
          <w:p w14:paraId="2E8791A0">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A.慢性髓系白血病伴BCR-ABL1阳性</w:t>
            </w:r>
          </w:p>
          <w:p w14:paraId="26F4487B">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B.慢性中性粒细胞白血病</w:t>
            </w:r>
          </w:p>
          <w:p w14:paraId="0261E6B9">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⑥MDS/MPN</w:t>
            </w:r>
          </w:p>
          <w:p w14:paraId="0005C5D3">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慢性粒单细胞白血病（CMML）</w:t>
            </w:r>
          </w:p>
          <w:p w14:paraId="79806C40">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⑦AML伴重现型遗传异常</w:t>
            </w:r>
          </w:p>
          <w:p w14:paraId="27C43B18">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A.AML伴t(8;21)(q22;q22.1);RUNX1-RUNX1T1</w:t>
            </w:r>
          </w:p>
          <w:p w14:paraId="6C0ADC90">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B.AML伴PML-RARA</w:t>
            </w:r>
          </w:p>
          <w:p w14:paraId="15FEB188">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C.AML伴CBFB-MYH11突变</w:t>
            </w:r>
          </w:p>
          <w:p w14:paraId="068DE358">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⑧急性髓系白血病,NOS</w:t>
            </w:r>
          </w:p>
          <w:p w14:paraId="2C71B441">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A.AML微分化型</w:t>
            </w:r>
          </w:p>
          <w:p w14:paraId="603DBDD9">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B.AML不伴成熟型（未分化型）</w:t>
            </w:r>
          </w:p>
          <w:p w14:paraId="352E68F4">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C.AML伴成熟型（部分分化型）</w:t>
            </w:r>
          </w:p>
          <w:p w14:paraId="0003790E">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D.急性粒-单核细胞白血病</w:t>
            </w:r>
          </w:p>
          <w:p w14:paraId="46A2510A">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E.急性单核细胞白血病</w:t>
            </w:r>
          </w:p>
          <w:p w14:paraId="1F837075">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F.纯红系白血病</w:t>
            </w:r>
          </w:p>
          <w:p w14:paraId="55AF0F62">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G.急性巨核细胞白血病</w:t>
            </w:r>
          </w:p>
          <w:p w14:paraId="5DEDE81F">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H.混合细胞白血病</w:t>
            </w:r>
          </w:p>
          <w:p w14:paraId="112472F5">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⑨ALL</w:t>
            </w:r>
          </w:p>
          <w:p w14:paraId="2FD9DE22">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A.B-ALL/淋巴瘤</w:t>
            </w:r>
          </w:p>
          <w:p w14:paraId="1FC2AD5A">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B.T-ALL/淋巴瘤</w:t>
            </w:r>
          </w:p>
          <w:p w14:paraId="4E031A95">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C.示教1号片</w:t>
            </w:r>
          </w:p>
          <w:p w14:paraId="59EB1BA2">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⑩成熟B-细胞肿瘤</w:t>
            </w:r>
          </w:p>
          <w:p w14:paraId="3AE6AFFD">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A.边缘带淋巴瘤（MZL）</w:t>
            </w:r>
          </w:p>
          <w:p w14:paraId="0A8F126D">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B.慢性淋巴细胞白血病/小淋巴细胞淋巴瘤</w:t>
            </w:r>
          </w:p>
          <w:p w14:paraId="147B8FC4">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C.B幼淋巴细胞白血病（B-PLL）</w:t>
            </w:r>
          </w:p>
          <w:p w14:paraId="37567968">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D.多毛细胞白血病（HCL）</w:t>
            </w:r>
          </w:p>
          <w:p w14:paraId="1236A3E1">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E.淋巴样浆细胞淋巴瘤（LPL）</w:t>
            </w:r>
          </w:p>
          <w:p w14:paraId="6A7BBF7F">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F.浆细胞骨髓瘤（PCM）</w:t>
            </w:r>
          </w:p>
          <w:p w14:paraId="4E4A30E0">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G.Burkitt淋巴瘤</w:t>
            </w:r>
          </w:p>
          <w:p w14:paraId="73CFFD6E">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H.非霍奇金淋巴瘤，侵袭性B细胞肿瘤</w:t>
            </w:r>
          </w:p>
          <w:p w14:paraId="688B31A6">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I.弥散性大B细胞淋巴瘤（DLBCL）</w:t>
            </w:r>
          </w:p>
          <w:p w14:paraId="47AB19BA">
            <w:pPr>
              <w:keepNext w:val="0"/>
              <w:keepLines w:val="0"/>
              <w:suppressLineNumbers w:val="0"/>
              <w:spacing w:before="0" w:beforeAutospacing="0" w:after="0" w:afterAutospacing="0"/>
              <w:ind w:left="0" w:right="0"/>
              <w:rPr>
                <w:color w:val="auto"/>
                <w:sz w:val="21"/>
                <w:szCs w:val="15"/>
                <w:highlight w:val="none"/>
              </w:rPr>
            </w:pPr>
            <w:r>
              <w:rPr>
                <w:rFonts w:ascii="Cambria Math" w:hAnsi="Cambria Math" w:cs="Cambria Math"/>
                <w:color w:val="auto"/>
                <w:sz w:val="21"/>
                <w:szCs w:val="15"/>
                <w:highlight w:val="none"/>
              </w:rPr>
              <w:t>⑪</w:t>
            </w:r>
            <w:r>
              <w:rPr>
                <w:rFonts w:hint="eastAsia"/>
                <w:color w:val="auto"/>
                <w:sz w:val="21"/>
                <w:szCs w:val="15"/>
                <w:highlight w:val="none"/>
              </w:rPr>
              <w:t>成熟</w:t>
            </w:r>
            <w:r>
              <w:rPr>
                <w:color w:val="auto"/>
                <w:sz w:val="21"/>
                <w:szCs w:val="15"/>
                <w:highlight w:val="none"/>
              </w:rPr>
              <w:t>T</w:t>
            </w:r>
            <w:r>
              <w:rPr>
                <w:rFonts w:hint="eastAsia"/>
                <w:color w:val="auto"/>
                <w:sz w:val="21"/>
                <w:szCs w:val="15"/>
                <w:highlight w:val="none"/>
              </w:rPr>
              <w:t>和</w:t>
            </w:r>
            <w:r>
              <w:rPr>
                <w:color w:val="auto"/>
                <w:sz w:val="21"/>
                <w:szCs w:val="15"/>
                <w:highlight w:val="none"/>
              </w:rPr>
              <w:t>NK</w:t>
            </w:r>
            <w:r>
              <w:rPr>
                <w:rFonts w:hint="eastAsia"/>
                <w:color w:val="auto"/>
                <w:sz w:val="21"/>
                <w:szCs w:val="15"/>
                <w:highlight w:val="none"/>
              </w:rPr>
              <w:t>细胞肿瘤</w:t>
            </w:r>
          </w:p>
          <w:p w14:paraId="11454528">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A.T-淋巴细胞增殖性疾病</w:t>
            </w:r>
          </w:p>
          <w:p w14:paraId="6E50E2E9">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B.T幼淋巴细胞白血病</w:t>
            </w:r>
          </w:p>
          <w:p w14:paraId="07410F04">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C.大颗粒T淋巴细胞白血病</w:t>
            </w:r>
          </w:p>
          <w:p w14:paraId="3EAA4B7B">
            <w:pPr>
              <w:keepNext w:val="0"/>
              <w:keepLines w:val="0"/>
              <w:suppressLineNumbers w:val="0"/>
              <w:spacing w:before="0" w:beforeAutospacing="0" w:after="0" w:afterAutospacing="0"/>
              <w:ind w:left="0" w:right="0"/>
              <w:rPr>
                <w:color w:val="auto"/>
                <w:sz w:val="21"/>
                <w:szCs w:val="15"/>
                <w:highlight w:val="none"/>
              </w:rPr>
            </w:pPr>
            <w:r>
              <w:rPr>
                <w:rFonts w:ascii="Cambria Math" w:hAnsi="Cambria Math" w:cs="Cambria Math"/>
                <w:color w:val="auto"/>
                <w:sz w:val="21"/>
                <w:szCs w:val="15"/>
                <w:highlight w:val="none"/>
              </w:rPr>
              <w:t>⑫</w:t>
            </w:r>
            <w:r>
              <w:rPr>
                <w:rFonts w:hint="eastAsia"/>
                <w:color w:val="auto"/>
                <w:sz w:val="21"/>
                <w:szCs w:val="15"/>
                <w:highlight w:val="none"/>
              </w:rPr>
              <w:t>血液常见病原生物感染</w:t>
            </w:r>
          </w:p>
          <w:p w14:paraId="5AFD0564">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A.疟原虫感染（各种类型）</w:t>
            </w:r>
          </w:p>
          <w:p w14:paraId="3D3AF19D">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B.黑热病原虫（利杜体）感染</w:t>
            </w:r>
          </w:p>
          <w:p w14:paraId="555EC5DB">
            <w:pPr>
              <w:keepNext w:val="0"/>
              <w:keepLines w:val="0"/>
              <w:suppressLineNumbers w:val="0"/>
              <w:spacing w:before="0" w:beforeAutospacing="0" w:after="0" w:afterAutospacing="0"/>
              <w:ind w:left="0" w:right="0"/>
              <w:rPr>
                <w:color w:val="auto"/>
                <w:sz w:val="21"/>
                <w:szCs w:val="15"/>
                <w:highlight w:val="none"/>
              </w:rPr>
            </w:pPr>
            <w:r>
              <w:rPr>
                <w:rFonts w:ascii="Cambria Math" w:hAnsi="Cambria Math" w:cs="Cambria Math"/>
                <w:color w:val="auto"/>
                <w:sz w:val="21"/>
                <w:szCs w:val="15"/>
                <w:highlight w:val="none"/>
              </w:rPr>
              <w:t>⑬</w:t>
            </w:r>
            <w:r>
              <w:rPr>
                <w:rFonts w:hint="eastAsia"/>
                <w:color w:val="auto"/>
                <w:sz w:val="21"/>
                <w:szCs w:val="15"/>
                <w:highlight w:val="none"/>
              </w:rPr>
              <w:t>其他</w:t>
            </w:r>
          </w:p>
          <w:p w14:paraId="32A226B8">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A.骨髓转移性肿瘤</w:t>
            </w:r>
          </w:p>
          <w:p w14:paraId="59B70BA0">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B.骨髓坏死</w:t>
            </w:r>
          </w:p>
          <w:p w14:paraId="47D2AB42">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C.戈谢病</w:t>
            </w:r>
          </w:p>
          <w:p w14:paraId="73AF643B">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D.尼曼—匹克病</w:t>
            </w:r>
          </w:p>
          <w:p w14:paraId="69B60B23">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w:t>
            </w:r>
            <w:r>
              <w:rPr>
                <w:rFonts w:hint="eastAsia"/>
                <w:color w:val="auto"/>
                <w:sz w:val="21"/>
                <w:szCs w:val="15"/>
                <w:highlight w:val="none"/>
                <w:lang w:val="en-US" w:eastAsia="zh-CN"/>
              </w:rPr>
              <w:t>3</w:t>
            </w:r>
            <w:r>
              <w:rPr>
                <w:rFonts w:hint="eastAsia"/>
                <w:color w:val="auto"/>
                <w:sz w:val="21"/>
                <w:szCs w:val="15"/>
                <w:highlight w:val="none"/>
              </w:rPr>
              <w:t>）数量≥100套（≥300张）：</w:t>
            </w:r>
          </w:p>
          <w:p w14:paraId="10A4F190">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2、具有典型外周血形态库主要包含：红细胞相关疾病、白细胞相关疾病（良性）、血小板相关疾病、血液肿瘤相关疾病、正常和其他；数量≥130张。</w:t>
            </w:r>
          </w:p>
          <w:p w14:paraId="41E556FF">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3、具有本科及高职形态比赛训练库：包含血片、骨髓、寄生虫用例；数量≥50张。</w:t>
            </w:r>
          </w:p>
          <w:p w14:paraId="660999B1">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4、具有细胞识别与教学演示库：包含细胞识别、化学染色、质量对比示教、医院常规推片质量用例；数量≥40张。</w:t>
            </w:r>
          </w:p>
          <w:p w14:paraId="4A310413">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5、具有微生物与寄生虫数字切片；数量≥50张。</w:t>
            </w:r>
          </w:p>
          <w:p w14:paraId="6BB207CB">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6、具有胸水数字切片；数量≥20张。</w:t>
            </w:r>
          </w:p>
          <w:p w14:paraId="2C21C3EF">
            <w:pPr>
              <w:keepNext w:val="0"/>
              <w:keepLines w:val="0"/>
              <w:suppressLineNumbers w:val="0"/>
              <w:spacing w:before="0" w:beforeAutospacing="0" w:after="0" w:afterAutospacing="0"/>
              <w:ind w:left="0" w:right="0"/>
              <w:rPr>
                <w:color w:val="auto"/>
                <w:sz w:val="21"/>
                <w:szCs w:val="15"/>
                <w:highlight w:val="none"/>
              </w:rPr>
            </w:pPr>
            <w:r>
              <w:rPr>
                <w:rFonts w:hint="eastAsia"/>
                <w:color w:val="auto"/>
                <w:szCs w:val="15"/>
                <w:highlight w:val="none"/>
              </w:rPr>
              <w:t>▲</w:t>
            </w:r>
            <w:r>
              <w:rPr>
                <w:rFonts w:hint="eastAsia"/>
                <w:color w:val="auto"/>
                <w:sz w:val="21"/>
                <w:szCs w:val="15"/>
                <w:highlight w:val="none"/>
                <w:lang w:val="en-US" w:eastAsia="zh-CN"/>
              </w:rPr>
              <w:t>三</w:t>
            </w:r>
            <w:r>
              <w:rPr>
                <w:rFonts w:hint="eastAsia"/>
                <w:color w:val="auto"/>
                <w:sz w:val="21"/>
                <w:szCs w:val="15"/>
                <w:highlight w:val="none"/>
              </w:rPr>
              <w:t>、学生端功能要求：</w:t>
            </w:r>
          </w:p>
          <w:p w14:paraId="1AD6310D">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1、系统具有公告、教学、练习、考试（大赛）、个人主页、积分排行等多个功能模块。</w:t>
            </w:r>
          </w:p>
          <w:p w14:paraId="716CB201">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2、具有同一帐号不能重复登陆的功能，系统公告功能，切片学习功能，练习功能。</w:t>
            </w:r>
          </w:p>
          <w:p w14:paraId="2C16E15C">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3、具有数字计数器功能，分项个数及比例显示。</w:t>
            </w:r>
          </w:p>
          <w:p w14:paraId="4A4278BA">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4、具有显示参考答案的功能。</w:t>
            </w:r>
          </w:p>
          <w:p w14:paraId="4A0DA545">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5、具有考试功能。</w:t>
            </w:r>
          </w:p>
          <w:p w14:paraId="7A81A1CB">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6、具有按分类及名称进行查询过滤功能。</w:t>
            </w:r>
          </w:p>
          <w:p w14:paraId="3931D85C">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7、具有切片浏览、病例资料、细胞分类计数、病例分析、截图、截图查看、保存、提交等功能。</w:t>
            </w:r>
          </w:p>
          <w:p w14:paraId="67981B66">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8、具有查看练习详情的功能，可查看每次练习的答题记录情况及参考答案情况。</w:t>
            </w:r>
          </w:p>
          <w:p w14:paraId="1AF70C3B">
            <w:pPr>
              <w:keepNext w:val="0"/>
              <w:keepLines w:val="0"/>
              <w:suppressLineNumbers w:val="0"/>
              <w:spacing w:before="0" w:beforeAutospacing="0" w:after="0" w:afterAutospacing="0"/>
              <w:ind w:left="0" w:right="0"/>
              <w:rPr>
                <w:color w:val="auto"/>
                <w:sz w:val="21"/>
                <w:szCs w:val="15"/>
                <w:highlight w:val="none"/>
              </w:rPr>
            </w:pPr>
            <w:r>
              <w:rPr>
                <w:rFonts w:hint="eastAsia"/>
                <w:color w:val="auto"/>
                <w:szCs w:val="15"/>
                <w:highlight w:val="none"/>
              </w:rPr>
              <w:t>▲</w:t>
            </w:r>
            <w:r>
              <w:rPr>
                <w:rFonts w:hint="eastAsia"/>
                <w:color w:val="auto"/>
                <w:sz w:val="21"/>
                <w:szCs w:val="15"/>
                <w:highlight w:val="none"/>
                <w:lang w:val="en-US" w:eastAsia="zh-CN"/>
              </w:rPr>
              <w:t>四</w:t>
            </w:r>
            <w:r>
              <w:rPr>
                <w:rFonts w:hint="eastAsia"/>
                <w:color w:val="auto"/>
                <w:sz w:val="21"/>
                <w:szCs w:val="15"/>
                <w:highlight w:val="none"/>
              </w:rPr>
              <w:t>、老师后台管理功能要求：</w:t>
            </w:r>
          </w:p>
          <w:p w14:paraId="4735BCFC">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1、角色管理功能：可进行角色添加、编辑、删除及权限菜单分配。</w:t>
            </w:r>
          </w:p>
          <w:p w14:paraId="115E6671">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2、具有前端界面模式功能：学习模式、考试模式。</w:t>
            </w:r>
          </w:p>
          <w:p w14:paraId="56FDEA95">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3、部门管理功能。</w:t>
            </w:r>
          </w:p>
          <w:p w14:paraId="028CA854">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lang w:val="en-US" w:eastAsia="zh-CN"/>
              </w:rPr>
              <w:t>4</w:t>
            </w:r>
            <w:r>
              <w:rPr>
                <w:rFonts w:hint="eastAsia"/>
                <w:color w:val="auto"/>
                <w:sz w:val="21"/>
                <w:szCs w:val="15"/>
                <w:highlight w:val="none"/>
              </w:rPr>
              <w:t>、切片分类管理功能：具有添加、编辑、删除功能，可不限层次的进行分类管理；切片库管理功能。</w:t>
            </w:r>
          </w:p>
          <w:p w14:paraId="32E664E9">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lang w:val="en-US" w:eastAsia="zh-CN"/>
              </w:rPr>
              <w:t>5</w:t>
            </w:r>
            <w:r>
              <w:rPr>
                <w:rFonts w:hint="eastAsia"/>
                <w:color w:val="auto"/>
                <w:sz w:val="21"/>
                <w:szCs w:val="15"/>
                <w:highlight w:val="none"/>
              </w:rPr>
              <w:t>、考试管理功能：</w:t>
            </w:r>
          </w:p>
          <w:p w14:paraId="135CC970">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lang w:val="en-US" w:eastAsia="zh-CN"/>
              </w:rPr>
              <w:t>6</w:t>
            </w:r>
            <w:r>
              <w:rPr>
                <w:rFonts w:hint="eastAsia"/>
                <w:color w:val="auto"/>
                <w:sz w:val="21"/>
                <w:szCs w:val="15"/>
                <w:highlight w:val="none"/>
              </w:rPr>
              <w:t>、知识点管理功能：</w:t>
            </w:r>
          </w:p>
          <w:p w14:paraId="7BC7E353">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lang w:val="en-US" w:eastAsia="zh-CN"/>
              </w:rPr>
              <w:t>7</w:t>
            </w:r>
            <w:r>
              <w:rPr>
                <w:rFonts w:hint="eastAsia"/>
                <w:color w:val="auto"/>
                <w:sz w:val="21"/>
                <w:szCs w:val="15"/>
                <w:highlight w:val="none"/>
              </w:rPr>
              <w:t>、具有学生成绩分析功能：</w:t>
            </w:r>
          </w:p>
          <w:p w14:paraId="53140F88">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lang w:val="en-US" w:eastAsia="zh-CN"/>
              </w:rPr>
              <w:t>8</w:t>
            </w:r>
            <w:r>
              <w:rPr>
                <w:rFonts w:hint="eastAsia"/>
                <w:color w:val="auto"/>
                <w:sz w:val="21"/>
                <w:szCs w:val="15"/>
                <w:highlight w:val="none"/>
              </w:rPr>
              <w:t>、具有分类成绩分析功能。</w:t>
            </w:r>
          </w:p>
          <w:p w14:paraId="5EDA2C0C">
            <w:pPr>
              <w:keepNext w:val="0"/>
              <w:keepLines w:val="0"/>
              <w:suppressLineNumbers w:val="0"/>
              <w:spacing w:before="0" w:beforeAutospacing="0" w:after="0" w:afterAutospacing="0"/>
              <w:ind w:left="0" w:right="0"/>
              <w:rPr>
                <w:rFonts w:hint="eastAsia" w:eastAsia="宋体"/>
                <w:color w:val="auto"/>
                <w:sz w:val="21"/>
                <w:szCs w:val="15"/>
                <w:highlight w:val="none"/>
                <w:lang w:eastAsia="zh-CN"/>
              </w:rPr>
            </w:pPr>
            <w:r>
              <w:rPr>
                <w:rFonts w:hint="eastAsia"/>
                <w:color w:val="auto"/>
                <w:sz w:val="21"/>
                <w:szCs w:val="15"/>
                <w:highlight w:val="none"/>
                <w:lang w:val="en-US" w:eastAsia="zh-CN"/>
              </w:rPr>
              <w:t>五</w:t>
            </w:r>
            <w:r>
              <w:rPr>
                <w:rFonts w:hint="eastAsia"/>
                <w:color w:val="auto"/>
                <w:sz w:val="21"/>
                <w:szCs w:val="15"/>
                <w:highlight w:val="none"/>
              </w:rPr>
              <w:t>、阅片功能要求</w:t>
            </w:r>
            <w:r>
              <w:rPr>
                <w:rFonts w:hint="eastAsia"/>
                <w:color w:val="auto"/>
                <w:sz w:val="21"/>
                <w:szCs w:val="15"/>
                <w:highlight w:val="none"/>
                <w:lang w:eastAsia="zh-CN"/>
              </w:rPr>
              <w:t>：</w:t>
            </w:r>
          </w:p>
          <w:p w14:paraId="72C23302">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1、可快速进行2、4、10、20、40、60、100倍放大操作，并显示实时的放大倍数。</w:t>
            </w:r>
          </w:p>
          <w:p w14:paraId="628E901F">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2、具有图像调节功能：具有伽马（因子）、对比度（最小值、最大值）、颜色通道（红、绿、蓝）、锐度和饱和度（锐度、饱和度）调节功能。</w:t>
            </w:r>
          </w:p>
          <w:p w14:paraId="30F3E3EC">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3、具有旋转功能。</w:t>
            </w:r>
          </w:p>
          <w:p w14:paraId="3EE69AA4">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4、具有标注及测量、导航图、标签、标注列表、附件、精简模式、比例尺、截图等功能。</w:t>
            </w:r>
          </w:p>
          <w:p w14:paraId="0F9E1FDE">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5、数字切片放大100倍（10X100）仍清晰可见各细胞。</w:t>
            </w:r>
          </w:p>
          <w:p w14:paraId="4E0E7DAC">
            <w:pPr>
              <w:keepNext w:val="0"/>
              <w:keepLines w:val="0"/>
              <w:suppressLineNumbers w:val="0"/>
              <w:spacing w:before="0" w:beforeAutospacing="0" w:after="0" w:afterAutospacing="0"/>
              <w:ind w:left="0" w:right="0"/>
              <w:rPr>
                <w:color w:val="auto"/>
                <w:sz w:val="21"/>
                <w:szCs w:val="15"/>
                <w:highlight w:val="none"/>
              </w:rPr>
            </w:pPr>
            <w:r>
              <w:rPr>
                <w:rFonts w:hint="eastAsia"/>
                <w:color w:val="auto"/>
                <w:szCs w:val="15"/>
                <w:highlight w:val="none"/>
              </w:rPr>
              <w:t>▲</w:t>
            </w:r>
            <w:r>
              <w:rPr>
                <w:rFonts w:hint="eastAsia"/>
                <w:color w:val="auto"/>
                <w:sz w:val="21"/>
                <w:szCs w:val="15"/>
                <w:highlight w:val="none"/>
                <w:lang w:val="en-US" w:eastAsia="zh-CN"/>
              </w:rPr>
              <w:t>六</w:t>
            </w:r>
            <w:r>
              <w:rPr>
                <w:rFonts w:hint="eastAsia"/>
                <w:color w:val="auto"/>
                <w:sz w:val="21"/>
                <w:szCs w:val="15"/>
                <w:highlight w:val="none"/>
              </w:rPr>
              <w:t>、AI赋能模块：</w:t>
            </w:r>
          </w:p>
          <w:p w14:paraId="1A522725">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1、具有血液细胞AI智能识别功能：在学习模式下点击AI功能系统将通过AI大模型对当前显示的细胞进行智能识别。</w:t>
            </w:r>
          </w:p>
          <w:p w14:paraId="2DF6D9AE">
            <w:pPr>
              <w:keepNext w:val="0"/>
              <w:keepLines w:val="0"/>
              <w:suppressLineNumbers w:val="0"/>
              <w:spacing w:before="0" w:beforeAutospacing="0" w:after="0" w:afterAutospacing="0"/>
              <w:ind w:left="0" w:right="0"/>
              <w:rPr>
                <w:color w:val="auto"/>
                <w:sz w:val="21"/>
                <w:szCs w:val="15"/>
                <w:highlight w:val="none"/>
              </w:rPr>
            </w:pPr>
            <w:r>
              <w:rPr>
                <w:rFonts w:hint="eastAsia"/>
                <w:color w:val="auto"/>
                <w:sz w:val="21"/>
                <w:szCs w:val="15"/>
                <w:highlight w:val="none"/>
              </w:rPr>
              <w:t>2、AI智能识别内核：可进行≥100种血液细胞识别，包含血液及骨髓片，包含正常细胞及异常细胞。</w:t>
            </w:r>
          </w:p>
          <w:p w14:paraId="22D9740A">
            <w:pPr>
              <w:keepNext w:val="0"/>
              <w:keepLines w:val="0"/>
              <w:suppressLineNumbers w:val="0"/>
              <w:spacing w:before="0" w:beforeAutospacing="0" w:after="0" w:afterAutospacing="0"/>
              <w:ind w:left="0" w:right="0"/>
              <w:rPr>
                <w:rFonts w:hint="eastAsia" w:ascii="Times New Roman" w:hAnsi="Times New Roman" w:eastAsia="宋体" w:cs="Times New Roman"/>
                <w:color w:val="auto"/>
                <w:kern w:val="2"/>
                <w:sz w:val="21"/>
                <w:szCs w:val="15"/>
                <w:highlight w:val="none"/>
                <w:lang w:val="en-US" w:eastAsia="zh-CN" w:bidi="ar-SA"/>
              </w:rPr>
            </w:pPr>
            <w:r>
              <w:rPr>
                <w:rFonts w:hint="eastAsia"/>
                <w:color w:val="auto"/>
                <w:sz w:val="21"/>
                <w:szCs w:val="15"/>
                <w:highlight w:val="none"/>
                <w:lang w:val="en-US" w:eastAsia="zh-CN"/>
              </w:rPr>
              <w:t>七</w:t>
            </w:r>
            <w:r>
              <w:rPr>
                <w:rFonts w:hint="eastAsia"/>
                <w:color w:val="auto"/>
                <w:sz w:val="21"/>
                <w:szCs w:val="15"/>
                <w:highlight w:val="none"/>
              </w:rPr>
              <w:t>、质保期：≥3年，平台终生免费升级。</w:t>
            </w:r>
          </w:p>
        </w:tc>
        <w:tc>
          <w:tcPr>
            <w:tcW w:w="1497" w:type="dxa"/>
            <w:tcBorders>
              <w:top w:val="single" w:color="000000" w:sz="4" w:space="0"/>
              <w:left w:val="single" w:color="auto" w:sz="4" w:space="0"/>
              <w:bottom w:val="single" w:color="000000" w:sz="4" w:space="0"/>
              <w:right w:val="single" w:color="000000" w:sz="4" w:space="0"/>
            </w:tcBorders>
            <w:vAlign w:val="center"/>
          </w:tcPr>
          <w:p w14:paraId="7233505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cs="宋体"/>
                <w:b w:val="0"/>
                <w:bCs w:val="0"/>
                <w:color w:val="auto"/>
                <w:szCs w:val="21"/>
                <w:highlight w:val="none"/>
                <w:u w:val="none"/>
              </w:rPr>
            </w:pPr>
            <w:r>
              <w:rPr>
                <w:rFonts w:hint="eastAsia" w:eastAsia="宋体"/>
                <w:color w:val="auto"/>
                <w:sz w:val="21"/>
                <w:szCs w:val="15"/>
                <w:highlight w:val="none"/>
              </w:rPr>
              <w:t>软件和信息技术服务业</w:t>
            </w:r>
          </w:p>
        </w:tc>
      </w:tr>
      <w:tr w14:paraId="54902B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16439615">
            <w:pPr>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2</w:t>
            </w:r>
            <w:r>
              <w:rPr>
                <w:color w:val="auto"/>
                <w:sz w:val="21"/>
                <w:szCs w:val="21"/>
                <w:highlight w:val="none"/>
              </w:rPr>
              <w:t>0</w:t>
            </w:r>
          </w:p>
        </w:tc>
        <w:tc>
          <w:tcPr>
            <w:tcW w:w="1119" w:type="dxa"/>
            <w:tcBorders>
              <w:top w:val="single" w:color="000000" w:sz="4" w:space="0"/>
              <w:left w:val="nil"/>
              <w:bottom w:val="single" w:color="000000" w:sz="4" w:space="0"/>
              <w:right w:val="single" w:color="000000" w:sz="4" w:space="0"/>
            </w:tcBorders>
            <w:shd w:val="clear" w:color="auto" w:fill="auto"/>
            <w:vAlign w:val="center"/>
          </w:tcPr>
          <w:p w14:paraId="7616E4D3">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脑电生物反馈治疗仪（</w:t>
            </w:r>
            <w:r>
              <w:rPr>
                <w:color w:val="auto"/>
                <w:sz w:val="21"/>
                <w:szCs w:val="21"/>
                <w:highlight w:val="none"/>
              </w:rPr>
              <w:t>1拖10）</w:t>
            </w:r>
          </w:p>
        </w:tc>
        <w:tc>
          <w:tcPr>
            <w:tcW w:w="562" w:type="dxa"/>
            <w:tcBorders>
              <w:top w:val="single" w:color="000000" w:sz="4" w:space="0"/>
              <w:left w:val="nil"/>
              <w:bottom w:val="single" w:color="000000" w:sz="4" w:space="0"/>
              <w:right w:val="single" w:color="000000" w:sz="4" w:space="0"/>
            </w:tcBorders>
            <w:shd w:val="clear" w:color="auto" w:fill="auto"/>
            <w:vAlign w:val="center"/>
          </w:tcPr>
          <w:p w14:paraId="2D1DEAE6">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color w:val="auto"/>
                <w:sz w:val="21"/>
                <w:szCs w:val="21"/>
                <w:highlight w:val="none"/>
              </w:rPr>
              <w:t>1</w:t>
            </w:r>
          </w:p>
        </w:tc>
        <w:tc>
          <w:tcPr>
            <w:tcW w:w="519" w:type="dxa"/>
            <w:tcBorders>
              <w:top w:val="single" w:color="000000" w:sz="4" w:space="0"/>
              <w:left w:val="nil"/>
              <w:bottom w:val="single" w:color="000000" w:sz="4" w:space="0"/>
              <w:right w:val="single" w:color="000000" w:sz="4" w:space="0"/>
            </w:tcBorders>
            <w:shd w:val="clear" w:color="auto" w:fill="auto"/>
            <w:vAlign w:val="center"/>
          </w:tcPr>
          <w:p w14:paraId="365010D8">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套</w:t>
            </w:r>
          </w:p>
        </w:tc>
        <w:tc>
          <w:tcPr>
            <w:tcW w:w="5194" w:type="dxa"/>
            <w:tcBorders>
              <w:top w:val="single" w:color="000000" w:sz="4" w:space="0"/>
              <w:left w:val="nil"/>
              <w:bottom w:val="single" w:color="000000" w:sz="4" w:space="0"/>
              <w:right w:val="single" w:color="auto" w:sz="4" w:space="0"/>
            </w:tcBorders>
            <w:shd w:val="clear" w:color="auto" w:fill="auto"/>
            <w:vAlign w:val="top"/>
          </w:tcPr>
          <w:p w14:paraId="46FA0C62">
            <w:pPr>
              <w:pStyle w:val="9"/>
              <w:keepNext w:val="0"/>
              <w:keepLines w:val="0"/>
              <w:suppressLineNumbers w:val="0"/>
              <w:wordWrap w:val="0"/>
              <w:spacing w:before="0" w:beforeAutospacing="0" w:after="0" w:afterAutospacing="0"/>
              <w:ind w:left="0" w:right="0" w:firstLine="0"/>
              <w:rPr>
                <w:color w:val="auto"/>
                <w:szCs w:val="21"/>
                <w:highlight w:val="none"/>
              </w:rPr>
            </w:pPr>
            <w:r>
              <w:rPr>
                <w:rFonts w:hint="eastAsia"/>
                <w:color w:val="auto"/>
                <w:szCs w:val="21"/>
                <w:highlight w:val="none"/>
              </w:rPr>
              <w:t>1.电压测量：误差不超过±10%。</w:t>
            </w:r>
          </w:p>
          <w:p w14:paraId="5948E492">
            <w:pPr>
              <w:pStyle w:val="9"/>
              <w:keepNext w:val="0"/>
              <w:keepLines w:val="0"/>
              <w:suppressLineNumbers w:val="0"/>
              <w:wordWrap w:val="0"/>
              <w:spacing w:before="0" w:beforeAutospacing="0" w:after="0" w:afterAutospacing="0"/>
              <w:ind w:left="0" w:right="0" w:firstLine="0"/>
              <w:rPr>
                <w:color w:val="auto"/>
                <w:szCs w:val="21"/>
                <w:highlight w:val="none"/>
              </w:rPr>
            </w:pPr>
            <w:r>
              <w:rPr>
                <w:rFonts w:hint="eastAsia"/>
                <w:color w:val="auto"/>
                <w:szCs w:val="21"/>
                <w:highlight w:val="none"/>
              </w:rPr>
              <w:t>2.共模抑制比：各通道不小于80dB。（</w:t>
            </w:r>
            <w:r>
              <w:rPr>
                <w:rFonts w:hint="eastAsia"/>
                <w:color w:val="auto"/>
                <w:highlight w:val="none"/>
                <w:lang w:val="en-US" w:eastAsia="zh-CN"/>
              </w:rPr>
              <w:t>投标时</w:t>
            </w:r>
            <w:r>
              <w:rPr>
                <w:rFonts w:hint="eastAsia"/>
                <w:color w:val="auto"/>
                <w:szCs w:val="21"/>
                <w:highlight w:val="none"/>
              </w:rPr>
              <w:t>需提供</w:t>
            </w:r>
            <w:r>
              <w:rPr>
                <w:rFonts w:hint="eastAsia"/>
                <w:color w:val="auto"/>
                <w:szCs w:val="21"/>
                <w:highlight w:val="none"/>
                <w:lang w:val="en-US" w:eastAsia="zh-CN"/>
              </w:rPr>
              <w:t>国家认可</w:t>
            </w:r>
            <w:r>
              <w:rPr>
                <w:rFonts w:hint="eastAsia"/>
                <w:color w:val="auto"/>
                <w:szCs w:val="21"/>
                <w:highlight w:val="none"/>
              </w:rPr>
              <w:t>的第三方</w:t>
            </w:r>
            <w:r>
              <w:rPr>
                <w:rFonts w:hint="eastAsia"/>
                <w:color w:val="auto"/>
                <w:szCs w:val="21"/>
                <w:highlight w:val="none"/>
                <w:lang w:val="en-US" w:eastAsia="zh-CN"/>
              </w:rPr>
              <w:t>检测机构出具的</w:t>
            </w:r>
            <w:r>
              <w:rPr>
                <w:rFonts w:hint="eastAsia"/>
                <w:color w:val="auto"/>
                <w:szCs w:val="21"/>
                <w:highlight w:val="none"/>
              </w:rPr>
              <w:t>检测报告证明材料</w:t>
            </w:r>
            <w:r>
              <w:rPr>
                <w:rFonts w:hint="eastAsia"/>
                <w:color w:val="auto"/>
                <w:szCs w:val="21"/>
                <w:highlight w:val="none"/>
                <w:lang w:val="en-US" w:eastAsia="zh-CN"/>
              </w:rPr>
              <w:t>扫描件或复印件并加盖投标人公章</w:t>
            </w:r>
            <w:r>
              <w:rPr>
                <w:rFonts w:hint="eastAsia"/>
                <w:color w:val="auto"/>
                <w:szCs w:val="21"/>
                <w:highlight w:val="none"/>
              </w:rPr>
              <w:t>）</w:t>
            </w:r>
          </w:p>
          <w:p w14:paraId="602016AC">
            <w:pPr>
              <w:pStyle w:val="9"/>
              <w:keepNext w:val="0"/>
              <w:keepLines w:val="0"/>
              <w:suppressLineNumbers w:val="0"/>
              <w:wordWrap w:val="0"/>
              <w:spacing w:before="0" w:beforeAutospacing="0" w:after="0" w:afterAutospacing="0"/>
              <w:ind w:left="0" w:right="0" w:firstLine="0"/>
              <w:rPr>
                <w:color w:val="auto"/>
                <w:szCs w:val="21"/>
                <w:highlight w:val="none"/>
              </w:rPr>
            </w:pPr>
            <w:r>
              <w:rPr>
                <w:rFonts w:hint="eastAsia"/>
                <w:color w:val="auto"/>
                <w:szCs w:val="21"/>
                <w:highlight w:val="none"/>
              </w:rPr>
              <w:t>3.噪声电平：不大于5μV（峰-谷值）。（</w:t>
            </w:r>
            <w:r>
              <w:rPr>
                <w:rFonts w:hint="eastAsia"/>
                <w:color w:val="auto"/>
                <w:highlight w:val="none"/>
                <w:lang w:val="en-US" w:eastAsia="zh-CN"/>
              </w:rPr>
              <w:t>投标时</w:t>
            </w:r>
            <w:r>
              <w:rPr>
                <w:rFonts w:hint="eastAsia"/>
                <w:color w:val="auto"/>
                <w:szCs w:val="21"/>
                <w:highlight w:val="none"/>
              </w:rPr>
              <w:t>需提供</w:t>
            </w:r>
            <w:r>
              <w:rPr>
                <w:rFonts w:hint="eastAsia"/>
                <w:color w:val="auto"/>
                <w:szCs w:val="21"/>
                <w:highlight w:val="none"/>
                <w:lang w:val="en-US" w:eastAsia="zh-CN"/>
              </w:rPr>
              <w:t>国家认可</w:t>
            </w:r>
            <w:r>
              <w:rPr>
                <w:rFonts w:hint="eastAsia"/>
                <w:color w:val="auto"/>
                <w:szCs w:val="21"/>
                <w:highlight w:val="none"/>
              </w:rPr>
              <w:t>的第三方</w:t>
            </w:r>
            <w:r>
              <w:rPr>
                <w:rFonts w:hint="eastAsia"/>
                <w:color w:val="auto"/>
                <w:szCs w:val="21"/>
                <w:highlight w:val="none"/>
                <w:lang w:val="en-US" w:eastAsia="zh-CN"/>
              </w:rPr>
              <w:t>检测机构出具的</w:t>
            </w:r>
            <w:r>
              <w:rPr>
                <w:rFonts w:hint="eastAsia"/>
                <w:color w:val="auto"/>
                <w:szCs w:val="21"/>
                <w:highlight w:val="none"/>
              </w:rPr>
              <w:t>检测报告证明材料</w:t>
            </w:r>
            <w:r>
              <w:rPr>
                <w:rFonts w:hint="eastAsia"/>
                <w:color w:val="auto"/>
                <w:szCs w:val="21"/>
                <w:highlight w:val="none"/>
                <w:lang w:val="en-US" w:eastAsia="zh-CN"/>
              </w:rPr>
              <w:t>扫描件或复印件并加盖投标人公章</w:t>
            </w:r>
            <w:r>
              <w:rPr>
                <w:rFonts w:hint="eastAsia"/>
                <w:color w:val="auto"/>
                <w:szCs w:val="21"/>
                <w:highlight w:val="none"/>
              </w:rPr>
              <w:t>）</w:t>
            </w:r>
          </w:p>
          <w:p w14:paraId="7D1E6364">
            <w:pPr>
              <w:pStyle w:val="9"/>
              <w:keepNext w:val="0"/>
              <w:keepLines w:val="0"/>
              <w:suppressLineNumbers w:val="0"/>
              <w:wordWrap w:val="0"/>
              <w:spacing w:before="0" w:beforeAutospacing="0" w:after="0" w:afterAutospacing="0"/>
              <w:ind w:left="0" w:right="0" w:firstLine="0"/>
              <w:rPr>
                <w:color w:val="auto"/>
                <w:szCs w:val="21"/>
                <w:highlight w:val="none"/>
              </w:rPr>
            </w:pPr>
            <w:r>
              <w:rPr>
                <w:rFonts w:hint="eastAsia"/>
                <w:color w:val="auto"/>
                <w:szCs w:val="21"/>
                <w:highlight w:val="none"/>
              </w:rPr>
              <w:t>4.耐极化电压：加±300mV直流耐极化电压后，幅值偏差不超过标准方波的±5%范围。</w:t>
            </w:r>
          </w:p>
          <w:p w14:paraId="141BB86E">
            <w:pPr>
              <w:pStyle w:val="9"/>
              <w:keepNext w:val="0"/>
              <w:keepLines w:val="0"/>
              <w:suppressLineNumbers w:val="0"/>
              <w:wordWrap w:val="0"/>
              <w:spacing w:before="0" w:beforeAutospacing="0" w:after="0" w:afterAutospacing="0"/>
              <w:ind w:left="0" w:right="0" w:firstLine="0"/>
              <w:rPr>
                <w:color w:val="auto"/>
                <w:szCs w:val="21"/>
                <w:highlight w:val="none"/>
              </w:rPr>
            </w:pPr>
            <w:r>
              <w:rPr>
                <w:rFonts w:hint="eastAsia"/>
                <w:color w:val="auto"/>
                <w:szCs w:val="21"/>
                <w:highlight w:val="none"/>
              </w:rPr>
              <w:t>5.输入阻抗：不少于5MΩ。</w:t>
            </w:r>
          </w:p>
          <w:p w14:paraId="07DFDC33">
            <w:pPr>
              <w:pStyle w:val="9"/>
              <w:keepNext w:val="0"/>
              <w:keepLines w:val="0"/>
              <w:suppressLineNumbers w:val="0"/>
              <w:wordWrap w:val="0"/>
              <w:spacing w:before="0" w:beforeAutospacing="0" w:after="0" w:afterAutospacing="0"/>
              <w:ind w:left="0" w:right="0" w:firstLine="0" w:firstLineChars="0"/>
              <w:rPr>
                <w:color w:val="auto"/>
                <w:szCs w:val="21"/>
                <w:highlight w:val="none"/>
              </w:rPr>
            </w:pPr>
            <w:r>
              <w:rPr>
                <w:rFonts w:hint="eastAsia"/>
                <w:color w:val="auto"/>
                <w:szCs w:val="21"/>
                <w:highlight w:val="none"/>
                <w:lang w:val="en-US" w:eastAsia="zh-CN"/>
              </w:rPr>
              <w:t>6.</w:t>
            </w:r>
            <w:r>
              <w:rPr>
                <w:rFonts w:hint="eastAsia"/>
                <w:color w:val="auto"/>
                <w:szCs w:val="21"/>
                <w:highlight w:val="none"/>
              </w:rPr>
              <w:t>视听觉刺激要求：可通过游戏和动画的形式进行视听刺激。</w:t>
            </w:r>
          </w:p>
          <w:p w14:paraId="08A72C7C">
            <w:pPr>
              <w:pStyle w:val="9"/>
              <w:keepNext w:val="0"/>
              <w:keepLines w:val="0"/>
              <w:suppressLineNumbers w:val="0"/>
              <w:wordWrap w:val="0"/>
              <w:spacing w:before="0" w:beforeAutospacing="0" w:after="0" w:afterAutospacing="0"/>
              <w:ind w:left="0" w:right="0" w:firstLine="0"/>
              <w:rPr>
                <w:color w:val="auto"/>
                <w:highlight w:val="none"/>
              </w:rPr>
            </w:pPr>
            <w:r>
              <w:rPr>
                <w:rFonts w:hint="eastAsia"/>
                <w:color w:val="auto"/>
                <w:szCs w:val="21"/>
                <w:highlight w:val="none"/>
              </w:rPr>
              <w:t>7.训练指标：游戏可选驱动为β波驱动和SMR波驱动；动画可选驱动为θ波、α波、β波、SMR波驱动。（</w:t>
            </w:r>
            <w:r>
              <w:rPr>
                <w:rFonts w:hint="eastAsia"/>
                <w:color w:val="auto"/>
                <w:highlight w:val="none"/>
                <w:lang w:val="en-US" w:eastAsia="zh-CN"/>
              </w:rPr>
              <w:t>投标时</w:t>
            </w:r>
            <w:r>
              <w:rPr>
                <w:rFonts w:hint="eastAsia"/>
                <w:color w:val="auto"/>
                <w:szCs w:val="21"/>
                <w:highlight w:val="none"/>
              </w:rPr>
              <w:t>需提供</w:t>
            </w:r>
            <w:r>
              <w:rPr>
                <w:rFonts w:hint="eastAsia"/>
                <w:color w:val="auto"/>
                <w:szCs w:val="21"/>
                <w:highlight w:val="none"/>
                <w:lang w:val="en-US" w:eastAsia="zh-CN"/>
              </w:rPr>
              <w:t>国家认可</w:t>
            </w:r>
            <w:r>
              <w:rPr>
                <w:rFonts w:hint="eastAsia"/>
                <w:color w:val="auto"/>
                <w:szCs w:val="21"/>
                <w:highlight w:val="none"/>
              </w:rPr>
              <w:t>的第三方</w:t>
            </w:r>
            <w:r>
              <w:rPr>
                <w:rFonts w:hint="eastAsia"/>
                <w:color w:val="auto"/>
                <w:szCs w:val="21"/>
                <w:highlight w:val="none"/>
                <w:lang w:val="en-US" w:eastAsia="zh-CN"/>
              </w:rPr>
              <w:t>检测机构出具的</w:t>
            </w:r>
            <w:r>
              <w:rPr>
                <w:rFonts w:hint="eastAsia"/>
                <w:color w:val="auto"/>
                <w:szCs w:val="21"/>
                <w:highlight w:val="none"/>
              </w:rPr>
              <w:t>检测报告证明材料</w:t>
            </w:r>
            <w:r>
              <w:rPr>
                <w:rFonts w:hint="eastAsia"/>
                <w:color w:val="auto"/>
                <w:szCs w:val="21"/>
                <w:highlight w:val="none"/>
                <w:lang w:val="en-US" w:eastAsia="zh-CN"/>
              </w:rPr>
              <w:t>扫描件或复印件并加盖投标人公章</w:t>
            </w:r>
            <w:r>
              <w:rPr>
                <w:rFonts w:hint="eastAsia"/>
                <w:color w:val="auto"/>
                <w:szCs w:val="21"/>
                <w:highlight w:val="none"/>
              </w:rPr>
              <w:t>）</w:t>
            </w:r>
          </w:p>
          <w:p w14:paraId="2F6CC315">
            <w:pPr>
              <w:pStyle w:val="9"/>
              <w:keepNext w:val="0"/>
              <w:keepLines w:val="0"/>
              <w:suppressLineNumbers w:val="0"/>
              <w:wordWrap w:val="0"/>
              <w:spacing w:before="0" w:beforeAutospacing="0" w:after="0" w:afterAutospacing="0"/>
              <w:ind w:left="0" w:right="0" w:firstLine="0"/>
              <w:rPr>
                <w:color w:val="auto"/>
                <w:szCs w:val="21"/>
                <w:highlight w:val="none"/>
              </w:rPr>
            </w:pPr>
            <w:r>
              <w:rPr>
                <w:rFonts w:hint="eastAsia"/>
                <w:color w:val="auto"/>
                <w:szCs w:val="21"/>
                <w:highlight w:val="none"/>
              </w:rPr>
              <w:t>8.反馈要求：选择不同的驱动，当输入信号中处于目标波段的功率谱占比超过反馈阈值时，触发游戏或动画的正向反馈。</w:t>
            </w:r>
          </w:p>
          <w:p w14:paraId="4F4504AD">
            <w:pPr>
              <w:pStyle w:val="9"/>
              <w:keepNext w:val="0"/>
              <w:keepLines w:val="0"/>
              <w:suppressLineNumbers w:val="0"/>
              <w:wordWrap w:val="0"/>
              <w:spacing w:before="0" w:beforeAutospacing="0" w:after="0" w:afterAutospacing="0"/>
              <w:ind w:left="0" w:right="0" w:firstLine="0"/>
              <w:rPr>
                <w:rFonts w:hint="eastAsia"/>
                <w:color w:val="auto"/>
                <w:highlight w:val="none"/>
              </w:rPr>
            </w:pPr>
            <w:r>
              <w:rPr>
                <w:rFonts w:hint="eastAsia"/>
                <w:color w:val="auto"/>
                <w:highlight w:val="none"/>
              </w:rPr>
              <w:t>9.软件功能</w:t>
            </w:r>
          </w:p>
          <w:p w14:paraId="1D23C797">
            <w:pPr>
              <w:pStyle w:val="9"/>
              <w:keepNext w:val="0"/>
              <w:keepLines w:val="0"/>
              <w:suppressLineNumbers w:val="0"/>
              <w:wordWrap w:val="0"/>
              <w:spacing w:before="0" w:beforeAutospacing="0" w:after="0" w:afterAutospacing="0"/>
              <w:ind w:left="0" w:right="0" w:firstLine="0"/>
              <w:rPr>
                <w:rFonts w:hint="eastAsia"/>
                <w:color w:val="auto"/>
                <w:highlight w:val="none"/>
              </w:rPr>
            </w:pPr>
            <w:r>
              <w:rPr>
                <w:rFonts w:hint="eastAsia"/>
                <w:color w:val="auto"/>
                <w:highlight w:val="none"/>
              </w:rPr>
              <w:t>9.1客户端软件功能</w:t>
            </w:r>
          </w:p>
          <w:p w14:paraId="32AC6935">
            <w:pPr>
              <w:pStyle w:val="9"/>
              <w:keepNext w:val="0"/>
              <w:keepLines w:val="0"/>
              <w:suppressLineNumbers w:val="0"/>
              <w:wordWrap w:val="0"/>
              <w:spacing w:before="0" w:beforeAutospacing="0" w:after="0" w:afterAutospacing="0"/>
              <w:ind w:left="0" w:right="0" w:firstLine="0" w:firstLineChars="0"/>
              <w:rPr>
                <w:rFonts w:hint="eastAsia" w:eastAsia="宋体"/>
                <w:color w:val="auto"/>
                <w:szCs w:val="21"/>
                <w:highlight w:val="none"/>
                <w:lang w:eastAsia="zh-CN"/>
              </w:rPr>
            </w:pPr>
            <w:r>
              <w:rPr>
                <w:rFonts w:hint="eastAsia"/>
                <w:color w:val="auto"/>
                <w:highlight w:val="none"/>
              </w:rPr>
              <w:t>9.1.1</w:t>
            </w:r>
            <w:r>
              <w:rPr>
                <w:rFonts w:hint="eastAsia"/>
                <w:color w:val="auto"/>
                <w:szCs w:val="21"/>
                <w:highlight w:val="none"/>
              </w:rPr>
              <w:t>具有实时描绘脑电图功能；具有注意力集中度的显示功能</w:t>
            </w:r>
            <w:r>
              <w:rPr>
                <w:rFonts w:hint="eastAsia"/>
                <w:color w:val="auto"/>
                <w:szCs w:val="21"/>
                <w:highlight w:val="none"/>
                <w:lang w:eastAsia="zh-CN"/>
              </w:rPr>
              <w:t>，</w:t>
            </w:r>
            <w:r>
              <w:rPr>
                <w:rFonts w:hint="eastAsia"/>
                <w:color w:val="auto"/>
                <w:szCs w:val="21"/>
                <w:highlight w:val="none"/>
              </w:rPr>
              <w:t>具有动画、游戏选择功能；具有治疗的训练方案选择/编辑功能；具有播放模式选择功能：可选择不同的脑电波驱动方式驱动动画、游戏；具有难易度调节功能；具有背景音乐播放功能；具有训练报告功能：可将用户的训练数据与训练日期转换成曲线图的方式进行表达</w:t>
            </w:r>
            <w:r>
              <w:rPr>
                <w:rFonts w:hint="eastAsia"/>
                <w:color w:val="auto"/>
                <w:szCs w:val="21"/>
                <w:highlight w:val="none"/>
                <w:lang w:eastAsia="zh-CN"/>
              </w:rPr>
              <w:t>。</w:t>
            </w:r>
          </w:p>
          <w:p w14:paraId="2480DEF5">
            <w:pPr>
              <w:pStyle w:val="9"/>
              <w:keepNext w:val="0"/>
              <w:keepLines w:val="0"/>
              <w:suppressLineNumbers w:val="0"/>
              <w:wordWrap w:val="0"/>
              <w:spacing w:before="0" w:beforeAutospacing="0" w:after="0" w:afterAutospacing="0"/>
              <w:ind w:left="0" w:right="0" w:firstLine="0" w:firstLineChars="0"/>
              <w:rPr>
                <w:color w:val="auto"/>
                <w:szCs w:val="21"/>
                <w:highlight w:val="none"/>
              </w:rPr>
            </w:pPr>
            <w:r>
              <w:rPr>
                <w:rFonts w:hint="eastAsia"/>
                <w:color w:val="auto"/>
                <w:szCs w:val="21"/>
                <w:highlight w:val="none"/>
                <w:lang w:val="en-US" w:eastAsia="zh-CN"/>
              </w:rPr>
              <w:t>9.1.2具有</w:t>
            </w:r>
            <w:r>
              <w:rPr>
                <w:rFonts w:hint="eastAsia"/>
                <w:color w:val="auto"/>
                <w:szCs w:val="21"/>
                <w:highlight w:val="none"/>
              </w:rPr>
              <w:t>数据分析功能：可对头环采集的原始脑电波形进行回放或者滤波后回放。可对采集的脑电波分频段进行回放。可对脑电波的能量比、时间、频率的三维关系图进行回放。可对某段频率范围脑电波的能量比和时间的关系图进行回放。可对某个时间段或时间点脑电波的能量比和频率的关系图进行回放。（</w:t>
            </w:r>
            <w:r>
              <w:rPr>
                <w:rFonts w:hint="eastAsia"/>
                <w:color w:val="auto"/>
                <w:highlight w:val="none"/>
                <w:lang w:val="en-US" w:eastAsia="zh-CN"/>
              </w:rPr>
              <w:t>投标时</w:t>
            </w:r>
            <w:r>
              <w:rPr>
                <w:rFonts w:hint="eastAsia"/>
                <w:color w:val="auto"/>
                <w:szCs w:val="21"/>
                <w:highlight w:val="none"/>
              </w:rPr>
              <w:t>需提供</w:t>
            </w:r>
            <w:r>
              <w:rPr>
                <w:rFonts w:hint="eastAsia"/>
                <w:color w:val="auto"/>
                <w:szCs w:val="21"/>
                <w:highlight w:val="none"/>
                <w:lang w:val="en-US" w:eastAsia="zh-CN"/>
              </w:rPr>
              <w:t>国家认可</w:t>
            </w:r>
            <w:r>
              <w:rPr>
                <w:rFonts w:hint="eastAsia"/>
                <w:color w:val="auto"/>
                <w:szCs w:val="21"/>
                <w:highlight w:val="none"/>
              </w:rPr>
              <w:t>的第三方</w:t>
            </w:r>
            <w:r>
              <w:rPr>
                <w:rFonts w:hint="eastAsia"/>
                <w:color w:val="auto"/>
                <w:szCs w:val="21"/>
                <w:highlight w:val="none"/>
                <w:lang w:val="en-US" w:eastAsia="zh-CN"/>
              </w:rPr>
              <w:t>检测机构出具的</w:t>
            </w:r>
            <w:r>
              <w:rPr>
                <w:rFonts w:hint="eastAsia"/>
                <w:color w:val="auto"/>
                <w:szCs w:val="21"/>
                <w:highlight w:val="none"/>
              </w:rPr>
              <w:t>检测报告证明材料</w:t>
            </w:r>
            <w:r>
              <w:rPr>
                <w:rFonts w:hint="eastAsia"/>
                <w:color w:val="auto"/>
                <w:szCs w:val="21"/>
                <w:highlight w:val="none"/>
                <w:lang w:val="en-US" w:eastAsia="zh-CN"/>
              </w:rPr>
              <w:t>扫描件或复印件并加盖投标人公章</w:t>
            </w:r>
            <w:r>
              <w:rPr>
                <w:rFonts w:hint="eastAsia"/>
                <w:color w:val="auto"/>
                <w:szCs w:val="21"/>
                <w:highlight w:val="none"/>
              </w:rPr>
              <w:t>）</w:t>
            </w:r>
          </w:p>
          <w:p w14:paraId="4FE0FC75">
            <w:pPr>
              <w:pStyle w:val="9"/>
              <w:keepNext w:val="0"/>
              <w:keepLines w:val="0"/>
              <w:suppressLineNumbers w:val="0"/>
              <w:wordWrap w:val="0"/>
              <w:spacing w:before="0" w:beforeAutospacing="0" w:after="0" w:afterAutospacing="0"/>
              <w:ind w:left="0" w:right="0" w:firstLine="0" w:firstLineChars="0"/>
              <w:rPr>
                <w:color w:val="auto"/>
                <w:szCs w:val="21"/>
                <w:highlight w:val="none"/>
              </w:rPr>
            </w:pPr>
            <w:r>
              <w:rPr>
                <w:rFonts w:hint="eastAsia"/>
                <w:color w:val="auto"/>
                <w:szCs w:val="21"/>
                <w:highlight w:val="none"/>
                <w:lang w:val="en-US" w:eastAsia="zh-CN"/>
              </w:rPr>
              <w:t>9.1.3</w:t>
            </w:r>
            <w:r>
              <w:rPr>
                <w:rFonts w:hint="eastAsia"/>
                <w:color w:val="auto"/>
                <w:szCs w:val="21"/>
                <w:highlight w:val="none"/>
              </w:rPr>
              <w:t>具有实时控制功能：多人训练模式，可实时控制多人训练房间内各用户。</w:t>
            </w:r>
          </w:p>
          <w:p w14:paraId="3E0BB7AC">
            <w:pPr>
              <w:pStyle w:val="9"/>
              <w:keepNext w:val="0"/>
              <w:keepLines w:val="0"/>
              <w:suppressLineNumbers w:val="0"/>
              <w:wordWrap w:val="0"/>
              <w:spacing w:before="0" w:beforeAutospacing="0" w:after="0" w:afterAutospacing="0"/>
              <w:ind w:left="0" w:right="0" w:firstLine="0" w:firstLineChars="0"/>
              <w:rPr>
                <w:rFonts w:hint="eastAsia"/>
                <w:color w:val="auto"/>
                <w:szCs w:val="21"/>
                <w:highlight w:val="none"/>
              </w:rPr>
            </w:pPr>
            <w:r>
              <w:rPr>
                <w:rFonts w:hint="eastAsia"/>
                <w:color w:val="auto"/>
                <w:szCs w:val="21"/>
                <w:highlight w:val="none"/>
                <w:lang w:val="en-US" w:eastAsia="zh-CN"/>
              </w:rPr>
              <w:t>9.1.4</w:t>
            </w:r>
            <w:r>
              <w:rPr>
                <w:rFonts w:hint="eastAsia"/>
                <w:color w:val="auto"/>
                <w:szCs w:val="21"/>
                <w:highlight w:val="none"/>
              </w:rPr>
              <w:t>具有报告管理功能：可管理用户在软件完成游戏所生成的训练报告和日期区间内的训练数据趋势。</w:t>
            </w:r>
          </w:p>
          <w:p w14:paraId="1EB7A9B5">
            <w:pPr>
              <w:pStyle w:val="9"/>
              <w:keepNext w:val="0"/>
              <w:keepLines w:val="0"/>
              <w:suppressLineNumbers w:val="0"/>
              <w:wordWrap w:val="0"/>
              <w:spacing w:before="0" w:beforeAutospacing="0" w:after="0" w:afterAutospacing="0"/>
              <w:ind w:left="0" w:right="0" w:firstLine="0" w:firstLineChars="0"/>
              <w:rPr>
                <w:rFonts w:hint="eastAsia"/>
                <w:color w:val="auto"/>
                <w:szCs w:val="21"/>
                <w:highlight w:val="none"/>
              </w:rPr>
            </w:pPr>
            <w:r>
              <w:rPr>
                <w:rFonts w:hint="eastAsia"/>
                <w:color w:val="auto"/>
                <w:szCs w:val="21"/>
                <w:highlight w:val="none"/>
              </w:rPr>
              <w:t>9.1.5具有数据分析管理功能：可管理用户在软件生成的数据分析报告。</w:t>
            </w:r>
          </w:p>
          <w:p w14:paraId="3AF2C8CD">
            <w:pPr>
              <w:pStyle w:val="9"/>
              <w:keepNext w:val="0"/>
              <w:keepLines w:val="0"/>
              <w:suppressLineNumbers w:val="0"/>
              <w:wordWrap w:val="0"/>
              <w:spacing w:before="0" w:beforeAutospacing="0" w:after="0" w:afterAutospacing="0"/>
              <w:ind w:left="0" w:right="0" w:firstLine="0" w:firstLineChars="0"/>
              <w:rPr>
                <w:rFonts w:hint="eastAsia"/>
                <w:color w:val="auto"/>
                <w:szCs w:val="21"/>
                <w:highlight w:val="none"/>
              </w:rPr>
            </w:pPr>
            <w:r>
              <w:rPr>
                <w:rFonts w:hint="eastAsia"/>
                <w:color w:val="auto"/>
                <w:szCs w:val="21"/>
                <w:highlight w:val="none"/>
              </w:rPr>
              <w:t>9.2云平台软件功能</w:t>
            </w:r>
          </w:p>
          <w:p w14:paraId="01892429">
            <w:pPr>
              <w:pStyle w:val="9"/>
              <w:keepNext w:val="0"/>
              <w:keepLines w:val="0"/>
              <w:suppressLineNumbers w:val="0"/>
              <w:wordWrap w:val="0"/>
              <w:spacing w:before="0" w:beforeAutospacing="0" w:after="0" w:afterAutospacing="0"/>
              <w:ind w:left="0" w:right="0" w:firstLine="0" w:firstLineChars="0"/>
              <w:rPr>
                <w:rFonts w:hint="eastAsia"/>
                <w:color w:val="auto"/>
                <w:szCs w:val="21"/>
                <w:highlight w:val="none"/>
              </w:rPr>
            </w:pPr>
            <w:r>
              <w:rPr>
                <w:rFonts w:hint="eastAsia"/>
                <w:color w:val="auto"/>
                <w:szCs w:val="21"/>
                <w:highlight w:val="none"/>
              </w:rPr>
              <w:t>9.2.1具有用户管理功能：可对用户基本资料进行管理；（</w:t>
            </w:r>
            <w:r>
              <w:rPr>
                <w:rFonts w:hint="eastAsia"/>
                <w:color w:val="auto"/>
                <w:szCs w:val="21"/>
                <w:highlight w:val="none"/>
                <w:lang w:val="en-US" w:eastAsia="zh-CN"/>
              </w:rPr>
              <w:t>供货时</w:t>
            </w:r>
            <w:r>
              <w:rPr>
                <w:rFonts w:hint="eastAsia"/>
                <w:color w:val="auto"/>
                <w:szCs w:val="21"/>
                <w:highlight w:val="none"/>
              </w:rPr>
              <w:t>需提供</w:t>
            </w:r>
            <w:r>
              <w:rPr>
                <w:rFonts w:hint="eastAsia"/>
                <w:color w:val="auto"/>
                <w:szCs w:val="21"/>
                <w:highlight w:val="none"/>
                <w:lang w:val="en-US" w:eastAsia="zh-CN"/>
              </w:rPr>
              <w:t>国家认可</w:t>
            </w:r>
            <w:r>
              <w:rPr>
                <w:rFonts w:hint="eastAsia"/>
                <w:color w:val="auto"/>
                <w:szCs w:val="21"/>
                <w:highlight w:val="none"/>
              </w:rPr>
              <w:t>的第三方</w:t>
            </w:r>
            <w:r>
              <w:rPr>
                <w:rFonts w:hint="eastAsia"/>
                <w:color w:val="auto"/>
                <w:szCs w:val="21"/>
                <w:highlight w:val="none"/>
                <w:lang w:val="en-US" w:eastAsia="zh-CN"/>
              </w:rPr>
              <w:t>检测机构出具的</w:t>
            </w:r>
            <w:r>
              <w:rPr>
                <w:rFonts w:hint="eastAsia"/>
                <w:color w:val="auto"/>
                <w:szCs w:val="21"/>
                <w:highlight w:val="none"/>
              </w:rPr>
              <w:t>检测报告证明材料</w:t>
            </w:r>
            <w:r>
              <w:rPr>
                <w:rFonts w:hint="eastAsia"/>
                <w:color w:val="auto"/>
                <w:szCs w:val="21"/>
                <w:highlight w:val="none"/>
                <w:lang w:val="en-US" w:eastAsia="zh-CN"/>
              </w:rPr>
              <w:t>扫描件或复印件并加盖投标人公章</w:t>
            </w:r>
            <w:r>
              <w:rPr>
                <w:rFonts w:hint="eastAsia"/>
                <w:color w:val="auto"/>
                <w:szCs w:val="21"/>
                <w:highlight w:val="none"/>
              </w:rPr>
              <w:t>）</w:t>
            </w:r>
          </w:p>
          <w:p w14:paraId="30390F33">
            <w:pPr>
              <w:pStyle w:val="9"/>
              <w:keepNext w:val="0"/>
              <w:keepLines w:val="0"/>
              <w:suppressLineNumbers w:val="0"/>
              <w:wordWrap w:val="0"/>
              <w:spacing w:before="0" w:beforeAutospacing="0" w:after="0" w:afterAutospacing="0"/>
              <w:ind w:left="0" w:right="0" w:firstLine="0" w:firstLineChars="0"/>
              <w:rPr>
                <w:rFonts w:hint="eastAsia"/>
                <w:color w:val="auto"/>
                <w:szCs w:val="21"/>
                <w:highlight w:val="none"/>
              </w:rPr>
            </w:pPr>
            <w:r>
              <w:rPr>
                <w:rFonts w:hint="eastAsia"/>
                <w:color w:val="auto"/>
                <w:szCs w:val="21"/>
                <w:highlight w:val="none"/>
              </w:rPr>
              <w:t>9.2.2具有游戏方案管理功能：可选择游戏关卡进行配置游戏方案，保存后更新至客户端。（</w:t>
            </w:r>
            <w:r>
              <w:rPr>
                <w:rFonts w:hint="eastAsia"/>
                <w:color w:val="auto"/>
                <w:szCs w:val="21"/>
                <w:highlight w:val="none"/>
                <w:lang w:val="en-US" w:eastAsia="zh-CN"/>
              </w:rPr>
              <w:t>供货时</w:t>
            </w:r>
            <w:r>
              <w:rPr>
                <w:rFonts w:hint="eastAsia"/>
                <w:color w:val="auto"/>
                <w:szCs w:val="21"/>
                <w:highlight w:val="none"/>
              </w:rPr>
              <w:t>需提供</w:t>
            </w:r>
            <w:r>
              <w:rPr>
                <w:rFonts w:hint="eastAsia"/>
                <w:color w:val="auto"/>
                <w:szCs w:val="21"/>
                <w:highlight w:val="none"/>
                <w:lang w:val="en-US" w:eastAsia="zh-CN"/>
              </w:rPr>
              <w:t>国家认可</w:t>
            </w:r>
            <w:r>
              <w:rPr>
                <w:rFonts w:hint="eastAsia"/>
                <w:color w:val="auto"/>
                <w:szCs w:val="21"/>
                <w:highlight w:val="none"/>
              </w:rPr>
              <w:t>的第三方</w:t>
            </w:r>
            <w:r>
              <w:rPr>
                <w:rFonts w:hint="eastAsia"/>
                <w:color w:val="auto"/>
                <w:szCs w:val="21"/>
                <w:highlight w:val="none"/>
                <w:lang w:val="en-US" w:eastAsia="zh-CN"/>
              </w:rPr>
              <w:t>检测机构出具的</w:t>
            </w:r>
            <w:r>
              <w:rPr>
                <w:rFonts w:hint="eastAsia"/>
                <w:color w:val="auto"/>
                <w:szCs w:val="21"/>
                <w:highlight w:val="none"/>
              </w:rPr>
              <w:t>检测报告证明材料</w:t>
            </w:r>
            <w:r>
              <w:rPr>
                <w:rFonts w:hint="eastAsia"/>
                <w:color w:val="auto"/>
                <w:szCs w:val="21"/>
                <w:highlight w:val="none"/>
                <w:lang w:val="en-US" w:eastAsia="zh-CN"/>
              </w:rPr>
              <w:t>扫描件或复印件并加盖投标人公章</w:t>
            </w:r>
            <w:r>
              <w:rPr>
                <w:rFonts w:hint="eastAsia"/>
                <w:color w:val="auto"/>
                <w:szCs w:val="21"/>
                <w:highlight w:val="none"/>
              </w:rPr>
              <w:t>）</w:t>
            </w:r>
          </w:p>
          <w:p w14:paraId="5A4A88A7">
            <w:pPr>
              <w:pStyle w:val="9"/>
              <w:keepNext w:val="0"/>
              <w:keepLines w:val="0"/>
              <w:suppressLineNumbers w:val="0"/>
              <w:wordWrap w:val="0"/>
              <w:spacing w:before="0" w:beforeAutospacing="0" w:after="0" w:afterAutospacing="0"/>
              <w:ind w:left="0" w:right="0" w:firstLine="0" w:firstLineChars="0"/>
              <w:rPr>
                <w:rFonts w:hint="eastAsia"/>
                <w:color w:val="auto"/>
                <w:szCs w:val="21"/>
                <w:highlight w:val="none"/>
              </w:rPr>
            </w:pPr>
            <w:r>
              <w:rPr>
                <w:rFonts w:hint="eastAsia"/>
                <w:color w:val="auto"/>
                <w:szCs w:val="21"/>
                <w:highlight w:val="none"/>
              </w:rPr>
              <w:t>10.数据接口</w:t>
            </w:r>
          </w:p>
          <w:p w14:paraId="5423E872">
            <w:pPr>
              <w:pStyle w:val="9"/>
              <w:keepNext w:val="0"/>
              <w:keepLines w:val="0"/>
              <w:suppressLineNumbers w:val="0"/>
              <w:wordWrap w:val="0"/>
              <w:spacing w:before="0" w:beforeAutospacing="0" w:after="0" w:afterAutospacing="0"/>
              <w:ind w:left="0" w:right="0" w:firstLine="0" w:firstLineChars="0"/>
              <w:rPr>
                <w:rFonts w:hint="eastAsia"/>
                <w:color w:val="auto"/>
                <w:szCs w:val="21"/>
                <w:highlight w:val="none"/>
              </w:rPr>
            </w:pPr>
            <w:r>
              <w:rPr>
                <w:rFonts w:hint="eastAsia"/>
                <w:color w:val="auto"/>
                <w:szCs w:val="21"/>
                <w:highlight w:val="none"/>
              </w:rPr>
              <w:t>10.1头环与客户端软件的通信接口：蓝牙 BLE。（</w:t>
            </w:r>
            <w:r>
              <w:rPr>
                <w:rFonts w:hint="eastAsia"/>
                <w:color w:val="auto"/>
                <w:szCs w:val="21"/>
                <w:highlight w:val="none"/>
                <w:lang w:val="en-US" w:eastAsia="zh-CN"/>
              </w:rPr>
              <w:t>供货时</w:t>
            </w:r>
            <w:r>
              <w:rPr>
                <w:rFonts w:hint="eastAsia"/>
                <w:color w:val="auto"/>
                <w:szCs w:val="21"/>
                <w:highlight w:val="none"/>
              </w:rPr>
              <w:t>需提供</w:t>
            </w:r>
            <w:r>
              <w:rPr>
                <w:rFonts w:hint="eastAsia"/>
                <w:color w:val="auto"/>
                <w:szCs w:val="21"/>
                <w:highlight w:val="none"/>
                <w:lang w:val="en-US" w:eastAsia="zh-CN"/>
              </w:rPr>
              <w:t>国家认可</w:t>
            </w:r>
            <w:r>
              <w:rPr>
                <w:rFonts w:hint="eastAsia"/>
                <w:color w:val="auto"/>
                <w:szCs w:val="21"/>
                <w:highlight w:val="none"/>
              </w:rPr>
              <w:t>的第三方</w:t>
            </w:r>
            <w:r>
              <w:rPr>
                <w:rFonts w:hint="eastAsia"/>
                <w:color w:val="auto"/>
                <w:szCs w:val="21"/>
                <w:highlight w:val="none"/>
                <w:lang w:val="en-US" w:eastAsia="zh-CN"/>
              </w:rPr>
              <w:t>检测机构出具的</w:t>
            </w:r>
            <w:r>
              <w:rPr>
                <w:rFonts w:hint="eastAsia"/>
                <w:color w:val="auto"/>
                <w:szCs w:val="21"/>
                <w:highlight w:val="none"/>
              </w:rPr>
              <w:t>检测报告证明材料</w:t>
            </w:r>
            <w:r>
              <w:rPr>
                <w:rFonts w:hint="eastAsia"/>
                <w:color w:val="auto"/>
                <w:szCs w:val="21"/>
                <w:highlight w:val="none"/>
                <w:lang w:val="en-US" w:eastAsia="zh-CN"/>
              </w:rPr>
              <w:t>扫描件或复印件并加盖投标人公章</w:t>
            </w:r>
            <w:r>
              <w:rPr>
                <w:rFonts w:hint="eastAsia"/>
                <w:color w:val="auto"/>
                <w:szCs w:val="21"/>
                <w:highlight w:val="none"/>
              </w:rPr>
              <w:t>）</w:t>
            </w:r>
          </w:p>
          <w:p w14:paraId="242950FF">
            <w:pPr>
              <w:pStyle w:val="9"/>
              <w:keepNext w:val="0"/>
              <w:keepLines w:val="0"/>
              <w:suppressLineNumbers w:val="0"/>
              <w:wordWrap w:val="0"/>
              <w:spacing w:before="0" w:beforeAutospacing="0" w:after="0" w:afterAutospacing="0"/>
              <w:ind w:left="0" w:right="0" w:firstLine="0" w:firstLineChars="0"/>
              <w:rPr>
                <w:rFonts w:hint="eastAsia"/>
                <w:color w:val="auto"/>
                <w:szCs w:val="21"/>
                <w:highlight w:val="none"/>
              </w:rPr>
            </w:pPr>
            <w:r>
              <w:rPr>
                <w:rFonts w:hint="eastAsia"/>
                <w:color w:val="auto"/>
                <w:szCs w:val="21"/>
                <w:highlight w:val="none"/>
              </w:rPr>
              <w:t>10.2客户端软件和云平台通过网络进行数据交互，采用HTTP标准传输协议。（</w:t>
            </w:r>
            <w:r>
              <w:rPr>
                <w:rFonts w:hint="eastAsia"/>
                <w:color w:val="auto"/>
                <w:szCs w:val="21"/>
                <w:highlight w:val="none"/>
                <w:lang w:val="en-US" w:eastAsia="zh-CN"/>
              </w:rPr>
              <w:t>供货时</w:t>
            </w:r>
            <w:r>
              <w:rPr>
                <w:rFonts w:hint="eastAsia"/>
                <w:color w:val="auto"/>
                <w:szCs w:val="21"/>
                <w:highlight w:val="none"/>
              </w:rPr>
              <w:t>需提供</w:t>
            </w:r>
            <w:r>
              <w:rPr>
                <w:rFonts w:hint="eastAsia"/>
                <w:color w:val="auto"/>
                <w:szCs w:val="21"/>
                <w:highlight w:val="none"/>
                <w:lang w:val="en-US" w:eastAsia="zh-CN"/>
              </w:rPr>
              <w:t>国家认可</w:t>
            </w:r>
            <w:r>
              <w:rPr>
                <w:rFonts w:hint="eastAsia"/>
                <w:color w:val="auto"/>
                <w:szCs w:val="21"/>
                <w:highlight w:val="none"/>
              </w:rPr>
              <w:t>的第三方</w:t>
            </w:r>
            <w:r>
              <w:rPr>
                <w:rFonts w:hint="eastAsia"/>
                <w:color w:val="auto"/>
                <w:szCs w:val="21"/>
                <w:highlight w:val="none"/>
                <w:lang w:val="en-US" w:eastAsia="zh-CN"/>
              </w:rPr>
              <w:t>检测机构出具的</w:t>
            </w:r>
            <w:r>
              <w:rPr>
                <w:rFonts w:hint="eastAsia"/>
                <w:color w:val="auto"/>
                <w:szCs w:val="21"/>
                <w:highlight w:val="none"/>
              </w:rPr>
              <w:t>检测报告证明材料</w:t>
            </w:r>
            <w:r>
              <w:rPr>
                <w:rFonts w:hint="eastAsia"/>
                <w:color w:val="auto"/>
                <w:szCs w:val="21"/>
                <w:highlight w:val="none"/>
                <w:lang w:val="en-US" w:eastAsia="zh-CN"/>
              </w:rPr>
              <w:t>扫描件或复印件并加盖投标人公章</w:t>
            </w:r>
            <w:r>
              <w:rPr>
                <w:rFonts w:hint="eastAsia"/>
                <w:color w:val="auto"/>
                <w:szCs w:val="21"/>
                <w:highlight w:val="none"/>
              </w:rPr>
              <w:t>）</w:t>
            </w:r>
          </w:p>
          <w:p w14:paraId="7191FB31">
            <w:pPr>
              <w:pStyle w:val="9"/>
              <w:keepNext w:val="0"/>
              <w:keepLines w:val="0"/>
              <w:suppressLineNumbers w:val="0"/>
              <w:wordWrap w:val="0"/>
              <w:spacing w:before="0" w:beforeAutospacing="0" w:after="0" w:afterAutospacing="0"/>
              <w:ind w:left="0" w:right="0" w:firstLine="0" w:firstLineChars="0"/>
              <w:rPr>
                <w:rFonts w:hint="eastAsia"/>
                <w:color w:val="auto"/>
                <w:szCs w:val="21"/>
                <w:highlight w:val="none"/>
                <w:lang w:val="en-US" w:eastAsia="zh-CN"/>
              </w:rPr>
            </w:pPr>
            <w:r>
              <w:rPr>
                <w:rFonts w:hint="eastAsia"/>
                <w:color w:val="auto"/>
                <w:szCs w:val="21"/>
                <w:highlight w:val="none"/>
              </w:rPr>
              <w:t>10.3用户权限：机构管理员可对机构内的用户信息查询，和配置、授权游戏训练方案。（</w:t>
            </w:r>
            <w:r>
              <w:rPr>
                <w:rFonts w:hint="eastAsia"/>
                <w:color w:val="auto"/>
                <w:szCs w:val="21"/>
                <w:highlight w:val="none"/>
                <w:lang w:val="en-US" w:eastAsia="zh-CN"/>
              </w:rPr>
              <w:t>供货时</w:t>
            </w:r>
            <w:r>
              <w:rPr>
                <w:rFonts w:hint="eastAsia"/>
                <w:color w:val="auto"/>
                <w:szCs w:val="21"/>
                <w:highlight w:val="none"/>
              </w:rPr>
              <w:t>需提供</w:t>
            </w:r>
            <w:r>
              <w:rPr>
                <w:rFonts w:hint="eastAsia"/>
                <w:color w:val="auto"/>
                <w:szCs w:val="21"/>
                <w:highlight w:val="none"/>
                <w:lang w:val="en-US" w:eastAsia="zh-CN"/>
              </w:rPr>
              <w:t>国家认可</w:t>
            </w:r>
            <w:r>
              <w:rPr>
                <w:rFonts w:hint="eastAsia"/>
                <w:color w:val="auto"/>
                <w:szCs w:val="21"/>
                <w:highlight w:val="none"/>
              </w:rPr>
              <w:t>的第三方</w:t>
            </w:r>
            <w:r>
              <w:rPr>
                <w:rFonts w:hint="eastAsia"/>
                <w:color w:val="auto"/>
                <w:szCs w:val="21"/>
                <w:highlight w:val="none"/>
                <w:lang w:val="en-US" w:eastAsia="zh-CN"/>
              </w:rPr>
              <w:t>检测机构出具的</w:t>
            </w:r>
            <w:r>
              <w:rPr>
                <w:rFonts w:hint="eastAsia"/>
                <w:color w:val="auto"/>
                <w:szCs w:val="21"/>
                <w:highlight w:val="none"/>
              </w:rPr>
              <w:t>检测报告证明材料</w:t>
            </w:r>
            <w:r>
              <w:rPr>
                <w:rFonts w:hint="eastAsia"/>
                <w:color w:val="auto"/>
                <w:szCs w:val="21"/>
                <w:highlight w:val="none"/>
                <w:lang w:val="en-US" w:eastAsia="zh-CN"/>
              </w:rPr>
              <w:t>扫描件或复印件并加盖投标人公章</w:t>
            </w:r>
            <w:r>
              <w:rPr>
                <w:rFonts w:hint="eastAsia"/>
                <w:color w:val="auto"/>
                <w:szCs w:val="21"/>
                <w:highlight w:val="none"/>
              </w:rPr>
              <w:t>）</w:t>
            </w:r>
          </w:p>
        </w:tc>
        <w:tc>
          <w:tcPr>
            <w:tcW w:w="1497" w:type="dxa"/>
            <w:tcBorders>
              <w:top w:val="single" w:color="000000" w:sz="4" w:space="0"/>
              <w:left w:val="single" w:color="auto" w:sz="4" w:space="0"/>
              <w:bottom w:val="single" w:color="000000" w:sz="4" w:space="0"/>
              <w:right w:val="single" w:color="000000" w:sz="4" w:space="0"/>
            </w:tcBorders>
            <w:vAlign w:val="center"/>
          </w:tcPr>
          <w:p w14:paraId="6153719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b w:val="0"/>
                <w:bCs w:val="0"/>
                <w:color w:val="auto"/>
                <w:szCs w:val="21"/>
                <w:highlight w:val="none"/>
                <w:u w:val="none"/>
                <w:lang w:val="en-US" w:eastAsia="zh-CN"/>
              </w:rPr>
            </w:pPr>
            <w:r>
              <w:rPr>
                <w:rFonts w:hint="eastAsia" w:ascii="宋体" w:hAnsi="宋体" w:cs="宋体"/>
                <w:b w:val="0"/>
                <w:bCs w:val="0"/>
                <w:color w:val="auto"/>
                <w:szCs w:val="21"/>
                <w:highlight w:val="none"/>
                <w:u w:val="none"/>
                <w:lang w:val="en-US" w:eastAsia="zh-CN"/>
              </w:rPr>
              <w:t>工业</w:t>
            </w:r>
          </w:p>
        </w:tc>
      </w:tr>
      <w:tr w14:paraId="7A0205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225C3841">
            <w:pPr>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2</w:t>
            </w:r>
            <w:r>
              <w:rPr>
                <w:color w:val="auto"/>
                <w:sz w:val="21"/>
                <w:szCs w:val="21"/>
                <w:highlight w:val="none"/>
              </w:rPr>
              <w:t>1</w:t>
            </w:r>
          </w:p>
        </w:tc>
        <w:tc>
          <w:tcPr>
            <w:tcW w:w="1119" w:type="dxa"/>
            <w:tcBorders>
              <w:top w:val="single" w:color="000000" w:sz="4" w:space="0"/>
              <w:left w:val="nil"/>
              <w:bottom w:val="single" w:color="000000" w:sz="4" w:space="0"/>
              <w:right w:val="single" w:color="000000" w:sz="4" w:space="0"/>
            </w:tcBorders>
            <w:shd w:val="clear" w:color="auto" w:fill="auto"/>
            <w:vAlign w:val="center"/>
          </w:tcPr>
          <w:p w14:paraId="0756811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脑机接口上下肢康复训练设备</w:t>
            </w:r>
          </w:p>
        </w:tc>
        <w:tc>
          <w:tcPr>
            <w:tcW w:w="562" w:type="dxa"/>
            <w:tcBorders>
              <w:top w:val="single" w:color="000000" w:sz="4" w:space="0"/>
              <w:left w:val="nil"/>
              <w:bottom w:val="single" w:color="000000" w:sz="4" w:space="0"/>
              <w:right w:val="single" w:color="000000" w:sz="4" w:space="0"/>
            </w:tcBorders>
            <w:shd w:val="clear" w:color="auto" w:fill="auto"/>
            <w:vAlign w:val="center"/>
          </w:tcPr>
          <w:p w14:paraId="5D3CCB9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color w:val="auto"/>
                <w:sz w:val="21"/>
                <w:szCs w:val="21"/>
                <w:highlight w:val="none"/>
              </w:rPr>
              <w:t>1</w:t>
            </w:r>
          </w:p>
        </w:tc>
        <w:tc>
          <w:tcPr>
            <w:tcW w:w="519" w:type="dxa"/>
            <w:tcBorders>
              <w:top w:val="single" w:color="000000" w:sz="4" w:space="0"/>
              <w:left w:val="nil"/>
              <w:bottom w:val="single" w:color="000000" w:sz="4" w:space="0"/>
              <w:right w:val="single" w:color="000000" w:sz="4" w:space="0"/>
            </w:tcBorders>
            <w:shd w:val="clear" w:color="auto" w:fill="auto"/>
            <w:vAlign w:val="center"/>
          </w:tcPr>
          <w:p w14:paraId="756E4890">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套</w:t>
            </w:r>
          </w:p>
        </w:tc>
        <w:tc>
          <w:tcPr>
            <w:tcW w:w="5194" w:type="dxa"/>
            <w:tcBorders>
              <w:top w:val="single" w:color="000000" w:sz="4" w:space="0"/>
              <w:left w:val="nil"/>
              <w:bottom w:val="single" w:color="000000" w:sz="4" w:space="0"/>
              <w:right w:val="single" w:color="auto" w:sz="4" w:space="0"/>
            </w:tcBorders>
            <w:shd w:val="clear" w:color="auto" w:fill="auto"/>
            <w:vAlign w:val="top"/>
          </w:tcPr>
          <w:p w14:paraId="14802E4C">
            <w:pPr>
              <w:pStyle w:val="9"/>
              <w:keepNext w:val="0"/>
              <w:keepLines w:val="0"/>
              <w:suppressLineNumbers w:val="0"/>
              <w:wordWrap w:val="0"/>
              <w:spacing w:before="0" w:beforeAutospacing="0" w:after="0" w:afterAutospacing="0"/>
              <w:ind w:left="0" w:right="0" w:firstLine="0" w:firstLineChars="0"/>
              <w:rPr>
                <w:rFonts w:ascii="宋体" w:hAnsi="宋体" w:cs="宋体"/>
                <w:color w:val="auto"/>
                <w:szCs w:val="21"/>
                <w:highlight w:val="none"/>
              </w:rPr>
            </w:pPr>
            <w:r>
              <w:rPr>
                <w:rFonts w:hint="eastAsia" w:ascii="宋体" w:hAnsi="宋体" w:cs="宋体"/>
                <w:color w:val="auto"/>
                <w:szCs w:val="21"/>
                <w:highlight w:val="none"/>
              </w:rPr>
              <w:t>基于多通道脑电采集头环（五通道）实现以下功能：</w:t>
            </w:r>
          </w:p>
          <w:p w14:paraId="087C9255">
            <w:pPr>
              <w:keepNext w:val="0"/>
              <w:keepLines w:val="0"/>
              <w:suppressLineNumbers w:val="0"/>
              <w:wordWrap w:val="0"/>
              <w:spacing w:before="0" w:beforeAutospacing="0" w:after="0" w:afterAutospacing="0"/>
              <w:ind w:left="0" w:right="0"/>
              <w:rPr>
                <w:color w:val="auto"/>
                <w:szCs w:val="21"/>
                <w:highlight w:val="none"/>
              </w:rPr>
            </w:pPr>
            <w:r>
              <w:rPr>
                <w:rFonts w:hint="eastAsia"/>
                <w:color w:val="auto"/>
                <w:szCs w:val="21"/>
                <w:highlight w:val="none"/>
              </w:rPr>
              <w:t>1.具有≥3种（包括但不限于水平训练、垂直交叉、垂直平行）上肢训练方式。</w:t>
            </w:r>
          </w:p>
          <w:p w14:paraId="1432C4B3">
            <w:pPr>
              <w:keepNext w:val="0"/>
              <w:keepLines w:val="0"/>
              <w:suppressLineNumbers w:val="0"/>
              <w:wordWrap w:val="0"/>
              <w:spacing w:before="0" w:beforeAutospacing="0" w:after="0" w:afterAutospacing="0"/>
              <w:ind w:left="6" w:right="0"/>
              <w:rPr>
                <w:color w:val="auto"/>
                <w:szCs w:val="21"/>
                <w:highlight w:val="none"/>
              </w:rPr>
            </w:pPr>
            <w:r>
              <w:rPr>
                <w:rFonts w:hint="eastAsia"/>
                <w:color w:val="auto"/>
                <w:szCs w:val="21"/>
                <w:highlight w:val="none"/>
              </w:rPr>
              <w:t>2.主动训练模式下，0~20档阻力可调。</w:t>
            </w:r>
          </w:p>
          <w:p w14:paraId="15A9443B">
            <w:pPr>
              <w:pStyle w:val="76"/>
              <w:keepNext w:val="0"/>
              <w:keepLines w:val="0"/>
              <w:suppressLineNumbers w:val="0"/>
              <w:wordWrap w:val="0"/>
              <w:spacing w:before="0" w:beforeAutospacing="0" w:after="0" w:afterAutospacing="0"/>
              <w:ind w:left="6" w:right="0" w:firstLine="0" w:firstLineChars="0"/>
              <w:rPr>
                <w:color w:val="auto"/>
                <w:szCs w:val="21"/>
                <w:highlight w:val="none"/>
              </w:rPr>
            </w:pPr>
            <w:r>
              <w:rPr>
                <w:rFonts w:hint="eastAsia"/>
                <w:color w:val="auto"/>
                <w:szCs w:val="21"/>
                <w:highlight w:val="none"/>
              </w:rPr>
              <w:t>3.被动训练模式下，转速可调，调节范围：5~60r/min，步进≤1r/min。</w:t>
            </w:r>
          </w:p>
          <w:p w14:paraId="3A37224A">
            <w:pPr>
              <w:pStyle w:val="76"/>
              <w:keepNext w:val="0"/>
              <w:keepLines w:val="0"/>
              <w:suppressLineNumbers w:val="0"/>
              <w:wordWrap w:val="0"/>
              <w:spacing w:before="0" w:beforeAutospacing="0" w:after="0" w:afterAutospacing="0"/>
              <w:ind w:left="6" w:right="0" w:firstLine="0" w:firstLineChars="0"/>
              <w:rPr>
                <w:color w:val="auto"/>
                <w:szCs w:val="21"/>
                <w:highlight w:val="none"/>
              </w:rPr>
            </w:pPr>
            <w:r>
              <w:rPr>
                <w:rFonts w:hint="eastAsia"/>
                <w:color w:val="auto"/>
                <w:szCs w:val="21"/>
                <w:highlight w:val="none"/>
              </w:rPr>
              <w:t>4.具备定时功能，到达设置时间后自动切断输出，可设定范围：1~99min，步进≤1min。</w:t>
            </w:r>
          </w:p>
          <w:p w14:paraId="42B565D0">
            <w:pPr>
              <w:pStyle w:val="76"/>
              <w:keepNext w:val="0"/>
              <w:keepLines w:val="0"/>
              <w:suppressLineNumbers w:val="0"/>
              <w:wordWrap w:val="0"/>
              <w:spacing w:before="0" w:beforeAutospacing="0" w:after="0" w:afterAutospacing="0"/>
              <w:ind w:left="6" w:right="0" w:firstLine="0" w:firstLineChars="0"/>
              <w:rPr>
                <w:color w:val="auto"/>
                <w:szCs w:val="21"/>
                <w:highlight w:val="none"/>
              </w:rPr>
            </w:pPr>
            <w:r>
              <w:rPr>
                <w:rFonts w:hint="eastAsia"/>
                <w:color w:val="auto"/>
                <w:szCs w:val="21"/>
                <w:highlight w:val="none"/>
              </w:rPr>
              <w:t>5.设备高度可调，调节范围：0~60mm。</w:t>
            </w:r>
          </w:p>
          <w:p w14:paraId="621372D2">
            <w:pPr>
              <w:keepNext w:val="0"/>
              <w:keepLines w:val="0"/>
              <w:suppressLineNumbers w:val="0"/>
              <w:wordWrap w:val="0"/>
              <w:spacing w:before="0" w:beforeAutospacing="0" w:after="0" w:afterAutospacing="0"/>
              <w:ind w:left="0" w:right="0"/>
              <w:rPr>
                <w:color w:val="auto"/>
                <w:szCs w:val="21"/>
                <w:highlight w:val="none"/>
              </w:rPr>
            </w:pPr>
            <w:r>
              <w:rPr>
                <w:rFonts w:hint="eastAsia"/>
                <w:color w:val="auto"/>
                <w:szCs w:val="21"/>
                <w:highlight w:val="none"/>
              </w:rPr>
              <w:t>6.配有≥10.1英寸彩色液晶触摸屏。</w:t>
            </w:r>
          </w:p>
          <w:p w14:paraId="6754F76D">
            <w:pPr>
              <w:keepNext w:val="0"/>
              <w:keepLines w:val="0"/>
              <w:suppressLineNumbers w:val="0"/>
              <w:wordWrap w:val="0"/>
              <w:spacing w:before="0" w:beforeAutospacing="0" w:after="0" w:afterAutospacing="0"/>
              <w:ind w:left="0" w:right="0"/>
              <w:rPr>
                <w:color w:val="auto"/>
                <w:szCs w:val="21"/>
                <w:highlight w:val="none"/>
              </w:rPr>
            </w:pPr>
            <w:r>
              <w:rPr>
                <w:rFonts w:hint="eastAsia"/>
                <w:color w:val="auto"/>
                <w:szCs w:val="21"/>
                <w:highlight w:val="none"/>
              </w:rPr>
              <w:t>7.可设置训练时间、训练速度、运动阻力、运动方向、痉挛等级等训练参数。</w:t>
            </w:r>
          </w:p>
          <w:p w14:paraId="6256F70F">
            <w:pPr>
              <w:keepNext w:val="0"/>
              <w:keepLines w:val="0"/>
              <w:suppressLineNumbers w:val="0"/>
              <w:wordWrap w:val="0"/>
              <w:spacing w:before="0" w:beforeAutospacing="0" w:after="0" w:afterAutospacing="0"/>
              <w:ind w:left="6" w:right="0"/>
              <w:rPr>
                <w:color w:val="auto"/>
                <w:szCs w:val="21"/>
                <w:highlight w:val="none"/>
              </w:rPr>
            </w:pPr>
            <w:r>
              <w:rPr>
                <w:rFonts w:hint="eastAsia"/>
                <w:color w:val="auto"/>
                <w:szCs w:val="21"/>
                <w:highlight w:val="none"/>
              </w:rPr>
              <w:t>8.具有辅助脚踏板，且长度可调，适应不同患者的小腿固定。</w:t>
            </w:r>
          </w:p>
          <w:p w14:paraId="08A3D4F1">
            <w:pPr>
              <w:keepNext w:val="0"/>
              <w:keepLines w:val="0"/>
              <w:suppressLineNumbers w:val="0"/>
              <w:wordWrap w:val="0"/>
              <w:spacing w:before="0" w:beforeAutospacing="0" w:after="0" w:afterAutospacing="0"/>
              <w:ind w:left="6" w:right="0"/>
              <w:rPr>
                <w:color w:val="auto"/>
                <w:szCs w:val="21"/>
                <w:highlight w:val="none"/>
              </w:rPr>
            </w:pPr>
            <w:r>
              <w:rPr>
                <w:rFonts w:hint="eastAsia"/>
                <w:color w:val="auto"/>
                <w:szCs w:val="21"/>
                <w:highlight w:val="none"/>
              </w:rPr>
              <w:t>9.具有急停按钮和痉挛保护功能，痉挛保护激活时间≤4.5秒。</w:t>
            </w:r>
          </w:p>
          <w:p w14:paraId="2776E369">
            <w:pPr>
              <w:keepNext w:val="0"/>
              <w:keepLines w:val="0"/>
              <w:suppressLineNumbers w:val="0"/>
              <w:wordWrap w:val="0"/>
              <w:spacing w:before="0" w:beforeAutospacing="0" w:after="0" w:afterAutospacing="0"/>
              <w:ind w:left="0" w:right="0"/>
              <w:rPr>
                <w:rFonts w:hint="eastAsia"/>
                <w:color w:val="auto"/>
                <w:szCs w:val="21"/>
                <w:highlight w:val="none"/>
              </w:rPr>
            </w:pPr>
            <w:r>
              <w:rPr>
                <w:rFonts w:hint="eastAsia"/>
                <w:color w:val="auto"/>
                <w:szCs w:val="21"/>
                <w:highlight w:val="none"/>
              </w:rPr>
              <w:t>10.阻力模式电流即时采样。</w:t>
            </w:r>
          </w:p>
          <w:p w14:paraId="151EEAA6">
            <w:pPr>
              <w:keepNext w:val="0"/>
              <w:keepLines w:val="0"/>
              <w:suppressLineNumbers w:val="0"/>
              <w:wordWrap w:val="0"/>
              <w:spacing w:before="0" w:beforeAutospacing="0" w:after="0" w:afterAutospacing="0"/>
              <w:ind w:left="0" w:right="0"/>
              <w:rPr>
                <w:rFonts w:hint="eastAsia"/>
                <w:color w:val="auto"/>
                <w:szCs w:val="21"/>
                <w:highlight w:val="none"/>
                <w:lang w:val="en-US" w:eastAsia="zh-CN"/>
              </w:rPr>
            </w:pPr>
            <w:r>
              <w:rPr>
                <w:rFonts w:hint="eastAsia"/>
                <w:color w:val="auto"/>
                <w:szCs w:val="21"/>
                <w:highlight w:val="none"/>
              </w:rPr>
              <w:t>11. 基于五通道脑电采集头环，可实现运动想象脑电信号的实时采集与识别，输出运动意图检测结果，并与上下肢康复训练设备进行数据交互，最终通过脑机接口技术实现对设备运行状态的控制。（</w:t>
            </w:r>
            <w:r>
              <w:rPr>
                <w:rFonts w:hint="eastAsia"/>
                <w:color w:val="auto"/>
                <w:szCs w:val="21"/>
                <w:highlight w:val="none"/>
                <w:lang w:val="en-US" w:eastAsia="zh-CN"/>
              </w:rPr>
              <w:t>供货时</w:t>
            </w:r>
            <w:r>
              <w:rPr>
                <w:rFonts w:hint="eastAsia"/>
                <w:color w:val="auto"/>
                <w:szCs w:val="21"/>
                <w:highlight w:val="none"/>
              </w:rPr>
              <w:t>需提供该功能的软件界面截图</w:t>
            </w:r>
            <w:r>
              <w:rPr>
                <w:rFonts w:hint="eastAsia"/>
                <w:color w:val="auto"/>
                <w:szCs w:val="21"/>
                <w:highlight w:val="none"/>
                <w:lang w:val="en-US" w:eastAsia="zh-CN"/>
              </w:rPr>
              <w:t>并加盖投标人公章</w:t>
            </w:r>
            <w:r>
              <w:rPr>
                <w:rFonts w:hint="eastAsia"/>
                <w:color w:val="auto"/>
                <w:szCs w:val="21"/>
                <w:highlight w:val="none"/>
              </w:rPr>
              <w:t>）</w:t>
            </w:r>
          </w:p>
        </w:tc>
        <w:tc>
          <w:tcPr>
            <w:tcW w:w="1497" w:type="dxa"/>
            <w:tcBorders>
              <w:top w:val="single" w:color="000000" w:sz="4" w:space="0"/>
              <w:left w:val="single" w:color="auto" w:sz="4" w:space="0"/>
              <w:bottom w:val="single" w:color="000000" w:sz="4" w:space="0"/>
              <w:right w:val="single" w:color="000000" w:sz="4" w:space="0"/>
            </w:tcBorders>
            <w:vAlign w:val="center"/>
          </w:tcPr>
          <w:p w14:paraId="4CBDC6A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cs="宋体"/>
                <w:b w:val="0"/>
                <w:bCs w:val="0"/>
                <w:color w:val="auto"/>
                <w:szCs w:val="21"/>
                <w:highlight w:val="none"/>
                <w:u w:val="none"/>
              </w:rPr>
            </w:pPr>
            <w:r>
              <w:rPr>
                <w:rFonts w:hint="eastAsia" w:ascii="宋体" w:hAnsi="宋体" w:cs="宋体"/>
                <w:b w:val="0"/>
                <w:bCs w:val="0"/>
                <w:color w:val="auto"/>
                <w:szCs w:val="21"/>
                <w:highlight w:val="none"/>
                <w:u w:val="none"/>
                <w:lang w:val="en-US" w:eastAsia="zh-CN"/>
              </w:rPr>
              <w:t>工业</w:t>
            </w:r>
          </w:p>
        </w:tc>
      </w:tr>
      <w:tr w14:paraId="0431D5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4C7D81BF">
            <w:pPr>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2</w:t>
            </w:r>
            <w:r>
              <w:rPr>
                <w:color w:val="auto"/>
                <w:sz w:val="21"/>
                <w:szCs w:val="21"/>
                <w:highlight w:val="none"/>
              </w:rPr>
              <w:t>2</w:t>
            </w:r>
          </w:p>
        </w:tc>
        <w:tc>
          <w:tcPr>
            <w:tcW w:w="1119" w:type="dxa"/>
            <w:tcBorders>
              <w:top w:val="single" w:color="000000" w:sz="4" w:space="0"/>
              <w:left w:val="nil"/>
              <w:bottom w:val="single" w:color="000000" w:sz="4" w:space="0"/>
              <w:right w:val="single" w:color="000000" w:sz="4" w:space="0"/>
            </w:tcBorders>
            <w:shd w:val="clear" w:color="auto" w:fill="auto"/>
            <w:vAlign w:val="center"/>
          </w:tcPr>
          <w:p w14:paraId="6E3866A8">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脑机接口功能外骨骼手训练系统</w:t>
            </w:r>
          </w:p>
        </w:tc>
        <w:tc>
          <w:tcPr>
            <w:tcW w:w="562" w:type="dxa"/>
            <w:tcBorders>
              <w:top w:val="single" w:color="000000" w:sz="4" w:space="0"/>
              <w:left w:val="nil"/>
              <w:bottom w:val="single" w:color="000000" w:sz="4" w:space="0"/>
              <w:right w:val="single" w:color="000000" w:sz="4" w:space="0"/>
            </w:tcBorders>
            <w:shd w:val="clear" w:color="auto" w:fill="auto"/>
            <w:vAlign w:val="center"/>
          </w:tcPr>
          <w:p w14:paraId="402F6C1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color w:val="auto"/>
                <w:sz w:val="21"/>
                <w:szCs w:val="21"/>
                <w:highlight w:val="none"/>
              </w:rPr>
              <w:t>1</w:t>
            </w:r>
          </w:p>
        </w:tc>
        <w:tc>
          <w:tcPr>
            <w:tcW w:w="519" w:type="dxa"/>
            <w:tcBorders>
              <w:top w:val="single" w:color="000000" w:sz="4" w:space="0"/>
              <w:left w:val="nil"/>
              <w:bottom w:val="single" w:color="000000" w:sz="4" w:space="0"/>
              <w:right w:val="single" w:color="000000" w:sz="4" w:space="0"/>
            </w:tcBorders>
            <w:shd w:val="clear" w:color="auto" w:fill="auto"/>
            <w:vAlign w:val="center"/>
          </w:tcPr>
          <w:p w14:paraId="72A6484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套</w:t>
            </w:r>
          </w:p>
        </w:tc>
        <w:tc>
          <w:tcPr>
            <w:tcW w:w="5194" w:type="dxa"/>
            <w:tcBorders>
              <w:top w:val="single" w:color="000000" w:sz="4" w:space="0"/>
              <w:left w:val="nil"/>
              <w:bottom w:val="single" w:color="000000" w:sz="4" w:space="0"/>
              <w:right w:val="single" w:color="auto" w:sz="4" w:space="0"/>
            </w:tcBorders>
            <w:shd w:val="clear" w:color="auto" w:fill="auto"/>
            <w:vAlign w:val="top"/>
          </w:tcPr>
          <w:p w14:paraId="76DD67B5">
            <w:pPr>
              <w:pStyle w:val="9"/>
              <w:keepNext w:val="0"/>
              <w:keepLines w:val="0"/>
              <w:suppressLineNumbers w:val="0"/>
              <w:wordWrap w:val="0"/>
              <w:spacing w:before="0" w:beforeAutospacing="0" w:after="0" w:afterAutospacing="0"/>
              <w:ind w:left="0" w:right="0" w:firstLine="0" w:firstLineChars="0"/>
              <w:rPr>
                <w:color w:val="auto"/>
                <w:szCs w:val="21"/>
                <w:highlight w:val="none"/>
              </w:rPr>
            </w:pPr>
            <w:r>
              <w:rPr>
                <w:rFonts w:hint="eastAsia"/>
                <w:color w:val="auto"/>
                <w:szCs w:val="21"/>
                <w:highlight w:val="none"/>
              </w:rPr>
              <w:t>基于多通道脑电采集头环（五通道）实现以下功能：</w:t>
            </w:r>
          </w:p>
          <w:p w14:paraId="580454EC">
            <w:pPr>
              <w:pStyle w:val="9"/>
              <w:keepNext w:val="0"/>
              <w:keepLines w:val="0"/>
              <w:suppressLineNumbers w:val="0"/>
              <w:wordWrap w:val="0"/>
              <w:spacing w:before="0" w:beforeAutospacing="0" w:after="0" w:afterAutospacing="0"/>
              <w:ind w:left="0" w:right="0" w:firstLine="0" w:firstLineChars="0"/>
              <w:rPr>
                <w:color w:val="auto"/>
                <w:szCs w:val="21"/>
                <w:highlight w:val="none"/>
              </w:rPr>
            </w:pPr>
            <w:r>
              <w:rPr>
                <w:rFonts w:hint="eastAsia"/>
                <w:color w:val="auto"/>
                <w:szCs w:val="21"/>
                <w:highlight w:val="none"/>
              </w:rPr>
              <w:t>1、气动驱动，多通道同时多人使用，气动手套可快速插拔。</w:t>
            </w:r>
          </w:p>
          <w:p w14:paraId="153DDA5B">
            <w:pPr>
              <w:pStyle w:val="9"/>
              <w:keepNext w:val="0"/>
              <w:keepLines w:val="0"/>
              <w:suppressLineNumbers w:val="0"/>
              <w:wordWrap w:val="0"/>
              <w:spacing w:before="0" w:beforeAutospacing="0" w:after="0" w:afterAutospacing="0"/>
              <w:ind w:left="0" w:right="0" w:firstLine="0" w:firstLineChars="0"/>
              <w:rPr>
                <w:color w:val="auto"/>
                <w:szCs w:val="21"/>
                <w:highlight w:val="none"/>
              </w:rPr>
            </w:pPr>
            <w:r>
              <w:rPr>
                <w:rFonts w:hint="eastAsia"/>
                <w:color w:val="auto"/>
                <w:szCs w:val="21"/>
                <w:highlight w:val="none"/>
              </w:rPr>
              <w:t>2、治疗时间可任意调节，智能屈伸≥10档独立可调。</w:t>
            </w:r>
          </w:p>
          <w:p w14:paraId="2457F6BF">
            <w:pPr>
              <w:pStyle w:val="9"/>
              <w:keepNext w:val="0"/>
              <w:keepLines w:val="0"/>
              <w:suppressLineNumbers w:val="0"/>
              <w:wordWrap w:val="0"/>
              <w:spacing w:before="0" w:beforeAutospacing="0" w:after="0" w:afterAutospacing="0"/>
              <w:ind w:left="0" w:right="0" w:firstLine="0" w:firstLineChars="0"/>
              <w:rPr>
                <w:color w:val="auto"/>
                <w:szCs w:val="21"/>
                <w:highlight w:val="none"/>
              </w:rPr>
            </w:pPr>
            <w:r>
              <w:rPr>
                <w:rFonts w:hint="eastAsia"/>
                <w:color w:val="auto"/>
                <w:szCs w:val="21"/>
                <w:highlight w:val="none"/>
              </w:rPr>
              <w:t>3、多种训练模式包括：智能被动训练、镜像训练、助力训练、主动训练、抗阻训练、语音声控、手指操训练和捏握力训练；训练强度有低和强两档可调，可选择左右手。</w:t>
            </w:r>
          </w:p>
          <w:p w14:paraId="52FB2C08">
            <w:pPr>
              <w:pStyle w:val="9"/>
              <w:keepNext w:val="0"/>
              <w:keepLines w:val="0"/>
              <w:suppressLineNumbers w:val="0"/>
              <w:wordWrap w:val="0"/>
              <w:spacing w:before="0" w:beforeAutospacing="0" w:after="0" w:afterAutospacing="0"/>
              <w:ind w:left="0" w:right="0" w:firstLine="0" w:firstLineChars="0"/>
              <w:rPr>
                <w:color w:val="auto"/>
                <w:szCs w:val="21"/>
                <w:highlight w:val="none"/>
              </w:rPr>
            </w:pPr>
            <w:r>
              <w:rPr>
                <w:rFonts w:hint="eastAsia"/>
                <w:color w:val="auto"/>
                <w:szCs w:val="21"/>
                <w:highlight w:val="none"/>
              </w:rPr>
              <w:t>4、精细化分指被动训练，可设置选择伸握训练、手指屈伸、对指训练和功能训练，进行单个手指或任意几个手指组合进行屈伸训练，可选训练动作≥20个。</w:t>
            </w:r>
          </w:p>
          <w:p w14:paraId="0EA25F60">
            <w:pPr>
              <w:pStyle w:val="9"/>
              <w:keepNext w:val="0"/>
              <w:keepLines w:val="0"/>
              <w:suppressLineNumbers w:val="0"/>
              <w:wordWrap w:val="0"/>
              <w:spacing w:before="0" w:beforeAutospacing="0" w:after="0" w:afterAutospacing="0"/>
              <w:ind w:left="0" w:right="0" w:firstLine="0" w:firstLineChars="0"/>
              <w:rPr>
                <w:rFonts w:hint="eastAsia"/>
                <w:color w:val="auto"/>
                <w:szCs w:val="21"/>
                <w:highlight w:val="none"/>
              </w:rPr>
            </w:pPr>
            <w:r>
              <w:rPr>
                <w:rFonts w:hint="eastAsia"/>
                <w:color w:val="auto"/>
                <w:szCs w:val="21"/>
                <w:highlight w:val="none"/>
              </w:rPr>
              <w:t>5、主动认知康复训练，含≥8种原创主题动画训练，肩肘腕多自由度主动康复训练，主动训练有屈曲和伸展训练模式，主动训练难度≥4档可调，包括低、中、高和自动。</w:t>
            </w:r>
          </w:p>
          <w:p w14:paraId="2FF537F3">
            <w:pPr>
              <w:pStyle w:val="9"/>
              <w:keepNext w:val="0"/>
              <w:keepLines w:val="0"/>
              <w:suppressLineNumbers w:val="0"/>
              <w:wordWrap w:val="0"/>
              <w:spacing w:before="0" w:beforeAutospacing="0" w:after="0" w:afterAutospacing="0"/>
              <w:ind w:left="0" w:right="0" w:firstLine="0" w:firstLineChars="0"/>
              <w:rPr>
                <w:rFonts w:hint="eastAsia"/>
                <w:color w:val="auto"/>
                <w:szCs w:val="21"/>
                <w:highlight w:val="none"/>
                <w:lang w:val="en-US" w:eastAsia="zh-CN"/>
              </w:rPr>
            </w:pPr>
            <w:r>
              <w:rPr>
                <w:rFonts w:hint="eastAsia"/>
                <w:color w:val="auto"/>
                <w:szCs w:val="21"/>
                <w:highlight w:val="none"/>
              </w:rPr>
              <w:t>6.基于五通道脑电采集头环，可实现运动想象脑电信号的实时采集与识别，输出运动意图检测结果，并与功能外骨骼手训练系统进行数据交互，最终通过脑机接口技术实现对设备运行状态的控制。</w:t>
            </w:r>
          </w:p>
        </w:tc>
        <w:tc>
          <w:tcPr>
            <w:tcW w:w="1497" w:type="dxa"/>
            <w:tcBorders>
              <w:top w:val="single" w:color="000000" w:sz="4" w:space="0"/>
              <w:left w:val="single" w:color="auto" w:sz="4" w:space="0"/>
              <w:bottom w:val="single" w:color="000000" w:sz="4" w:space="0"/>
              <w:right w:val="single" w:color="000000" w:sz="4" w:space="0"/>
            </w:tcBorders>
            <w:vAlign w:val="center"/>
          </w:tcPr>
          <w:p w14:paraId="6AEAF4F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cs="宋体"/>
                <w:b w:val="0"/>
                <w:bCs w:val="0"/>
                <w:color w:val="auto"/>
                <w:szCs w:val="21"/>
                <w:highlight w:val="none"/>
                <w:u w:val="none"/>
              </w:rPr>
            </w:pPr>
            <w:r>
              <w:rPr>
                <w:rFonts w:hint="eastAsia" w:ascii="宋体" w:hAnsi="宋体" w:cs="宋体"/>
                <w:b w:val="0"/>
                <w:bCs w:val="0"/>
                <w:color w:val="auto"/>
                <w:szCs w:val="21"/>
                <w:highlight w:val="none"/>
                <w:u w:val="none"/>
                <w:lang w:val="en-US" w:eastAsia="zh-CN"/>
              </w:rPr>
              <w:t>软件和信息技术服务业</w:t>
            </w:r>
          </w:p>
        </w:tc>
      </w:tr>
      <w:tr w14:paraId="0BFA01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4C7544CA">
            <w:pPr>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2</w:t>
            </w:r>
            <w:r>
              <w:rPr>
                <w:color w:val="auto"/>
                <w:sz w:val="21"/>
                <w:szCs w:val="21"/>
                <w:highlight w:val="none"/>
              </w:rPr>
              <w:t>3</w:t>
            </w:r>
          </w:p>
        </w:tc>
        <w:tc>
          <w:tcPr>
            <w:tcW w:w="1119" w:type="dxa"/>
            <w:tcBorders>
              <w:top w:val="single" w:color="000000" w:sz="4" w:space="0"/>
              <w:left w:val="nil"/>
              <w:bottom w:val="single" w:color="000000" w:sz="4" w:space="0"/>
              <w:right w:val="single" w:color="000000" w:sz="4" w:space="0"/>
            </w:tcBorders>
            <w:shd w:val="clear" w:color="auto" w:fill="auto"/>
            <w:vAlign w:val="center"/>
          </w:tcPr>
          <w:p w14:paraId="4061A54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脑机康复实验和科研科创交互平台</w:t>
            </w:r>
          </w:p>
        </w:tc>
        <w:tc>
          <w:tcPr>
            <w:tcW w:w="562" w:type="dxa"/>
            <w:tcBorders>
              <w:top w:val="single" w:color="000000" w:sz="4" w:space="0"/>
              <w:left w:val="nil"/>
              <w:bottom w:val="single" w:color="000000" w:sz="4" w:space="0"/>
              <w:right w:val="single" w:color="000000" w:sz="4" w:space="0"/>
            </w:tcBorders>
            <w:shd w:val="clear" w:color="auto" w:fill="auto"/>
            <w:vAlign w:val="center"/>
          </w:tcPr>
          <w:p w14:paraId="48FCD5E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color w:val="auto"/>
                <w:sz w:val="21"/>
                <w:szCs w:val="21"/>
                <w:highlight w:val="none"/>
              </w:rPr>
              <w:t>1</w:t>
            </w:r>
          </w:p>
        </w:tc>
        <w:tc>
          <w:tcPr>
            <w:tcW w:w="519" w:type="dxa"/>
            <w:tcBorders>
              <w:top w:val="single" w:color="000000" w:sz="4" w:space="0"/>
              <w:left w:val="nil"/>
              <w:bottom w:val="single" w:color="000000" w:sz="4" w:space="0"/>
              <w:right w:val="single" w:color="000000" w:sz="4" w:space="0"/>
            </w:tcBorders>
            <w:shd w:val="clear" w:color="auto" w:fill="auto"/>
            <w:vAlign w:val="center"/>
          </w:tcPr>
          <w:p w14:paraId="5876F7C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套</w:t>
            </w:r>
          </w:p>
        </w:tc>
        <w:tc>
          <w:tcPr>
            <w:tcW w:w="5194" w:type="dxa"/>
            <w:tcBorders>
              <w:top w:val="single" w:color="000000" w:sz="4" w:space="0"/>
              <w:left w:val="nil"/>
              <w:bottom w:val="single" w:color="000000" w:sz="4" w:space="0"/>
              <w:right w:val="single" w:color="auto" w:sz="4" w:space="0"/>
            </w:tcBorders>
            <w:shd w:val="clear" w:color="auto" w:fill="auto"/>
            <w:vAlign w:val="center"/>
          </w:tcPr>
          <w:p w14:paraId="40C87A8E">
            <w:pPr>
              <w:pStyle w:val="9"/>
              <w:keepNext w:val="0"/>
              <w:keepLines w:val="0"/>
              <w:suppressLineNumbers w:val="0"/>
              <w:wordWrap w:val="0"/>
              <w:spacing w:before="0" w:beforeAutospacing="0" w:after="0" w:afterAutospacing="0"/>
              <w:ind w:left="0" w:right="0" w:firstLine="0" w:firstLineChars="0"/>
              <w:jc w:val="left"/>
              <w:rPr>
                <w:color w:val="auto"/>
                <w:szCs w:val="21"/>
                <w:highlight w:val="none"/>
              </w:rPr>
            </w:pPr>
            <w:r>
              <w:rPr>
                <w:rFonts w:hint="eastAsia"/>
                <w:color w:val="auto"/>
                <w:szCs w:val="21"/>
                <w:highlight w:val="none"/>
                <w:lang w:val="en-US" w:eastAsia="zh-CN"/>
              </w:rPr>
              <w:t>一</w:t>
            </w:r>
            <w:r>
              <w:rPr>
                <w:rFonts w:hint="eastAsia"/>
                <w:color w:val="auto"/>
                <w:szCs w:val="21"/>
                <w:highlight w:val="none"/>
              </w:rPr>
              <w:t>、多通道脑电采集头环（五通道）：</w:t>
            </w:r>
          </w:p>
          <w:p w14:paraId="0E0EBF2F">
            <w:pPr>
              <w:pStyle w:val="9"/>
              <w:keepNext w:val="0"/>
              <w:keepLines w:val="0"/>
              <w:suppressLineNumbers w:val="0"/>
              <w:wordWrap w:val="0"/>
              <w:spacing w:before="0" w:beforeAutospacing="0" w:after="0" w:afterAutospacing="0"/>
              <w:ind w:left="0" w:right="0" w:firstLine="0" w:firstLineChars="0"/>
              <w:jc w:val="left"/>
              <w:rPr>
                <w:color w:val="auto"/>
                <w:szCs w:val="21"/>
                <w:highlight w:val="none"/>
              </w:rPr>
            </w:pPr>
            <w:r>
              <w:rPr>
                <w:rFonts w:hint="eastAsia"/>
                <w:color w:val="auto"/>
                <w:szCs w:val="21"/>
                <w:highlight w:val="none"/>
              </w:rPr>
              <w:t>1.信号采集类型：脑电信号、眼电信号、头动信号等多模态信号；</w:t>
            </w:r>
          </w:p>
          <w:p w14:paraId="3241EBD6">
            <w:pPr>
              <w:pStyle w:val="9"/>
              <w:keepNext w:val="0"/>
              <w:keepLines w:val="0"/>
              <w:suppressLineNumbers w:val="0"/>
              <w:wordWrap w:val="0"/>
              <w:spacing w:before="0" w:beforeAutospacing="0" w:after="0" w:afterAutospacing="0"/>
              <w:ind w:left="0" w:right="0" w:firstLine="0" w:firstLineChars="0"/>
              <w:jc w:val="left"/>
              <w:rPr>
                <w:color w:val="auto"/>
                <w:szCs w:val="21"/>
                <w:highlight w:val="none"/>
              </w:rPr>
            </w:pPr>
            <w:r>
              <w:rPr>
                <w:rFonts w:hint="eastAsia"/>
                <w:color w:val="auto"/>
                <w:szCs w:val="21"/>
                <w:highlight w:val="none"/>
              </w:rPr>
              <w:t>2.采样频率：≥250Hz；</w:t>
            </w:r>
          </w:p>
          <w:p w14:paraId="12A06C72">
            <w:pPr>
              <w:pStyle w:val="9"/>
              <w:keepNext w:val="0"/>
              <w:keepLines w:val="0"/>
              <w:suppressLineNumbers w:val="0"/>
              <w:wordWrap w:val="0"/>
              <w:spacing w:before="0" w:beforeAutospacing="0" w:after="0" w:afterAutospacing="0"/>
              <w:ind w:left="0" w:right="0" w:firstLine="0" w:firstLineChars="0"/>
              <w:jc w:val="left"/>
              <w:rPr>
                <w:color w:val="auto"/>
                <w:szCs w:val="21"/>
                <w:highlight w:val="none"/>
              </w:rPr>
            </w:pPr>
            <w:r>
              <w:rPr>
                <w:rFonts w:hint="eastAsia"/>
                <w:color w:val="auto"/>
                <w:szCs w:val="21"/>
                <w:highlight w:val="none"/>
              </w:rPr>
              <w:t>3.通道数：5通道；</w:t>
            </w:r>
          </w:p>
          <w:p w14:paraId="4F58C387">
            <w:pPr>
              <w:pStyle w:val="9"/>
              <w:keepNext w:val="0"/>
              <w:keepLines w:val="0"/>
              <w:suppressLineNumbers w:val="0"/>
              <w:wordWrap w:val="0"/>
              <w:spacing w:before="0" w:beforeAutospacing="0" w:after="0" w:afterAutospacing="0"/>
              <w:ind w:left="0" w:right="0" w:firstLine="0" w:firstLineChars="0"/>
              <w:jc w:val="left"/>
              <w:rPr>
                <w:color w:val="auto"/>
                <w:szCs w:val="21"/>
                <w:highlight w:val="none"/>
              </w:rPr>
            </w:pPr>
            <w:r>
              <w:rPr>
                <w:rFonts w:hint="eastAsia"/>
                <w:color w:val="auto"/>
                <w:szCs w:val="21"/>
                <w:highlight w:val="none"/>
              </w:rPr>
              <w:t>4.共模抑制比：≥90dB；</w:t>
            </w:r>
          </w:p>
          <w:p w14:paraId="035D3841">
            <w:pPr>
              <w:pStyle w:val="9"/>
              <w:keepNext w:val="0"/>
              <w:keepLines w:val="0"/>
              <w:suppressLineNumbers w:val="0"/>
              <w:wordWrap w:val="0"/>
              <w:spacing w:before="0" w:beforeAutospacing="0" w:after="0" w:afterAutospacing="0"/>
              <w:ind w:left="0" w:right="0" w:firstLine="0" w:firstLineChars="0"/>
              <w:jc w:val="left"/>
              <w:rPr>
                <w:color w:val="auto"/>
                <w:szCs w:val="21"/>
                <w:highlight w:val="none"/>
              </w:rPr>
            </w:pPr>
            <w:r>
              <w:rPr>
                <w:rFonts w:hint="eastAsia"/>
                <w:color w:val="auto"/>
                <w:szCs w:val="21"/>
                <w:highlight w:val="none"/>
              </w:rPr>
              <w:t>5.AD转换位数：24bit；</w:t>
            </w:r>
          </w:p>
          <w:p w14:paraId="39838872">
            <w:pPr>
              <w:pStyle w:val="9"/>
              <w:keepNext w:val="0"/>
              <w:keepLines w:val="0"/>
              <w:suppressLineNumbers w:val="0"/>
              <w:wordWrap w:val="0"/>
              <w:spacing w:before="0" w:beforeAutospacing="0" w:after="0" w:afterAutospacing="0"/>
              <w:ind w:left="0" w:right="0" w:firstLine="0" w:firstLineChars="0"/>
              <w:jc w:val="left"/>
              <w:rPr>
                <w:color w:val="auto"/>
                <w:szCs w:val="21"/>
                <w:highlight w:val="none"/>
              </w:rPr>
            </w:pPr>
            <w:r>
              <w:rPr>
                <w:rFonts w:hint="eastAsia"/>
                <w:color w:val="auto"/>
                <w:szCs w:val="21"/>
                <w:highlight w:val="none"/>
              </w:rPr>
              <w:t>6.带宽范围：0.1~70Hz；</w:t>
            </w:r>
          </w:p>
          <w:p w14:paraId="196080E9">
            <w:pPr>
              <w:pStyle w:val="9"/>
              <w:keepNext w:val="0"/>
              <w:keepLines w:val="0"/>
              <w:suppressLineNumbers w:val="0"/>
              <w:wordWrap w:val="0"/>
              <w:spacing w:before="0" w:beforeAutospacing="0" w:after="0" w:afterAutospacing="0"/>
              <w:ind w:left="0" w:right="0" w:firstLine="0" w:firstLineChars="0"/>
              <w:jc w:val="left"/>
              <w:rPr>
                <w:color w:val="auto"/>
                <w:szCs w:val="21"/>
                <w:highlight w:val="none"/>
              </w:rPr>
            </w:pPr>
            <w:r>
              <w:rPr>
                <w:rFonts w:hint="eastAsia"/>
                <w:color w:val="auto"/>
                <w:szCs w:val="21"/>
                <w:highlight w:val="none"/>
              </w:rPr>
              <w:t>7.输入噪声：≤3μVpp；</w:t>
            </w:r>
          </w:p>
          <w:p w14:paraId="7CB8673A">
            <w:pPr>
              <w:pStyle w:val="9"/>
              <w:keepNext w:val="0"/>
              <w:keepLines w:val="0"/>
              <w:suppressLineNumbers w:val="0"/>
              <w:wordWrap w:val="0"/>
              <w:spacing w:before="0" w:beforeAutospacing="0" w:after="0" w:afterAutospacing="0"/>
              <w:ind w:left="0" w:right="0" w:firstLine="0" w:firstLineChars="0"/>
              <w:jc w:val="left"/>
              <w:rPr>
                <w:color w:val="auto"/>
                <w:szCs w:val="21"/>
                <w:highlight w:val="none"/>
              </w:rPr>
            </w:pPr>
            <w:r>
              <w:rPr>
                <w:rFonts w:hint="eastAsia"/>
                <w:color w:val="auto"/>
                <w:szCs w:val="21"/>
                <w:highlight w:val="none"/>
              </w:rPr>
              <w:t>8.产品重量（含采集电极）：≤100g</w:t>
            </w:r>
            <w:r>
              <w:rPr>
                <w:rFonts w:hint="eastAsia"/>
                <w:color w:val="auto"/>
                <w:szCs w:val="21"/>
                <w:highlight w:val="none"/>
                <w:lang w:eastAsia="zh-CN"/>
              </w:rPr>
              <w:t>（</w:t>
            </w:r>
            <w:r>
              <w:rPr>
                <w:rFonts w:hint="eastAsia"/>
                <w:color w:val="auto"/>
                <w:szCs w:val="21"/>
                <w:highlight w:val="none"/>
                <w:lang w:val="en-US" w:eastAsia="zh-CN"/>
              </w:rPr>
              <w:t>供货时</w:t>
            </w:r>
            <w:r>
              <w:rPr>
                <w:rFonts w:hint="eastAsia"/>
                <w:color w:val="auto"/>
                <w:szCs w:val="21"/>
                <w:highlight w:val="none"/>
              </w:rPr>
              <w:t>须提供清晰反映该项参数的佐证材料并加盖投标人公章)；</w:t>
            </w:r>
          </w:p>
          <w:p w14:paraId="56A710B4">
            <w:pPr>
              <w:pStyle w:val="9"/>
              <w:keepNext w:val="0"/>
              <w:keepLines w:val="0"/>
              <w:suppressLineNumbers w:val="0"/>
              <w:wordWrap w:val="0"/>
              <w:spacing w:before="0" w:beforeAutospacing="0" w:after="0" w:afterAutospacing="0"/>
              <w:ind w:left="0" w:right="0" w:firstLine="0" w:firstLineChars="0"/>
              <w:jc w:val="left"/>
              <w:rPr>
                <w:color w:val="auto"/>
                <w:szCs w:val="21"/>
                <w:highlight w:val="none"/>
              </w:rPr>
            </w:pPr>
            <w:r>
              <w:rPr>
                <w:rFonts w:hint="eastAsia"/>
                <w:color w:val="auto"/>
                <w:szCs w:val="21"/>
                <w:highlight w:val="none"/>
              </w:rPr>
              <w:t>9.电池容量：≥200mAh（</w:t>
            </w:r>
            <w:r>
              <w:rPr>
                <w:rFonts w:hint="eastAsia"/>
                <w:color w:val="auto"/>
                <w:szCs w:val="21"/>
                <w:highlight w:val="none"/>
                <w:lang w:val="en-US" w:eastAsia="zh-CN"/>
              </w:rPr>
              <w:t>投标时</w:t>
            </w:r>
            <w:r>
              <w:rPr>
                <w:rFonts w:hint="eastAsia"/>
                <w:color w:val="auto"/>
                <w:szCs w:val="21"/>
                <w:highlight w:val="none"/>
              </w:rPr>
              <w:t>须提供电池容量≥200mAh的国家认可第三方检测机构出具的合格的检测报告）；</w:t>
            </w:r>
          </w:p>
          <w:p w14:paraId="156A8C83">
            <w:pPr>
              <w:pStyle w:val="9"/>
              <w:keepNext w:val="0"/>
              <w:keepLines w:val="0"/>
              <w:suppressLineNumbers w:val="0"/>
              <w:wordWrap w:val="0"/>
              <w:spacing w:before="0" w:beforeAutospacing="0" w:after="0" w:afterAutospacing="0"/>
              <w:ind w:left="0" w:right="0" w:firstLine="0" w:firstLineChars="0"/>
              <w:jc w:val="left"/>
              <w:rPr>
                <w:color w:val="auto"/>
                <w:szCs w:val="21"/>
                <w:highlight w:val="none"/>
              </w:rPr>
            </w:pPr>
            <w:r>
              <w:rPr>
                <w:rFonts w:hint="eastAsia"/>
                <w:color w:val="auto"/>
                <w:szCs w:val="21"/>
                <w:highlight w:val="none"/>
              </w:rPr>
              <w:t>10.电池续航时间：≥8小时；</w:t>
            </w:r>
          </w:p>
          <w:p w14:paraId="72D40AE3">
            <w:pPr>
              <w:pStyle w:val="9"/>
              <w:keepNext w:val="0"/>
              <w:keepLines w:val="0"/>
              <w:suppressLineNumbers w:val="0"/>
              <w:wordWrap w:val="0"/>
              <w:spacing w:before="0" w:beforeAutospacing="0" w:after="0" w:afterAutospacing="0"/>
              <w:ind w:left="0" w:right="0" w:firstLine="0" w:firstLineChars="0"/>
              <w:jc w:val="left"/>
              <w:rPr>
                <w:color w:val="auto"/>
                <w:szCs w:val="21"/>
                <w:highlight w:val="none"/>
              </w:rPr>
            </w:pPr>
            <w:r>
              <w:rPr>
                <w:rFonts w:hint="eastAsia"/>
                <w:color w:val="auto"/>
                <w:szCs w:val="21"/>
                <w:highlight w:val="none"/>
              </w:rPr>
              <w:t>11.外形尺寸：≤180mm*150mm*110mm；</w:t>
            </w:r>
          </w:p>
          <w:p w14:paraId="65CBE064">
            <w:pPr>
              <w:pStyle w:val="9"/>
              <w:keepNext w:val="0"/>
              <w:keepLines w:val="0"/>
              <w:suppressLineNumbers w:val="0"/>
              <w:wordWrap w:val="0"/>
              <w:spacing w:before="0" w:beforeAutospacing="0" w:after="0" w:afterAutospacing="0"/>
              <w:ind w:left="0" w:right="0" w:firstLine="0" w:firstLineChars="0"/>
              <w:jc w:val="left"/>
              <w:rPr>
                <w:color w:val="auto"/>
                <w:szCs w:val="21"/>
                <w:highlight w:val="none"/>
              </w:rPr>
            </w:pPr>
            <w:r>
              <w:rPr>
                <w:rFonts w:hint="eastAsia"/>
                <w:color w:val="auto"/>
                <w:szCs w:val="21"/>
                <w:highlight w:val="none"/>
              </w:rPr>
              <w:t>12.蓝牙版本：5.0及以上；</w:t>
            </w:r>
          </w:p>
          <w:p w14:paraId="74C87197">
            <w:pPr>
              <w:pStyle w:val="9"/>
              <w:keepNext w:val="0"/>
              <w:keepLines w:val="0"/>
              <w:suppressLineNumbers w:val="0"/>
              <w:wordWrap w:val="0"/>
              <w:spacing w:before="0" w:beforeAutospacing="0" w:after="0" w:afterAutospacing="0"/>
              <w:ind w:left="0" w:right="0" w:firstLine="0" w:firstLineChars="0"/>
              <w:jc w:val="left"/>
              <w:rPr>
                <w:color w:val="auto"/>
                <w:szCs w:val="21"/>
                <w:highlight w:val="none"/>
              </w:rPr>
            </w:pPr>
            <w:r>
              <w:rPr>
                <w:rFonts w:hint="eastAsia"/>
                <w:color w:val="auto"/>
                <w:szCs w:val="21"/>
                <w:highlight w:val="none"/>
              </w:rPr>
              <w:t>13.电极类型(</w:t>
            </w:r>
            <w:r>
              <w:rPr>
                <w:rFonts w:hint="eastAsia"/>
                <w:color w:val="auto"/>
                <w:szCs w:val="21"/>
                <w:highlight w:val="none"/>
                <w:lang w:val="en-US" w:eastAsia="zh-CN"/>
              </w:rPr>
              <w:t>供货时</w:t>
            </w:r>
            <w:r>
              <w:rPr>
                <w:rFonts w:hint="eastAsia"/>
                <w:color w:val="auto"/>
                <w:szCs w:val="21"/>
                <w:highlight w:val="none"/>
              </w:rPr>
              <w:t>须提供清晰反映该项参数的佐证材料并加盖投标人公章)：</w:t>
            </w:r>
          </w:p>
          <w:p w14:paraId="13E920F9">
            <w:pPr>
              <w:pStyle w:val="9"/>
              <w:keepNext w:val="0"/>
              <w:keepLines w:val="0"/>
              <w:suppressLineNumbers w:val="0"/>
              <w:wordWrap w:val="0"/>
              <w:spacing w:before="0" w:beforeAutospacing="0" w:after="0" w:afterAutospacing="0"/>
              <w:ind w:left="298" w:leftChars="142" w:right="0" w:firstLine="0" w:firstLineChars="0"/>
              <w:jc w:val="left"/>
              <w:rPr>
                <w:color w:val="auto"/>
                <w:szCs w:val="21"/>
                <w:highlight w:val="none"/>
              </w:rPr>
            </w:pPr>
            <w:r>
              <w:rPr>
                <w:rFonts w:hint="eastAsia"/>
                <w:color w:val="auto"/>
                <w:szCs w:val="21"/>
                <w:highlight w:val="none"/>
              </w:rPr>
              <w:t>无发区：水凝胶电极，正常使用寿命≥2个月，用户可自行更换电极；</w:t>
            </w:r>
          </w:p>
          <w:p w14:paraId="73E289A7">
            <w:pPr>
              <w:pStyle w:val="9"/>
              <w:keepNext w:val="0"/>
              <w:keepLines w:val="0"/>
              <w:suppressLineNumbers w:val="0"/>
              <w:wordWrap w:val="0"/>
              <w:spacing w:before="0" w:beforeAutospacing="0" w:after="0" w:afterAutospacing="0"/>
              <w:ind w:left="298" w:leftChars="142" w:right="0" w:firstLine="0" w:firstLineChars="0"/>
              <w:jc w:val="left"/>
              <w:rPr>
                <w:color w:val="auto"/>
                <w:szCs w:val="21"/>
                <w:highlight w:val="none"/>
              </w:rPr>
            </w:pPr>
            <w:r>
              <w:rPr>
                <w:rFonts w:hint="eastAsia"/>
                <w:color w:val="auto"/>
                <w:szCs w:val="21"/>
                <w:highlight w:val="none"/>
              </w:rPr>
              <w:t>有发区：氯化银电极；</w:t>
            </w:r>
          </w:p>
          <w:p w14:paraId="7C64F2E6">
            <w:pPr>
              <w:pStyle w:val="9"/>
              <w:keepNext w:val="0"/>
              <w:keepLines w:val="0"/>
              <w:suppressLineNumbers w:val="0"/>
              <w:wordWrap w:val="0"/>
              <w:spacing w:before="0" w:beforeAutospacing="0" w:after="0" w:afterAutospacing="0"/>
              <w:ind w:left="0" w:right="0" w:firstLine="0" w:firstLineChars="0"/>
              <w:jc w:val="left"/>
              <w:rPr>
                <w:color w:val="auto"/>
                <w:szCs w:val="21"/>
                <w:highlight w:val="none"/>
              </w:rPr>
            </w:pPr>
            <w:r>
              <w:rPr>
                <w:rFonts w:hint="eastAsia"/>
                <w:color w:val="auto"/>
                <w:szCs w:val="21"/>
                <w:highlight w:val="none"/>
              </w:rPr>
              <w:t>14.姿态检测：内置9轴运动传感器；</w:t>
            </w:r>
          </w:p>
          <w:p w14:paraId="1631248B">
            <w:pPr>
              <w:pStyle w:val="9"/>
              <w:keepNext w:val="0"/>
              <w:keepLines w:val="0"/>
              <w:suppressLineNumbers w:val="0"/>
              <w:wordWrap w:val="0"/>
              <w:spacing w:before="0" w:beforeAutospacing="0" w:after="0" w:afterAutospacing="0"/>
              <w:ind w:left="0" w:right="0" w:firstLine="0" w:firstLineChars="0"/>
              <w:jc w:val="left"/>
              <w:rPr>
                <w:color w:val="auto"/>
                <w:szCs w:val="21"/>
                <w:highlight w:val="none"/>
              </w:rPr>
            </w:pPr>
            <w:r>
              <w:rPr>
                <w:rFonts w:hint="eastAsia"/>
                <w:color w:val="auto"/>
                <w:szCs w:val="21"/>
                <w:highlight w:val="none"/>
              </w:rPr>
              <w:t>15.其他功能：脱落检测、电量检测等。</w:t>
            </w:r>
          </w:p>
          <w:p w14:paraId="75AA7A5C">
            <w:pPr>
              <w:pStyle w:val="9"/>
              <w:keepNext w:val="0"/>
              <w:keepLines w:val="0"/>
              <w:suppressLineNumbers w:val="0"/>
              <w:wordWrap w:val="0"/>
              <w:spacing w:before="0" w:beforeAutospacing="0" w:after="0" w:afterAutospacing="0"/>
              <w:ind w:left="0" w:right="0" w:firstLine="0" w:firstLineChars="0"/>
              <w:jc w:val="left"/>
              <w:rPr>
                <w:color w:val="auto"/>
                <w:szCs w:val="21"/>
                <w:highlight w:val="none"/>
              </w:rPr>
            </w:pPr>
            <w:r>
              <w:rPr>
                <w:rFonts w:hint="eastAsia"/>
                <w:color w:val="auto"/>
                <w:szCs w:val="21"/>
                <w:highlight w:val="none"/>
                <w:lang w:val="en-US" w:eastAsia="zh-CN"/>
              </w:rPr>
              <w:t>二</w:t>
            </w:r>
            <w:r>
              <w:rPr>
                <w:rFonts w:hint="eastAsia"/>
                <w:color w:val="auto"/>
                <w:szCs w:val="21"/>
                <w:highlight w:val="none"/>
              </w:rPr>
              <w:t>、参数：</w:t>
            </w:r>
          </w:p>
          <w:p w14:paraId="27928B05">
            <w:pPr>
              <w:pStyle w:val="9"/>
              <w:keepNext w:val="0"/>
              <w:keepLines w:val="0"/>
              <w:suppressLineNumbers w:val="0"/>
              <w:wordWrap w:val="0"/>
              <w:spacing w:before="0" w:beforeAutospacing="0" w:after="0" w:afterAutospacing="0"/>
              <w:ind w:left="0" w:right="0" w:firstLine="0" w:firstLineChars="0"/>
              <w:jc w:val="left"/>
              <w:rPr>
                <w:color w:val="auto"/>
                <w:szCs w:val="21"/>
                <w:highlight w:val="none"/>
              </w:rPr>
            </w:pPr>
            <w:r>
              <w:rPr>
                <w:rFonts w:hint="eastAsia"/>
                <w:color w:val="auto"/>
                <w:szCs w:val="21"/>
                <w:highlight w:val="none"/>
              </w:rPr>
              <w:t>1.脑电分析与解码模块：通过脑信息解码算法模型对脑电信号进行深入分析，自动评估用户的注意力状态；</w:t>
            </w:r>
          </w:p>
          <w:p w14:paraId="6482A97E">
            <w:pPr>
              <w:pStyle w:val="9"/>
              <w:keepNext w:val="0"/>
              <w:keepLines w:val="0"/>
              <w:suppressLineNumbers w:val="0"/>
              <w:wordWrap w:val="0"/>
              <w:spacing w:before="0" w:beforeAutospacing="0" w:after="0" w:afterAutospacing="0"/>
              <w:ind w:left="0" w:right="0" w:firstLine="0" w:firstLineChars="0"/>
              <w:jc w:val="left"/>
              <w:rPr>
                <w:color w:val="auto"/>
                <w:szCs w:val="21"/>
                <w:highlight w:val="none"/>
              </w:rPr>
            </w:pPr>
            <w:r>
              <w:rPr>
                <w:rFonts w:hint="eastAsia"/>
                <w:color w:val="auto"/>
                <w:szCs w:val="21"/>
                <w:highlight w:val="none"/>
              </w:rPr>
              <w:t>2.注意力训练场景：2D/3D沉浸式神经反馈体验；神经反馈场景；注意力训练报告；注意力训练场景课程；</w:t>
            </w:r>
          </w:p>
          <w:p w14:paraId="3787293B">
            <w:pPr>
              <w:pStyle w:val="9"/>
              <w:keepNext w:val="0"/>
              <w:keepLines w:val="0"/>
              <w:suppressLineNumbers w:val="0"/>
              <w:wordWrap w:val="0"/>
              <w:spacing w:before="0" w:beforeAutospacing="0" w:after="0" w:afterAutospacing="0"/>
              <w:ind w:left="0" w:right="0" w:firstLine="0" w:firstLineChars="0"/>
              <w:jc w:val="left"/>
              <w:rPr>
                <w:color w:val="auto"/>
                <w:szCs w:val="21"/>
                <w:highlight w:val="none"/>
              </w:rPr>
            </w:pPr>
            <w:r>
              <w:rPr>
                <w:rFonts w:hint="eastAsia"/>
                <w:color w:val="auto"/>
                <w:szCs w:val="21"/>
                <w:highlight w:val="none"/>
              </w:rPr>
              <w:t>3</w:t>
            </w:r>
            <w:r>
              <w:rPr>
                <w:color w:val="auto"/>
                <w:szCs w:val="21"/>
                <w:highlight w:val="none"/>
              </w:rPr>
              <w:t>.</w:t>
            </w:r>
            <w:r>
              <w:rPr>
                <w:rFonts w:hint="eastAsia"/>
                <w:color w:val="auto"/>
                <w:szCs w:val="21"/>
                <w:highlight w:val="none"/>
              </w:rPr>
              <w:t>认知训练游戏：提供多款基于脑机接口技术与神经反馈原理的认知训练游戏，支持个人训练模式、竞赛无尽模式；</w:t>
            </w:r>
          </w:p>
          <w:p w14:paraId="6F2D20D5">
            <w:pPr>
              <w:pStyle w:val="9"/>
              <w:keepNext w:val="0"/>
              <w:keepLines w:val="0"/>
              <w:suppressLineNumbers w:val="0"/>
              <w:spacing w:before="0" w:beforeAutospacing="0" w:after="0" w:afterAutospacing="0"/>
              <w:ind w:left="0" w:right="0" w:firstLine="0" w:firstLineChars="0"/>
              <w:jc w:val="left"/>
              <w:rPr>
                <w:color w:val="auto"/>
                <w:szCs w:val="21"/>
                <w:highlight w:val="none"/>
              </w:rPr>
            </w:pPr>
            <w:r>
              <w:rPr>
                <w:rFonts w:hint="eastAsia"/>
                <w:color w:val="auto"/>
                <w:szCs w:val="21"/>
                <w:highlight w:val="none"/>
              </w:rPr>
              <w:t>4.单/多模态采集：平台支持脑电、眼电、血氧、心率、皮电、呼吸等多模态数据的采集（</w:t>
            </w:r>
            <w:r>
              <w:rPr>
                <w:rFonts w:hint="eastAsia"/>
                <w:color w:val="auto"/>
                <w:highlight w:val="none"/>
                <w:lang w:val="en-US" w:eastAsia="zh-CN"/>
              </w:rPr>
              <w:t>供货时</w:t>
            </w:r>
            <w:r>
              <w:rPr>
                <w:rFonts w:hint="eastAsia"/>
                <w:color w:val="auto"/>
                <w:szCs w:val="21"/>
                <w:highlight w:val="none"/>
              </w:rPr>
              <w:t>需提供该功能的软件界面截图</w:t>
            </w:r>
            <w:r>
              <w:rPr>
                <w:rFonts w:hint="eastAsia"/>
                <w:color w:val="auto"/>
                <w:szCs w:val="21"/>
                <w:highlight w:val="none"/>
                <w:lang w:val="en-US" w:eastAsia="zh-CN"/>
              </w:rPr>
              <w:t>并加盖投标人公章</w:t>
            </w:r>
            <w:r>
              <w:rPr>
                <w:rFonts w:hint="eastAsia"/>
                <w:color w:val="auto"/>
                <w:szCs w:val="21"/>
                <w:highlight w:val="none"/>
              </w:rPr>
              <w:t>）；</w:t>
            </w:r>
          </w:p>
          <w:p w14:paraId="60A63106">
            <w:pPr>
              <w:pStyle w:val="9"/>
              <w:keepNext w:val="0"/>
              <w:keepLines w:val="0"/>
              <w:suppressLineNumbers w:val="0"/>
              <w:spacing w:before="0" w:beforeAutospacing="0" w:after="0" w:afterAutospacing="0"/>
              <w:ind w:left="0" w:right="0" w:firstLine="0" w:firstLineChars="0"/>
              <w:jc w:val="left"/>
              <w:rPr>
                <w:color w:val="auto"/>
                <w:szCs w:val="21"/>
                <w:highlight w:val="none"/>
              </w:rPr>
            </w:pPr>
            <w:r>
              <w:rPr>
                <w:rFonts w:hint="eastAsia"/>
                <w:color w:val="auto"/>
                <w:szCs w:val="21"/>
                <w:highlight w:val="none"/>
                <w:lang w:val="en-US" w:eastAsia="zh-CN"/>
              </w:rPr>
              <w:t>5.</w:t>
            </w:r>
            <w:r>
              <w:rPr>
                <w:rFonts w:hint="eastAsia"/>
                <w:color w:val="auto"/>
                <w:szCs w:val="21"/>
                <w:highlight w:val="none"/>
              </w:rPr>
              <w:t>数据同步：平台通过统一时间轴校准与事件打标技术，实现不同设备间的精准同步（</w:t>
            </w:r>
            <w:r>
              <w:rPr>
                <w:rFonts w:hint="eastAsia"/>
                <w:color w:val="auto"/>
                <w:highlight w:val="none"/>
                <w:lang w:val="en-US" w:eastAsia="zh-CN"/>
              </w:rPr>
              <w:t>供货时</w:t>
            </w:r>
            <w:r>
              <w:rPr>
                <w:rFonts w:hint="eastAsia"/>
                <w:color w:val="auto"/>
                <w:szCs w:val="21"/>
                <w:highlight w:val="none"/>
              </w:rPr>
              <w:t>需提供该功能的软件界面截图</w:t>
            </w:r>
            <w:r>
              <w:rPr>
                <w:rFonts w:hint="eastAsia"/>
                <w:color w:val="auto"/>
                <w:szCs w:val="21"/>
                <w:highlight w:val="none"/>
                <w:lang w:val="en-US" w:eastAsia="zh-CN"/>
              </w:rPr>
              <w:t>并加盖投标人公章</w:t>
            </w:r>
            <w:r>
              <w:rPr>
                <w:rFonts w:hint="eastAsia"/>
                <w:color w:val="auto"/>
                <w:szCs w:val="21"/>
                <w:highlight w:val="none"/>
              </w:rPr>
              <w:t>）；</w:t>
            </w:r>
          </w:p>
          <w:p w14:paraId="137E331D">
            <w:pPr>
              <w:pStyle w:val="9"/>
              <w:keepNext w:val="0"/>
              <w:keepLines w:val="0"/>
              <w:suppressLineNumbers w:val="0"/>
              <w:spacing w:before="0" w:beforeAutospacing="0" w:after="0" w:afterAutospacing="0"/>
              <w:ind w:left="0" w:right="0" w:firstLine="0" w:firstLineChars="0"/>
              <w:jc w:val="left"/>
              <w:rPr>
                <w:color w:val="auto"/>
                <w:szCs w:val="21"/>
                <w:highlight w:val="none"/>
              </w:rPr>
            </w:pPr>
            <w:r>
              <w:rPr>
                <w:rFonts w:hint="eastAsia"/>
                <w:color w:val="auto"/>
                <w:szCs w:val="21"/>
                <w:highlight w:val="none"/>
              </w:rPr>
              <w:t>6.数据综合管理：支持多模态数据的管理（上传、存储、查询、下载）；对数据进行标准化整理并上传至脑机AI云平台（</w:t>
            </w:r>
            <w:r>
              <w:rPr>
                <w:rFonts w:hint="eastAsia"/>
                <w:color w:val="auto"/>
                <w:highlight w:val="none"/>
                <w:lang w:val="en-US" w:eastAsia="zh-CN"/>
              </w:rPr>
              <w:t>供货时</w:t>
            </w:r>
            <w:r>
              <w:rPr>
                <w:rFonts w:hint="eastAsia"/>
                <w:color w:val="auto"/>
                <w:szCs w:val="21"/>
                <w:highlight w:val="none"/>
              </w:rPr>
              <w:t>需提供该功能的软件界面截图</w:t>
            </w:r>
            <w:r>
              <w:rPr>
                <w:rFonts w:hint="eastAsia"/>
                <w:color w:val="auto"/>
                <w:szCs w:val="21"/>
                <w:highlight w:val="none"/>
                <w:lang w:val="en-US" w:eastAsia="zh-CN"/>
              </w:rPr>
              <w:t>并加盖投标人公章</w:t>
            </w:r>
            <w:r>
              <w:rPr>
                <w:rFonts w:hint="eastAsia"/>
                <w:color w:val="auto"/>
                <w:szCs w:val="21"/>
                <w:highlight w:val="none"/>
              </w:rPr>
              <w:t>）；</w:t>
            </w:r>
          </w:p>
          <w:p w14:paraId="39B258E6">
            <w:pPr>
              <w:pStyle w:val="9"/>
              <w:keepNext w:val="0"/>
              <w:keepLines w:val="0"/>
              <w:suppressLineNumbers w:val="0"/>
              <w:wordWrap w:val="0"/>
              <w:spacing w:before="0" w:beforeAutospacing="0" w:after="0" w:afterAutospacing="0"/>
              <w:ind w:left="0" w:right="0" w:firstLine="0" w:firstLineChars="0"/>
              <w:jc w:val="left"/>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7.数据分析：集成自适应带通滤波、PSD频谱分析、峰值检测及信号统计等核心算法，对数据进行预处理与特征挖掘（</w:t>
            </w:r>
            <w:r>
              <w:rPr>
                <w:rFonts w:hint="eastAsia"/>
                <w:color w:val="auto"/>
                <w:highlight w:val="none"/>
                <w:lang w:val="en-US" w:eastAsia="zh-CN"/>
              </w:rPr>
              <w:t>供货时</w:t>
            </w:r>
            <w:r>
              <w:rPr>
                <w:rFonts w:hint="eastAsia"/>
                <w:color w:val="auto"/>
                <w:szCs w:val="21"/>
                <w:highlight w:val="none"/>
              </w:rPr>
              <w:t>需提供该功能的软件界面截图</w:t>
            </w:r>
            <w:r>
              <w:rPr>
                <w:rFonts w:hint="eastAsia"/>
                <w:color w:val="auto"/>
                <w:szCs w:val="21"/>
                <w:highlight w:val="none"/>
                <w:lang w:val="en-US" w:eastAsia="zh-CN"/>
              </w:rPr>
              <w:t>并加盖投标人公章</w:t>
            </w:r>
            <w:r>
              <w:rPr>
                <w:rFonts w:hint="eastAsia"/>
                <w:color w:val="auto"/>
                <w:szCs w:val="21"/>
                <w:highlight w:val="none"/>
              </w:rPr>
              <w:t>）。</w:t>
            </w:r>
          </w:p>
        </w:tc>
        <w:tc>
          <w:tcPr>
            <w:tcW w:w="1497" w:type="dxa"/>
            <w:tcBorders>
              <w:top w:val="single" w:color="000000" w:sz="4" w:space="0"/>
              <w:left w:val="single" w:color="auto" w:sz="4" w:space="0"/>
              <w:bottom w:val="single" w:color="000000" w:sz="4" w:space="0"/>
              <w:right w:val="single" w:color="000000" w:sz="4" w:space="0"/>
            </w:tcBorders>
            <w:vAlign w:val="center"/>
          </w:tcPr>
          <w:p w14:paraId="52099D1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cs="宋体"/>
                <w:b w:val="0"/>
                <w:bCs w:val="0"/>
                <w:color w:val="auto"/>
                <w:szCs w:val="21"/>
                <w:highlight w:val="none"/>
                <w:u w:val="none"/>
              </w:rPr>
            </w:pPr>
            <w:r>
              <w:rPr>
                <w:rFonts w:hint="eastAsia" w:ascii="宋体" w:hAnsi="宋体" w:cs="宋体"/>
                <w:b w:val="0"/>
                <w:bCs w:val="0"/>
                <w:color w:val="auto"/>
                <w:szCs w:val="21"/>
                <w:highlight w:val="none"/>
                <w:u w:val="none"/>
                <w:lang w:val="en-US" w:eastAsia="zh-CN"/>
              </w:rPr>
              <w:t>工业</w:t>
            </w:r>
          </w:p>
        </w:tc>
      </w:tr>
      <w:tr w14:paraId="024354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2" w:hRule="atLeast"/>
          <w:jc w:val="center"/>
        </w:trPr>
        <w:tc>
          <w:tcPr>
            <w:tcW w:w="9453" w:type="dxa"/>
            <w:gridSpan w:val="6"/>
            <w:tcBorders>
              <w:top w:val="single" w:color="000000" w:sz="4" w:space="0"/>
              <w:left w:val="single" w:color="auto" w:sz="4" w:space="0"/>
              <w:bottom w:val="single" w:color="000000" w:sz="4" w:space="0"/>
              <w:right w:val="single" w:color="000000" w:sz="4" w:space="0"/>
            </w:tcBorders>
            <w:vAlign w:val="center"/>
          </w:tcPr>
          <w:p w14:paraId="23B87796">
            <w:pPr>
              <w:keepNext w:val="0"/>
              <w:keepLines w:val="0"/>
              <w:widowControl w:val="0"/>
              <w:suppressLineNumbers w:val="0"/>
              <w:wordWrap/>
              <w:adjustRightInd/>
              <w:snapToGrid/>
              <w:spacing w:before="0" w:beforeAutospacing="0" w:after="0" w:afterAutospacing="0" w:line="320" w:lineRule="exact"/>
              <w:ind w:left="0" w:leftChars="0" w:right="0" w:firstLine="0" w:firstLineChars="0"/>
              <w:jc w:val="center"/>
              <w:textAlignment w:val="auto"/>
              <w:outlineLvl w:val="9"/>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二、商务要求</w:t>
            </w:r>
          </w:p>
        </w:tc>
      </w:tr>
      <w:tr w14:paraId="54F867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39D48E2F">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1</w:t>
            </w:r>
          </w:p>
        </w:tc>
        <w:tc>
          <w:tcPr>
            <w:tcW w:w="1119" w:type="dxa"/>
            <w:tcBorders>
              <w:left w:val="nil"/>
              <w:right w:val="single" w:color="000000" w:sz="4" w:space="0"/>
            </w:tcBorders>
            <w:shd w:val="clear" w:color="auto" w:fill="auto"/>
            <w:vAlign w:val="center"/>
          </w:tcPr>
          <w:p w14:paraId="71365E5E">
            <w:pPr>
              <w:keepNext w:val="0"/>
              <w:keepLines w:val="0"/>
              <w:suppressLineNumbers w:val="0"/>
              <w:snapToGrid w:val="0"/>
              <w:spacing w:before="0" w:beforeAutospacing="0" w:after="0" w:afterAutospacing="0" w:line="400" w:lineRule="exact"/>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w:t>
            </w:r>
            <w:r>
              <w:rPr>
                <w:rFonts w:hint="eastAsia" w:ascii="宋体" w:hAnsi="宋体" w:eastAsia="宋体" w:cs="宋体"/>
                <w:color w:val="auto"/>
                <w:kern w:val="2"/>
                <w:sz w:val="21"/>
                <w:szCs w:val="21"/>
                <w:highlight w:val="none"/>
                <w:lang w:val="en-US" w:eastAsia="zh-CN" w:bidi="ar-SA"/>
              </w:rPr>
              <w:t>合同签订时间</w:t>
            </w:r>
          </w:p>
        </w:tc>
        <w:tc>
          <w:tcPr>
            <w:tcW w:w="7772" w:type="dxa"/>
            <w:gridSpan w:val="4"/>
            <w:tcBorders>
              <w:top w:val="single" w:color="000000" w:sz="4" w:space="0"/>
              <w:left w:val="nil"/>
              <w:bottom w:val="single" w:color="000000" w:sz="4" w:space="0"/>
              <w:right w:val="single" w:color="000000" w:sz="4" w:space="0"/>
            </w:tcBorders>
            <w:shd w:val="clear" w:color="auto" w:fill="auto"/>
            <w:vAlign w:val="center"/>
          </w:tcPr>
          <w:p w14:paraId="4A1D485F">
            <w:pPr>
              <w:pStyle w:val="14"/>
              <w:keepNext w:val="0"/>
              <w:keepLines w:val="0"/>
              <w:suppressLineNumbers w:val="0"/>
              <w:snapToGrid w:val="0"/>
              <w:spacing w:before="0" w:beforeAutospacing="0" w:after="0" w:afterAutospacing="0" w:line="400" w:lineRule="exact"/>
              <w:ind w:left="0" w:right="0"/>
              <w:jc w:val="left"/>
              <w:rPr>
                <w:rFonts w:hint="eastAsia" w:ascii="宋体" w:hAnsi="宋体" w:eastAsia="宋体" w:cs="宋体"/>
                <w:color w:val="auto"/>
                <w:sz w:val="21"/>
                <w:szCs w:val="21"/>
                <w:highlight w:val="none"/>
                <w:lang w:val="en-US" w:eastAsia="zh-CN"/>
              </w:rPr>
            </w:pPr>
            <w:r>
              <w:rPr>
                <w:rFonts w:hint="eastAsia" w:ascii="宋体" w:hAnsi="宋体"/>
                <w:color w:val="auto"/>
                <w:szCs w:val="21"/>
                <w:highlight w:val="none"/>
              </w:rPr>
              <w:t>自</w:t>
            </w:r>
            <w:r>
              <w:rPr>
                <w:rFonts w:hint="eastAsia" w:ascii="宋体" w:hAnsi="宋体"/>
                <w:color w:val="auto"/>
                <w:szCs w:val="21"/>
                <w:highlight w:val="none"/>
                <w:lang w:val="en-US" w:eastAsia="zh-CN"/>
              </w:rPr>
              <w:t>中标</w:t>
            </w:r>
            <w:r>
              <w:rPr>
                <w:rFonts w:hint="eastAsia" w:ascii="宋体" w:hAnsi="宋体"/>
                <w:color w:val="auto"/>
                <w:szCs w:val="21"/>
                <w:highlight w:val="none"/>
              </w:rPr>
              <w:t>通知书发出之日起</w:t>
            </w:r>
            <w:r>
              <w:rPr>
                <w:rFonts w:hint="eastAsia" w:ascii="宋体" w:hAnsi="宋体"/>
                <w:color w:val="auto"/>
                <w:szCs w:val="21"/>
                <w:highlight w:val="none"/>
                <w:u w:val="single"/>
              </w:rPr>
              <w:t xml:space="preserve"> 25 </w:t>
            </w:r>
            <w:r>
              <w:rPr>
                <w:rFonts w:hint="eastAsia" w:ascii="宋体" w:hAnsi="宋体"/>
                <w:color w:val="auto"/>
                <w:szCs w:val="21"/>
                <w:highlight w:val="none"/>
              </w:rPr>
              <w:t>日内。</w:t>
            </w:r>
          </w:p>
        </w:tc>
      </w:tr>
      <w:tr w14:paraId="2FE798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4A8A8E52">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2</w:t>
            </w:r>
          </w:p>
        </w:tc>
        <w:tc>
          <w:tcPr>
            <w:tcW w:w="1119" w:type="dxa"/>
            <w:tcBorders>
              <w:left w:val="nil"/>
              <w:right w:val="single" w:color="000000" w:sz="4" w:space="0"/>
            </w:tcBorders>
            <w:shd w:val="clear" w:color="auto" w:fill="auto"/>
            <w:vAlign w:val="center"/>
          </w:tcPr>
          <w:p w14:paraId="6DB5928A">
            <w:pPr>
              <w:keepNext w:val="0"/>
              <w:keepLines w:val="0"/>
              <w:suppressLineNumbers w:val="0"/>
              <w:snapToGrid w:val="0"/>
              <w:spacing w:before="0" w:beforeAutospacing="0" w:after="0" w:afterAutospacing="0" w:line="400" w:lineRule="exact"/>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rPr>
              <w:t>质保期</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799C197E">
            <w:pPr>
              <w:keepNext w:val="0"/>
              <w:keepLines w:val="0"/>
              <w:suppressLineNumbers w:val="0"/>
              <w:spacing w:before="0" w:beforeAutospacing="0" w:after="0" w:afterAutospacing="0"/>
              <w:ind w:left="0" w:right="0"/>
              <w:rPr>
                <w:rFonts w:hint="eastAsia"/>
                <w:color w:val="auto"/>
                <w:highlight w:val="none"/>
              </w:rPr>
            </w:pPr>
            <w:r>
              <w:rPr>
                <w:rFonts w:hint="eastAsia"/>
                <w:color w:val="auto"/>
                <w:highlight w:val="none"/>
              </w:rPr>
              <w:t>1. 免费保修期：按国家有关产品“三包”规定执行“三包”，免费保修期最短不得少于1年，其中第6项产品“一键转膜仪”、第15项产品“台式高速冷冻离心机”、第16项产品“台式低速冷冻离心机”、第19项产品“AI医学检验数字切片分类计数与分析软件”质保期不少于3年，第18项产品“检验数字孪生综合实训平台”质保期不少于6年，其余产品保修不得少于1年（免费保修期从设备验收合格之日起计算，项目要求及技术需求中规定的，按规定执行）。免费保修期内免费上门维修（免收维修费和元器件费）、免费更换零部件，并提供终身维修服务。</w:t>
            </w:r>
          </w:p>
          <w:p w14:paraId="51B6DAD8">
            <w:pPr>
              <w:keepNext w:val="0"/>
              <w:keepLines w:val="0"/>
              <w:suppressLineNumbers w:val="0"/>
              <w:spacing w:before="0" w:beforeAutospacing="0" w:after="0" w:afterAutospacing="0"/>
              <w:ind w:left="0" w:right="0"/>
              <w:rPr>
                <w:rFonts w:hint="eastAsia"/>
                <w:color w:val="auto"/>
                <w:highlight w:val="none"/>
              </w:rPr>
            </w:pPr>
            <w:r>
              <w:rPr>
                <w:rFonts w:hint="eastAsia"/>
                <w:color w:val="auto"/>
                <w:highlight w:val="none"/>
              </w:rPr>
              <w:t>2. 在质量保证期内，除正常更换的耗材外，对设备其它所有元器件（易损件除外）免费保修；</w:t>
            </w:r>
          </w:p>
          <w:p w14:paraId="7C40FAB8">
            <w:pPr>
              <w:keepNext w:val="0"/>
              <w:keepLines w:val="0"/>
              <w:suppressLineNumbers w:val="0"/>
              <w:spacing w:before="0" w:beforeAutospacing="0" w:after="0" w:afterAutospacing="0"/>
              <w:ind w:left="0" w:right="0"/>
              <w:rPr>
                <w:rFonts w:hint="eastAsia"/>
                <w:color w:val="auto"/>
                <w:highlight w:val="none"/>
              </w:rPr>
            </w:pPr>
            <w:r>
              <w:rPr>
                <w:rFonts w:hint="eastAsia"/>
                <w:color w:val="auto"/>
                <w:highlight w:val="none"/>
              </w:rPr>
              <w:t>3. 质保期后，设备终身维修及零配件及时供应，配件均给予优惠，终身维护。</w:t>
            </w:r>
          </w:p>
          <w:p w14:paraId="4A1C1E92">
            <w:pPr>
              <w:keepNext w:val="0"/>
              <w:keepLines w:val="0"/>
              <w:suppressLineNumbers w:val="0"/>
              <w:spacing w:before="0" w:beforeAutospacing="0" w:after="0" w:afterAutospacing="0"/>
              <w:ind w:left="0" w:right="0"/>
              <w:rPr>
                <w:rFonts w:hint="eastAsia" w:ascii="宋体" w:hAnsi="宋体" w:eastAsia="宋体" w:cs="宋体"/>
                <w:color w:val="auto"/>
                <w:kern w:val="2"/>
                <w:sz w:val="21"/>
                <w:szCs w:val="21"/>
                <w:highlight w:val="none"/>
                <w:lang w:val="en-US" w:eastAsia="zh-CN" w:bidi="ar-SA"/>
              </w:rPr>
            </w:pPr>
            <w:r>
              <w:rPr>
                <w:rFonts w:hint="eastAsia"/>
                <w:color w:val="auto"/>
                <w:highlight w:val="none"/>
              </w:rPr>
              <w:t>4. 第19项产品“AI医学检验数字切片分类计数与分析软件”提供终身免费升级服务。</w:t>
            </w:r>
          </w:p>
        </w:tc>
      </w:tr>
      <w:tr w14:paraId="6C8572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4A604CCD">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3</w:t>
            </w:r>
          </w:p>
        </w:tc>
        <w:tc>
          <w:tcPr>
            <w:tcW w:w="1119" w:type="dxa"/>
            <w:tcBorders>
              <w:left w:val="nil"/>
              <w:right w:val="single" w:color="000000" w:sz="4" w:space="0"/>
            </w:tcBorders>
            <w:shd w:val="clear" w:color="auto" w:fill="auto"/>
            <w:vAlign w:val="center"/>
          </w:tcPr>
          <w:p w14:paraId="4BA72DB9">
            <w:pPr>
              <w:keepNext w:val="0"/>
              <w:keepLines w:val="0"/>
              <w:suppressLineNumbers w:val="0"/>
              <w:snapToGrid w:val="0"/>
              <w:spacing w:before="0" w:beforeAutospacing="0" w:after="0" w:afterAutospacing="0" w:line="400" w:lineRule="exact"/>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投标</w:t>
            </w:r>
            <w:r>
              <w:rPr>
                <w:rFonts w:hint="eastAsia" w:ascii="宋体" w:hAnsi="宋体" w:eastAsia="宋体" w:cs="宋体"/>
                <w:color w:val="auto"/>
                <w:sz w:val="21"/>
                <w:szCs w:val="21"/>
                <w:highlight w:val="none"/>
              </w:rPr>
              <w:t>报价</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2F4D6B06">
            <w:pPr>
              <w:pStyle w:val="14"/>
              <w:keepNext w:val="0"/>
              <w:keepLines w:val="0"/>
              <w:suppressLineNumbers w:val="0"/>
              <w:snapToGrid w:val="0"/>
              <w:spacing w:before="0" w:beforeAutospacing="0" w:after="0" w:afterAutospacing="0" w:line="400" w:lineRule="exact"/>
              <w:ind w:left="0" w:leftChars="0" w:right="0" w:rightChars="0"/>
              <w:jc w:val="left"/>
              <w:rPr>
                <w:rFonts w:hint="eastAsia" w:ascii="宋体" w:hAnsi="宋体" w:eastAsia="宋体" w:cs="宋体"/>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投标报价包括</w:t>
            </w:r>
            <w:r>
              <w:rPr>
                <w:rFonts w:hint="eastAsia" w:ascii="Times New Roman" w:hAnsi="Times New Roman" w:cs="Times New Roman"/>
                <w:color w:val="auto"/>
                <w:szCs w:val="21"/>
                <w:highlight w:val="none"/>
                <w:lang w:val="en-US" w:eastAsia="zh-CN"/>
              </w:rPr>
              <w:t>设备</w:t>
            </w:r>
            <w:r>
              <w:rPr>
                <w:rFonts w:hint="eastAsia" w:ascii="Times New Roman" w:hAnsi="Times New Roman" w:eastAsia="宋体" w:cs="Times New Roman"/>
                <w:color w:val="auto"/>
                <w:szCs w:val="21"/>
                <w:highlight w:val="none"/>
                <w:lang w:val="en-US" w:eastAsia="zh-CN"/>
              </w:rPr>
              <w:t>货款、</w:t>
            </w:r>
            <w:r>
              <w:rPr>
                <w:rFonts w:hint="eastAsia" w:ascii="Times New Roman" w:hAnsi="Times New Roman" w:cs="Times New Roman"/>
                <w:color w:val="auto"/>
                <w:szCs w:val="21"/>
                <w:highlight w:val="none"/>
                <w:lang w:val="en-US" w:eastAsia="zh-CN"/>
              </w:rPr>
              <w:t>服务、</w:t>
            </w:r>
            <w:r>
              <w:rPr>
                <w:rFonts w:hint="eastAsia" w:ascii="Times New Roman" w:hAnsi="Times New Roman" w:eastAsia="宋体" w:cs="Times New Roman"/>
                <w:color w:val="auto"/>
                <w:szCs w:val="21"/>
                <w:highlight w:val="none"/>
                <w:lang w:val="en-US" w:eastAsia="zh-CN"/>
              </w:rPr>
              <w:t>随配附件、备品备件、专用工具、包装、运输、装卸、保险、运抵指定交货地点、送货上门服务、现场安装调试、包装箱清理、保修、售后服务、</w:t>
            </w:r>
            <w:r>
              <w:rPr>
                <w:rFonts w:hint="eastAsia" w:ascii="宋体" w:hAnsi="宋体" w:cs="宋体"/>
                <w:color w:val="auto"/>
                <w:szCs w:val="21"/>
                <w:highlight w:val="none"/>
              </w:rPr>
              <w:t>系统升级和维护</w:t>
            </w:r>
            <w:r>
              <w:rPr>
                <w:rFonts w:hint="eastAsia" w:ascii="宋体" w:hAnsi="宋体" w:cs="宋体"/>
                <w:color w:val="auto"/>
                <w:szCs w:val="21"/>
                <w:highlight w:val="none"/>
                <w:lang w:eastAsia="zh-CN"/>
              </w:rPr>
              <w:t>、</w:t>
            </w:r>
            <w:r>
              <w:rPr>
                <w:rFonts w:hint="eastAsia" w:ascii="Times New Roman" w:hAnsi="Times New Roman" w:eastAsia="宋体" w:cs="Times New Roman"/>
                <w:color w:val="auto"/>
                <w:szCs w:val="21"/>
                <w:highlight w:val="none"/>
                <w:lang w:val="en-US" w:eastAsia="zh-CN"/>
              </w:rPr>
              <w:t>培训、</w:t>
            </w:r>
            <w:r>
              <w:rPr>
                <w:rFonts w:hint="eastAsia" w:ascii="Times New Roman" w:hAnsi="Times New Roman" w:cs="Times New Roman"/>
                <w:color w:val="auto"/>
                <w:szCs w:val="21"/>
                <w:highlight w:val="none"/>
                <w:lang w:val="en-US" w:eastAsia="zh-CN"/>
              </w:rPr>
              <w:t>验收、</w:t>
            </w:r>
            <w:r>
              <w:rPr>
                <w:rFonts w:hint="eastAsia" w:ascii="Times New Roman" w:hAnsi="Times New Roman" w:eastAsia="宋体" w:cs="Times New Roman"/>
                <w:color w:val="auto"/>
                <w:szCs w:val="21"/>
                <w:highlight w:val="none"/>
                <w:lang w:val="en-US" w:eastAsia="zh-CN"/>
              </w:rPr>
              <w:t>税金</w:t>
            </w:r>
            <w:r>
              <w:rPr>
                <w:rFonts w:hint="eastAsia" w:ascii="宋体" w:hAnsi="宋体" w:cs="宋体"/>
                <w:color w:val="auto"/>
                <w:szCs w:val="21"/>
                <w:highlight w:val="none"/>
              </w:rPr>
              <w:t>等直至设备运行交付使用的一切费用，</w:t>
            </w:r>
            <w:r>
              <w:rPr>
                <w:rFonts w:hint="eastAsia" w:ascii="宋体" w:hAnsi="宋体" w:cs="宋体"/>
                <w:color w:val="auto"/>
                <w:szCs w:val="21"/>
                <w:highlight w:val="none"/>
                <w:lang w:val="en-US" w:eastAsia="zh-CN"/>
              </w:rPr>
              <w:t>投标人</w:t>
            </w:r>
            <w:r>
              <w:rPr>
                <w:rFonts w:hint="eastAsia" w:ascii="宋体" w:hAnsi="宋体" w:cs="宋体"/>
                <w:color w:val="auto"/>
                <w:szCs w:val="21"/>
                <w:highlight w:val="none"/>
              </w:rPr>
              <w:t>不得以任何理由要求采购人另行支付其他任何费用</w:t>
            </w:r>
            <w:r>
              <w:rPr>
                <w:rFonts w:hint="eastAsia" w:ascii="Times New Roman" w:hAnsi="Times New Roman" w:eastAsia="宋体" w:cs="Times New Roman"/>
                <w:color w:val="auto"/>
                <w:szCs w:val="21"/>
                <w:highlight w:val="none"/>
                <w:lang w:val="en-US" w:eastAsia="zh-CN"/>
              </w:rPr>
              <w:t xml:space="preserve">。 </w:t>
            </w:r>
          </w:p>
        </w:tc>
      </w:tr>
      <w:tr w14:paraId="2FE036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7C243704">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4</w:t>
            </w:r>
          </w:p>
        </w:tc>
        <w:tc>
          <w:tcPr>
            <w:tcW w:w="1119" w:type="dxa"/>
            <w:tcBorders>
              <w:left w:val="nil"/>
              <w:right w:val="single" w:color="000000" w:sz="4" w:space="0"/>
            </w:tcBorders>
            <w:shd w:val="clear" w:color="auto" w:fill="auto"/>
            <w:vAlign w:val="center"/>
          </w:tcPr>
          <w:p w14:paraId="3136914C">
            <w:pPr>
              <w:keepNext w:val="0"/>
              <w:keepLines w:val="0"/>
              <w:suppressLineNumbers w:val="0"/>
              <w:snapToGrid w:val="0"/>
              <w:spacing w:before="0" w:beforeAutospacing="0" w:after="0" w:afterAutospacing="0" w:line="400" w:lineRule="exact"/>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▲交货时间及地点</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3B223A06">
            <w:pPr>
              <w:pStyle w:val="14"/>
              <w:keepNext w:val="0"/>
              <w:keepLines w:val="0"/>
              <w:suppressLineNumbers w:val="0"/>
              <w:snapToGrid w:val="0"/>
              <w:spacing w:before="0" w:beforeAutospacing="0" w:after="0" w:afterAutospacing="0" w:line="400" w:lineRule="exact"/>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1.交货时间：自签订合同之日起</w:t>
            </w:r>
            <w:r>
              <w:rPr>
                <w:rFonts w:hint="eastAsia" w:hAnsi="宋体" w:cs="宋体"/>
                <w:color w:val="auto"/>
                <w:sz w:val="21"/>
                <w:szCs w:val="21"/>
                <w:highlight w:val="none"/>
                <w:lang w:val="en-US" w:eastAsia="zh-CN"/>
              </w:rPr>
              <w:t>45</w:t>
            </w:r>
            <w:r>
              <w:rPr>
                <w:rFonts w:hint="eastAsia" w:ascii="宋体" w:hAnsi="宋体" w:eastAsia="宋体" w:cs="宋体"/>
                <w:color w:val="auto"/>
                <w:sz w:val="21"/>
                <w:szCs w:val="21"/>
                <w:highlight w:val="none"/>
                <w:lang w:val="en-US" w:eastAsia="zh-CN"/>
              </w:rPr>
              <w:t>天内按采购人要求安装完毕并交付使用。</w:t>
            </w:r>
          </w:p>
          <w:p w14:paraId="4FEB2E28">
            <w:pPr>
              <w:pStyle w:val="14"/>
              <w:keepNext w:val="0"/>
              <w:keepLines w:val="0"/>
              <w:suppressLineNumbers w:val="0"/>
              <w:snapToGrid w:val="0"/>
              <w:spacing w:before="0" w:beforeAutospacing="0" w:after="0" w:afterAutospacing="0" w:line="400" w:lineRule="exact"/>
              <w:ind w:left="0" w:right="0"/>
              <w:jc w:val="left"/>
              <w:rPr>
                <w:rFonts w:hint="eastAsia" w:ascii="宋体"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.交货地点：</w:t>
            </w:r>
            <w:r>
              <w:rPr>
                <w:rFonts w:hint="eastAsia" w:hAnsi="宋体" w:cs="宋体"/>
                <w:color w:val="auto"/>
                <w:sz w:val="21"/>
                <w:szCs w:val="21"/>
                <w:highlight w:val="none"/>
                <w:lang w:val="en-US" w:eastAsia="zh-CN"/>
              </w:rPr>
              <w:t>百色市内</w:t>
            </w:r>
            <w:r>
              <w:rPr>
                <w:rFonts w:hint="eastAsia" w:ascii="宋体" w:hAnsi="宋体" w:eastAsia="宋体" w:cs="宋体"/>
                <w:color w:val="auto"/>
                <w:sz w:val="21"/>
                <w:szCs w:val="21"/>
                <w:highlight w:val="none"/>
                <w:lang w:val="en-US" w:eastAsia="zh-CN"/>
              </w:rPr>
              <w:t>（采购人指定地点）。</w:t>
            </w:r>
          </w:p>
          <w:p w14:paraId="6E86BCA0">
            <w:pPr>
              <w:keepNext w:val="0"/>
              <w:keepLines w:val="0"/>
              <w:suppressLineNumbers w:val="0"/>
              <w:spacing w:before="0" w:beforeAutospacing="0" w:after="0" w:afterAutospacing="0"/>
              <w:ind w:left="0" w:right="0"/>
              <w:rPr>
                <w:rFonts w:hint="eastAsia"/>
                <w:color w:val="auto"/>
                <w:highlight w:val="none"/>
                <w:lang w:val="en-US" w:eastAsia="zh-CN"/>
              </w:rPr>
            </w:pPr>
            <w:r>
              <w:rPr>
                <w:rFonts w:hint="eastAsia" w:ascii="宋体" w:hAnsi="宋体" w:eastAsia="宋体" w:cs="宋体"/>
                <w:color w:val="auto"/>
                <w:sz w:val="21"/>
                <w:szCs w:val="21"/>
                <w:highlight w:val="none"/>
                <w:lang w:val="en-US" w:eastAsia="zh-CN"/>
              </w:rPr>
              <w:t>3.交货内容包括：设备整机、配件、出厂随配耗材等</w:t>
            </w:r>
            <w:r>
              <w:rPr>
                <w:rFonts w:hint="eastAsia"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产品检测报告或说明书、产品合格证或质量证书、保修单等。上述文件资料应随货物一并提供。</w:t>
            </w:r>
          </w:p>
        </w:tc>
      </w:tr>
      <w:tr w14:paraId="1C2605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7EA04713">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5</w:t>
            </w:r>
          </w:p>
        </w:tc>
        <w:tc>
          <w:tcPr>
            <w:tcW w:w="1119" w:type="dxa"/>
            <w:tcBorders>
              <w:left w:val="nil"/>
              <w:right w:val="single" w:color="000000" w:sz="4" w:space="0"/>
            </w:tcBorders>
            <w:shd w:val="clear" w:color="auto" w:fill="auto"/>
            <w:vAlign w:val="center"/>
          </w:tcPr>
          <w:p w14:paraId="0E48578A">
            <w:pPr>
              <w:keepNext w:val="0"/>
              <w:keepLines w:val="0"/>
              <w:suppressLineNumbers w:val="0"/>
              <w:spacing w:before="0" w:beforeAutospacing="0" w:after="0" w:afterAutospacing="0" w:line="360" w:lineRule="exact"/>
              <w:ind w:left="0" w:right="0"/>
              <w:jc w:val="center"/>
              <w:rPr>
                <w:rFonts w:hint="eastAsia" w:ascii="宋体" w:hAnsi="宋体" w:eastAsia="宋体" w:cs="Times New Roman"/>
                <w:b/>
                <w:color w:val="auto"/>
                <w:kern w:val="2"/>
                <w:sz w:val="21"/>
                <w:szCs w:val="21"/>
                <w:highlight w:val="none"/>
                <w:lang w:val="en-US" w:eastAsia="zh-CN" w:bidi="ar-SA"/>
              </w:rPr>
            </w:pPr>
            <w:r>
              <w:rPr>
                <w:rFonts w:hint="eastAsia" w:ascii="宋体" w:hAnsi="宋体"/>
                <w:b w:val="0"/>
                <w:bCs/>
                <w:color w:val="auto"/>
                <w:szCs w:val="21"/>
                <w:highlight w:val="none"/>
              </w:rPr>
              <w:t>包装和运输</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29FCE428">
            <w:pPr>
              <w:keepNext w:val="0"/>
              <w:keepLines w:val="0"/>
              <w:suppressLineNumbers w:val="0"/>
              <w:spacing w:before="0" w:beforeAutospacing="0" w:after="0" w:afterAutospacing="0" w:line="360" w:lineRule="exact"/>
              <w:ind w:left="0" w:right="0"/>
              <w:rPr>
                <w:rFonts w:ascii="宋体" w:hAnsi="宋体"/>
                <w:color w:val="auto"/>
                <w:szCs w:val="21"/>
                <w:highlight w:val="none"/>
              </w:rPr>
            </w:pPr>
            <w:r>
              <w:rPr>
                <w:rFonts w:hint="eastAsia" w:ascii="宋体" w:hAnsi="宋体"/>
                <w:color w:val="auto"/>
                <w:szCs w:val="21"/>
                <w:highlight w:val="none"/>
              </w:rPr>
              <w:t>1.</w:t>
            </w:r>
            <w:r>
              <w:rPr>
                <w:rFonts w:hint="eastAsia"/>
                <w:color w:val="auto"/>
                <w:highlight w:val="none"/>
                <w:lang w:val="en-US" w:eastAsia="zh-CN"/>
              </w:rPr>
              <w:t>设备须为</w:t>
            </w:r>
            <w:r>
              <w:rPr>
                <w:rFonts w:hint="eastAsia" w:ascii="宋体" w:hAnsi="宋体"/>
                <w:color w:val="auto"/>
                <w:szCs w:val="21"/>
                <w:highlight w:val="none"/>
              </w:rPr>
              <w:t>原厂原包装，包装完好完整、无破损、未开封。</w:t>
            </w:r>
          </w:p>
          <w:p w14:paraId="006CB75E">
            <w:pPr>
              <w:keepNext w:val="0"/>
              <w:keepLines w:val="0"/>
              <w:suppressLineNumbers w:val="0"/>
              <w:spacing w:before="0" w:beforeAutospacing="0" w:after="0" w:afterAutospacing="0" w:line="360" w:lineRule="exact"/>
              <w:ind w:left="0" w:right="0"/>
              <w:rPr>
                <w:rFonts w:ascii="宋体" w:hAnsi="宋体"/>
                <w:color w:val="auto"/>
                <w:szCs w:val="21"/>
                <w:highlight w:val="none"/>
              </w:rPr>
            </w:pPr>
            <w:r>
              <w:rPr>
                <w:rFonts w:hint="eastAsia" w:ascii="宋体" w:hAnsi="宋体"/>
                <w:color w:val="auto"/>
                <w:szCs w:val="21"/>
                <w:highlight w:val="none"/>
              </w:rPr>
              <w:t>2.包装及运输方式应综合考虑运输距离、防潮、防震、防锈和防破损装卸等要求。</w:t>
            </w:r>
          </w:p>
          <w:p w14:paraId="7C6688E0">
            <w:pPr>
              <w:keepNext w:val="0"/>
              <w:keepLines w:val="0"/>
              <w:suppressLineNumbers w:val="0"/>
              <w:spacing w:before="0" w:beforeAutospacing="0" w:after="0" w:afterAutospacing="0" w:line="360" w:lineRule="exact"/>
              <w:ind w:left="0" w:right="0"/>
              <w:rPr>
                <w:rFonts w:hint="eastAsia" w:ascii="宋体" w:hAnsi="宋体"/>
                <w:color w:val="auto"/>
                <w:szCs w:val="21"/>
                <w:highlight w:val="none"/>
              </w:rPr>
            </w:pPr>
            <w:r>
              <w:rPr>
                <w:rFonts w:hint="eastAsia" w:ascii="宋体" w:hAnsi="宋体"/>
                <w:color w:val="auto"/>
                <w:szCs w:val="21"/>
                <w:highlight w:val="none"/>
              </w:rPr>
              <w:t>3.国家对包装及运输有相关强制性标准或要求的，</w:t>
            </w:r>
            <w:r>
              <w:rPr>
                <w:rFonts w:hint="eastAsia" w:ascii="宋体" w:hAnsi="宋体"/>
                <w:color w:val="auto"/>
                <w:szCs w:val="21"/>
                <w:highlight w:val="none"/>
                <w:lang w:val="en-US" w:eastAsia="zh-CN"/>
              </w:rPr>
              <w:t>投标人</w:t>
            </w:r>
            <w:r>
              <w:rPr>
                <w:rFonts w:hint="eastAsia" w:ascii="宋体" w:hAnsi="宋体"/>
                <w:color w:val="auto"/>
                <w:szCs w:val="21"/>
                <w:highlight w:val="none"/>
              </w:rPr>
              <w:t>应当执行。根据《财政部等三部门联合印发商品包装和快递包装政府采购需求标准（试行）》财办库</w:t>
            </w:r>
            <w:r>
              <w:rPr>
                <w:rFonts w:hint="eastAsia" w:ascii="宋体" w:hAnsi="宋体" w:cs="宋体"/>
                <w:color w:val="auto"/>
                <w:szCs w:val="21"/>
                <w:highlight w:val="none"/>
              </w:rPr>
              <w:t>〔</w:t>
            </w:r>
            <w:r>
              <w:rPr>
                <w:rFonts w:hint="eastAsia" w:ascii="宋体" w:hAnsi="宋体"/>
                <w:color w:val="auto"/>
                <w:szCs w:val="21"/>
                <w:highlight w:val="none"/>
              </w:rPr>
              <w:t>2020</w:t>
            </w:r>
            <w:r>
              <w:rPr>
                <w:rFonts w:hint="eastAsia" w:ascii="宋体" w:hAnsi="宋体" w:cs="宋体"/>
                <w:color w:val="auto"/>
                <w:szCs w:val="21"/>
                <w:highlight w:val="none"/>
              </w:rPr>
              <w:t>〕</w:t>
            </w:r>
            <w:r>
              <w:rPr>
                <w:rFonts w:hint="eastAsia" w:ascii="宋体" w:hAnsi="宋体"/>
                <w:color w:val="auto"/>
                <w:szCs w:val="21"/>
                <w:highlight w:val="none"/>
              </w:rPr>
              <w:t>123号文规定，若</w:t>
            </w:r>
            <w:r>
              <w:rPr>
                <w:rFonts w:hint="eastAsia" w:ascii="宋体" w:hAnsi="宋体"/>
                <w:color w:val="auto"/>
                <w:szCs w:val="21"/>
                <w:highlight w:val="none"/>
                <w:lang w:val="en-US" w:eastAsia="zh-CN"/>
              </w:rPr>
              <w:t>投</w:t>
            </w:r>
            <w:r>
              <w:rPr>
                <w:rFonts w:hint="eastAsia" w:ascii="宋体" w:hAnsi="宋体"/>
                <w:color w:val="auto"/>
                <w:szCs w:val="21"/>
                <w:highlight w:val="none"/>
              </w:rPr>
              <w:t>标产品使用塑料、纸质、木质等包装材料时应满足《商品包装政府采购需求标准（试行）》要求，若</w:t>
            </w:r>
            <w:r>
              <w:rPr>
                <w:rFonts w:hint="eastAsia" w:ascii="宋体" w:hAnsi="宋体"/>
                <w:color w:val="auto"/>
                <w:szCs w:val="21"/>
                <w:highlight w:val="none"/>
                <w:lang w:val="en-US" w:eastAsia="zh-CN"/>
              </w:rPr>
              <w:t>投</w:t>
            </w:r>
            <w:r>
              <w:rPr>
                <w:rFonts w:hint="eastAsia" w:ascii="宋体" w:hAnsi="宋体"/>
                <w:color w:val="auto"/>
                <w:szCs w:val="21"/>
                <w:highlight w:val="none"/>
              </w:rPr>
              <w:t>标产品需要快递包装，快递封装材料应满足《快递包装政府采购需求标准（试行）》要求。</w:t>
            </w:r>
          </w:p>
          <w:p w14:paraId="50CAAC4D">
            <w:pPr>
              <w:keepNext w:val="0"/>
              <w:keepLines w:val="0"/>
              <w:suppressLineNumbers w:val="0"/>
              <w:spacing w:before="0" w:beforeAutospacing="0" w:after="0" w:afterAutospacing="0" w:line="360" w:lineRule="exact"/>
              <w:ind w:left="0" w:right="0"/>
              <w:rPr>
                <w:rFonts w:hint="eastAsia" w:ascii="宋体" w:hAnsi="宋体" w:eastAsia="宋体" w:cs="Times New Roman"/>
                <w:color w:val="auto"/>
                <w:kern w:val="2"/>
                <w:sz w:val="21"/>
                <w:szCs w:val="21"/>
                <w:highlight w:val="none"/>
                <w:lang w:val="en-US" w:eastAsia="zh-CN" w:bidi="ar-SA"/>
              </w:rPr>
            </w:pPr>
            <w:r>
              <w:rPr>
                <w:rFonts w:hint="eastAsia" w:ascii="宋体" w:hAnsi="宋体"/>
                <w:color w:val="auto"/>
                <w:szCs w:val="21"/>
                <w:highlight w:val="none"/>
              </w:rPr>
              <w:t>4.产品（含包装）运抵采购人指定交付地点前发生损坏等一切风险，相关损失由</w:t>
            </w:r>
            <w:r>
              <w:rPr>
                <w:rFonts w:hint="eastAsia" w:ascii="宋体" w:hAnsi="宋体"/>
                <w:color w:val="auto"/>
                <w:szCs w:val="21"/>
                <w:highlight w:val="none"/>
                <w:lang w:val="en-US" w:eastAsia="zh-CN"/>
              </w:rPr>
              <w:t>中标人</w:t>
            </w:r>
            <w:r>
              <w:rPr>
                <w:rFonts w:hint="eastAsia" w:ascii="宋体" w:hAnsi="宋体"/>
                <w:color w:val="auto"/>
                <w:szCs w:val="21"/>
                <w:highlight w:val="none"/>
              </w:rPr>
              <w:t>自行承担。</w:t>
            </w:r>
          </w:p>
        </w:tc>
      </w:tr>
      <w:tr w14:paraId="725664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3DA18342">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6</w:t>
            </w:r>
          </w:p>
        </w:tc>
        <w:tc>
          <w:tcPr>
            <w:tcW w:w="1119" w:type="dxa"/>
            <w:tcBorders>
              <w:left w:val="nil"/>
              <w:right w:val="single" w:color="000000" w:sz="4" w:space="0"/>
            </w:tcBorders>
            <w:shd w:val="clear" w:color="auto" w:fill="auto"/>
            <w:vAlign w:val="center"/>
          </w:tcPr>
          <w:p w14:paraId="3BC0C814">
            <w:pPr>
              <w:keepNext w:val="0"/>
              <w:keepLines w:val="0"/>
              <w:suppressLineNumbers w:val="0"/>
              <w:snapToGrid w:val="0"/>
              <w:spacing w:before="0" w:beforeAutospacing="0" w:after="0" w:afterAutospacing="0" w:line="360" w:lineRule="auto"/>
              <w:ind w:left="0" w:leftChars="0" w:right="0" w:rightChars="0"/>
              <w:jc w:val="center"/>
              <w:outlineLvl w:val="0"/>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rPr>
              <w:t>验收</w:t>
            </w:r>
            <w:r>
              <w:rPr>
                <w:rFonts w:hint="eastAsia" w:ascii="宋体" w:hAnsi="宋体" w:eastAsia="宋体" w:cs="宋体"/>
                <w:bCs/>
                <w:color w:val="auto"/>
                <w:kern w:val="0"/>
                <w:sz w:val="21"/>
                <w:szCs w:val="21"/>
                <w:highlight w:val="none"/>
                <w:lang w:eastAsia="zh-CN"/>
              </w:rPr>
              <w:t>依据、标准、验收程序</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2B44E2E5">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验收主体：采购</w:t>
            </w:r>
            <w:r>
              <w:rPr>
                <w:rFonts w:hint="eastAsia" w:ascii="宋体" w:hAnsi="宋体" w:eastAsia="宋体" w:cs="宋体"/>
                <w:color w:val="auto"/>
                <w:sz w:val="21"/>
                <w:szCs w:val="21"/>
                <w:highlight w:val="none"/>
                <w:lang w:eastAsia="zh-CN"/>
              </w:rPr>
              <w:t>人</w:t>
            </w:r>
            <w:r>
              <w:rPr>
                <w:rFonts w:hint="eastAsia" w:ascii="宋体" w:hAnsi="宋体" w:eastAsia="宋体" w:cs="宋体"/>
                <w:color w:val="auto"/>
                <w:sz w:val="21"/>
                <w:szCs w:val="21"/>
                <w:highlight w:val="none"/>
              </w:rPr>
              <w:t>。</w:t>
            </w:r>
          </w:p>
          <w:p w14:paraId="34C22F26">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验收时间</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自设备到货</w:t>
            </w:r>
            <w:r>
              <w:rPr>
                <w:rFonts w:hint="eastAsia" w:ascii="宋体" w:hAnsi="宋体" w:eastAsia="宋体" w:cs="宋体"/>
                <w:color w:val="auto"/>
                <w:sz w:val="21"/>
                <w:szCs w:val="21"/>
                <w:highlight w:val="none"/>
                <w:lang w:eastAsia="zh-CN"/>
              </w:rPr>
              <w:t>、安装调试完成</w:t>
            </w:r>
            <w:r>
              <w:rPr>
                <w:color w:val="auto"/>
                <w:szCs w:val="21"/>
                <w:highlight w:val="none"/>
              </w:rPr>
              <w:t>后，采购人自行组织项目验收</w:t>
            </w:r>
            <w:r>
              <w:rPr>
                <w:rFonts w:hint="eastAsia" w:ascii="宋体" w:hAnsi="宋体" w:eastAsia="宋体" w:cs="宋体"/>
                <w:color w:val="auto"/>
                <w:sz w:val="21"/>
                <w:szCs w:val="21"/>
                <w:highlight w:val="none"/>
              </w:rPr>
              <w:t>。</w:t>
            </w:r>
          </w:p>
          <w:p w14:paraId="1489A6F6">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验收</w:t>
            </w:r>
            <w:r>
              <w:rPr>
                <w:rFonts w:hint="eastAsia" w:ascii="宋体" w:hAnsi="宋体" w:eastAsia="宋体" w:cs="宋体"/>
                <w:color w:val="auto"/>
                <w:sz w:val="21"/>
                <w:szCs w:val="21"/>
                <w:highlight w:val="none"/>
                <w:lang w:eastAsia="zh-CN"/>
              </w:rPr>
              <w:t>依据</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国家、行业标准、招标文件采购需求、投标文件承诺。</w:t>
            </w:r>
          </w:p>
          <w:p w14:paraId="34D766C9">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4.验收</w:t>
            </w:r>
            <w:r>
              <w:rPr>
                <w:rFonts w:hint="eastAsia" w:ascii="宋体" w:hAnsi="宋体" w:eastAsia="宋体" w:cs="宋体"/>
                <w:color w:val="auto"/>
                <w:sz w:val="21"/>
                <w:szCs w:val="21"/>
                <w:highlight w:val="none"/>
                <w:lang w:eastAsia="zh-CN"/>
              </w:rPr>
              <w:t>标准</w:t>
            </w:r>
            <w:r>
              <w:rPr>
                <w:rFonts w:hint="eastAsia" w:ascii="宋体" w:hAnsi="宋体" w:cs="宋体"/>
                <w:color w:val="auto"/>
                <w:sz w:val="21"/>
                <w:szCs w:val="21"/>
                <w:highlight w:val="none"/>
                <w:lang w:eastAsia="zh-CN"/>
              </w:rPr>
              <w:t>：</w:t>
            </w:r>
            <w:r>
              <w:rPr>
                <w:rStyle w:val="55"/>
                <w:rFonts w:ascii="宋体" w:hAnsi="宋体"/>
                <w:color w:val="auto"/>
                <w:szCs w:val="21"/>
                <w:highlight w:val="none"/>
              </w:rPr>
              <w:t>设备符合国家相关标准及制造厂家合格产品的出厂质量标准。</w:t>
            </w:r>
            <w:r>
              <w:rPr>
                <w:rStyle w:val="55"/>
                <w:rFonts w:hint="eastAsia" w:ascii="宋体" w:hAnsi="宋体"/>
                <w:color w:val="auto"/>
                <w:szCs w:val="21"/>
                <w:highlight w:val="none"/>
              </w:rPr>
              <w:t>本项目执行国家相关标准、行业标准、地方标准或者其他标准、规范。如具体采购需求与标准、规范不一致的，高于标准、规范的按具体采购需求执行；低于标准、规范的按标准、规范执行。</w:t>
            </w:r>
            <w:r>
              <w:rPr>
                <w:rStyle w:val="55"/>
                <w:rFonts w:hint="eastAsia" w:ascii="宋体" w:hAnsi="宋体"/>
                <w:color w:val="auto"/>
                <w:szCs w:val="21"/>
                <w:highlight w:val="none"/>
                <w:lang w:val="en-US" w:eastAsia="zh-CN"/>
              </w:rPr>
              <w:t>中标人</w:t>
            </w:r>
            <w:r>
              <w:rPr>
                <w:rFonts w:hint="eastAsia" w:ascii="宋体" w:hAnsi="宋体"/>
                <w:color w:val="auto"/>
                <w:szCs w:val="21"/>
                <w:highlight w:val="none"/>
              </w:rPr>
              <w:t>所提供的产品必须是全新、完好、无破损、未经使用的原装产品，并且实质性满足本项目</w:t>
            </w:r>
            <w:r>
              <w:rPr>
                <w:rFonts w:hint="eastAsia" w:ascii="宋体" w:hAnsi="宋体"/>
                <w:color w:val="auto"/>
                <w:szCs w:val="21"/>
                <w:highlight w:val="none"/>
                <w:lang w:val="en-US" w:eastAsia="zh-CN"/>
              </w:rPr>
              <w:t>招标</w:t>
            </w:r>
            <w:r>
              <w:rPr>
                <w:rFonts w:hint="eastAsia" w:ascii="宋体" w:hAnsi="宋体"/>
                <w:color w:val="auto"/>
                <w:szCs w:val="21"/>
                <w:highlight w:val="none"/>
              </w:rPr>
              <w:t>文件的所有技术要求。产品在正常安装、使用和保养条件下，其使用寿命期内各项指标均达到质量要求。</w:t>
            </w:r>
          </w:p>
          <w:p w14:paraId="1273E30C">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履约验收程序</w:t>
            </w:r>
            <w:r>
              <w:rPr>
                <w:rFonts w:hint="eastAsia" w:ascii="宋体" w:hAnsi="宋体" w:eastAsia="宋体" w:cs="宋体"/>
                <w:color w:val="auto"/>
                <w:sz w:val="21"/>
                <w:szCs w:val="21"/>
                <w:highlight w:val="none"/>
                <w:lang w:eastAsia="zh-CN"/>
              </w:rPr>
              <w:t>：</w:t>
            </w:r>
          </w:p>
          <w:p w14:paraId="16BEE8BF">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A.成立验收小组：采购</w:t>
            </w:r>
            <w:r>
              <w:rPr>
                <w:rFonts w:hint="eastAsia" w:ascii="宋体" w:hAnsi="宋体" w:eastAsia="宋体" w:cs="宋体"/>
                <w:color w:val="auto"/>
                <w:sz w:val="21"/>
                <w:szCs w:val="21"/>
                <w:highlight w:val="none"/>
                <w:lang w:eastAsia="zh-CN"/>
              </w:rPr>
              <w:t>人</w:t>
            </w:r>
            <w:r>
              <w:rPr>
                <w:rFonts w:hint="eastAsia" w:ascii="宋体" w:hAnsi="宋体" w:eastAsia="宋体" w:cs="宋体"/>
                <w:color w:val="auto"/>
                <w:sz w:val="21"/>
                <w:szCs w:val="21"/>
                <w:highlight w:val="none"/>
              </w:rPr>
              <w:t>代表成立验收小组。</w:t>
            </w:r>
          </w:p>
          <w:p w14:paraId="072EB2D1">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B.开箱验收：</w:t>
            </w:r>
          </w:p>
          <w:p w14:paraId="7B6F50C2">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)由采购</w:t>
            </w:r>
            <w:r>
              <w:rPr>
                <w:rFonts w:hint="eastAsia" w:ascii="宋体" w:hAnsi="宋体" w:eastAsia="宋体" w:cs="宋体"/>
                <w:color w:val="auto"/>
                <w:sz w:val="21"/>
                <w:szCs w:val="21"/>
                <w:highlight w:val="none"/>
                <w:lang w:eastAsia="zh-CN"/>
              </w:rPr>
              <w:t>人</w:t>
            </w:r>
            <w:r>
              <w:rPr>
                <w:rFonts w:hint="eastAsia" w:ascii="宋体" w:hAnsi="宋体" w:eastAsia="宋体" w:cs="宋体"/>
                <w:color w:val="auto"/>
                <w:sz w:val="21"/>
                <w:szCs w:val="21"/>
                <w:highlight w:val="none"/>
              </w:rPr>
              <w:t>代表及</w:t>
            </w:r>
            <w:r>
              <w:rPr>
                <w:rFonts w:hint="eastAsia" w:ascii="宋体" w:hAnsi="宋体" w:eastAsia="宋体" w:cs="宋体"/>
                <w:color w:val="auto"/>
                <w:sz w:val="21"/>
                <w:szCs w:val="21"/>
                <w:highlight w:val="none"/>
                <w:lang w:eastAsia="zh-CN"/>
              </w:rPr>
              <w:t>中标人代表双方当场</w:t>
            </w:r>
            <w:r>
              <w:rPr>
                <w:rFonts w:hint="eastAsia" w:ascii="宋体" w:hAnsi="宋体" w:eastAsia="宋体" w:cs="宋体"/>
                <w:color w:val="auto"/>
                <w:sz w:val="21"/>
                <w:szCs w:val="21"/>
                <w:highlight w:val="none"/>
              </w:rPr>
              <w:t>进行开箱验收。检查其外包装是否完好无损，并对设备数量</w:t>
            </w:r>
            <w:r>
              <w:rPr>
                <w:rFonts w:hint="eastAsia" w:ascii="宋体" w:hAnsi="宋体" w:eastAsia="宋体" w:cs="宋体"/>
                <w:color w:val="auto"/>
                <w:sz w:val="21"/>
                <w:szCs w:val="21"/>
                <w:highlight w:val="none"/>
                <w:lang w:eastAsia="zh-CN"/>
              </w:rPr>
              <w:t>、外观</w:t>
            </w:r>
            <w:r>
              <w:rPr>
                <w:rFonts w:hint="eastAsia" w:ascii="宋体" w:hAnsi="宋体" w:eastAsia="宋体" w:cs="宋体"/>
                <w:color w:val="auto"/>
                <w:sz w:val="21"/>
                <w:szCs w:val="21"/>
                <w:highlight w:val="none"/>
              </w:rPr>
              <w:t>进行</w:t>
            </w:r>
            <w:r>
              <w:rPr>
                <w:rFonts w:hint="eastAsia" w:ascii="宋体" w:hAnsi="宋体" w:eastAsia="宋体" w:cs="宋体"/>
                <w:color w:val="auto"/>
                <w:sz w:val="21"/>
                <w:szCs w:val="21"/>
                <w:highlight w:val="none"/>
                <w:lang w:eastAsia="zh-CN"/>
              </w:rPr>
              <w:t>初步</w:t>
            </w:r>
            <w:r>
              <w:rPr>
                <w:rFonts w:hint="eastAsia" w:ascii="宋体" w:hAnsi="宋体" w:eastAsia="宋体" w:cs="宋体"/>
                <w:color w:val="auto"/>
                <w:sz w:val="21"/>
                <w:szCs w:val="21"/>
                <w:highlight w:val="none"/>
              </w:rPr>
              <w:t>核对，检查是否与合同一致，文档材料是否齐全。</w:t>
            </w:r>
          </w:p>
          <w:p w14:paraId="07B2C62F">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)如发现</w:t>
            </w:r>
            <w:r>
              <w:rPr>
                <w:rFonts w:hint="eastAsia" w:ascii="宋体" w:hAnsi="宋体" w:cs="宋体"/>
                <w:color w:val="auto"/>
                <w:sz w:val="21"/>
                <w:szCs w:val="21"/>
                <w:highlight w:val="none"/>
                <w:lang w:val="en-US" w:eastAsia="zh-CN"/>
              </w:rPr>
              <w:t>产品数量不对</w:t>
            </w:r>
            <w:r>
              <w:rPr>
                <w:rFonts w:hint="eastAsia" w:ascii="宋体" w:hAnsi="宋体" w:eastAsia="宋体" w:cs="宋体"/>
                <w:color w:val="auto"/>
                <w:sz w:val="21"/>
                <w:szCs w:val="21"/>
                <w:highlight w:val="none"/>
              </w:rPr>
              <w:t>、损坏或其他与合同约定不符的情况，由</w:t>
            </w:r>
            <w:r>
              <w:rPr>
                <w:rFonts w:hint="eastAsia" w:ascii="宋体" w:hAnsi="宋体" w:eastAsia="宋体" w:cs="宋体"/>
                <w:color w:val="auto"/>
                <w:sz w:val="21"/>
                <w:szCs w:val="21"/>
                <w:highlight w:val="none"/>
                <w:lang w:eastAsia="zh-CN"/>
              </w:rPr>
              <w:t>中标人</w:t>
            </w:r>
            <w:r>
              <w:rPr>
                <w:rFonts w:hint="eastAsia" w:ascii="宋体" w:hAnsi="宋体" w:eastAsia="宋体" w:cs="宋体"/>
                <w:color w:val="auto"/>
                <w:sz w:val="21"/>
                <w:szCs w:val="21"/>
                <w:highlight w:val="none"/>
              </w:rPr>
              <w:t>采取补齐、更换及其他补救措施，以确保仪器设备的正常安装调试。</w:t>
            </w:r>
          </w:p>
          <w:p w14:paraId="1D119C3B">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)开箱检验合格后，由采购</w:t>
            </w:r>
            <w:r>
              <w:rPr>
                <w:rFonts w:hint="eastAsia" w:ascii="宋体" w:hAnsi="宋体" w:eastAsia="宋体" w:cs="宋体"/>
                <w:color w:val="auto"/>
                <w:sz w:val="21"/>
                <w:szCs w:val="21"/>
                <w:highlight w:val="none"/>
                <w:lang w:eastAsia="zh-CN"/>
              </w:rPr>
              <w:t>人</w:t>
            </w:r>
            <w:r>
              <w:rPr>
                <w:rFonts w:hint="eastAsia" w:ascii="宋体" w:hAnsi="宋体" w:eastAsia="宋体" w:cs="宋体"/>
                <w:color w:val="auto"/>
                <w:sz w:val="21"/>
                <w:szCs w:val="21"/>
                <w:highlight w:val="none"/>
              </w:rPr>
              <w:t>代表及</w:t>
            </w:r>
            <w:r>
              <w:rPr>
                <w:rFonts w:hint="eastAsia" w:ascii="宋体" w:hAnsi="宋体" w:eastAsia="宋体" w:cs="宋体"/>
                <w:color w:val="auto"/>
                <w:sz w:val="21"/>
                <w:szCs w:val="21"/>
                <w:highlight w:val="none"/>
                <w:lang w:eastAsia="zh-CN"/>
              </w:rPr>
              <w:t>中标人代表双方</w:t>
            </w:r>
            <w:r>
              <w:rPr>
                <w:rFonts w:hint="eastAsia" w:ascii="宋体" w:hAnsi="宋体" w:eastAsia="宋体" w:cs="宋体"/>
                <w:color w:val="auto"/>
                <w:sz w:val="21"/>
                <w:szCs w:val="21"/>
                <w:highlight w:val="none"/>
              </w:rPr>
              <w:t>签署开箱检验验收书，开箱检验验收书应列明合同设备数量、</w:t>
            </w:r>
            <w:r>
              <w:rPr>
                <w:rFonts w:hint="eastAsia" w:ascii="宋体" w:hAnsi="宋体" w:eastAsia="宋体" w:cs="宋体"/>
                <w:color w:val="auto"/>
                <w:sz w:val="21"/>
                <w:szCs w:val="21"/>
                <w:highlight w:val="none"/>
                <w:lang w:eastAsia="zh-CN"/>
              </w:rPr>
              <w:t>外观、</w:t>
            </w:r>
            <w:r>
              <w:rPr>
                <w:rFonts w:hint="eastAsia" w:ascii="宋体" w:hAnsi="宋体" w:eastAsia="宋体" w:cs="宋体"/>
                <w:color w:val="auto"/>
                <w:sz w:val="21"/>
                <w:szCs w:val="21"/>
                <w:highlight w:val="none"/>
              </w:rPr>
              <w:t>文档资料等验收情况及评价意见。</w:t>
            </w:r>
          </w:p>
          <w:p w14:paraId="49C9AEDB">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C.安装、调试</w:t>
            </w:r>
          </w:p>
          <w:p w14:paraId="2E297234">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)由</w:t>
            </w:r>
            <w:r>
              <w:rPr>
                <w:rFonts w:hint="eastAsia" w:ascii="宋体" w:hAnsi="宋体" w:eastAsia="宋体" w:cs="宋体"/>
                <w:color w:val="auto"/>
                <w:sz w:val="21"/>
                <w:szCs w:val="21"/>
                <w:highlight w:val="none"/>
                <w:lang w:eastAsia="zh-CN"/>
              </w:rPr>
              <w:t>中标人代表</w:t>
            </w:r>
            <w:r>
              <w:rPr>
                <w:rFonts w:hint="eastAsia" w:ascii="宋体" w:hAnsi="宋体" w:eastAsia="宋体" w:cs="宋体"/>
                <w:color w:val="auto"/>
                <w:sz w:val="21"/>
                <w:szCs w:val="21"/>
                <w:highlight w:val="none"/>
              </w:rPr>
              <w:t>进行设备</w:t>
            </w:r>
            <w:r>
              <w:rPr>
                <w:rFonts w:hint="eastAsia" w:ascii="宋体" w:hAnsi="宋体" w:cs="宋体"/>
                <w:color w:val="auto"/>
                <w:sz w:val="21"/>
                <w:szCs w:val="21"/>
                <w:highlight w:val="none"/>
                <w:lang w:val="en-US" w:eastAsia="zh-CN"/>
              </w:rPr>
              <w:t>和系统</w:t>
            </w:r>
            <w:r>
              <w:rPr>
                <w:rFonts w:hint="eastAsia" w:ascii="宋体" w:hAnsi="宋体" w:eastAsia="宋体" w:cs="宋体"/>
                <w:color w:val="auto"/>
                <w:sz w:val="21"/>
                <w:szCs w:val="21"/>
                <w:highlight w:val="none"/>
              </w:rPr>
              <w:t>的安装、调试。</w:t>
            </w:r>
          </w:p>
          <w:p w14:paraId="2579E318">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)由采购人代表、中标人代表进行设备</w:t>
            </w:r>
            <w:r>
              <w:rPr>
                <w:rFonts w:hint="eastAsia" w:ascii="宋体" w:hAnsi="宋体" w:eastAsia="宋体" w:cs="宋体"/>
                <w:color w:val="auto"/>
                <w:sz w:val="21"/>
                <w:szCs w:val="21"/>
                <w:highlight w:val="none"/>
                <w:lang w:val="en-US" w:eastAsia="zh-CN"/>
              </w:rPr>
              <w:t>和系统</w:t>
            </w:r>
            <w:r>
              <w:rPr>
                <w:rFonts w:hint="eastAsia" w:ascii="宋体" w:hAnsi="宋体" w:eastAsia="宋体" w:cs="宋体"/>
                <w:color w:val="auto"/>
                <w:sz w:val="21"/>
                <w:szCs w:val="21"/>
                <w:highlight w:val="none"/>
                <w:lang w:eastAsia="zh-CN"/>
              </w:rPr>
              <w:t>试运行，并对试运行情况进行评价。</w:t>
            </w:r>
          </w:p>
          <w:p w14:paraId="21D6F590">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验收时现场测试设备的技术性能指标，确认各项功能正常运行，同时检查随机文件应齐整。试运行时由采购人对照招标文件的功能目标及技术指标要求、投标文件响应的功能、参数全面核对检验，所提供设备的性能应与投标时响应的</w:t>
            </w:r>
            <w:r>
              <w:rPr>
                <w:rFonts w:hint="eastAsia" w:ascii="宋体" w:hAnsi="宋体" w:eastAsia="宋体" w:cs="宋体"/>
                <w:color w:val="auto"/>
                <w:sz w:val="21"/>
                <w:szCs w:val="21"/>
                <w:highlight w:val="none"/>
                <w:lang w:val="en-US" w:eastAsia="zh-CN"/>
              </w:rPr>
              <w:t>技术性能</w:t>
            </w:r>
            <w:r>
              <w:rPr>
                <w:rFonts w:hint="eastAsia" w:ascii="宋体" w:hAnsi="宋体" w:eastAsia="宋体" w:cs="宋体"/>
                <w:color w:val="auto"/>
                <w:sz w:val="21"/>
                <w:szCs w:val="21"/>
                <w:highlight w:val="none"/>
                <w:lang w:eastAsia="zh-CN"/>
              </w:rPr>
              <w:t>、参数完全一致，</w:t>
            </w:r>
            <w:r>
              <w:rPr>
                <w:rFonts w:hint="eastAsia" w:ascii="宋体" w:hAnsi="宋体" w:eastAsia="宋体" w:cs="宋体"/>
                <w:color w:val="auto"/>
                <w:sz w:val="21"/>
                <w:szCs w:val="21"/>
                <w:highlight w:val="none"/>
              </w:rPr>
              <w:t>视为</w:t>
            </w:r>
            <w:r>
              <w:rPr>
                <w:rFonts w:hint="eastAsia" w:ascii="宋体" w:hAnsi="宋体" w:eastAsia="宋体" w:cs="宋体"/>
                <w:color w:val="auto"/>
                <w:sz w:val="21"/>
                <w:szCs w:val="21"/>
                <w:highlight w:val="none"/>
                <w:lang w:eastAsia="zh-CN"/>
              </w:rPr>
              <w:t>验收合格</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采购人有权要求中标人在验收时提供检测报告或生产厂家官方技术说明书、官方产品宣传页等证明材料原件，有权将仪器设备送第三方检测机构进行检测，以核验产品的设备性能参数与中标人投标时响应的技术性能、参数完全一致，否则视为验收不合格。）</w:t>
            </w:r>
            <w:r>
              <w:rPr>
                <w:rFonts w:hint="eastAsia" w:ascii="宋体" w:hAnsi="宋体" w:eastAsia="宋体" w:cs="宋体"/>
                <w:color w:val="auto"/>
                <w:sz w:val="21"/>
                <w:szCs w:val="21"/>
                <w:highlight w:val="none"/>
              </w:rPr>
              <w:t>，由采购</w:t>
            </w:r>
            <w:r>
              <w:rPr>
                <w:rFonts w:hint="eastAsia" w:ascii="宋体" w:hAnsi="宋体" w:eastAsia="宋体" w:cs="宋体"/>
                <w:color w:val="auto"/>
                <w:sz w:val="21"/>
                <w:szCs w:val="21"/>
                <w:highlight w:val="none"/>
                <w:lang w:eastAsia="zh-CN"/>
              </w:rPr>
              <w:t>人</w:t>
            </w:r>
            <w:r>
              <w:rPr>
                <w:rFonts w:hint="eastAsia" w:ascii="宋体" w:hAnsi="宋体" w:eastAsia="宋体" w:cs="宋体"/>
                <w:color w:val="auto"/>
                <w:sz w:val="21"/>
                <w:szCs w:val="21"/>
                <w:highlight w:val="none"/>
              </w:rPr>
              <w:t>代表及</w:t>
            </w:r>
            <w:r>
              <w:rPr>
                <w:rFonts w:hint="eastAsia" w:ascii="宋体" w:hAnsi="宋体" w:eastAsia="宋体" w:cs="宋体"/>
                <w:color w:val="auto"/>
                <w:sz w:val="21"/>
                <w:szCs w:val="21"/>
                <w:highlight w:val="none"/>
                <w:lang w:eastAsia="zh-CN"/>
              </w:rPr>
              <w:t>中标人代表</w:t>
            </w:r>
            <w:r>
              <w:rPr>
                <w:rFonts w:hint="eastAsia" w:ascii="宋体" w:hAnsi="宋体" w:eastAsia="宋体" w:cs="宋体"/>
                <w:color w:val="auto"/>
                <w:sz w:val="21"/>
                <w:szCs w:val="21"/>
                <w:highlight w:val="none"/>
              </w:rPr>
              <w:t>共同对安装、调试情况进行记录。本项目所有</w:t>
            </w:r>
            <w:r>
              <w:rPr>
                <w:rFonts w:hint="eastAsia" w:ascii="宋体" w:hAnsi="宋体" w:cs="宋体"/>
                <w:color w:val="auto"/>
                <w:sz w:val="21"/>
                <w:szCs w:val="21"/>
                <w:highlight w:val="none"/>
                <w:lang w:val="en-US" w:eastAsia="zh-CN"/>
              </w:rPr>
              <w:t>设备</w:t>
            </w:r>
            <w:r>
              <w:rPr>
                <w:rFonts w:hint="eastAsia" w:ascii="宋体" w:hAnsi="宋体" w:eastAsia="宋体" w:cs="宋体"/>
                <w:color w:val="auto"/>
                <w:sz w:val="21"/>
                <w:szCs w:val="21"/>
                <w:highlight w:val="none"/>
              </w:rPr>
              <w:t>功能模块，试运行测评完成后，对测评不通过的部分，</w:t>
            </w:r>
            <w:r>
              <w:rPr>
                <w:rFonts w:hint="eastAsia" w:ascii="宋体" w:hAnsi="宋体" w:cs="宋体"/>
                <w:color w:val="auto"/>
                <w:sz w:val="21"/>
                <w:szCs w:val="21"/>
                <w:highlight w:val="none"/>
                <w:lang w:val="en-US" w:eastAsia="zh-CN"/>
              </w:rPr>
              <w:t>中标人</w:t>
            </w:r>
            <w:r>
              <w:rPr>
                <w:rFonts w:hint="eastAsia" w:ascii="宋体" w:hAnsi="宋体" w:eastAsia="宋体" w:cs="宋体"/>
                <w:color w:val="auto"/>
                <w:sz w:val="21"/>
                <w:szCs w:val="21"/>
                <w:highlight w:val="none"/>
              </w:rPr>
              <w:t>须无条件整改，直至整改通过，否则项目将不予整体验收。因</w:t>
            </w:r>
            <w:r>
              <w:rPr>
                <w:rFonts w:hint="eastAsia" w:ascii="宋体" w:hAnsi="宋体" w:cs="宋体"/>
                <w:color w:val="auto"/>
                <w:sz w:val="21"/>
                <w:szCs w:val="21"/>
                <w:highlight w:val="none"/>
                <w:lang w:val="en-US" w:eastAsia="zh-CN"/>
              </w:rPr>
              <w:t>中标人</w:t>
            </w:r>
            <w:r>
              <w:rPr>
                <w:rFonts w:hint="eastAsia" w:ascii="宋体" w:hAnsi="宋体" w:eastAsia="宋体" w:cs="宋体"/>
                <w:color w:val="auto"/>
                <w:sz w:val="21"/>
                <w:szCs w:val="21"/>
                <w:highlight w:val="none"/>
              </w:rPr>
              <w:t>原因导致的测评不通过，将导致项目无法整体验收，此视为</w:t>
            </w:r>
            <w:r>
              <w:rPr>
                <w:rFonts w:hint="eastAsia" w:ascii="宋体" w:hAnsi="宋体" w:cs="宋体"/>
                <w:color w:val="auto"/>
                <w:sz w:val="21"/>
                <w:szCs w:val="21"/>
                <w:highlight w:val="none"/>
                <w:lang w:val="en-US" w:eastAsia="zh-CN"/>
              </w:rPr>
              <w:t>中标人</w:t>
            </w:r>
            <w:r>
              <w:rPr>
                <w:rFonts w:hint="eastAsia" w:ascii="宋体" w:hAnsi="宋体" w:eastAsia="宋体" w:cs="宋体"/>
                <w:color w:val="auto"/>
                <w:sz w:val="21"/>
                <w:szCs w:val="21"/>
                <w:highlight w:val="none"/>
              </w:rPr>
              <w:t>严重违约，</w:t>
            </w:r>
            <w:r>
              <w:rPr>
                <w:rFonts w:hint="eastAsia" w:ascii="宋体" w:hAnsi="宋体" w:cs="宋体"/>
                <w:color w:val="auto"/>
                <w:sz w:val="21"/>
                <w:szCs w:val="21"/>
                <w:highlight w:val="none"/>
                <w:lang w:val="en-US" w:eastAsia="zh-CN"/>
              </w:rPr>
              <w:t>中标人</w:t>
            </w:r>
            <w:r>
              <w:rPr>
                <w:rFonts w:hint="eastAsia" w:ascii="宋体" w:hAnsi="宋体" w:eastAsia="宋体" w:cs="宋体"/>
                <w:color w:val="auto"/>
                <w:sz w:val="21"/>
                <w:szCs w:val="21"/>
                <w:highlight w:val="none"/>
              </w:rPr>
              <w:t>须退回采购人已经支付的所有款项，并须承担无法验收给采购人造成的损失</w:t>
            </w:r>
            <w:r>
              <w:rPr>
                <w:rFonts w:hint="eastAsia" w:ascii="宋体" w:hAnsi="宋体" w:eastAsia="宋体" w:cs="宋体"/>
                <w:color w:val="auto"/>
                <w:sz w:val="21"/>
                <w:szCs w:val="21"/>
                <w:highlight w:val="none"/>
                <w:lang w:eastAsia="zh-CN"/>
              </w:rPr>
              <w:t>。</w:t>
            </w:r>
          </w:p>
          <w:p w14:paraId="2BA7A25A">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采购项目进行验收时，采购人可以邀请参加本项目的其他投标人、技术专家或者第三方机构参与验收。参与验收的投标人、技术专家或者第三方机构的意见作为验收书的参考资料一并存档。验收所产生的一切费用由中标人承担。</w:t>
            </w:r>
          </w:p>
          <w:p w14:paraId="5EA3DFF4">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D</w:t>
            </w:r>
            <w:r>
              <w:rPr>
                <w:rFonts w:hint="eastAsia" w:ascii="宋体" w:hAnsi="宋体" w:eastAsia="宋体" w:cs="宋体"/>
                <w:color w:val="auto"/>
                <w:sz w:val="21"/>
                <w:szCs w:val="21"/>
                <w:highlight w:val="none"/>
                <w:lang w:eastAsia="zh-CN"/>
              </w:rPr>
              <w:t>.履约验收其他事项：</w:t>
            </w:r>
          </w:p>
          <w:p w14:paraId="0E0EEAD8">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 验收资料归档，采购合同项目完成验收后，将验收原始记录、验收书等资料作为该采购项目档案妥善保管，不得伪造、变造、隐匿或者销毁，验收资料保存期为采购结束之日起至少保存15年。</w:t>
            </w:r>
          </w:p>
          <w:p w14:paraId="101BDF04">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)由于中标人原因造成不按时完成验收、造成逾期供货事实的，由中标人承担相关合同责任。</w:t>
            </w:r>
          </w:p>
          <w:p w14:paraId="6C2AB0FB">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)验收合格后视为设备交接，在验收合格前设备属于中标人，所有运输、仓储、装卸、保管、搬运等相关责任由中标人负责。</w:t>
            </w:r>
          </w:p>
          <w:p w14:paraId="5F9901F9">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6.验收内容：包括每个采购标的每一项技术参数和商务要求全部内容的履约情况。</w:t>
            </w:r>
          </w:p>
          <w:p w14:paraId="167564F6">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lang w:eastAsia="zh-CN"/>
              </w:rPr>
              <w:t>其他未尽事宜应严格参照《关于印发广西壮族自治区政府采购项目履约验收管理办法的通知》[桂财采〔2015〕22号]以及《财政部关于进一步加强政府采购需求和履约验收管理的指导意见》[财库〔2016〕205 号]规定执行。</w:t>
            </w:r>
          </w:p>
        </w:tc>
      </w:tr>
      <w:tr w14:paraId="17B8EF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0" w:hRule="atLeast"/>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39778E3A">
            <w:pPr>
              <w:keepNext w:val="0"/>
              <w:keepLines w:val="0"/>
              <w:suppressLineNumbers w:val="0"/>
              <w:bidi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7</w:t>
            </w:r>
          </w:p>
        </w:tc>
        <w:tc>
          <w:tcPr>
            <w:tcW w:w="1119" w:type="dxa"/>
            <w:tcBorders>
              <w:left w:val="nil"/>
              <w:right w:val="single" w:color="000000" w:sz="4" w:space="0"/>
            </w:tcBorders>
            <w:shd w:val="clear" w:color="auto" w:fill="auto"/>
            <w:vAlign w:val="center"/>
          </w:tcPr>
          <w:p w14:paraId="3EF13DFC">
            <w:pPr>
              <w:keepNext w:val="0"/>
              <w:keepLines w:val="0"/>
              <w:suppressLineNumbers w:val="0"/>
              <w:snapToGrid w:val="0"/>
              <w:spacing w:before="0" w:beforeAutospacing="0" w:after="0" w:afterAutospacing="0" w:line="400" w:lineRule="exact"/>
              <w:ind w:left="0" w:right="0"/>
              <w:jc w:val="center"/>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rPr>
              <w:t>付款条件</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3744013A">
            <w:pPr>
              <w:pStyle w:val="10"/>
              <w:keepNext w:val="0"/>
              <w:keepLines w:val="0"/>
              <w:suppressLineNumbers w:val="0"/>
              <w:spacing w:before="0" w:beforeAutospacing="0" w:after="0" w:afterAutospacing="0"/>
              <w:ind w:left="0" w:right="0"/>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eastAsia="宋体" w:cs="宋体"/>
                <w:color w:val="auto"/>
                <w:szCs w:val="21"/>
                <w:highlight w:val="none"/>
                <w:lang w:eastAsia="zh-CN"/>
              </w:rPr>
              <w:t>货物验收合格后，</w:t>
            </w:r>
            <w:r>
              <w:rPr>
                <w:rFonts w:hint="eastAsia" w:ascii="宋体" w:hAnsi="宋体" w:eastAsia="宋体" w:cs="宋体"/>
                <w:color w:val="auto"/>
                <w:szCs w:val="21"/>
                <w:highlight w:val="none"/>
                <w:lang w:val="en-US" w:eastAsia="zh-CN"/>
              </w:rPr>
              <w:t>中标人</w:t>
            </w:r>
            <w:r>
              <w:rPr>
                <w:rFonts w:hint="eastAsia" w:ascii="宋体" w:hAnsi="宋体" w:eastAsia="宋体" w:cs="宋体"/>
                <w:color w:val="auto"/>
                <w:szCs w:val="21"/>
                <w:highlight w:val="none"/>
                <w:lang w:eastAsia="zh-CN"/>
              </w:rPr>
              <w:t>应向</w:t>
            </w:r>
            <w:r>
              <w:rPr>
                <w:rFonts w:hint="eastAsia" w:ascii="宋体" w:hAnsi="宋体" w:eastAsia="宋体" w:cs="宋体"/>
                <w:color w:val="auto"/>
                <w:szCs w:val="21"/>
                <w:highlight w:val="none"/>
                <w:lang w:val="en-US" w:eastAsia="zh-CN"/>
              </w:rPr>
              <w:t>采购人</w:t>
            </w:r>
            <w:r>
              <w:rPr>
                <w:rFonts w:hint="eastAsia" w:ascii="宋体" w:hAnsi="宋体" w:eastAsia="宋体" w:cs="宋体"/>
                <w:color w:val="auto"/>
                <w:szCs w:val="21"/>
                <w:highlight w:val="none"/>
                <w:lang w:eastAsia="zh-CN"/>
              </w:rPr>
              <w:t>开具合法增值税专用发票，</w:t>
            </w:r>
            <w:r>
              <w:rPr>
                <w:rFonts w:hint="eastAsia" w:ascii="宋体" w:hAnsi="宋体" w:eastAsia="宋体" w:cs="宋体"/>
                <w:color w:val="auto"/>
                <w:szCs w:val="21"/>
                <w:highlight w:val="none"/>
                <w:lang w:val="en-US" w:eastAsia="zh-CN"/>
              </w:rPr>
              <w:t>采购人</w:t>
            </w:r>
            <w:r>
              <w:rPr>
                <w:rFonts w:hint="eastAsia" w:ascii="宋体" w:hAnsi="宋体" w:eastAsia="宋体" w:cs="宋体"/>
                <w:color w:val="auto"/>
                <w:szCs w:val="21"/>
                <w:highlight w:val="none"/>
                <w:lang w:eastAsia="zh-CN"/>
              </w:rPr>
              <w:t>在30日内支付</w:t>
            </w:r>
            <w:r>
              <w:rPr>
                <w:rFonts w:hint="eastAsia" w:ascii="宋体" w:hAnsi="宋体" w:eastAsia="宋体" w:cs="宋体"/>
                <w:color w:val="auto"/>
                <w:szCs w:val="21"/>
                <w:highlight w:val="none"/>
                <w:lang w:val="en-US" w:eastAsia="zh-CN"/>
              </w:rPr>
              <w:t>合同款</w:t>
            </w:r>
            <w:r>
              <w:rPr>
                <w:rFonts w:hint="eastAsia" w:ascii="宋体" w:hAnsi="宋体"/>
                <w:color w:val="auto"/>
                <w:szCs w:val="21"/>
                <w:highlight w:val="none"/>
              </w:rPr>
              <w:t>。</w:t>
            </w:r>
          </w:p>
          <w:p w14:paraId="18B002FD">
            <w:pPr>
              <w:keepNext w:val="0"/>
              <w:keepLines w:val="0"/>
              <w:suppressLineNumbers w:val="0"/>
              <w:spacing w:before="0" w:beforeAutospacing="0" w:after="0" w:afterAutospacing="0" w:line="400" w:lineRule="exact"/>
              <w:ind w:left="0" w:right="0"/>
              <w:jc w:val="left"/>
              <w:rPr>
                <w:rFonts w:hint="eastAsia"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val="en-US" w:eastAsia="zh-CN"/>
              </w:rPr>
              <w:t>中标人</w:t>
            </w:r>
            <w:r>
              <w:rPr>
                <w:rFonts w:hint="eastAsia" w:ascii="宋体" w:hAnsi="宋体"/>
                <w:color w:val="auto"/>
                <w:szCs w:val="21"/>
                <w:highlight w:val="none"/>
              </w:rPr>
              <w:t>必须按照采购人要求提供真实、有效、合法的正式发票。一旦发现</w:t>
            </w:r>
            <w:r>
              <w:rPr>
                <w:rFonts w:hint="eastAsia" w:ascii="宋体" w:hAnsi="宋体"/>
                <w:color w:val="auto"/>
                <w:szCs w:val="21"/>
                <w:highlight w:val="none"/>
                <w:lang w:val="en-US" w:eastAsia="zh-CN"/>
              </w:rPr>
              <w:t>中标人</w:t>
            </w:r>
            <w:r>
              <w:rPr>
                <w:rFonts w:hint="eastAsia" w:ascii="宋体" w:hAnsi="宋体"/>
                <w:color w:val="auto"/>
                <w:szCs w:val="21"/>
                <w:highlight w:val="none"/>
              </w:rPr>
              <w:t>提供虚假发票，除须向采购人补开合法发票外，采购人有权向税务机关投诉，并扣除全部履约保证金。</w:t>
            </w:r>
          </w:p>
          <w:p w14:paraId="0AE33BE6">
            <w:pPr>
              <w:keepNext w:val="0"/>
              <w:keepLines w:val="0"/>
              <w:suppressLineNumbers w:val="0"/>
              <w:spacing w:before="0" w:beforeAutospacing="0" w:after="0" w:afterAutospacing="0" w:line="400" w:lineRule="exact"/>
              <w:ind w:left="0" w:right="0"/>
              <w:jc w:val="left"/>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3</w:t>
            </w:r>
            <w:r>
              <w:rPr>
                <w:rFonts w:hint="eastAsia" w:ascii="宋体" w:hAnsi="宋体"/>
                <w:color w:val="auto"/>
                <w:szCs w:val="21"/>
                <w:highlight w:val="none"/>
              </w:rPr>
              <w:t>.</w:t>
            </w:r>
            <w:r>
              <w:rPr>
                <w:rFonts w:hint="eastAsia"/>
                <w:color w:val="auto"/>
                <w:highlight w:val="none"/>
              </w:rPr>
              <w:t>当采购数量与实际使用数量不一致时，乙方应根据实际使用量供货，合同的最终结算金额按实际使用量乘以</w:t>
            </w:r>
            <w:r>
              <w:rPr>
                <w:rFonts w:hint="eastAsia"/>
                <w:color w:val="auto"/>
                <w:highlight w:val="none"/>
                <w:lang w:val="en-US" w:eastAsia="zh-CN"/>
              </w:rPr>
              <w:t>中标</w:t>
            </w:r>
            <w:r>
              <w:rPr>
                <w:rFonts w:hint="eastAsia"/>
                <w:color w:val="auto"/>
                <w:highlight w:val="none"/>
              </w:rPr>
              <w:t>单价进行计算</w:t>
            </w:r>
            <w:r>
              <w:rPr>
                <w:rFonts w:hint="eastAsia"/>
                <w:color w:val="auto"/>
                <w:highlight w:val="none"/>
                <w:lang w:eastAsia="zh-CN"/>
              </w:rPr>
              <w:t>。</w:t>
            </w:r>
          </w:p>
        </w:tc>
      </w:tr>
      <w:tr w14:paraId="7CE663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3" w:hRule="atLeast"/>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05FC214A">
            <w:pPr>
              <w:keepNext w:val="0"/>
              <w:keepLines w:val="0"/>
              <w:suppressLineNumbers w:val="0"/>
              <w:bidi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8</w:t>
            </w:r>
          </w:p>
        </w:tc>
        <w:tc>
          <w:tcPr>
            <w:tcW w:w="1119" w:type="dxa"/>
            <w:tcBorders>
              <w:left w:val="nil"/>
              <w:right w:val="single" w:color="000000" w:sz="4" w:space="0"/>
            </w:tcBorders>
            <w:shd w:val="clear" w:color="auto" w:fill="auto"/>
            <w:vAlign w:val="center"/>
          </w:tcPr>
          <w:p w14:paraId="3D980F5F">
            <w:pPr>
              <w:keepNext w:val="0"/>
              <w:keepLines w:val="0"/>
              <w:suppressLineNumbers w:val="0"/>
              <w:snapToGrid w:val="0"/>
              <w:spacing w:before="0" w:beforeAutospacing="0" w:after="0" w:afterAutospacing="0" w:line="360" w:lineRule="exact"/>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售后服务要求</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41EB5431">
            <w:pPr>
              <w:keepNext w:val="0"/>
              <w:keepLines w:val="0"/>
              <w:suppressLineNumbers w:val="0"/>
              <w:spacing w:before="0" w:beforeAutospacing="0" w:after="0" w:afterAutospacing="0" w:line="340" w:lineRule="exact"/>
              <w:ind w:left="0" w:right="0"/>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除另行特别注明外，售后服务要求如下：</w:t>
            </w:r>
          </w:p>
          <w:p w14:paraId="3B7D88F2">
            <w:pPr>
              <w:keepNext w:val="0"/>
              <w:keepLines w:val="0"/>
              <w:suppressLineNumbers w:val="0"/>
              <w:spacing w:before="0" w:beforeAutospacing="0" w:after="0" w:afterAutospacing="0" w:line="340" w:lineRule="exact"/>
              <w:ind w:left="0" w:right="0"/>
              <w:jc w:val="left"/>
              <w:rPr>
                <w:rFonts w:hint="eastAsia" w:ascii="宋体" w:hAnsi="宋体"/>
                <w:color w:val="auto"/>
                <w:szCs w:val="21"/>
                <w:highlight w:val="none"/>
              </w:rPr>
            </w:pPr>
            <w:r>
              <w:rPr>
                <w:rFonts w:hint="eastAsia" w:ascii="宋体" w:hAnsi="宋体"/>
                <w:color w:val="auto"/>
                <w:szCs w:val="21"/>
                <w:highlight w:val="none"/>
                <w:lang w:val="en-US" w:eastAsia="zh-CN"/>
              </w:rPr>
              <w:t>1</w:t>
            </w:r>
            <w:r>
              <w:rPr>
                <w:rFonts w:hint="eastAsia" w:ascii="宋体" w:hAnsi="宋体"/>
                <w:color w:val="auto"/>
                <w:szCs w:val="21"/>
                <w:highlight w:val="none"/>
              </w:rPr>
              <w:t>.</w:t>
            </w:r>
            <w:r>
              <w:rPr>
                <w:rFonts w:hint="eastAsia" w:ascii="宋体" w:hAnsi="宋体"/>
                <w:color w:val="auto"/>
                <w:szCs w:val="21"/>
                <w:highlight w:val="none"/>
                <w:lang w:val="en-US" w:eastAsia="zh-CN"/>
              </w:rPr>
              <w:t>中标人</w:t>
            </w:r>
            <w:r>
              <w:rPr>
                <w:rFonts w:hint="eastAsia" w:ascii="宋体" w:hAnsi="宋体"/>
                <w:color w:val="auto"/>
                <w:szCs w:val="21"/>
                <w:highlight w:val="none"/>
              </w:rPr>
              <w:t>必须保证提供的设备是全新正品的、未使用过的。中标人必须提供安装、配线以及软硬件的测试和调整服务。安装设备之前，应先对采购人的使用人员进行现场培训。中标人在施工、安装、调试等全过程中接受</w:t>
            </w:r>
            <w:r>
              <w:rPr>
                <w:rFonts w:hint="eastAsia" w:ascii="宋体" w:hAnsi="宋体"/>
                <w:color w:val="auto"/>
                <w:szCs w:val="21"/>
                <w:highlight w:val="none"/>
                <w:lang w:val="en-US" w:eastAsia="zh-CN"/>
              </w:rPr>
              <w:t>采购人</w:t>
            </w:r>
            <w:r>
              <w:rPr>
                <w:rFonts w:hint="eastAsia" w:ascii="宋体" w:hAnsi="宋体"/>
                <w:color w:val="auto"/>
                <w:szCs w:val="21"/>
                <w:highlight w:val="none"/>
              </w:rPr>
              <w:t>的监督。</w:t>
            </w:r>
          </w:p>
          <w:p w14:paraId="41A3A7DD">
            <w:pPr>
              <w:keepNext w:val="0"/>
              <w:keepLines w:val="0"/>
              <w:suppressLineNumbers w:val="0"/>
              <w:spacing w:before="0" w:beforeAutospacing="0" w:after="0" w:afterAutospacing="0" w:line="340" w:lineRule="exact"/>
              <w:ind w:left="0" w:right="0"/>
              <w:jc w:val="left"/>
              <w:rPr>
                <w:rFonts w:ascii="宋体" w:hAnsi="宋体"/>
                <w:color w:val="auto"/>
                <w:szCs w:val="21"/>
                <w:highlight w:val="none"/>
              </w:rPr>
            </w:pPr>
            <w:r>
              <w:rPr>
                <w:rFonts w:hint="eastAsia" w:ascii="宋体" w:hAnsi="宋体"/>
                <w:color w:val="auto"/>
                <w:szCs w:val="21"/>
                <w:highlight w:val="none"/>
                <w:lang w:val="en-US" w:eastAsia="zh-CN"/>
              </w:rPr>
              <w:t>2</w:t>
            </w:r>
            <w:r>
              <w:rPr>
                <w:rFonts w:hint="eastAsia" w:ascii="宋体" w:hAnsi="宋体"/>
                <w:color w:val="auto"/>
                <w:szCs w:val="21"/>
                <w:highlight w:val="none"/>
              </w:rPr>
              <w:t>.负责送货上门，</w:t>
            </w:r>
            <w:r>
              <w:rPr>
                <w:rFonts w:hint="eastAsia" w:ascii="宋体" w:hAnsi="宋体"/>
                <w:color w:val="auto"/>
                <w:szCs w:val="21"/>
                <w:highlight w:val="none"/>
                <w:lang w:val="en-US" w:eastAsia="zh-CN"/>
              </w:rPr>
              <w:t>按采购人要求</w:t>
            </w:r>
            <w:r>
              <w:rPr>
                <w:rFonts w:hint="eastAsia" w:ascii="宋体" w:hAnsi="宋体"/>
                <w:color w:val="auto"/>
                <w:szCs w:val="21"/>
                <w:highlight w:val="none"/>
              </w:rPr>
              <w:t>安装、调试，提供</w:t>
            </w:r>
            <w:r>
              <w:rPr>
                <w:rFonts w:hint="eastAsia" w:ascii="宋体" w:hAnsi="宋体"/>
                <w:color w:val="auto"/>
                <w:szCs w:val="21"/>
                <w:highlight w:val="none"/>
                <w:lang w:val="en-US" w:eastAsia="zh-CN"/>
              </w:rPr>
              <w:t>免费</w:t>
            </w:r>
            <w:r>
              <w:rPr>
                <w:rFonts w:hint="eastAsia" w:ascii="宋体" w:hAnsi="宋体"/>
                <w:color w:val="auto"/>
                <w:szCs w:val="21"/>
                <w:highlight w:val="none"/>
              </w:rPr>
              <w:t>技术培训</w:t>
            </w:r>
            <w:r>
              <w:rPr>
                <w:rFonts w:hint="eastAsia" w:ascii="宋体" w:hAnsi="宋体"/>
                <w:color w:val="auto"/>
                <w:szCs w:val="21"/>
                <w:highlight w:val="none"/>
                <w:lang w:eastAsia="zh-CN"/>
              </w:rPr>
              <w:t>，</w:t>
            </w:r>
            <w:r>
              <w:rPr>
                <w:rFonts w:hint="eastAsia"/>
                <w:color w:val="auto"/>
                <w:highlight w:val="none"/>
              </w:rPr>
              <w:t>直至操作人员熟练操作产品的各项功能</w:t>
            </w:r>
            <w:r>
              <w:rPr>
                <w:rFonts w:hint="eastAsia" w:ascii="宋体" w:hAnsi="宋体"/>
                <w:color w:val="auto"/>
                <w:szCs w:val="21"/>
                <w:highlight w:val="none"/>
                <w:lang w:eastAsia="zh-CN"/>
              </w:rPr>
              <w:t>。</w:t>
            </w:r>
            <w:r>
              <w:rPr>
                <w:rFonts w:hint="eastAsia" w:ascii="宋体" w:hAnsi="宋体" w:cs="宋体"/>
                <w:color w:val="auto"/>
                <w:szCs w:val="21"/>
                <w:highlight w:val="none"/>
                <w:lang w:val="en-US" w:eastAsia="zh-CN"/>
              </w:rPr>
              <w:t>定期回访，</w:t>
            </w:r>
            <w:r>
              <w:rPr>
                <w:rFonts w:hint="eastAsia" w:ascii="宋体" w:hAnsi="宋体"/>
                <w:color w:val="auto"/>
                <w:szCs w:val="21"/>
                <w:highlight w:val="none"/>
              </w:rPr>
              <w:t>保证</w:t>
            </w:r>
            <w:r>
              <w:rPr>
                <w:rFonts w:hint="eastAsia" w:ascii="宋体" w:hAnsi="宋体"/>
                <w:color w:val="auto"/>
                <w:szCs w:val="21"/>
                <w:highlight w:val="none"/>
                <w:lang w:val="en-US" w:eastAsia="zh-CN"/>
              </w:rPr>
              <w:t>采购单位</w:t>
            </w:r>
            <w:r>
              <w:rPr>
                <w:rFonts w:hint="eastAsia" w:ascii="宋体" w:hAnsi="宋体"/>
                <w:color w:val="auto"/>
                <w:szCs w:val="21"/>
                <w:highlight w:val="none"/>
              </w:rPr>
              <w:t>使用人员正常操作设备的各种功能。</w:t>
            </w:r>
          </w:p>
          <w:p w14:paraId="2CE1F6A4">
            <w:pPr>
              <w:keepNext w:val="0"/>
              <w:keepLines w:val="0"/>
              <w:suppressLineNumbers w:val="0"/>
              <w:spacing w:before="0" w:beforeAutospacing="0" w:after="0" w:afterAutospacing="0" w:line="340" w:lineRule="exact"/>
              <w:ind w:left="0" w:right="0"/>
              <w:jc w:val="left"/>
              <w:rPr>
                <w:rFonts w:hint="eastAsia" w:ascii="宋体" w:hAnsi="宋体" w:eastAsia="宋体" w:cs="宋体"/>
                <w:color w:val="auto"/>
                <w:szCs w:val="21"/>
                <w:highlight w:val="none"/>
                <w:lang w:eastAsia="zh-CN"/>
              </w:rPr>
            </w:pPr>
            <w:r>
              <w:rPr>
                <w:rFonts w:hint="eastAsia" w:ascii="宋体" w:hAnsi="宋体"/>
                <w:color w:val="auto"/>
                <w:szCs w:val="21"/>
                <w:highlight w:val="none"/>
                <w:lang w:val="en-US" w:eastAsia="zh-CN"/>
              </w:rPr>
              <w:t>3</w:t>
            </w:r>
            <w:r>
              <w:rPr>
                <w:rFonts w:hint="eastAsia" w:ascii="宋体" w:hAnsi="宋体"/>
                <w:color w:val="auto"/>
                <w:szCs w:val="21"/>
                <w:highlight w:val="none"/>
              </w:rPr>
              <w:t>.</w:t>
            </w:r>
            <w:r>
              <w:rPr>
                <w:rFonts w:hint="eastAsia" w:ascii="宋体" w:hAnsi="宋体" w:cs="宋体"/>
                <w:color w:val="auto"/>
                <w:szCs w:val="21"/>
                <w:highlight w:val="none"/>
              </w:rPr>
              <w:t>故障响应时间</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中标人承诺时间更短的，按</w:t>
            </w:r>
            <w:r>
              <w:rPr>
                <w:rFonts w:hint="eastAsia"/>
                <w:color w:val="auto"/>
                <w:highlight w:val="none"/>
              </w:rPr>
              <w:t>承诺时间</w:t>
            </w:r>
            <w:r>
              <w:rPr>
                <w:rFonts w:hint="eastAsia"/>
                <w:color w:val="auto"/>
                <w:highlight w:val="none"/>
                <w:lang w:val="en-US" w:eastAsia="zh-CN"/>
              </w:rPr>
              <w:t>执行</w:t>
            </w:r>
            <w:r>
              <w:rPr>
                <w:rFonts w:hint="eastAsia" w:ascii="宋体" w:hAnsi="宋体" w:cs="宋体"/>
                <w:color w:val="auto"/>
                <w:szCs w:val="21"/>
                <w:highlight w:val="none"/>
                <w:lang w:eastAsia="zh-CN"/>
              </w:rPr>
              <w:t>）</w:t>
            </w:r>
            <w:r>
              <w:rPr>
                <w:rFonts w:hint="eastAsia" w:ascii="宋体" w:hAnsi="宋体" w:cs="宋体"/>
                <w:color w:val="auto"/>
                <w:szCs w:val="21"/>
                <w:highlight w:val="none"/>
              </w:rPr>
              <w:t>：售后服务时间为7</w:t>
            </w:r>
            <w:r>
              <w:rPr>
                <w:rFonts w:ascii="Arial" w:hAnsi="Arial" w:cs="Arial"/>
                <w:color w:val="auto"/>
                <w:szCs w:val="21"/>
                <w:highlight w:val="none"/>
              </w:rPr>
              <w:t>×</w:t>
            </w:r>
            <w:r>
              <w:rPr>
                <w:rFonts w:hint="eastAsia" w:ascii="宋体" w:hAnsi="宋体" w:cs="宋体"/>
                <w:color w:val="auto"/>
                <w:szCs w:val="21"/>
                <w:highlight w:val="none"/>
              </w:rPr>
              <w:t>24小时，提供服务热线电话。</w:t>
            </w:r>
            <w:r>
              <w:rPr>
                <w:rFonts w:hint="eastAsia" w:ascii="宋体" w:hAnsi="宋体"/>
                <w:color w:val="auto"/>
                <w:szCs w:val="21"/>
                <w:highlight w:val="none"/>
                <w:lang w:val="en-US" w:eastAsia="zh-CN"/>
              </w:rPr>
              <w:t>中标人</w:t>
            </w:r>
            <w:r>
              <w:rPr>
                <w:rFonts w:hint="eastAsia" w:ascii="宋体" w:hAnsi="宋体" w:cs="宋体"/>
                <w:color w:val="auto"/>
                <w:szCs w:val="21"/>
                <w:highlight w:val="none"/>
              </w:rPr>
              <w:t>接到采购人</w:t>
            </w:r>
            <w:r>
              <w:rPr>
                <w:rFonts w:hint="eastAsia" w:ascii="宋体" w:hAnsi="宋体" w:cs="宋体"/>
                <w:color w:val="auto"/>
                <w:szCs w:val="21"/>
                <w:highlight w:val="none"/>
                <w:lang w:val="en-US" w:eastAsia="zh-CN"/>
              </w:rPr>
              <w:t>故障</w:t>
            </w:r>
            <w:r>
              <w:rPr>
                <w:rFonts w:hint="eastAsia" w:ascii="宋体" w:hAnsi="宋体" w:cs="宋体"/>
                <w:color w:val="auto"/>
                <w:szCs w:val="21"/>
                <w:highlight w:val="none"/>
              </w:rPr>
              <w:t>通知2小时内做出响应，</w:t>
            </w:r>
            <w:r>
              <w:rPr>
                <w:rFonts w:hint="eastAsia" w:ascii="宋体" w:hAnsi="宋体" w:eastAsia="宋体" w:cs="宋体"/>
                <w:color w:val="auto"/>
                <w:sz w:val="21"/>
                <w:szCs w:val="21"/>
                <w:highlight w:val="none"/>
              </w:rPr>
              <w:t>8小时内远程排查处理故障；远程无法处理的，应在接到通知后24小时内到达现场维修。其中，一般故障应在48小时内修复，重大故障或其他无法迅速解决的故障应在7日内修复</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若在48小时内不能修复</w:t>
            </w:r>
            <w:r>
              <w:rPr>
                <w:rFonts w:hint="eastAsia" w:ascii="宋体" w:hAnsi="宋体"/>
                <w:color w:val="auto"/>
                <w:szCs w:val="21"/>
                <w:highlight w:val="none"/>
                <w:lang w:eastAsia="zh-CN"/>
              </w:rPr>
              <w:t>，</w:t>
            </w:r>
            <w:r>
              <w:rPr>
                <w:rFonts w:hint="eastAsia" w:ascii="宋体" w:hAnsi="宋体"/>
                <w:color w:val="auto"/>
                <w:szCs w:val="21"/>
                <w:highlight w:val="none"/>
              </w:rPr>
              <w:t>必要时提供同档次的或优于设备给采购人使用至修复为止，产生的一切费用由中标人全部承担。</w:t>
            </w:r>
            <w:r>
              <w:rPr>
                <w:rFonts w:hint="eastAsia" w:eastAsia="宋体"/>
                <w:color w:val="auto"/>
                <w:highlight w:val="none"/>
              </w:rPr>
              <w:t>如果需要更换配件的，要求更换的配件应跟被更换的品牌、类型相一致或者是同类同档次的替代品，后者</w:t>
            </w:r>
            <w:r>
              <w:rPr>
                <w:rFonts w:hint="eastAsia" w:ascii="宋体" w:hAnsi="宋体" w:eastAsia="宋体" w:cs="宋体"/>
                <w:color w:val="auto"/>
                <w:szCs w:val="21"/>
                <w:highlight w:val="none"/>
              </w:rPr>
              <w:t>需征得</w:t>
            </w:r>
            <w:r>
              <w:rPr>
                <w:rFonts w:hint="eastAsia" w:ascii="宋体" w:hAnsi="宋体" w:eastAsia="宋体" w:cs="宋体"/>
                <w:color w:val="auto"/>
                <w:szCs w:val="21"/>
                <w:highlight w:val="none"/>
                <w:lang w:val="en-US" w:eastAsia="zh-CN"/>
              </w:rPr>
              <w:t>采购单位</w:t>
            </w:r>
            <w:r>
              <w:rPr>
                <w:rFonts w:hint="eastAsia" w:ascii="宋体" w:hAnsi="宋体" w:eastAsia="宋体" w:cs="宋体"/>
                <w:color w:val="auto"/>
                <w:szCs w:val="21"/>
                <w:highlight w:val="none"/>
              </w:rPr>
              <w:t>管理人员同意</w:t>
            </w:r>
            <w:r>
              <w:rPr>
                <w:rFonts w:hint="eastAsia" w:ascii="宋体" w:hAnsi="宋体" w:eastAsia="宋体" w:cs="宋体"/>
                <w:color w:val="auto"/>
                <w:szCs w:val="21"/>
                <w:highlight w:val="none"/>
                <w:lang w:eastAsia="zh-CN"/>
              </w:rPr>
              <w:t>。</w:t>
            </w:r>
          </w:p>
          <w:p w14:paraId="0DB73F90">
            <w:pPr>
              <w:keepNext w:val="0"/>
              <w:keepLines w:val="0"/>
              <w:suppressLineNumbers w:val="0"/>
              <w:spacing w:before="0" w:beforeAutospacing="0" w:after="0" w:afterAutospacing="0" w:line="340" w:lineRule="exact"/>
              <w:ind w:left="0" w:right="0"/>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lang w:eastAsia="zh-CN"/>
              </w:rPr>
              <w:t>若产品自带软件的，</w:t>
            </w:r>
            <w:r>
              <w:rPr>
                <w:rFonts w:hint="eastAsia" w:ascii="宋体" w:hAnsi="宋体" w:eastAsia="宋体" w:cs="宋体"/>
                <w:color w:val="auto"/>
                <w:szCs w:val="21"/>
                <w:highlight w:val="none"/>
                <w:lang w:val="en-US" w:eastAsia="zh-CN"/>
              </w:rPr>
              <w:t>在</w:t>
            </w:r>
            <w:r>
              <w:rPr>
                <w:rFonts w:hint="eastAsia" w:ascii="宋体" w:hAnsi="宋体" w:eastAsia="宋体" w:cs="宋体"/>
                <w:color w:val="auto"/>
                <w:szCs w:val="21"/>
                <w:highlight w:val="none"/>
                <w:lang w:eastAsia="zh-CN"/>
              </w:rPr>
              <w:t>保修期内提供升级服务，</w:t>
            </w:r>
            <w:r>
              <w:rPr>
                <w:rFonts w:hint="eastAsia" w:ascii="宋体" w:hAnsi="宋体" w:eastAsia="宋体" w:cs="宋体"/>
                <w:color w:val="auto"/>
                <w:szCs w:val="21"/>
                <w:highlight w:val="none"/>
                <w:lang w:val="en-US" w:eastAsia="zh-CN"/>
              </w:rPr>
              <w:t>升级服务费用包含在本次投标报价中</w:t>
            </w:r>
            <w:r>
              <w:rPr>
                <w:rFonts w:hint="eastAsia" w:ascii="宋体" w:hAnsi="宋体" w:eastAsia="宋体" w:cs="宋体"/>
                <w:color w:val="auto"/>
                <w:szCs w:val="21"/>
                <w:highlight w:val="none"/>
                <w:lang w:eastAsia="zh-CN"/>
              </w:rPr>
              <w:t>。</w:t>
            </w:r>
          </w:p>
          <w:p w14:paraId="4C471937">
            <w:pPr>
              <w:keepNext w:val="0"/>
              <w:keepLines w:val="0"/>
              <w:suppressLineNumbers w:val="0"/>
              <w:snapToGrid w:val="0"/>
              <w:spacing w:before="0" w:beforeAutospacing="0" w:after="0" w:afterAutospacing="0" w:line="360" w:lineRule="exact"/>
              <w:ind w:left="0" w:right="0"/>
              <w:outlineLvl w:val="0"/>
              <w:rPr>
                <w:rFonts w:hint="default"/>
                <w:color w:val="auto"/>
                <w:highlight w:val="none"/>
                <w:lang w:val="en-US" w:eastAsia="zh-CN"/>
              </w:rPr>
            </w:pPr>
            <w:r>
              <w:rPr>
                <w:rFonts w:hint="eastAsia" w:ascii="宋体" w:hAnsi="宋体"/>
                <w:color w:val="auto"/>
                <w:szCs w:val="21"/>
                <w:highlight w:val="none"/>
                <w:lang w:val="en-US" w:eastAsia="zh-CN"/>
              </w:rPr>
              <w:t>5</w:t>
            </w:r>
            <w:r>
              <w:rPr>
                <w:rFonts w:hint="eastAsia" w:ascii="宋体" w:hAnsi="宋体" w:eastAsia="宋体"/>
                <w:color w:val="auto"/>
                <w:szCs w:val="21"/>
                <w:highlight w:val="none"/>
                <w:lang w:val="en-US" w:eastAsia="zh-CN"/>
              </w:rPr>
              <w:t>.售后服务按《医疗器械监督管理条例》及相关国家标准、产品技术要求及制造商承诺执行。中标人承诺超过厂家承诺标准的，按中标人提交的售后服务承诺书执行。其余按厂家或投标人承诺执行。</w:t>
            </w:r>
          </w:p>
        </w:tc>
      </w:tr>
      <w:tr w14:paraId="701F4F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10" w:hRule="atLeast"/>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42A578C3">
            <w:pPr>
              <w:keepNext w:val="0"/>
              <w:keepLines w:val="0"/>
              <w:suppressLineNumbers w:val="0"/>
              <w:bidi w:val="0"/>
              <w:spacing w:before="0" w:beforeAutospacing="0" w:after="0" w:afterAutospacing="0"/>
              <w:ind w:left="0" w:leftChars="0" w:right="0" w:rightChars="0"/>
              <w:jc w:val="center"/>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9</w:t>
            </w:r>
          </w:p>
        </w:tc>
        <w:tc>
          <w:tcPr>
            <w:tcW w:w="1119" w:type="dxa"/>
            <w:tcBorders>
              <w:left w:val="nil"/>
              <w:right w:val="single" w:color="000000" w:sz="4" w:space="0"/>
            </w:tcBorders>
            <w:shd w:val="clear" w:color="auto" w:fill="auto"/>
            <w:vAlign w:val="center"/>
          </w:tcPr>
          <w:p w14:paraId="6D10D42D">
            <w:pPr>
              <w:keepNext w:val="0"/>
              <w:keepLines w:val="0"/>
              <w:suppressLineNumbers w:val="0"/>
              <w:snapToGrid w:val="0"/>
              <w:spacing w:before="0" w:beforeAutospacing="0" w:after="0" w:afterAutospacing="0" w:line="400" w:lineRule="exact"/>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核心产品</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4C2834D8">
            <w:pPr>
              <w:pStyle w:val="14"/>
              <w:keepNext w:val="0"/>
              <w:keepLines w:val="0"/>
              <w:suppressLineNumbers w:val="0"/>
              <w:snapToGrid w:val="0"/>
              <w:spacing w:before="0" w:beforeAutospacing="0" w:after="0" w:afterAutospacing="0" w:line="360" w:lineRule="auto"/>
              <w:ind w:left="0" w:leftChars="0" w:right="0" w:rightChars="0"/>
              <w:outlineLvl w:val="0"/>
              <w:rPr>
                <w:rFonts w:hint="eastAsia" w:ascii="宋体" w:hAnsi="宋体" w:eastAsia="宋体" w:cs="宋体"/>
                <w:b/>
                <w:bCs/>
                <w:color w:val="auto"/>
                <w:kern w:val="2"/>
                <w:sz w:val="21"/>
                <w:szCs w:val="21"/>
                <w:highlight w:val="none"/>
                <w:lang w:val="en-US" w:eastAsia="zh-CN" w:bidi="ar"/>
              </w:rPr>
            </w:pP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lang w:val="en-US" w:eastAsia="zh-CN"/>
              </w:rPr>
              <w:t>核心产品：本项目的核心产品为</w:t>
            </w:r>
            <w:r>
              <w:rPr>
                <w:rFonts w:hint="eastAsia" w:ascii="宋体" w:hAnsi="宋体" w:eastAsia="宋体" w:cs="宋体"/>
                <w:color w:val="auto"/>
                <w:sz w:val="21"/>
                <w:szCs w:val="21"/>
                <w:highlight w:val="none"/>
                <w:u w:val="single"/>
                <w:lang w:val="en-US" w:eastAsia="zh-CN"/>
              </w:rPr>
              <w:t>“</w:t>
            </w:r>
            <w:r>
              <w:rPr>
                <w:rFonts w:hint="eastAsia" w:hAnsi="宋体" w:cs="宋体"/>
                <w:color w:val="auto"/>
                <w:szCs w:val="21"/>
                <w:highlight w:val="none"/>
                <w:u w:val="single"/>
              </w:rPr>
              <w:t>第17项产品“体式显微镜”、</w:t>
            </w:r>
            <w:r>
              <w:rPr>
                <w:rFonts w:hint="eastAsia"/>
                <w:color w:val="auto"/>
                <w:highlight w:val="none"/>
              </w:rPr>
              <w:t>第19项产品：</w:t>
            </w:r>
            <w:r>
              <w:rPr>
                <w:rFonts w:hint="eastAsia" w:hAnsi="宋体" w:cs="宋体"/>
                <w:color w:val="auto"/>
                <w:szCs w:val="21"/>
                <w:highlight w:val="none"/>
                <w:u w:val="single"/>
              </w:rPr>
              <w:t>AI医学检验数字切片分类计数与分析软件</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lang w:val="en-US" w:eastAsia="zh-CN"/>
              </w:rPr>
              <w:t>。</w:t>
            </w:r>
            <w:r>
              <w:rPr>
                <w:rFonts w:hint="eastAsia" w:ascii="宋体" w:hAnsi="宋体" w:eastAsia="宋体" w:cs="宋体"/>
                <w:b/>
                <w:bCs/>
                <w:color w:val="auto"/>
                <w:kern w:val="2"/>
                <w:sz w:val="21"/>
                <w:szCs w:val="21"/>
                <w:highlight w:val="none"/>
                <w:lang w:val="en-US" w:eastAsia="zh-CN" w:bidi="ar"/>
              </w:rPr>
              <w:t>核心产品品牌相同的，视为提供同品牌产品。核心产品提供相同品牌产品且通过资格审查、符合性审查的不同投标人参加同一合同项下投标的，按一家投标人计算，采用最低评标价法则以报价最低者参与评标，采用综合评分法则以评审得分最高者获得中标人推荐资格，采用最低评标价法报价相同的或者采用综合评分法评审得分相同的，按“投标人须知前附表”规定方式确定，确定后其他同品牌投标人投标无效或不作为中标候选人。</w:t>
            </w:r>
          </w:p>
        </w:tc>
      </w:tr>
      <w:tr w14:paraId="48DFF1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atLeast"/>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0275809F">
            <w:pPr>
              <w:keepNext w:val="0"/>
              <w:keepLines w:val="0"/>
              <w:suppressLineNumbers w:val="0"/>
              <w:bidi w:val="0"/>
              <w:spacing w:before="0" w:beforeAutospacing="0" w:after="0" w:afterAutospacing="0"/>
              <w:ind w:left="0" w:leftChars="0" w:right="0" w:rightChars="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10</w:t>
            </w:r>
          </w:p>
        </w:tc>
        <w:tc>
          <w:tcPr>
            <w:tcW w:w="1119" w:type="dxa"/>
            <w:tcBorders>
              <w:left w:val="nil"/>
              <w:right w:val="single" w:color="000000" w:sz="4" w:space="0"/>
            </w:tcBorders>
            <w:shd w:val="clear" w:color="auto" w:fill="auto"/>
            <w:vAlign w:val="center"/>
          </w:tcPr>
          <w:p w14:paraId="4098DDBF">
            <w:pPr>
              <w:keepNext w:val="0"/>
              <w:keepLines w:val="0"/>
              <w:suppressLineNumbers w:val="0"/>
              <w:snapToGrid w:val="0"/>
              <w:spacing w:before="0" w:beforeAutospacing="0" w:after="0" w:afterAutospacing="0" w:line="400" w:lineRule="exact"/>
              <w:ind w:left="0" w:leftChars="0" w:right="0" w:rightChars="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进品产品</w:t>
            </w:r>
          </w:p>
        </w:tc>
        <w:tc>
          <w:tcPr>
            <w:tcW w:w="7772" w:type="dxa"/>
            <w:gridSpan w:val="4"/>
            <w:tcBorders>
              <w:top w:val="single" w:color="000000" w:sz="4" w:space="0"/>
              <w:left w:val="nil"/>
              <w:bottom w:val="single" w:color="000000" w:sz="4" w:space="0"/>
              <w:right w:val="single" w:color="000000" w:sz="4" w:space="0"/>
            </w:tcBorders>
            <w:shd w:val="clear" w:color="auto" w:fill="auto"/>
            <w:vAlign w:val="center"/>
          </w:tcPr>
          <w:p w14:paraId="2F74EE0D">
            <w:pPr>
              <w:pStyle w:val="14"/>
              <w:keepNext w:val="0"/>
              <w:keepLines w:val="0"/>
              <w:suppressLineNumbers w:val="0"/>
              <w:snapToGrid w:val="0"/>
              <w:spacing w:before="0" w:beforeAutospacing="0" w:after="0" w:afterAutospacing="0" w:line="360" w:lineRule="auto"/>
              <w:ind w:left="0" w:leftChars="0" w:right="0" w:rightChars="0"/>
              <w:jc w:val="left"/>
              <w:outlineLvl w:val="0"/>
              <w:rPr>
                <w:rFonts w:hint="eastAsia"/>
                <w:color w:val="auto"/>
                <w:highlight w:val="none"/>
                <w:lang w:val="en-US" w:eastAsia="zh-CN"/>
              </w:rPr>
            </w:pPr>
            <w:r>
              <w:rPr>
                <w:rFonts w:hint="eastAsia" w:ascii="宋体" w:hAnsi="宋体" w:cs="宋体"/>
                <w:color w:val="auto"/>
                <w:sz w:val="21"/>
                <w:szCs w:val="21"/>
                <w:highlight w:val="none"/>
                <w:lang w:val="en-US" w:eastAsia="zh-CN"/>
              </w:rPr>
              <w:t xml:space="preserve">是否接受进口产品: </w:t>
            </w:r>
            <w:r>
              <w:rPr>
                <w:rFonts w:hint="eastAsia" w:hAnsi="宋体" w:cs="宋体"/>
                <w:color w:val="auto"/>
                <w:sz w:val="21"/>
                <w:szCs w:val="21"/>
                <w:highlight w:val="none"/>
                <w:lang w:val="en-US" w:eastAsia="zh-CN"/>
              </w:rPr>
              <w:t>不</w:t>
            </w:r>
            <w:r>
              <w:rPr>
                <w:rFonts w:hint="eastAsia" w:hAnsi="宋体" w:cs="宋体"/>
                <w:b/>
                <w:bCs/>
                <w:color w:val="auto"/>
                <w:kern w:val="2"/>
                <w:sz w:val="21"/>
                <w:szCs w:val="21"/>
                <w:highlight w:val="none"/>
                <w:lang w:val="en-US" w:eastAsia="zh-CN" w:bidi="ar"/>
              </w:rPr>
              <w:t>接受。</w:t>
            </w:r>
          </w:p>
        </w:tc>
      </w:tr>
      <w:tr w14:paraId="7FF207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166FAA6D">
            <w:pPr>
              <w:keepNext w:val="0"/>
              <w:keepLines w:val="0"/>
              <w:suppressLineNumbers w:val="0"/>
              <w:bidi w:val="0"/>
              <w:spacing w:before="0" w:beforeAutospacing="0" w:after="0" w:afterAutospacing="0"/>
              <w:ind w:left="0" w:leftChars="0" w:right="0" w:rightChars="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119" w:type="dxa"/>
            <w:tcBorders>
              <w:left w:val="nil"/>
              <w:right w:val="single" w:color="000000" w:sz="4" w:space="0"/>
            </w:tcBorders>
            <w:shd w:val="clear" w:color="auto" w:fill="auto"/>
            <w:vAlign w:val="center"/>
          </w:tcPr>
          <w:p w14:paraId="3B57F7D5">
            <w:pPr>
              <w:keepNext w:val="0"/>
              <w:keepLines w:val="0"/>
              <w:suppressLineNumbers w:val="0"/>
              <w:snapToGrid w:val="0"/>
              <w:spacing w:before="0" w:beforeAutospacing="0" w:after="0" w:afterAutospacing="0" w:line="400" w:lineRule="exact"/>
              <w:ind w:left="0" w:leftChars="0" w:right="0" w:rightChars="0"/>
              <w:jc w:val="center"/>
              <w:rPr>
                <w:rFonts w:hint="eastAsia" w:ascii="宋体" w:hAnsi="宋体" w:cs="宋体"/>
                <w:color w:val="auto"/>
                <w:sz w:val="21"/>
                <w:szCs w:val="21"/>
                <w:highlight w:val="none"/>
                <w:lang w:val="en-US" w:eastAsia="zh-CN"/>
              </w:rPr>
            </w:pPr>
            <w:r>
              <w:rPr>
                <w:rFonts w:hint="eastAsia" w:ascii="宋体" w:hAnsi="宋体"/>
                <w:color w:val="auto"/>
                <w:szCs w:val="21"/>
                <w:highlight w:val="none"/>
              </w:rPr>
              <w:t>其他</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43ABF661">
            <w:pPr>
              <w:keepNext w:val="0"/>
              <w:keepLines w:val="0"/>
              <w:suppressLineNumbers w:val="0"/>
              <w:spacing w:before="0" w:beforeAutospacing="0" w:after="0" w:afterAutospacing="0" w:line="360" w:lineRule="exact"/>
              <w:ind w:left="0" w:right="0"/>
              <w:rPr>
                <w:rFonts w:hint="eastAsia" w:ascii="宋体" w:hAnsi="宋体"/>
                <w:color w:val="auto"/>
                <w:szCs w:val="21"/>
                <w:highlight w:val="none"/>
              </w:rPr>
            </w:pPr>
            <w:r>
              <w:rPr>
                <w:rFonts w:hint="eastAsia" w:ascii="宋体" w:hAnsi="宋体"/>
                <w:color w:val="auto"/>
                <w:szCs w:val="21"/>
                <w:highlight w:val="none"/>
                <w:lang w:val="en-US" w:eastAsia="zh-CN"/>
              </w:rPr>
              <w:t>1</w:t>
            </w:r>
            <w:r>
              <w:rPr>
                <w:rFonts w:hint="eastAsia" w:ascii="宋体" w:hAnsi="宋体"/>
                <w:color w:val="auto"/>
                <w:szCs w:val="21"/>
                <w:highlight w:val="none"/>
              </w:rPr>
              <w:t>.样品递交：否</w:t>
            </w:r>
          </w:p>
          <w:p w14:paraId="4B2DD94F">
            <w:pPr>
              <w:keepNext w:val="0"/>
              <w:keepLines w:val="0"/>
              <w:suppressLineNumbers w:val="0"/>
              <w:snapToGrid w:val="0"/>
              <w:spacing w:before="0" w:beforeAutospacing="0" w:after="0" w:afterAutospacing="0" w:line="360" w:lineRule="exact"/>
              <w:ind w:left="0" w:right="0"/>
              <w:outlineLvl w:val="0"/>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2</w:t>
            </w:r>
            <w:r>
              <w:rPr>
                <w:rFonts w:hint="eastAsia" w:ascii="宋体" w:hAnsi="宋体"/>
                <w:color w:val="auto"/>
                <w:szCs w:val="21"/>
                <w:highlight w:val="none"/>
              </w:rPr>
              <w:t>.是否</w:t>
            </w:r>
            <w:r>
              <w:rPr>
                <w:rFonts w:hint="eastAsia" w:ascii="宋体" w:hAnsi="宋体" w:eastAsia="宋体"/>
                <w:color w:val="auto"/>
                <w:szCs w:val="21"/>
                <w:highlight w:val="none"/>
                <w:lang w:val="en-US" w:eastAsia="zh-CN"/>
              </w:rPr>
              <w:t>组织现场踏勘：否</w:t>
            </w:r>
          </w:p>
          <w:p w14:paraId="0A5F9C3A">
            <w:pPr>
              <w:keepNext w:val="0"/>
              <w:keepLines w:val="0"/>
              <w:suppressLineNumbers w:val="0"/>
              <w:snapToGrid w:val="0"/>
              <w:spacing w:before="0" w:beforeAutospacing="0" w:after="0" w:afterAutospacing="0" w:line="360" w:lineRule="exact"/>
              <w:ind w:left="0" w:right="0"/>
              <w:outlineLvl w:val="0"/>
              <w:rPr>
                <w:rFonts w:hint="eastAsia" w:ascii="宋体" w:hAnsi="宋体" w:eastAsia="宋体"/>
                <w:color w:val="auto"/>
                <w:szCs w:val="21"/>
                <w:highlight w:val="none"/>
                <w:lang w:val="en-US" w:eastAsia="zh-CN"/>
              </w:rPr>
            </w:pPr>
            <w:r>
              <w:rPr>
                <w:rFonts w:hint="eastAsia" w:ascii="宋体" w:hAnsi="宋体" w:eastAsia="宋体"/>
                <w:color w:val="auto"/>
                <w:szCs w:val="21"/>
                <w:highlight w:val="none"/>
                <w:lang w:val="en-US" w:eastAsia="zh-CN"/>
              </w:rPr>
              <w:t>3.现场演示：否</w:t>
            </w:r>
          </w:p>
          <w:p w14:paraId="0B46C5F5">
            <w:pPr>
              <w:keepNext w:val="0"/>
              <w:keepLines w:val="0"/>
              <w:suppressLineNumbers w:val="0"/>
              <w:snapToGrid w:val="0"/>
              <w:spacing w:before="0" w:beforeAutospacing="0" w:after="0" w:afterAutospacing="0" w:line="360" w:lineRule="exact"/>
              <w:ind w:left="0" w:right="0"/>
              <w:outlineLvl w:val="0"/>
              <w:rPr>
                <w:rFonts w:hint="eastAsia" w:ascii="宋体" w:hAnsi="宋体" w:eastAsia="宋体"/>
                <w:color w:val="auto"/>
                <w:szCs w:val="21"/>
                <w:highlight w:val="none"/>
                <w:lang w:val="en-US" w:eastAsia="zh-CN"/>
              </w:rPr>
            </w:pPr>
            <w:r>
              <w:rPr>
                <w:rFonts w:hint="eastAsia" w:ascii="宋体" w:hAnsi="宋体" w:eastAsia="宋体"/>
                <w:color w:val="auto"/>
                <w:szCs w:val="21"/>
                <w:highlight w:val="none"/>
                <w:lang w:val="en-US" w:eastAsia="zh-CN"/>
              </w:rPr>
              <w:t>4. 为保证产品服务质量，供货时必须向采购人提供本项目第1项产品“轮转式切片机”、第2项产品“电致化学发光检测仪”、</w:t>
            </w:r>
            <w:r>
              <w:rPr>
                <w:rFonts w:hint="eastAsia"/>
                <w:color w:val="auto"/>
                <w:highlight w:val="none"/>
                <w:lang w:val="en-US" w:eastAsia="zh-CN"/>
              </w:rPr>
              <w:t>第3项产品“多通道电化学分析仪”、第4项产品“体式显微镜”、第5项产品“立式全温振荡培养箱”、第6项产品“一</w:t>
            </w:r>
            <w:r>
              <w:rPr>
                <w:rFonts w:hint="eastAsia" w:ascii="宋体" w:hAnsi="宋体" w:eastAsia="宋体"/>
                <w:color w:val="auto"/>
                <w:szCs w:val="21"/>
                <w:highlight w:val="none"/>
                <w:lang w:val="en-US" w:eastAsia="zh-CN"/>
              </w:rPr>
              <w:t>键转膜仪”、第7项产品“纯水超纯水一体化系统”、第11项产品“低温超高压细胞破碎仪”、第1</w:t>
            </w:r>
            <w:r>
              <w:rPr>
                <w:rFonts w:hint="eastAsia" w:ascii="宋体" w:hAnsi="宋体"/>
                <w:color w:val="auto"/>
                <w:szCs w:val="21"/>
                <w:highlight w:val="none"/>
                <w:lang w:val="en-US" w:eastAsia="zh-CN"/>
              </w:rPr>
              <w:t>4</w:t>
            </w:r>
            <w:r>
              <w:rPr>
                <w:rFonts w:hint="eastAsia" w:ascii="宋体" w:hAnsi="宋体" w:eastAsia="宋体"/>
                <w:color w:val="auto"/>
                <w:szCs w:val="21"/>
                <w:highlight w:val="none"/>
                <w:lang w:val="en-US" w:eastAsia="zh-CN"/>
              </w:rPr>
              <w:t>项产品“Ⅱ级A2型生物安全柜”、第17项产品“体式显微镜”、第18项产品“检验数字孪生综合实训平台”、第20项产品“脑电生物反馈治疗仪（1拖10）”、第21项产品“脑机接口上下肢康复训练设备”、第22项产品“脑机接口功能外骨骼手训练系统”、第23项产品“脑机康复实验和科研科创交互平台”生产厂家针对本项目本产品出具的售后服务承诺书原件，否则，不予验收。</w:t>
            </w:r>
          </w:p>
          <w:p w14:paraId="0D7CDC30">
            <w:pPr>
              <w:keepNext w:val="0"/>
              <w:keepLines w:val="0"/>
              <w:suppressLineNumbers w:val="0"/>
              <w:spacing w:before="0" w:beforeAutospacing="0" w:after="0" w:afterAutospacing="0" w:line="360" w:lineRule="exact"/>
              <w:ind w:left="0" w:right="0"/>
              <w:rPr>
                <w:rFonts w:hint="default"/>
                <w:color w:val="auto"/>
                <w:highlight w:val="none"/>
                <w:lang w:val="en-US" w:eastAsia="zh-CN"/>
              </w:rPr>
            </w:pPr>
            <w:r>
              <w:rPr>
                <w:rFonts w:hint="eastAsia" w:ascii="宋体" w:hAnsi="宋体" w:eastAsia="宋体"/>
                <w:color w:val="auto"/>
                <w:szCs w:val="21"/>
                <w:highlight w:val="none"/>
                <w:lang w:val="en-US" w:eastAsia="zh-CN"/>
              </w:rPr>
              <w:t>5.对于实行生产许可证制度或者实行强制性产品认证但采购文件中未明确要求投标时必须提交相关证书、并且中标人在投标时也未提供相关证书的产品，在交货时必须向采购人出示相关证书，否则须无条件更换为具有相关证书并且不低于采购要求及响应承诺的产品供货，采购人不再增加任何费用。未按要求供货的将不予验收，由中标人承担相应违约责任。</w:t>
            </w:r>
          </w:p>
        </w:tc>
      </w:tr>
    </w:tbl>
    <w:p w14:paraId="412FDB28">
      <w:pPr>
        <w:rPr>
          <w:rFonts w:hint="eastAsia" w:cs="宋体"/>
          <w:b/>
          <w:bCs/>
          <w:color w:val="auto"/>
          <w:sz w:val="21"/>
          <w:szCs w:val="21"/>
          <w:highlight w:val="none"/>
          <w:lang w:val="en-US" w:eastAsia="zh-CN"/>
        </w:rPr>
      </w:pPr>
      <w:r>
        <w:rPr>
          <w:rFonts w:hint="eastAsia" w:cs="宋体"/>
          <w:b/>
          <w:bCs/>
          <w:color w:val="auto"/>
          <w:sz w:val="21"/>
          <w:szCs w:val="21"/>
          <w:highlight w:val="none"/>
          <w:lang w:val="en-US" w:eastAsia="zh-CN"/>
        </w:rPr>
        <w:br w:type="page"/>
      </w:r>
    </w:p>
    <w:p w14:paraId="0A501231">
      <w:pPr>
        <w:pStyle w:val="2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20"/>
        <w:rPr>
          <w:rFonts w:hint="default" w:ascii="宋体" w:hAnsi="宋体" w:eastAsia="宋体" w:cs="宋体"/>
          <w:b/>
          <w:bCs/>
          <w:color w:val="auto"/>
          <w:sz w:val="21"/>
          <w:szCs w:val="21"/>
          <w:highlight w:val="none"/>
          <w:lang w:val="en-US" w:eastAsia="zh-CN"/>
        </w:rPr>
      </w:pPr>
      <w:r>
        <w:rPr>
          <w:rFonts w:hint="eastAsia" w:cs="宋体"/>
          <w:b/>
          <w:bCs/>
          <w:color w:val="auto"/>
          <w:sz w:val="21"/>
          <w:szCs w:val="21"/>
          <w:highlight w:val="none"/>
          <w:lang w:val="en-US" w:eastAsia="zh-CN"/>
        </w:rPr>
        <w:t>分标3：</w:t>
      </w:r>
    </w:p>
    <w:tbl>
      <w:tblPr>
        <w:tblStyle w:val="28"/>
        <w:tblW w:w="945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62"/>
        <w:gridCol w:w="1119"/>
        <w:gridCol w:w="562"/>
        <w:gridCol w:w="519"/>
        <w:gridCol w:w="5194"/>
        <w:gridCol w:w="1497"/>
      </w:tblGrid>
      <w:tr w14:paraId="45DAD9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5" w:hRule="atLeast"/>
          <w:jc w:val="center"/>
        </w:trPr>
        <w:tc>
          <w:tcPr>
            <w:tcW w:w="9453" w:type="dxa"/>
            <w:gridSpan w:val="6"/>
            <w:tcBorders>
              <w:top w:val="single" w:color="000000" w:sz="4" w:space="0"/>
              <w:left w:val="single" w:color="auto" w:sz="4" w:space="0"/>
              <w:bottom w:val="single" w:color="000000" w:sz="4" w:space="0"/>
              <w:right w:val="single" w:color="000000" w:sz="4" w:space="0"/>
            </w:tcBorders>
            <w:vAlign w:val="center"/>
          </w:tcPr>
          <w:p w14:paraId="07A6EE23">
            <w:pPr>
              <w:keepNext w:val="0"/>
              <w:keepLines w:val="0"/>
              <w:widowControl w:val="0"/>
              <w:suppressLineNumbers w:val="0"/>
              <w:wordWrap/>
              <w:adjustRightInd/>
              <w:snapToGrid/>
              <w:spacing w:before="0" w:beforeAutospacing="0" w:after="0" w:afterAutospacing="0" w:line="320" w:lineRule="exact"/>
              <w:ind w:left="0" w:leftChars="0" w:right="0" w:firstLine="0" w:firstLineChars="0"/>
              <w:jc w:val="center"/>
              <w:textAlignment w:val="auto"/>
              <w:outlineLvl w:val="9"/>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一、技术要求</w:t>
            </w:r>
          </w:p>
        </w:tc>
      </w:tr>
      <w:tr w14:paraId="2541C7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5FD164AE">
            <w:pPr>
              <w:keepNext w:val="0"/>
              <w:keepLines w:val="0"/>
              <w:widowControl w:val="0"/>
              <w:suppressLineNumbers w:val="0"/>
              <w:wordWrap/>
              <w:adjustRightInd/>
              <w:snapToGrid/>
              <w:spacing w:before="0" w:beforeAutospacing="0" w:after="0" w:afterAutospacing="0" w:line="320" w:lineRule="exact"/>
              <w:ind w:left="0" w:leftChars="0" w:right="0" w:rightChars="0" w:firstLine="0" w:firstLineChars="0"/>
              <w:jc w:val="center"/>
              <w:textAlignment w:val="auto"/>
              <w:outlineLvl w:val="9"/>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sz w:val="21"/>
                <w:szCs w:val="21"/>
                <w:highlight w:val="none"/>
              </w:rPr>
              <w:t>序号</w:t>
            </w:r>
          </w:p>
        </w:tc>
        <w:tc>
          <w:tcPr>
            <w:tcW w:w="1119" w:type="dxa"/>
            <w:tcBorders>
              <w:top w:val="single" w:color="000000" w:sz="4" w:space="0"/>
              <w:left w:val="nil"/>
              <w:bottom w:val="single" w:color="000000" w:sz="4" w:space="0"/>
              <w:right w:val="single" w:color="000000" w:sz="4" w:space="0"/>
            </w:tcBorders>
            <w:shd w:val="clear" w:color="auto" w:fill="auto"/>
            <w:vAlign w:val="center"/>
          </w:tcPr>
          <w:p w14:paraId="37EB3AFA">
            <w:pPr>
              <w:keepNext w:val="0"/>
              <w:keepLines w:val="0"/>
              <w:widowControl w:val="0"/>
              <w:suppressLineNumbers w:val="0"/>
              <w:wordWrap/>
              <w:adjustRightInd/>
              <w:snapToGrid/>
              <w:spacing w:before="0" w:beforeAutospacing="0" w:after="0" w:afterAutospacing="0" w:line="320" w:lineRule="exact"/>
              <w:ind w:left="0" w:leftChars="0" w:right="0" w:rightChars="0" w:firstLine="0" w:firstLineChars="0"/>
              <w:jc w:val="center"/>
              <w:textAlignment w:val="auto"/>
              <w:outlineLvl w:val="9"/>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0"/>
                <w:sz w:val="21"/>
                <w:szCs w:val="21"/>
                <w:highlight w:val="none"/>
                <w:lang w:eastAsia="zh-CN"/>
              </w:rPr>
              <w:t>标的</w:t>
            </w:r>
            <w:r>
              <w:rPr>
                <w:rFonts w:hint="eastAsia" w:ascii="宋体" w:hAnsi="宋体" w:eastAsia="宋体" w:cs="宋体"/>
                <w:b/>
                <w:bCs/>
                <w:color w:val="auto"/>
                <w:sz w:val="21"/>
                <w:szCs w:val="21"/>
                <w:highlight w:val="none"/>
              </w:rPr>
              <w:t>名称</w:t>
            </w:r>
          </w:p>
        </w:tc>
        <w:tc>
          <w:tcPr>
            <w:tcW w:w="562" w:type="dxa"/>
            <w:tcBorders>
              <w:top w:val="single" w:color="000000" w:sz="4" w:space="0"/>
              <w:left w:val="nil"/>
              <w:bottom w:val="single" w:color="000000" w:sz="4" w:space="0"/>
              <w:right w:val="single" w:color="000000" w:sz="4" w:space="0"/>
            </w:tcBorders>
            <w:shd w:val="clear" w:color="auto" w:fill="auto"/>
            <w:vAlign w:val="center"/>
          </w:tcPr>
          <w:p w14:paraId="1F713EAE">
            <w:pPr>
              <w:keepNext w:val="0"/>
              <w:keepLines w:val="0"/>
              <w:widowControl w:val="0"/>
              <w:suppressLineNumbers w:val="0"/>
              <w:wordWrap/>
              <w:adjustRightInd/>
              <w:snapToGrid/>
              <w:spacing w:before="0" w:beforeAutospacing="0" w:after="0" w:afterAutospacing="0" w:line="320" w:lineRule="exact"/>
              <w:ind w:left="0" w:leftChars="0" w:right="0" w:rightChars="0" w:firstLine="0" w:firstLineChars="0"/>
              <w:jc w:val="center"/>
              <w:textAlignment w:val="auto"/>
              <w:outlineLvl w:val="9"/>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sz w:val="21"/>
                <w:szCs w:val="21"/>
                <w:highlight w:val="none"/>
              </w:rPr>
              <w:t>数量</w:t>
            </w:r>
          </w:p>
        </w:tc>
        <w:tc>
          <w:tcPr>
            <w:tcW w:w="519" w:type="dxa"/>
            <w:tcBorders>
              <w:top w:val="single" w:color="000000" w:sz="4" w:space="0"/>
              <w:left w:val="nil"/>
              <w:bottom w:val="single" w:color="000000" w:sz="4" w:space="0"/>
              <w:right w:val="single" w:color="000000" w:sz="4" w:space="0"/>
            </w:tcBorders>
            <w:shd w:val="clear" w:color="auto" w:fill="auto"/>
            <w:vAlign w:val="center"/>
          </w:tcPr>
          <w:p w14:paraId="1C83E8D9">
            <w:pPr>
              <w:keepNext w:val="0"/>
              <w:keepLines w:val="0"/>
              <w:widowControl w:val="0"/>
              <w:suppressLineNumbers w:val="0"/>
              <w:wordWrap/>
              <w:adjustRightInd/>
              <w:snapToGrid/>
              <w:spacing w:before="0" w:beforeAutospacing="0" w:after="0" w:afterAutospacing="0" w:line="320" w:lineRule="exact"/>
              <w:ind w:left="0" w:leftChars="0" w:right="0" w:rightChars="0" w:firstLine="0" w:firstLineChars="0"/>
              <w:jc w:val="center"/>
              <w:textAlignment w:val="auto"/>
              <w:outlineLvl w:val="9"/>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sz w:val="21"/>
                <w:szCs w:val="21"/>
                <w:highlight w:val="none"/>
              </w:rPr>
              <w:t>单位</w:t>
            </w:r>
          </w:p>
        </w:tc>
        <w:tc>
          <w:tcPr>
            <w:tcW w:w="5194" w:type="dxa"/>
            <w:tcBorders>
              <w:top w:val="single" w:color="000000" w:sz="4" w:space="0"/>
              <w:left w:val="nil"/>
              <w:bottom w:val="single" w:color="000000" w:sz="4" w:space="0"/>
              <w:right w:val="single" w:color="auto" w:sz="4" w:space="0"/>
            </w:tcBorders>
            <w:shd w:val="clear" w:color="auto" w:fill="auto"/>
            <w:vAlign w:val="center"/>
          </w:tcPr>
          <w:p w14:paraId="5908E33D">
            <w:pPr>
              <w:keepNext w:val="0"/>
              <w:keepLines w:val="0"/>
              <w:widowControl w:val="0"/>
              <w:suppressLineNumbers w:val="0"/>
              <w:wordWrap/>
              <w:adjustRightInd/>
              <w:snapToGrid/>
              <w:spacing w:before="0" w:beforeAutospacing="0" w:after="0" w:afterAutospacing="0" w:line="320" w:lineRule="exact"/>
              <w:ind w:left="0" w:leftChars="0" w:right="0" w:rightChars="0" w:firstLine="0" w:firstLineChars="0"/>
              <w:jc w:val="center"/>
              <w:textAlignment w:val="auto"/>
              <w:outlineLvl w:val="9"/>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技术参数及性能（配置）要求</w:t>
            </w:r>
          </w:p>
        </w:tc>
        <w:tc>
          <w:tcPr>
            <w:tcW w:w="1497" w:type="dxa"/>
            <w:tcBorders>
              <w:top w:val="single" w:color="000000" w:sz="4" w:space="0"/>
              <w:left w:val="single" w:color="auto" w:sz="4" w:space="0"/>
              <w:bottom w:val="single" w:color="000000" w:sz="4" w:space="0"/>
              <w:right w:val="single" w:color="000000" w:sz="4" w:space="0"/>
            </w:tcBorders>
            <w:shd w:val="clear" w:color="auto" w:fill="auto"/>
            <w:vAlign w:val="center"/>
          </w:tcPr>
          <w:p w14:paraId="712F7E54">
            <w:pPr>
              <w:keepNext w:val="0"/>
              <w:keepLines w:val="0"/>
              <w:widowControl w:val="0"/>
              <w:suppressLineNumbers w:val="0"/>
              <w:wordWrap/>
              <w:adjustRightInd/>
              <w:snapToGrid/>
              <w:spacing w:before="0" w:beforeAutospacing="0" w:after="0" w:afterAutospacing="0" w:line="320" w:lineRule="exact"/>
              <w:ind w:left="0" w:leftChars="0" w:right="0" w:rightChars="0" w:firstLine="0" w:firstLineChars="0"/>
              <w:jc w:val="center"/>
              <w:textAlignment w:val="auto"/>
              <w:outlineLvl w:val="9"/>
              <w:rPr>
                <w:rFonts w:hint="eastAsia" w:ascii="宋体" w:hAnsi="宋体" w:eastAsia="宋体" w:cs="宋体"/>
                <w:b/>
                <w:bCs/>
                <w:color w:val="auto"/>
                <w:sz w:val="21"/>
                <w:szCs w:val="21"/>
                <w:highlight w:val="none"/>
                <w:lang w:eastAsia="zh-CN"/>
              </w:rPr>
            </w:pPr>
            <w:r>
              <w:rPr>
                <w:rFonts w:hint="eastAsia" w:ascii="宋体" w:hAnsi="宋体" w:cs="宋体"/>
                <w:b/>
                <w:bCs/>
                <w:color w:val="auto"/>
                <w:sz w:val="21"/>
                <w:szCs w:val="21"/>
                <w:highlight w:val="none"/>
                <w:lang w:eastAsia="zh-CN"/>
              </w:rPr>
              <w:t>采购标的对应中小企业划分所属行业</w:t>
            </w:r>
          </w:p>
        </w:tc>
      </w:tr>
      <w:tr w14:paraId="614BEA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0D36A4C0">
            <w:pPr>
              <w:keepNext w:val="0"/>
              <w:keepLines w:val="0"/>
              <w:suppressLineNumbers w:val="0"/>
              <w:wordWrap w:val="0"/>
              <w:spacing w:before="0" w:beforeAutospacing="0" w:after="0" w:afterAutospacing="0" w:line="240" w:lineRule="auto"/>
              <w:ind w:left="0" w:right="0"/>
              <w:jc w:val="both"/>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1</w:t>
            </w:r>
          </w:p>
        </w:tc>
        <w:tc>
          <w:tcPr>
            <w:tcW w:w="1119" w:type="dxa"/>
            <w:tcBorders>
              <w:top w:val="single" w:color="000000" w:sz="4" w:space="0"/>
              <w:left w:val="nil"/>
              <w:bottom w:val="single" w:color="000000" w:sz="4" w:space="0"/>
              <w:right w:val="single" w:color="000000" w:sz="4" w:space="0"/>
            </w:tcBorders>
            <w:shd w:val="clear" w:color="auto" w:fill="auto"/>
            <w:vAlign w:val="center"/>
          </w:tcPr>
          <w:p w14:paraId="50AF5F94">
            <w:pPr>
              <w:keepNext w:val="0"/>
              <w:keepLines w:val="0"/>
              <w:suppressLineNumbers w:val="0"/>
              <w:wordWrap w:val="0"/>
              <w:spacing w:before="0" w:beforeAutospacing="0" w:after="0" w:afterAutospacing="0" w:line="240" w:lineRule="auto"/>
              <w:ind w:left="0" w:right="0"/>
              <w:jc w:val="both"/>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右江民族医学院医疗数据湖及分析平台</w:t>
            </w:r>
          </w:p>
        </w:tc>
        <w:tc>
          <w:tcPr>
            <w:tcW w:w="562" w:type="dxa"/>
            <w:tcBorders>
              <w:top w:val="single" w:color="000000" w:sz="4" w:space="0"/>
              <w:left w:val="nil"/>
              <w:bottom w:val="single" w:color="000000" w:sz="4" w:space="0"/>
              <w:right w:val="single" w:color="000000" w:sz="4" w:space="0"/>
            </w:tcBorders>
            <w:shd w:val="clear" w:color="auto" w:fill="auto"/>
            <w:vAlign w:val="center"/>
          </w:tcPr>
          <w:p w14:paraId="2CCE6D42">
            <w:pPr>
              <w:keepNext w:val="0"/>
              <w:keepLines w:val="0"/>
              <w:suppressLineNumbers w:val="0"/>
              <w:wordWrap w:val="0"/>
              <w:spacing w:before="0" w:beforeAutospacing="0" w:after="0" w:afterAutospacing="0" w:line="240" w:lineRule="auto"/>
              <w:ind w:left="0" w:right="0"/>
              <w:jc w:val="both"/>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1</w:t>
            </w:r>
          </w:p>
        </w:tc>
        <w:tc>
          <w:tcPr>
            <w:tcW w:w="519" w:type="dxa"/>
            <w:tcBorders>
              <w:top w:val="single" w:color="000000" w:sz="4" w:space="0"/>
              <w:left w:val="nil"/>
              <w:bottom w:val="single" w:color="000000" w:sz="4" w:space="0"/>
              <w:right w:val="single" w:color="000000" w:sz="4" w:space="0"/>
            </w:tcBorders>
            <w:shd w:val="clear" w:color="auto" w:fill="auto"/>
            <w:vAlign w:val="center"/>
          </w:tcPr>
          <w:p w14:paraId="1E2EC9A5">
            <w:pPr>
              <w:keepNext w:val="0"/>
              <w:keepLines w:val="0"/>
              <w:suppressLineNumbers w:val="0"/>
              <w:wordWrap w:val="0"/>
              <w:spacing w:before="0" w:beforeAutospacing="0" w:after="0" w:afterAutospacing="0" w:line="240" w:lineRule="auto"/>
              <w:ind w:left="0" w:right="0"/>
              <w:jc w:val="both"/>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套</w:t>
            </w:r>
          </w:p>
        </w:tc>
        <w:tc>
          <w:tcPr>
            <w:tcW w:w="5194" w:type="dxa"/>
            <w:tcBorders>
              <w:top w:val="single" w:color="000000" w:sz="4" w:space="0"/>
              <w:left w:val="nil"/>
              <w:bottom w:val="single" w:color="000000" w:sz="4" w:space="0"/>
              <w:right w:val="single" w:color="auto" w:sz="4" w:space="0"/>
            </w:tcBorders>
            <w:shd w:val="clear" w:color="auto" w:fill="auto"/>
            <w:vAlign w:val="center"/>
          </w:tcPr>
          <w:p w14:paraId="0EC210C1">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color w:val="auto"/>
                <w:sz w:val="21"/>
                <w:szCs w:val="21"/>
                <w:highlight w:val="none"/>
              </w:rPr>
              <w:t>一、建设目标</w:t>
            </w:r>
          </w:p>
          <w:p w14:paraId="537D7472">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color w:val="auto"/>
                <w:sz w:val="21"/>
                <w:szCs w:val="21"/>
                <w:highlight w:val="none"/>
              </w:rPr>
            </w:pPr>
            <w:r>
              <w:rPr>
                <w:rFonts w:ascii="Segoe UI" w:hAnsi="Segoe UI" w:eastAsia="Segoe UI" w:cs="Segoe UI"/>
                <w:color w:val="auto"/>
                <w:sz w:val="24"/>
                <w:highlight w:val="none"/>
                <w:shd w:val="clear" w:color="auto" w:fill="FAFAFA"/>
              </w:rPr>
              <w:t>▲</w:t>
            </w:r>
            <w:r>
              <w:rPr>
                <w:rFonts w:hint="eastAsia" w:asciiTheme="minorEastAsia" w:hAnsiTheme="minorEastAsia" w:eastAsiaTheme="minorEastAsia" w:cstheme="minorEastAsia"/>
                <w:color w:val="auto"/>
                <w:sz w:val="21"/>
                <w:szCs w:val="21"/>
                <w:highlight w:val="none"/>
              </w:rPr>
              <w:t>1.建设一套高容量可扩展的数据存储与分析体系：打造湖仓一体化数据中心，支持海量多源数据的统一存储、高效检索和分析查询，适配未来3-5年数据增长趋势。</w:t>
            </w:r>
          </w:p>
          <w:p w14:paraId="25F98F48">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2.标准化数据采集传输：在试点医院部署数据采集前置模块，按统一数据标准规范采集多源异构数据，对敏感数据进行脱敏处理，通过加密通道传输至数据中心，确保数据采集的完整性、安全性与一致性。</w:t>
            </w:r>
          </w:p>
          <w:p w14:paraId="2FF656BA">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color w:val="auto"/>
                <w:sz w:val="21"/>
                <w:szCs w:val="21"/>
                <w:highlight w:val="none"/>
              </w:rPr>
              <w:t>3.建设集数据集成、智能治理、资产化管理、统一服务于一体的医疗数据中台，作为数据中心的核心枢纽，为上层应用提供标准化数据服务和高效、稳定、合规的数据支撑。最终向用户提供科研数据管理、数据安全输出、成果推送、统一查询门户与业务大屏等前端功能。</w:t>
            </w:r>
          </w:p>
          <w:p w14:paraId="1754FFBE">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color w:val="auto"/>
                <w:sz w:val="21"/>
                <w:szCs w:val="21"/>
                <w:highlight w:val="none"/>
              </w:rPr>
              <w:t>二、平台功能要求</w:t>
            </w:r>
          </w:p>
          <w:p w14:paraId="737656CD">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平台应包含以下七大功能板块：</w:t>
            </w:r>
          </w:p>
          <w:p w14:paraId="75438395">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 数据接入板块</w:t>
            </w:r>
          </w:p>
          <w:p w14:paraId="5E96D9EC">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（1）数据采集：支持在医院侧部署前置采集模块，实现HIS、LIS、PACS等多源异构数据的自动采集；</w:t>
            </w:r>
          </w:p>
          <w:p w14:paraId="23D1BD72">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（2）数据脱敏：针对采集到的敏感数据（如患者身份信息、诊断信息等），提供自动化的数据脱敏处理功能；</w:t>
            </w:r>
          </w:p>
          <w:p w14:paraId="4876EA0D">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（3）加密传输：支持通过加密通道将脱敏后的数据安全传输至数据中心，支持多条加密数据流的并发处理；</w:t>
            </w:r>
          </w:p>
          <w:p w14:paraId="6A57C1DA">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（4）数据入库：支持将解密后的数据自动加载至数据存储层，完成数据的标准化入库。</w:t>
            </w:r>
          </w:p>
          <w:p w14:paraId="6EA30BB9">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color w:val="auto"/>
                <w:sz w:val="21"/>
                <w:szCs w:val="21"/>
                <w:highlight w:val="none"/>
              </w:rPr>
            </w:pPr>
            <w:r>
              <w:rPr>
                <w:rFonts w:ascii="Segoe UI" w:hAnsi="Segoe UI" w:eastAsia="Segoe UI" w:cs="Segoe UI"/>
                <w:color w:val="auto"/>
                <w:sz w:val="24"/>
                <w:highlight w:val="none"/>
                <w:shd w:val="clear" w:color="auto" w:fill="FAFAFA"/>
              </w:rPr>
              <w:t>▲</w:t>
            </w:r>
            <w:r>
              <w:rPr>
                <w:rFonts w:hint="eastAsia" w:asciiTheme="minorEastAsia" w:hAnsiTheme="minorEastAsia" w:eastAsiaTheme="minorEastAsia" w:cstheme="minorEastAsia"/>
                <w:color w:val="auto"/>
                <w:sz w:val="21"/>
                <w:szCs w:val="21"/>
                <w:highlight w:val="none"/>
              </w:rPr>
              <w:t>2. 湖仓数据平台</w:t>
            </w:r>
          </w:p>
          <w:p w14:paraId="1C736A1B">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（1）数据存储：支持海量原始数据和半结构化文件的持久化存储，具备高可靠读写能力；</w:t>
            </w:r>
          </w:p>
          <w:p w14:paraId="1A3C1841">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（2）数据表管理：支持结构化数据表的ACID事务、Schema演进和时间旅行等高级数据管理功能；</w:t>
            </w:r>
          </w:p>
          <w:p w14:paraId="195BFA0C">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（3）跨源查询：支持跨多种数据源（分布式文件存储、关系型数据库、数据表等）进行并行实时查询分析；</w:t>
            </w:r>
          </w:p>
          <w:p w14:paraId="4733FE82">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（4）关系型数据库：提供关系型数据库用于存储元数据配置、业务明细和查询结果等结构化数据；</w:t>
            </w:r>
          </w:p>
          <w:p w14:paraId="4BFB57AF">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（5）元数据管理：提供数据目录与元数据管理平台，实现数据资产的统一治理，支持数据资产登记、血缘追踪和数据字典管理；</w:t>
            </w:r>
          </w:p>
          <w:p w14:paraId="784C914C">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（6）全文检索：提供全文检索与多维检索引擎，支持对日志、标签、元数据、非结构化文本的快速检索和过滤。</w:t>
            </w:r>
          </w:p>
          <w:p w14:paraId="11CA160E">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Cs w:val="21"/>
                <w:highlight w:val="none"/>
              </w:rPr>
              <w:t>（7）医疗数据标准支持：支持国家卫生健康委发布的医疗行业数据标准（病案首页、电子病历、电子健康档案等基础数据集），提供数据元标准映射、值域校验，以及ICD-10/ICD-11疾病编码、手术操作编码等专业编码体系支持。</w:t>
            </w:r>
          </w:p>
          <w:p w14:paraId="74EC64F7">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color w:val="auto"/>
                <w:sz w:val="21"/>
                <w:szCs w:val="21"/>
                <w:highlight w:val="none"/>
              </w:rPr>
            </w:pPr>
            <w:r>
              <w:rPr>
                <w:rFonts w:ascii="Segoe UI" w:hAnsi="Segoe UI" w:eastAsia="Segoe UI" w:cs="Segoe UI"/>
                <w:color w:val="auto"/>
                <w:sz w:val="24"/>
                <w:highlight w:val="none"/>
                <w:shd w:val="clear" w:color="auto" w:fill="FAFAFA"/>
              </w:rPr>
              <w:t>▲</w:t>
            </w:r>
            <w:r>
              <w:rPr>
                <w:rFonts w:hint="eastAsia" w:asciiTheme="minorEastAsia" w:hAnsiTheme="minorEastAsia" w:eastAsiaTheme="minorEastAsia" w:cstheme="minorEastAsia"/>
                <w:color w:val="auto"/>
                <w:sz w:val="21"/>
                <w:szCs w:val="21"/>
                <w:highlight w:val="none"/>
              </w:rPr>
              <w:t>3. 安全运维管理</w:t>
            </w:r>
          </w:p>
          <w:p w14:paraId="317C196D">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（1）系统安全管理：提供统一的安全管理平台，涵盖日志审计、系统扫描、Web安全监控、数据库安全扫描、主机和网络基线配置核查等功能，满足信息系统安全等级保护相关要求；</w:t>
            </w:r>
          </w:p>
          <w:p w14:paraId="14F046FB">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（2）访问控制：支持终端用户通过受控的远程访问方式（如云桌面）接入系统，避免直接访问数据湖带来的安全风险。</w:t>
            </w:r>
          </w:p>
          <w:p w14:paraId="7DF2B980">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 科研项目与数据切片管理</w:t>
            </w:r>
          </w:p>
          <w:p w14:paraId="5E8074F0">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（1）科研项目管理：支持科研项目基本信息管理，包括项目编号、负责人、成员、研究目的、伦理编号、起止日期、项目状态等；</w:t>
            </w:r>
          </w:p>
          <w:p w14:paraId="4A5D7C40">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（2）数据资产选择：支持基于数据目录选择所需的数据表、字段、标签等数据资产；</w:t>
            </w:r>
          </w:p>
          <w:p w14:paraId="0BB14B56">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（3）切片定义与生成：支持按医院、科室、日期、疾病、字段等维度配置数据切片，生成脱敏后的科研数据副本，确保原始数据不被直接访问；</w:t>
            </w:r>
          </w:p>
          <w:p w14:paraId="04229C4A">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（4）申请与审批：支持按数据等级、敏感字段和用途选择审批路径，提供多级审批流程；</w:t>
            </w:r>
          </w:p>
          <w:p w14:paraId="47294720">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（5）权限联动：支持与数据查询引擎的权限体系联动，设置数据访问有效期并自动回收权限；</w:t>
            </w:r>
          </w:p>
          <w:p w14:paraId="1D752EFD">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color w:val="auto"/>
                <w:sz w:val="21"/>
                <w:szCs w:val="21"/>
                <w:highlight w:val="none"/>
              </w:rPr>
              <w:t>（6）资产登记：支持将科研切片信息同步至数据资产目录进行统一管理。</w:t>
            </w:r>
          </w:p>
          <w:p w14:paraId="59F9CC70">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 数据安全输出与带出管理</w:t>
            </w:r>
          </w:p>
          <w:p w14:paraId="50599673">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（1）安全边界校验：确认待输出数据已完成院前脱敏处理，校验不合格的数据禁止进入输出流程；</w:t>
            </w:r>
          </w:p>
          <w:p w14:paraId="0A743C4D">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（2）输出策略：支持字段最小化、精度降低、分组聚合、小样本抑制、极值处理等数据脱敏策略配置；</w:t>
            </w:r>
          </w:p>
          <w:p w14:paraId="0C569CB3">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（3）带出申请与审批：支持绑定科研项目发起带出申请，配置输出字段、接收人和有效期，提供自动风险检查和多级审批；</w:t>
            </w:r>
          </w:p>
          <w:p w14:paraId="0A3A3E83">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color w:val="auto"/>
                <w:sz w:val="21"/>
                <w:szCs w:val="21"/>
                <w:highlight w:val="none"/>
              </w:rPr>
              <w:t>（4）文件封装与下载：支持导出CSV/Excel/PDF等格式，支持动态水印、文件加密、下载次数和时限限制等安全管控。</w:t>
            </w:r>
          </w:p>
          <w:p w14:paraId="12381D5B">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 成果推送与外部接口</w:t>
            </w:r>
          </w:p>
          <w:p w14:paraId="44250DCA">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（1）数据产品管理：支持管理数据产品名称、口径、SQL版本、参数、责任人和审批状态；</w:t>
            </w:r>
          </w:p>
          <w:p w14:paraId="62848BB1">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（2）接口目录：支持管理外部系统的接口信息（地址、协议、认证、证书、字段映射、安全级别等）；</w:t>
            </w:r>
          </w:p>
          <w:p w14:paraId="3FB1A876">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（3）推送计划：支持定时、手工、全量、增量、批量、分页和文件推送等多种推送方式；</w:t>
            </w:r>
          </w:p>
          <w:p w14:paraId="76C115BE">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（4）安全封装：支持接口调用的签名、加密、摘要、时间戳和请求防重放等安全机制；</w:t>
            </w:r>
          </w:p>
          <w:p w14:paraId="14D7A887">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（5）执行与重试：支持超时处理、断点续传和失败队列管理；</w:t>
            </w:r>
          </w:p>
          <w:p w14:paraId="38F504B4">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color w:val="auto"/>
                <w:sz w:val="21"/>
                <w:szCs w:val="21"/>
                <w:highlight w:val="none"/>
              </w:rPr>
              <w:t>（6）回执与对账：支持记录推送响应、接收数量、拒绝明细等，提供推送监控统计。</w:t>
            </w:r>
          </w:p>
          <w:p w14:paraId="7E9725A8">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 查询门户与业务大屏</w:t>
            </w:r>
          </w:p>
          <w:p w14:paraId="510FC863">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（1）统一首页：按角色展示待办事项、异常告警、关键指标和常用功能入口；</w:t>
            </w:r>
          </w:p>
          <w:p w14:paraId="12923720">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（2）数据查询：支持组合条件查询、保存查询模板、异步执行、分页预览、敏感数据掩码和结果复用；</w:t>
            </w:r>
          </w:p>
          <w:p w14:paraId="6920FF73">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（3）统计分析：支持围绕业务指标提供趋势分析、同比环比、多维分布统计和报表导出；</w:t>
            </w:r>
          </w:p>
          <w:p w14:paraId="68CADDFB">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（4）业务大屏：支持数据接入量、数据质量、治理进度、资产统计、科研项目、推送状态等业务指标的可视化展示。</w:t>
            </w:r>
          </w:p>
          <w:p w14:paraId="44E86D64">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三、技术服务支持</w:t>
            </w:r>
          </w:p>
          <w:p w14:paraId="4F0991ED">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1.维护范围包含软件所有功能模块的bug修复、版本升级及平台功能的日常运维支持；</w:t>
            </w:r>
          </w:p>
          <w:p w14:paraId="2F841A24">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color w:val="auto"/>
                <w:sz w:val="21"/>
                <w:szCs w:val="21"/>
                <w:highlight w:val="none"/>
              </w:rPr>
            </w:pPr>
            <w:r>
              <w:rPr>
                <w:rFonts w:ascii="Segoe UI" w:hAnsi="Segoe UI" w:eastAsia="Segoe UI" w:cs="Segoe UI"/>
                <w:color w:val="auto"/>
                <w:sz w:val="24"/>
                <w:highlight w:val="none"/>
                <w:shd w:val="clear" w:color="auto" w:fill="FAFAFA"/>
              </w:rPr>
              <w:t>▲</w:t>
            </w:r>
            <w:r>
              <w:rPr>
                <w:rFonts w:hint="eastAsia" w:asciiTheme="minorEastAsia" w:hAnsiTheme="minorEastAsia" w:eastAsiaTheme="minorEastAsia" w:cstheme="minorEastAsia"/>
                <w:color w:val="auto"/>
                <w:sz w:val="21"/>
                <w:szCs w:val="21"/>
                <w:highlight w:val="none"/>
              </w:rPr>
              <w:t>2.建立7×24小时监控机制，对平台服务器负载、存储容量、网络带宽、数据库性能等关键指标进行监测；</w:t>
            </w:r>
          </w:p>
          <w:p w14:paraId="3FC41ECC">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3.针对异常情况确保在30分钟内被响应，1小时内启动排查流程，8小时内解决一般问题，提供平台操作的免费咨询；</w:t>
            </w:r>
          </w:p>
          <w:p w14:paraId="28BC092D">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4.定期进行系统巡检，包括软件功能模块运行状态、硬件资源适配性等，形成巡检报告并记录优化建议；</w:t>
            </w:r>
          </w:p>
          <w:p w14:paraId="655B0EA1">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5.维保期满后可协商进行付费维保。</w:t>
            </w:r>
          </w:p>
          <w:p w14:paraId="4BEC9EE4">
            <w:pPr>
              <w:keepNext w:val="0"/>
              <w:keepLines w:val="0"/>
              <w:suppressLineNumbers w:val="0"/>
              <w:spacing w:before="0" w:beforeAutospacing="0" w:after="0" w:afterAutospacing="0"/>
              <w:ind w:left="0" w:right="0"/>
              <w:rPr>
                <w:rFonts w:asciiTheme="minorEastAsia" w:hAnsiTheme="minorEastAsia" w:eastAsiaTheme="minorEastAsia" w:cstheme="minorEastAsia"/>
                <w:color w:val="auto"/>
                <w:szCs w:val="21"/>
                <w:highlight w:val="none"/>
              </w:rPr>
            </w:pPr>
            <w:r>
              <w:rPr>
                <w:rFonts w:ascii="Segoe UI" w:hAnsi="Segoe UI" w:eastAsia="Segoe UI" w:cs="Segoe UI"/>
                <w:color w:val="auto"/>
                <w:sz w:val="24"/>
                <w:highlight w:val="none"/>
                <w:shd w:val="clear" w:color="auto" w:fill="FAFAFA"/>
              </w:rPr>
              <w:t>▲</w:t>
            </w:r>
            <w:r>
              <w:rPr>
                <w:rFonts w:hint="eastAsia" w:asciiTheme="minorEastAsia" w:hAnsiTheme="minorEastAsia" w:eastAsiaTheme="minorEastAsia" w:cstheme="minorEastAsia"/>
                <w:color w:val="auto"/>
                <w:szCs w:val="21"/>
                <w:highlight w:val="none"/>
                <w:lang w:val="en-US" w:eastAsia="zh-CN"/>
              </w:rPr>
              <w:t>6</w:t>
            </w:r>
            <w:r>
              <w:rPr>
                <w:rFonts w:hint="eastAsia" w:asciiTheme="minorEastAsia" w:hAnsiTheme="minorEastAsia" w:eastAsiaTheme="minorEastAsia" w:cstheme="minorEastAsia"/>
                <w:color w:val="auto"/>
                <w:szCs w:val="21"/>
                <w:highlight w:val="none"/>
              </w:rPr>
              <w:t>.免费升级：维保期内提供软件免费升级服务，并明确升级范围不含新增功能。</w:t>
            </w:r>
          </w:p>
          <w:p w14:paraId="6D2D41D8">
            <w:pPr>
              <w:keepNext w:val="0"/>
              <w:keepLines w:val="0"/>
              <w:suppressLineNumbers w:val="0"/>
              <w:spacing w:before="0" w:beforeAutospacing="0" w:after="0" w:afterAutospacing="0" w:line="240" w:lineRule="auto"/>
              <w:ind w:left="0" w:right="0"/>
              <w:jc w:val="left"/>
              <w:rPr>
                <w:rFonts w:hint="eastAsia" w:asciiTheme="minorEastAsia" w:hAnsiTheme="minorEastAsia" w:eastAsiaTheme="minorEastAsia" w:cstheme="minorEastAsia"/>
                <w:color w:val="auto"/>
                <w:sz w:val="21"/>
                <w:szCs w:val="21"/>
                <w:highlight w:val="none"/>
              </w:rPr>
            </w:pPr>
            <w:r>
              <w:rPr>
                <w:rFonts w:ascii="Segoe UI" w:hAnsi="Segoe UI" w:eastAsia="Segoe UI" w:cs="Segoe UI"/>
                <w:color w:val="auto"/>
                <w:sz w:val="24"/>
                <w:highlight w:val="none"/>
                <w:shd w:val="clear" w:color="auto" w:fill="FAFAFA"/>
              </w:rPr>
              <w:t>▲</w:t>
            </w:r>
            <w:r>
              <w:rPr>
                <w:rFonts w:hint="eastAsia" w:asciiTheme="minorEastAsia" w:hAnsiTheme="minorEastAsia" w:eastAsiaTheme="minorEastAsia" w:cstheme="minorEastAsia"/>
                <w:color w:val="auto"/>
                <w:szCs w:val="21"/>
                <w:highlight w:val="none"/>
                <w:lang w:val="en-US" w:eastAsia="zh-CN"/>
              </w:rPr>
              <w:t>7</w:t>
            </w:r>
            <w:r>
              <w:rPr>
                <w:rFonts w:hint="eastAsia" w:asciiTheme="minorEastAsia" w:hAnsiTheme="minorEastAsia" w:eastAsiaTheme="minorEastAsia" w:cstheme="minorEastAsia"/>
                <w:color w:val="auto"/>
                <w:szCs w:val="21"/>
                <w:highlight w:val="none"/>
              </w:rPr>
              <w:t>.提供全套源代码：项目验收后10个工作日内，提供项目的全套源代码。</w:t>
            </w:r>
          </w:p>
          <w:p w14:paraId="66346264">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四、配套培训服务要求</w:t>
            </w:r>
          </w:p>
          <w:p w14:paraId="24455771">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color w:val="auto"/>
                <w:sz w:val="21"/>
                <w:szCs w:val="21"/>
                <w:highlight w:val="none"/>
              </w:rPr>
            </w:pPr>
            <w:r>
              <w:rPr>
                <w:rFonts w:ascii="Segoe UI" w:hAnsi="Segoe UI" w:eastAsia="Segoe UI" w:cs="Segoe UI"/>
                <w:color w:val="auto"/>
                <w:sz w:val="24"/>
                <w:highlight w:val="none"/>
                <w:shd w:val="clear" w:color="auto" w:fill="FAFAFA"/>
              </w:rPr>
              <w:t>▲</w:t>
            </w:r>
            <w:r>
              <w:rPr>
                <w:rFonts w:hint="eastAsia" w:asciiTheme="minorEastAsia" w:hAnsiTheme="minorEastAsia" w:eastAsiaTheme="minorEastAsia" w:cstheme="minorEastAsia"/>
                <w:color w:val="auto"/>
                <w:sz w:val="21"/>
                <w:szCs w:val="21"/>
                <w:highlight w:val="none"/>
              </w:rPr>
              <w:t>1.培训内容至少包括：系统操作培训、运维相关培训（角色配置、权限管理、日志审查等）、数据库相关培训（数据库系统应用与简单管理）；</w:t>
            </w:r>
          </w:p>
          <w:p w14:paraId="1B9F7B0A">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color w:val="auto"/>
                <w:sz w:val="21"/>
                <w:szCs w:val="21"/>
                <w:highlight w:val="none"/>
              </w:rPr>
            </w:pPr>
            <w:r>
              <w:rPr>
                <w:rFonts w:ascii="Segoe UI" w:hAnsi="Segoe UI" w:eastAsia="Segoe UI" w:cs="Segoe UI"/>
                <w:color w:val="auto"/>
                <w:sz w:val="24"/>
                <w:highlight w:val="none"/>
                <w:shd w:val="clear" w:color="auto" w:fill="FAFAFA"/>
              </w:rPr>
              <w:t>▲</w:t>
            </w:r>
            <w:r>
              <w:rPr>
                <w:rFonts w:hint="eastAsia" w:asciiTheme="minorEastAsia" w:hAnsiTheme="minorEastAsia" w:eastAsiaTheme="minorEastAsia" w:cstheme="minorEastAsia"/>
                <w:color w:val="auto"/>
                <w:sz w:val="21"/>
                <w:szCs w:val="21"/>
                <w:highlight w:val="none"/>
              </w:rPr>
              <w:t>2.培训总学时不少于16学时（约2天），培训人数由采购</w:t>
            </w:r>
            <w:r>
              <w:rPr>
                <w:rFonts w:hint="eastAsia" w:asciiTheme="minorEastAsia" w:hAnsiTheme="minorEastAsia" w:eastAsiaTheme="minorEastAsia" w:cstheme="minorEastAsia"/>
                <w:color w:val="auto"/>
                <w:sz w:val="21"/>
                <w:szCs w:val="21"/>
                <w:highlight w:val="none"/>
                <w:lang w:val="en-US" w:eastAsia="zh-CN"/>
              </w:rPr>
              <w:t>人确</w:t>
            </w:r>
            <w:r>
              <w:rPr>
                <w:rFonts w:hint="eastAsia" w:asciiTheme="minorEastAsia" w:hAnsiTheme="minorEastAsia" w:eastAsiaTheme="minorEastAsia" w:cstheme="minorEastAsia"/>
                <w:color w:val="auto"/>
                <w:sz w:val="21"/>
                <w:szCs w:val="21"/>
                <w:highlight w:val="none"/>
              </w:rPr>
              <w:t>定，不限人数，采用理论研修和实践培训相结合，在约定时间内一次性完成；</w:t>
            </w:r>
          </w:p>
          <w:p w14:paraId="4A1402A3">
            <w:pPr>
              <w:keepNext w:val="0"/>
              <w:keepLines w:val="0"/>
              <w:suppressLineNumbers w:val="0"/>
              <w:spacing w:before="0" w:beforeAutospacing="0" w:after="0" w:afterAutospacing="0" w:line="240" w:lineRule="auto"/>
              <w:ind w:left="0" w:right="0"/>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3.培训地点：右江民族医学院东盟创新创业中心；</w:t>
            </w:r>
          </w:p>
          <w:p w14:paraId="046B0335">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0" w:firstLineChars="0"/>
              <w:jc w:val="left"/>
              <w:textAlignment w:val="auto"/>
              <w:rPr>
                <w:rFonts w:hint="eastAsia" w:ascii="Times New Roman" w:hAnsi="Times New Roman" w:cs="Times New Roman" w:eastAsiaTheme="minorEastAsia"/>
                <w:color w:val="auto"/>
                <w:kern w:val="2"/>
                <w:sz w:val="21"/>
                <w:szCs w:val="21"/>
                <w:highlight w:val="none"/>
                <w:vertAlign w:val="baseline"/>
                <w:lang w:val="en-US" w:eastAsia="zh-CN" w:bidi="ar-SA"/>
              </w:rPr>
            </w:pPr>
            <w:r>
              <w:rPr>
                <w:rFonts w:hint="eastAsia" w:asciiTheme="minorEastAsia" w:hAnsiTheme="minorEastAsia" w:eastAsiaTheme="minorEastAsia" w:cstheme="minorEastAsia"/>
                <w:color w:val="auto"/>
                <w:sz w:val="21"/>
                <w:szCs w:val="21"/>
                <w:highlight w:val="none"/>
              </w:rPr>
              <w:t>4.培训师资须具备计算机专业背景、数据库项目经验</w:t>
            </w:r>
            <w:r>
              <w:rPr>
                <w:rFonts w:hint="eastAsia" w:asciiTheme="minorEastAsia" w:hAnsiTheme="minorEastAsia" w:eastAsiaTheme="minorEastAsia" w:cstheme="minorEastAsia"/>
                <w:color w:val="auto"/>
                <w:sz w:val="21"/>
                <w:szCs w:val="21"/>
                <w:highlight w:val="none"/>
                <w:lang w:eastAsia="zh-CN"/>
              </w:rPr>
              <w:t>。</w:t>
            </w:r>
          </w:p>
        </w:tc>
        <w:tc>
          <w:tcPr>
            <w:tcW w:w="1497" w:type="dxa"/>
            <w:tcBorders>
              <w:top w:val="single" w:color="000000" w:sz="4" w:space="0"/>
              <w:left w:val="single" w:color="auto" w:sz="4" w:space="0"/>
              <w:bottom w:val="single" w:color="000000" w:sz="4" w:space="0"/>
              <w:right w:val="single" w:color="000000" w:sz="4" w:space="0"/>
            </w:tcBorders>
            <w:shd w:val="clear" w:color="auto" w:fill="auto"/>
            <w:vAlign w:val="center"/>
          </w:tcPr>
          <w:p w14:paraId="16B470D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宋体" w:hAnsi="宋体" w:eastAsia="宋体" w:cs="宋体"/>
                <w:color w:val="auto"/>
                <w:kern w:val="0"/>
                <w:sz w:val="21"/>
                <w:szCs w:val="21"/>
                <w:highlight w:val="none"/>
                <w:lang w:val="en-US" w:eastAsia="zh-CN" w:bidi="ar-SA"/>
              </w:rPr>
            </w:pPr>
            <w:r>
              <w:rPr>
                <w:rFonts w:hint="eastAsia"/>
                <w:color w:val="auto"/>
                <w:sz w:val="21"/>
                <w:szCs w:val="21"/>
                <w:highlight w:val="none"/>
              </w:rPr>
              <w:t>软件和信息技术服务业</w:t>
            </w:r>
          </w:p>
        </w:tc>
      </w:tr>
      <w:tr w14:paraId="4FFE9B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2" w:hRule="atLeast"/>
          <w:jc w:val="center"/>
        </w:trPr>
        <w:tc>
          <w:tcPr>
            <w:tcW w:w="9453" w:type="dxa"/>
            <w:gridSpan w:val="6"/>
            <w:tcBorders>
              <w:top w:val="single" w:color="000000" w:sz="4" w:space="0"/>
              <w:left w:val="single" w:color="auto" w:sz="4" w:space="0"/>
              <w:bottom w:val="single" w:color="000000" w:sz="4" w:space="0"/>
              <w:right w:val="single" w:color="000000" w:sz="4" w:space="0"/>
            </w:tcBorders>
            <w:vAlign w:val="center"/>
          </w:tcPr>
          <w:p w14:paraId="60DD3A74">
            <w:pPr>
              <w:keepNext w:val="0"/>
              <w:keepLines w:val="0"/>
              <w:widowControl w:val="0"/>
              <w:suppressLineNumbers w:val="0"/>
              <w:wordWrap/>
              <w:adjustRightInd/>
              <w:snapToGrid/>
              <w:spacing w:before="0" w:beforeAutospacing="0" w:after="0" w:afterAutospacing="0" w:line="320" w:lineRule="exact"/>
              <w:ind w:left="0" w:leftChars="0" w:right="0" w:firstLine="0" w:firstLineChars="0"/>
              <w:jc w:val="center"/>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b/>
                <w:bCs/>
                <w:color w:val="auto"/>
                <w:sz w:val="21"/>
                <w:szCs w:val="21"/>
                <w:highlight w:val="none"/>
                <w:lang w:eastAsia="zh-CN"/>
              </w:rPr>
              <w:t>二、商务要求</w:t>
            </w:r>
          </w:p>
        </w:tc>
      </w:tr>
      <w:tr w14:paraId="000B95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63FF4E43">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1</w:t>
            </w:r>
          </w:p>
        </w:tc>
        <w:tc>
          <w:tcPr>
            <w:tcW w:w="1119" w:type="dxa"/>
            <w:tcBorders>
              <w:left w:val="nil"/>
              <w:right w:val="single" w:color="000000" w:sz="4" w:space="0"/>
            </w:tcBorders>
            <w:shd w:val="clear" w:color="auto" w:fill="auto"/>
            <w:vAlign w:val="center"/>
          </w:tcPr>
          <w:p w14:paraId="416C1A13">
            <w:pPr>
              <w:keepNext w:val="0"/>
              <w:keepLines w:val="0"/>
              <w:suppressLineNumbers w:val="0"/>
              <w:snapToGrid w:val="0"/>
              <w:spacing w:before="0" w:beforeAutospacing="0" w:after="0" w:afterAutospacing="0" w:line="400" w:lineRule="exact"/>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合同签订时间</w:t>
            </w:r>
          </w:p>
        </w:tc>
        <w:tc>
          <w:tcPr>
            <w:tcW w:w="7772" w:type="dxa"/>
            <w:gridSpan w:val="4"/>
            <w:tcBorders>
              <w:top w:val="single" w:color="000000" w:sz="4" w:space="0"/>
              <w:left w:val="nil"/>
              <w:bottom w:val="single" w:color="000000" w:sz="4" w:space="0"/>
              <w:right w:val="single" w:color="000000" w:sz="4" w:space="0"/>
            </w:tcBorders>
            <w:shd w:val="clear" w:color="auto" w:fill="auto"/>
            <w:vAlign w:val="center"/>
          </w:tcPr>
          <w:p w14:paraId="6D8D0FF0">
            <w:pPr>
              <w:pStyle w:val="14"/>
              <w:keepNext w:val="0"/>
              <w:keepLines w:val="0"/>
              <w:suppressLineNumbers w:val="0"/>
              <w:snapToGrid w:val="0"/>
              <w:spacing w:before="0" w:beforeAutospacing="0" w:after="0" w:afterAutospacing="0" w:line="400" w:lineRule="exact"/>
              <w:ind w:left="0" w:right="0"/>
              <w:jc w:val="left"/>
              <w:rPr>
                <w:rFonts w:hint="eastAsia" w:ascii="宋体" w:hAnsi="宋体" w:eastAsia="宋体" w:cs="宋体"/>
                <w:color w:val="auto"/>
                <w:sz w:val="21"/>
                <w:szCs w:val="21"/>
                <w:highlight w:val="none"/>
                <w:lang w:val="en-US" w:eastAsia="zh-CN"/>
              </w:rPr>
            </w:pPr>
            <w:r>
              <w:rPr>
                <w:rFonts w:hint="eastAsia" w:ascii="宋体" w:hAnsi="宋体"/>
                <w:color w:val="auto"/>
                <w:sz w:val="21"/>
                <w:szCs w:val="21"/>
                <w:highlight w:val="none"/>
              </w:rPr>
              <w:t>自</w:t>
            </w:r>
            <w:r>
              <w:rPr>
                <w:rFonts w:hint="eastAsia" w:ascii="宋体" w:hAnsi="宋体"/>
                <w:color w:val="auto"/>
                <w:sz w:val="21"/>
                <w:szCs w:val="21"/>
                <w:highlight w:val="none"/>
                <w:lang w:val="en-US" w:eastAsia="zh-CN"/>
              </w:rPr>
              <w:t>中标</w:t>
            </w:r>
            <w:r>
              <w:rPr>
                <w:rFonts w:hint="eastAsia" w:ascii="宋体" w:hAnsi="宋体"/>
                <w:color w:val="auto"/>
                <w:sz w:val="21"/>
                <w:szCs w:val="21"/>
                <w:highlight w:val="none"/>
              </w:rPr>
              <w:t>通知书发出之日起</w:t>
            </w:r>
            <w:r>
              <w:rPr>
                <w:rFonts w:hint="eastAsia" w:ascii="宋体" w:hAnsi="宋体"/>
                <w:color w:val="auto"/>
                <w:sz w:val="21"/>
                <w:szCs w:val="21"/>
                <w:highlight w:val="none"/>
                <w:u w:val="single"/>
              </w:rPr>
              <w:t xml:space="preserve"> 25 </w:t>
            </w:r>
            <w:r>
              <w:rPr>
                <w:rFonts w:hint="eastAsia" w:ascii="宋体" w:hAnsi="宋体"/>
                <w:color w:val="auto"/>
                <w:sz w:val="21"/>
                <w:szCs w:val="21"/>
                <w:highlight w:val="none"/>
              </w:rPr>
              <w:t>日内。</w:t>
            </w:r>
          </w:p>
        </w:tc>
      </w:tr>
      <w:tr w14:paraId="58D1B5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21D1FB0C">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2</w:t>
            </w:r>
          </w:p>
        </w:tc>
        <w:tc>
          <w:tcPr>
            <w:tcW w:w="1119" w:type="dxa"/>
            <w:tcBorders>
              <w:left w:val="nil"/>
              <w:right w:val="single" w:color="000000" w:sz="4" w:space="0"/>
            </w:tcBorders>
            <w:shd w:val="clear" w:color="auto" w:fill="auto"/>
            <w:vAlign w:val="center"/>
          </w:tcPr>
          <w:p w14:paraId="06C73C2D">
            <w:pPr>
              <w:keepNext w:val="0"/>
              <w:keepLines w:val="0"/>
              <w:suppressLineNumbers w:val="0"/>
              <w:snapToGrid w:val="0"/>
              <w:spacing w:before="0" w:beforeAutospacing="0" w:after="0" w:afterAutospacing="0" w:line="400" w:lineRule="exact"/>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质保期</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16779C92">
            <w:pPr>
              <w:keepNext w:val="0"/>
              <w:keepLines w:val="0"/>
              <w:suppressLineNumbers w:val="0"/>
              <w:spacing w:before="0" w:beforeAutospacing="0" w:after="0" w:afterAutospacing="0" w:line="340" w:lineRule="exact"/>
              <w:ind w:left="0" w:leftChars="0" w:right="0" w:rightChars="0"/>
              <w:rPr>
                <w:rFonts w:hint="eastAsia" w:ascii="宋体" w:hAnsi="宋体" w:eastAsia="宋体" w:cs="宋体"/>
                <w:color w:val="auto"/>
                <w:kern w:val="2"/>
                <w:sz w:val="21"/>
                <w:szCs w:val="21"/>
                <w:highlight w:val="none"/>
                <w:lang w:val="en-US" w:eastAsia="zh-CN" w:bidi="ar-SA"/>
              </w:rPr>
            </w:pPr>
            <w:r>
              <w:rPr>
                <w:rFonts w:hint="eastAsia" w:hAnsi="宋体" w:cs="宋体"/>
                <w:color w:val="auto"/>
                <w:sz w:val="21"/>
                <w:szCs w:val="21"/>
                <w:highlight w:val="none"/>
                <w:lang w:val="en-US" w:eastAsia="zh-CN"/>
              </w:rPr>
              <w:t>质保期：质保期1年，</w:t>
            </w:r>
            <w:r>
              <w:rPr>
                <w:rFonts w:hint="eastAsia" w:ascii="宋体" w:hAnsi="宋体" w:cs="宋体"/>
                <w:color w:val="auto"/>
                <w:sz w:val="21"/>
                <w:szCs w:val="21"/>
                <w:highlight w:val="none"/>
              </w:rPr>
              <w:t>（若</w:t>
            </w:r>
            <w:r>
              <w:rPr>
                <w:rFonts w:hint="eastAsia" w:ascii="宋体" w:hAnsi="宋体" w:cs="宋体"/>
                <w:color w:val="auto"/>
                <w:sz w:val="21"/>
                <w:szCs w:val="21"/>
                <w:highlight w:val="none"/>
                <w:lang w:val="en-US" w:eastAsia="zh-CN"/>
              </w:rPr>
              <w:t>系统</w:t>
            </w:r>
            <w:r>
              <w:rPr>
                <w:rFonts w:hint="eastAsia" w:ascii="宋体" w:hAnsi="宋体" w:cs="宋体"/>
                <w:color w:val="auto"/>
                <w:sz w:val="21"/>
                <w:szCs w:val="21"/>
                <w:highlight w:val="none"/>
              </w:rPr>
              <w:t>生产厂家质保期超过此年限的，合同履行过程中按厂家质保执行；若</w:t>
            </w:r>
            <w:r>
              <w:rPr>
                <w:rFonts w:hint="eastAsia" w:ascii="宋体" w:hAnsi="宋体" w:cs="宋体"/>
                <w:color w:val="auto"/>
                <w:sz w:val="21"/>
                <w:szCs w:val="21"/>
                <w:highlight w:val="none"/>
                <w:lang w:val="en-US" w:eastAsia="zh-CN"/>
              </w:rPr>
              <w:t>中标人</w:t>
            </w:r>
            <w:r>
              <w:rPr>
                <w:rFonts w:hint="eastAsia" w:ascii="宋体" w:hAnsi="宋体" w:cs="宋体"/>
                <w:color w:val="auto"/>
                <w:sz w:val="21"/>
                <w:szCs w:val="21"/>
                <w:highlight w:val="none"/>
              </w:rPr>
              <w:t>质保期承诺优于产品生产厂家质保年限的，以</w:t>
            </w:r>
            <w:r>
              <w:rPr>
                <w:rFonts w:hint="eastAsia" w:ascii="宋体" w:hAnsi="宋体" w:cs="宋体"/>
                <w:color w:val="auto"/>
                <w:sz w:val="21"/>
                <w:szCs w:val="21"/>
                <w:highlight w:val="none"/>
                <w:lang w:val="en-US" w:eastAsia="zh-CN"/>
              </w:rPr>
              <w:t>中标人</w:t>
            </w:r>
            <w:r>
              <w:rPr>
                <w:rFonts w:hint="eastAsia" w:ascii="宋体" w:hAnsi="宋体" w:cs="宋体"/>
                <w:color w:val="auto"/>
                <w:sz w:val="21"/>
                <w:szCs w:val="21"/>
                <w:highlight w:val="none"/>
              </w:rPr>
              <w:t>承诺执行）</w:t>
            </w:r>
            <w:r>
              <w:rPr>
                <w:rFonts w:hint="eastAsia" w:hAnsi="宋体" w:cs="宋体"/>
                <w:color w:val="auto"/>
                <w:sz w:val="21"/>
                <w:szCs w:val="21"/>
                <w:highlight w:val="none"/>
                <w:lang w:val="en-US" w:eastAsia="zh-CN"/>
              </w:rPr>
              <w:t>。质保期内</w:t>
            </w:r>
            <w:r>
              <w:rPr>
                <w:rFonts w:hint="eastAsia"/>
                <w:color w:val="auto"/>
                <w:szCs w:val="21"/>
                <w:highlight w:val="none"/>
                <w:lang w:val="en-US" w:eastAsia="zh-CN"/>
              </w:rPr>
              <w:t>中标人</w:t>
            </w:r>
            <w:r>
              <w:rPr>
                <w:rFonts w:hint="eastAsia"/>
                <w:color w:val="auto"/>
                <w:szCs w:val="21"/>
                <w:highlight w:val="none"/>
              </w:rPr>
              <w:t>提供升级</w:t>
            </w:r>
            <w:r>
              <w:rPr>
                <w:rFonts w:hint="eastAsia"/>
                <w:color w:val="auto"/>
                <w:highlight w:val="none"/>
                <w:lang w:val="en-US" w:eastAsia="zh-CN"/>
              </w:rPr>
              <w:t>（</w:t>
            </w:r>
            <w:r>
              <w:rPr>
                <w:rFonts w:hint="eastAsia"/>
                <w:color w:val="auto"/>
                <w:highlight w:val="none"/>
              </w:rPr>
              <w:t>质保期内提供软件免费升级、bug修复、技术支持，所有维护服务费用</w:t>
            </w:r>
            <w:r>
              <w:rPr>
                <w:rFonts w:hint="eastAsia"/>
                <w:color w:val="auto"/>
                <w:szCs w:val="21"/>
                <w:highlight w:val="none"/>
              </w:rPr>
              <w:t>包含在本次报价中</w:t>
            </w:r>
            <w:r>
              <w:rPr>
                <w:rFonts w:hint="eastAsia" w:ascii="宋体" w:hAnsi="宋体" w:cs="宋体"/>
                <w:color w:val="auto"/>
                <w:sz w:val="21"/>
                <w:szCs w:val="21"/>
                <w:highlight w:val="none"/>
              </w:rPr>
              <w:t>。</w:t>
            </w:r>
            <w:r>
              <w:rPr>
                <w:rFonts w:hint="eastAsia" w:asciiTheme="minorEastAsia" w:hAnsiTheme="minorEastAsia" w:eastAsiaTheme="minorEastAsia"/>
                <w:color w:val="auto"/>
                <w:szCs w:val="21"/>
                <w:highlight w:val="none"/>
              </w:rPr>
              <w:t>质保期内所更换的软件模块或组件须保证与原系统的完整兼容</w:t>
            </w:r>
            <w:r>
              <w:rPr>
                <w:rFonts w:hint="eastAsia" w:asciiTheme="minorEastAsia" w:hAnsiTheme="minorEastAsia" w:eastAsiaTheme="minorEastAsia"/>
                <w:color w:val="auto"/>
                <w:szCs w:val="21"/>
                <w:highlight w:val="none"/>
                <w:lang w:eastAsia="zh-CN"/>
              </w:rPr>
              <w:t>。</w:t>
            </w:r>
          </w:p>
        </w:tc>
      </w:tr>
      <w:tr w14:paraId="5A4EC8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754C6DEC">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3</w:t>
            </w:r>
          </w:p>
        </w:tc>
        <w:tc>
          <w:tcPr>
            <w:tcW w:w="1119" w:type="dxa"/>
            <w:tcBorders>
              <w:left w:val="nil"/>
              <w:right w:val="single" w:color="000000" w:sz="4" w:space="0"/>
            </w:tcBorders>
            <w:shd w:val="clear" w:color="auto" w:fill="auto"/>
            <w:vAlign w:val="center"/>
          </w:tcPr>
          <w:p w14:paraId="1DE0CF25">
            <w:pPr>
              <w:keepNext w:val="0"/>
              <w:keepLines w:val="0"/>
              <w:suppressLineNumbers w:val="0"/>
              <w:snapToGrid w:val="0"/>
              <w:spacing w:before="0" w:beforeAutospacing="0" w:after="0" w:afterAutospacing="0" w:line="400" w:lineRule="exact"/>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投标</w:t>
            </w:r>
            <w:r>
              <w:rPr>
                <w:rFonts w:hint="eastAsia" w:ascii="宋体" w:hAnsi="宋体" w:eastAsia="宋体" w:cs="宋体"/>
                <w:color w:val="auto"/>
                <w:sz w:val="21"/>
                <w:szCs w:val="21"/>
                <w:highlight w:val="none"/>
              </w:rPr>
              <w:t>报价</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02D51DAE">
            <w:pPr>
              <w:pStyle w:val="14"/>
              <w:keepNext w:val="0"/>
              <w:keepLines w:val="0"/>
              <w:suppressLineNumbers w:val="0"/>
              <w:snapToGrid w:val="0"/>
              <w:spacing w:before="0" w:beforeAutospacing="0" w:after="0" w:afterAutospacing="0" w:line="400" w:lineRule="exact"/>
              <w:ind w:left="0" w:leftChars="0" w:right="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投标报价包括</w:t>
            </w:r>
            <w:r>
              <w:rPr>
                <w:rFonts w:hint="eastAsia" w:asciiTheme="minorEastAsia" w:hAnsiTheme="minorEastAsia" w:eastAsiaTheme="minorEastAsia"/>
                <w:color w:val="auto"/>
                <w:sz w:val="21"/>
                <w:szCs w:val="21"/>
                <w:highlight w:val="none"/>
              </w:rPr>
              <w:t>软件平台</w:t>
            </w:r>
            <w:r>
              <w:rPr>
                <w:rFonts w:hint="eastAsia" w:asciiTheme="minorEastAsia" w:hAnsiTheme="minorEastAsia" w:eastAsiaTheme="minorEastAsia"/>
                <w:color w:val="auto"/>
                <w:sz w:val="21"/>
                <w:szCs w:val="21"/>
                <w:highlight w:val="none"/>
                <w:lang w:val="en-US" w:eastAsia="zh-CN"/>
              </w:rPr>
              <w:t>费</w:t>
            </w:r>
            <w:r>
              <w:rPr>
                <w:rFonts w:hint="eastAsia" w:ascii="宋体" w:hAnsi="宋体" w:eastAsia="宋体" w:cs="宋体"/>
                <w:color w:val="auto"/>
                <w:sz w:val="21"/>
                <w:szCs w:val="21"/>
                <w:highlight w:val="none"/>
                <w:lang w:val="en-US" w:eastAsia="zh-CN"/>
              </w:rPr>
              <w:t>、</w:t>
            </w:r>
            <w:r>
              <w:rPr>
                <w:color w:val="auto"/>
                <w:szCs w:val="21"/>
                <w:highlight w:val="none"/>
              </w:rPr>
              <w:t>技术服务费、交通、运输、</w:t>
            </w:r>
            <w:r>
              <w:rPr>
                <w:rFonts w:hint="eastAsia"/>
                <w:color w:val="auto"/>
                <w:szCs w:val="21"/>
                <w:highlight w:val="none"/>
              </w:rPr>
              <w:t>检测</w:t>
            </w:r>
            <w:r>
              <w:rPr>
                <w:color w:val="auto"/>
                <w:szCs w:val="21"/>
                <w:highlight w:val="none"/>
              </w:rPr>
              <w:t>、管理费、税费、</w:t>
            </w:r>
            <w:r>
              <w:rPr>
                <w:rFonts w:hint="eastAsia" w:asciiTheme="minorEastAsia" w:hAnsiTheme="minorEastAsia" w:eastAsiaTheme="minorEastAsia"/>
                <w:color w:val="auto"/>
                <w:sz w:val="21"/>
                <w:szCs w:val="21"/>
                <w:highlight w:val="none"/>
              </w:rPr>
              <w:t>系统安装调试、接口对接</w:t>
            </w:r>
            <w:r>
              <w:rPr>
                <w:color w:val="auto"/>
                <w:szCs w:val="21"/>
                <w:highlight w:val="none"/>
              </w:rPr>
              <w:t>、</w:t>
            </w:r>
            <w:r>
              <w:rPr>
                <w:rFonts w:hint="eastAsia" w:asciiTheme="minorEastAsia" w:hAnsiTheme="minorEastAsia" w:eastAsiaTheme="minorEastAsia"/>
                <w:color w:val="auto"/>
                <w:sz w:val="21"/>
                <w:szCs w:val="21"/>
                <w:highlight w:val="none"/>
              </w:rPr>
              <w:t>技术文档、培训、</w:t>
            </w:r>
            <w:r>
              <w:rPr>
                <w:color w:val="auto"/>
                <w:szCs w:val="21"/>
                <w:highlight w:val="none"/>
              </w:rPr>
              <w:t>软硬件升级、售后服务、利润、验收、</w:t>
            </w:r>
            <w:r>
              <w:rPr>
                <w:rFonts w:hint="eastAsia" w:asciiTheme="minorEastAsia" w:hAnsiTheme="minorEastAsia" w:eastAsiaTheme="minorEastAsia"/>
                <w:color w:val="auto"/>
                <w:sz w:val="21"/>
                <w:szCs w:val="21"/>
                <w:highlight w:val="none"/>
              </w:rPr>
              <w:t>税金、</w:t>
            </w:r>
            <w:r>
              <w:rPr>
                <w:color w:val="auto"/>
                <w:szCs w:val="21"/>
                <w:highlight w:val="none"/>
              </w:rPr>
              <w:t>政策性文件规定及合同包含的所有风险、责任等</w:t>
            </w:r>
            <w:r>
              <w:rPr>
                <w:rFonts w:hint="eastAsia"/>
                <w:color w:val="auto"/>
                <w:szCs w:val="21"/>
                <w:highlight w:val="none"/>
                <w:lang w:val="en-US" w:eastAsia="zh-CN"/>
              </w:rPr>
              <w:t>直至运行交付使用的一切</w:t>
            </w:r>
            <w:r>
              <w:rPr>
                <w:color w:val="auto"/>
                <w:szCs w:val="21"/>
                <w:highlight w:val="none"/>
              </w:rPr>
              <w:t>费用</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投标人</w:t>
            </w:r>
            <w:r>
              <w:rPr>
                <w:rFonts w:hint="eastAsia" w:ascii="宋体" w:hAnsi="宋体" w:eastAsia="宋体" w:cs="宋体"/>
                <w:color w:val="auto"/>
                <w:sz w:val="21"/>
                <w:szCs w:val="21"/>
                <w:highlight w:val="none"/>
              </w:rPr>
              <w:t>不得以任何理由要求采购人另行支付其他任何费用</w:t>
            </w:r>
            <w:r>
              <w:rPr>
                <w:rFonts w:hint="eastAsia" w:ascii="宋体" w:hAnsi="宋体" w:eastAsia="宋体" w:cs="宋体"/>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 xml:space="preserve"> </w:t>
            </w:r>
          </w:p>
        </w:tc>
      </w:tr>
      <w:tr w14:paraId="26C67A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65855384">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4</w:t>
            </w:r>
          </w:p>
        </w:tc>
        <w:tc>
          <w:tcPr>
            <w:tcW w:w="1119" w:type="dxa"/>
            <w:tcBorders>
              <w:left w:val="nil"/>
              <w:right w:val="single" w:color="000000" w:sz="4" w:space="0"/>
            </w:tcBorders>
            <w:shd w:val="clear" w:color="auto" w:fill="auto"/>
            <w:vAlign w:val="center"/>
          </w:tcPr>
          <w:p w14:paraId="693D6843">
            <w:pPr>
              <w:keepNext w:val="0"/>
              <w:keepLines w:val="0"/>
              <w:suppressLineNumbers w:val="0"/>
              <w:snapToGrid w:val="0"/>
              <w:spacing w:before="0" w:beforeAutospacing="0" w:after="0" w:afterAutospacing="0" w:line="400" w:lineRule="exact"/>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交</w:t>
            </w:r>
            <w:r>
              <w:rPr>
                <w:rFonts w:hint="eastAsia" w:hAnsi="宋体" w:cs="宋体"/>
                <w:color w:val="auto"/>
                <w:sz w:val="21"/>
                <w:szCs w:val="21"/>
                <w:highlight w:val="none"/>
                <w:lang w:val="en-US" w:eastAsia="zh-CN"/>
              </w:rPr>
              <w:t>付</w:t>
            </w:r>
            <w:r>
              <w:rPr>
                <w:rFonts w:hint="eastAsia" w:ascii="宋体" w:hAnsi="宋体" w:eastAsia="宋体" w:cs="宋体"/>
                <w:color w:val="auto"/>
                <w:sz w:val="21"/>
                <w:szCs w:val="21"/>
                <w:highlight w:val="none"/>
              </w:rPr>
              <w:t>时间及地点</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696765FF">
            <w:pPr>
              <w:pStyle w:val="14"/>
              <w:keepNext w:val="0"/>
              <w:keepLines w:val="0"/>
              <w:suppressLineNumbers w:val="0"/>
              <w:snapToGrid w:val="0"/>
              <w:spacing w:before="0" w:beforeAutospacing="0" w:after="0" w:afterAutospacing="0" w:line="400" w:lineRule="exact"/>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1.交</w:t>
            </w:r>
            <w:r>
              <w:rPr>
                <w:rFonts w:hint="eastAsia" w:hAnsi="宋体" w:cs="宋体"/>
                <w:color w:val="auto"/>
                <w:sz w:val="21"/>
                <w:szCs w:val="21"/>
                <w:highlight w:val="none"/>
                <w:lang w:val="en-US" w:eastAsia="zh-CN"/>
              </w:rPr>
              <w:t>付</w:t>
            </w:r>
            <w:r>
              <w:rPr>
                <w:rFonts w:hint="eastAsia" w:ascii="宋体" w:hAnsi="宋体" w:eastAsia="宋体" w:cs="宋体"/>
                <w:color w:val="auto"/>
                <w:sz w:val="21"/>
                <w:szCs w:val="21"/>
                <w:highlight w:val="none"/>
                <w:lang w:val="en-US" w:eastAsia="zh-CN"/>
              </w:rPr>
              <w:t>时间：</w:t>
            </w:r>
            <w:r>
              <w:rPr>
                <w:rFonts w:hint="eastAsia" w:hAnsi="宋体" w:cs="宋体"/>
                <w:color w:val="auto"/>
                <w:szCs w:val="21"/>
                <w:highlight w:val="none"/>
              </w:rPr>
              <w:t>自合同签订之日起40个日历日内完成平台部署、调试及上线运行，并通过初步验收。</w:t>
            </w:r>
          </w:p>
          <w:p w14:paraId="381B2BEB">
            <w:pPr>
              <w:pStyle w:val="14"/>
              <w:keepNext w:val="0"/>
              <w:keepLines w:val="0"/>
              <w:suppressLineNumbers w:val="0"/>
              <w:snapToGrid w:val="0"/>
              <w:spacing w:before="0" w:beforeAutospacing="0" w:after="0" w:afterAutospacing="0" w:line="400" w:lineRule="exact"/>
              <w:ind w:left="0" w:right="0"/>
              <w:jc w:val="left"/>
              <w:rPr>
                <w:rFonts w:hint="eastAsia" w:ascii="宋体"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.交</w:t>
            </w:r>
            <w:r>
              <w:rPr>
                <w:rFonts w:hint="eastAsia" w:hAnsi="宋体" w:cs="宋体"/>
                <w:color w:val="auto"/>
                <w:sz w:val="21"/>
                <w:szCs w:val="21"/>
                <w:highlight w:val="none"/>
                <w:lang w:val="en-US" w:eastAsia="zh-CN"/>
              </w:rPr>
              <w:t>付</w:t>
            </w:r>
            <w:r>
              <w:rPr>
                <w:rFonts w:hint="eastAsia" w:ascii="宋体" w:hAnsi="宋体" w:eastAsia="宋体" w:cs="宋体"/>
                <w:color w:val="auto"/>
                <w:sz w:val="21"/>
                <w:szCs w:val="21"/>
                <w:highlight w:val="none"/>
                <w:lang w:val="en-US" w:eastAsia="zh-CN"/>
              </w:rPr>
              <w:t>地点：</w:t>
            </w:r>
            <w:r>
              <w:rPr>
                <w:rFonts w:hint="eastAsia" w:hAnsi="宋体" w:cs="宋体"/>
                <w:color w:val="auto"/>
                <w:sz w:val="21"/>
                <w:szCs w:val="21"/>
                <w:highlight w:val="none"/>
                <w:lang w:val="en-US" w:eastAsia="zh-CN"/>
              </w:rPr>
              <w:t>百色市内</w:t>
            </w:r>
            <w:r>
              <w:rPr>
                <w:rFonts w:hint="eastAsia" w:ascii="宋体" w:hAnsi="宋体" w:eastAsia="宋体" w:cs="宋体"/>
                <w:color w:val="auto"/>
                <w:sz w:val="21"/>
                <w:szCs w:val="21"/>
                <w:highlight w:val="none"/>
                <w:lang w:val="en-US" w:eastAsia="zh-CN"/>
              </w:rPr>
              <w:t>（采购人指定地点）。</w:t>
            </w:r>
          </w:p>
          <w:p w14:paraId="70A19697">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3.交</w:t>
            </w:r>
            <w:r>
              <w:rPr>
                <w:rFonts w:hint="eastAsia" w:hAnsi="宋体" w:cs="宋体"/>
                <w:color w:val="auto"/>
                <w:sz w:val="21"/>
                <w:szCs w:val="21"/>
                <w:highlight w:val="none"/>
                <w:lang w:val="en-US" w:eastAsia="zh-CN"/>
              </w:rPr>
              <w:t>付</w:t>
            </w:r>
            <w:r>
              <w:rPr>
                <w:rFonts w:hint="eastAsia" w:ascii="宋体" w:hAnsi="宋体" w:eastAsia="宋体" w:cs="宋体"/>
                <w:color w:val="auto"/>
                <w:sz w:val="21"/>
                <w:szCs w:val="21"/>
                <w:highlight w:val="none"/>
                <w:lang w:val="en-US" w:eastAsia="zh-CN"/>
              </w:rPr>
              <w:t>内容包括：</w:t>
            </w:r>
          </w:p>
          <w:p w14:paraId="65419FD7">
            <w:pPr>
              <w:keepNext w:val="0"/>
              <w:keepLines w:val="0"/>
              <w:suppressLineNumbers w:val="0"/>
              <w:spacing w:before="0" w:beforeAutospacing="0" w:after="0" w:afterAutospacing="0"/>
              <w:ind w:left="0" w:right="0"/>
              <w:rPr>
                <w:rFonts w:hint="eastAsia" w:ascii="宋体" w:hAnsi="宋体" w:cs="宋体"/>
                <w:color w:val="auto"/>
                <w:szCs w:val="21"/>
                <w:highlight w:val="none"/>
              </w:rPr>
            </w:pPr>
            <w:r>
              <w:rPr>
                <w:rFonts w:hint="eastAsia" w:ascii="宋体" w:hAnsi="宋体" w:cs="宋体"/>
                <w:color w:val="auto"/>
                <w:szCs w:val="21"/>
                <w:highlight w:val="none"/>
              </w:rPr>
              <w:t>（1）可正常运行的软件平台（含全部功能模块）；</w:t>
            </w:r>
          </w:p>
          <w:p w14:paraId="561CC7EB">
            <w:pPr>
              <w:keepNext w:val="0"/>
              <w:keepLines w:val="0"/>
              <w:suppressLineNumbers w:val="0"/>
              <w:spacing w:before="0" w:beforeAutospacing="0" w:after="0" w:afterAutospacing="0"/>
              <w:ind w:left="0" w:right="0"/>
              <w:rPr>
                <w:rFonts w:hint="eastAsia" w:ascii="宋体" w:hAnsi="宋体" w:cs="宋体"/>
                <w:color w:val="auto"/>
                <w:szCs w:val="21"/>
                <w:highlight w:val="none"/>
              </w:rPr>
            </w:pPr>
            <w:r>
              <w:rPr>
                <w:rFonts w:hint="eastAsia" w:ascii="宋体" w:hAnsi="宋体" w:cs="宋体"/>
                <w:color w:val="auto"/>
                <w:szCs w:val="21"/>
                <w:highlight w:val="none"/>
              </w:rPr>
              <w:t>（2）完整的技术文档：系统部署手册、运维手册、用户操作手册、数据字典、数据库设计说明书、接口规范文档（含API文档）；</w:t>
            </w:r>
          </w:p>
          <w:p w14:paraId="3CF85806">
            <w:pPr>
              <w:keepNext w:val="0"/>
              <w:keepLines w:val="0"/>
              <w:suppressLineNumbers w:val="0"/>
              <w:spacing w:before="0" w:beforeAutospacing="0" w:after="0" w:afterAutospacing="0"/>
              <w:ind w:left="0" w:leftChars="0" w:right="0" w:rightChars="0"/>
              <w:rPr>
                <w:rFonts w:hint="eastAsia"/>
                <w:color w:val="auto"/>
                <w:sz w:val="21"/>
                <w:szCs w:val="21"/>
                <w:highlight w:val="none"/>
                <w:lang w:val="en-US" w:eastAsia="zh-CN"/>
              </w:rPr>
            </w:pPr>
            <w:r>
              <w:rPr>
                <w:rFonts w:hint="eastAsia" w:ascii="宋体" w:hAnsi="宋体" w:cs="宋体"/>
                <w:color w:val="auto"/>
                <w:szCs w:val="21"/>
                <w:highlight w:val="none"/>
              </w:rPr>
              <w:t>（3）系统源代码。</w:t>
            </w:r>
          </w:p>
        </w:tc>
      </w:tr>
      <w:tr w14:paraId="092234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0646E894">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5</w:t>
            </w:r>
          </w:p>
        </w:tc>
        <w:tc>
          <w:tcPr>
            <w:tcW w:w="1119" w:type="dxa"/>
            <w:tcBorders>
              <w:left w:val="nil"/>
              <w:right w:val="single" w:color="000000" w:sz="4" w:space="0"/>
            </w:tcBorders>
            <w:shd w:val="clear" w:color="auto" w:fill="auto"/>
            <w:vAlign w:val="center"/>
          </w:tcPr>
          <w:p w14:paraId="4E2ECFA3">
            <w:pPr>
              <w:keepNext w:val="0"/>
              <w:keepLines w:val="0"/>
              <w:suppressLineNumbers w:val="0"/>
              <w:spacing w:before="0" w:beforeAutospacing="0" w:after="0" w:afterAutospacing="0" w:line="360" w:lineRule="exact"/>
              <w:ind w:left="0" w:leftChars="0" w:right="0" w:rightChars="0"/>
              <w:jc w:val="center"/>
              <w:rPr>
                <w:rFonts w:hint="eastAsia" w:ascii="宋体" w:hAnsi="宋体" w:eastAsia="宋体" w:cs="Times New Roman"/>
                <w:b/>
                <w:color w:val="auto"/>
                <w:kern w:val="2"/>
                <w:sz w:val="21"/>
                <w:szCs w:val="21"/>
                <w:highlight w:val="none"/>
                <w:lang w:val="en-US" w:eastAsia="zh-CN" w:bidi="ar-SA"/>
              </w:rPr>
            </w:pPr>
            <w:r>
              <w:rPr>
                <w:rFonts w:hint="eastAsia" w:asciiTheme="minorEastAsia" w:hAnsiTheme="minorEastAsia" w:eastAsiaTheme="minorEastAsia"/>
                <w:color w:val="auto"/>
                <w:szCs w:val="21"/>
                <w:highlight w:val="none"/>
              </w:rPr>
              <w:t>现场实施要求</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6507178C">
            <w:pPr>
              <w:keepNext w:val="0"/>
              <w:keepLines w:val="0"/>
              <w:suppressLineNumbers w:val="0"/>
              <w:spacing w:before="0" w:beforeAutospacing="0" w:after="0" w:afterAutospacing="0"/>
              <w:ind w:left="0" w:right="0"/>
              <w:rPr>
                <w:rFonts w:hint="eastAsia" w:ascii="宋体" w:hAnsi="宋体" w:eastAsia="宋体" w:cs="Times New Roman"/>
                <w:color w:val="auto"/>
                <w:kern w:val="2"/>
                <w:sz w:val="21"/>
                <w:szCs w:val="21"/>
                <w:highlight w:val="none"/>
                <w:lang w:val="en-US" w:eastAsia="zh-CN" w:bidi="ar-SA"/>
              </w:rPr>
            </w:pPr>
            <w:r>
              <w:rPr>
                <w:rFonts w:hint="eastAsia" w:asciiTheme="minorEastAsia" w:hAnsiTheme="minorEastAsia" w:eastAsiaTheme="minorEastAsia"/>
                <w:color w:val="auto"/>
                <w:szCs w:val="21"/>
                <w:highlight w:val="none"/>
              </w:rPr>
              <w:t>中标人须派不少于1名具有同类项目实施经验的专业技术人员驻场实施，驻场时间不少于30个工作日，直至系统稳定运行。</w:t>
            </w:r>
          </w:p>
        </w:tc>
      </w:tr>
      <w:tr w14:paraId="450E3A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522852A0">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6</w:t>
            </w:r>
          </w:p>
        </w:tc>
        <w:tc>
          <w:tcPr>
            <w:tcW w:w="1119" w:type="dxa"/>
            <w:tcBorders>
              <w:left w:val="nil"/>
              <w:right w:val="single" w:color="000000" w:sz="4" w:space="0"/>
            </w:tcBorders>
            <w:shd w:val="clear" w:color="auto" w:fill="auto"/>
            <w:vAlign w:val="center"/>
          </w:tcPr>
          <w:p w14:paraId="48475DF4">
            <w:pPr>
              <w:keepNext w:val="0"/>
              <w:keepLines w:val="0"/>
              <w:suppressLineNumbers w:val="0"/>
              <w:snapToGrid w:val="0"/>
              <w:spacing w:before="0" w:beforeAutospacing="0" w:after="0" w:afterAutospacing="0" w:line="360" w:lineRule="auto"/>
              <w:ind w:left="0" w:leftChars="0" w:right="0" w:rightChars="0"/>
              <w:jc w:val="center"/>
              <w:outlineLvl w:val="0"/>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rPr>
              <w:t>验收</w:t>
            </w:r>
            <w:r>
              <w:rPr>
                <w:rFonts w:hint="eastAsia" w:ascii="宋体" w:hAnsi="宋体" w:eastAsia="宋体" w:cs="宋体"/>
                <w:bCs/>
                <w:color w:val="auto"/>
                <w:kern w:val="0"/>
                <w:sz w:val="21"/>
                <w:szCs w:val="21"/>
                <w:highlight w:val="none"/>
                <w:lang w:eastAsia="zh-CN"/>
              </w:rPr>
              <w:t>依据、标准、验收程序</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0D74BAEF">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验收主体：采购</w:t>
            </w:r>
            <w:r>
              <w:rPr>
                <w:rFonts w:hint="eastAsia" w:ascii="宋体" w:hAnsi="宋体" w:eastAsia="宋体" w:cs="宋体"/>
                <w:color w:val="auto"/>
                <w:sz w:val="21"/>
                <w:szCs w:val="21"/>
                <w:highlight w:val="none"/>
                <w:lang w:eastAsia="zh-CN"/>
              </w:rPr>
              <w:t>人</w:t>
            </w:r>
            <w:r>
              <w:rPr>
                <w:rFonts w:hint="eastAsia" w:ascii="宋体" w:hAnsi="宋体" w:eastAsia="宋体" w:cs="宋体"/>
                <w:color w:val="auto"/>
                <w:sz w:val="21"/>
                <w:szCs w:val="21"/>
                <w:highlight w:val="none"/>
              </w:rPr>
              <w:t>。</w:t>
            </w:r>
          </w:p>
          <w:p w14:paraId="0BFD0B94">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验收时间</w:t>
            </w:r>
            <w:r>
              <w:rPr>
                <w:rFonts w:hint="eastAsia" w:ascii="宋体" w:hAnsi="宋体" w:eastAsia="宋体" w:cs="宋体"/>
                <w:color w:val="auto"/>
                <w:sz w:val="21"/>
                <w:szCs w:val="21"/>
                <w:highlight w:val="none"/>
                <w:lang w:eastAsia="zh-CN"/>
              </w:rPr>
              <w:t>：</w:t>
            </w:r>
            <w:r>
              <w:rPr>
                <w:rFonts w:hint="eastAsia" w:asciiTheme="minorEastAsia" w:hAnsiTheme="minorEastAsia" w:eastAsiaTheme="minorEastAsia"/>
                <w:color w:val="auto"/>
                <w:szCs w:val="21"/>
                <w:highlight w:val="none"/>
              </w:rPr>
              <w:t>平台部署完成、功能模块全部上线、系统运行稳定后，中标人提交验收申请及全部技术文档，采购人在10个工作日内组织验收</w:t>
            </w:r>
            <w:r>
              <w:rPr>
                <w:rFonts w:hint="eastAsia" w:asciiTheme="minorEastAsia" w:hAnsiTheme="minorEastAsia" w:eastAsiaTheme="minorEastAsia"/>
                <w:color w:val="auto"/>
                <w:szCs w:val="21"/>
                <w:highlight w:val="none"/>
                <w:lang w:eastAsia="zh-CN"/>
              </w:rPr>
              <w:t>；</w:t>
            </w:r>
            <w:r>
              <w:rPr>
                <w:rFonts w:hint="eastAsia" w:asciiTheme="minorEastAsia" w:hAnsiTheme="minorEastAsia" w:eastAsiaTheme="minorEastAsia"/>
                <w:color w:val="auto"/>
                <w:szCs w:val="21"/>
                <w:highlight w:val="none"/>
              </w:rPr>
              <w:t>验收过程中发现的问题，中标人须在15日内完成整改，整改完成后采购人在5个工作日内完成复核确认</w:t>
            </w:r>
            <w:r>
              <w:rPr>
                <w:rFonts w:hint="eastAsia" w:ascii="宋体" w:hAnsi="宋体" w:eastAsia="宋体" w:cs="宋体"/>
                <w:color w:val="auto"/>
                <w:sz w:val="21"/>
                <w:szCs w:val="21"/>
                <w:highlight w:val="none"/>
              </w:rPr>
              <w:t>。</w:t>
            </w:r>
          </w:p>
          <w:p w14:paraId="45FB5794">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验收</w:t>
            </w:r>
            <w:r>
              <w:rPr>
                <w:rFonts w:hint="eastAsia" w:ascii="宋体" w:hAnsi="宋体" w:eastAsia="宋体" w:cs="宋体"/>
                <w:color w:val="auto"/>
                <w:sz w:val="21"/>
                <w:szCs w:val="21"/>
                <w:highlight w:val="none"/>
                <w:lang w:eastAsia="zh-CN"/>
              </w:rPr>
              <w:t>依据</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国家、行业标准、招标文件采购需求、投标文件承诺。</w:t>
            </w:r>
          </w:p>
          <w:p w14:paraId="050DDFCE">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4.验收</w:t>
            </w:r>
            <w:r>
              <w:rPr>
                <w:rFonts w:hint="eastAsia" w:ascii="宋体" w:hAnsi="宋体" w:eastAsia="宋体" w:cs="宋体"/>
                <w:color w:val="auto"/>
                <w:sz w:val="21"/>
                <w:szCs w:val="21"/>
                <w:highlight w:val="none"/>
                <w:lang w:eastAsia="zh-CN"/>
              </w:rPr>
              <w:t>标准：</w:t>
            </w:r>
            <w:r>
              <w:rPr>
                <w:rStyle w:val="55"/>
                <w:rFonts w:hint="eastAsia" w:ascii="宋体" w:hAnsi="宋体" w:cs="宋体"/>
                <w:color w:val="auto"/>
                <w:sz w:val="21"/>
                <w:szCs w:val="21"/>
                <w:highlight w:val="none"/>
                <w:lang w:val="en-US" w:eastAsia="zh-CN"/>
              </w:rPr>
              <w:t>整套系统</w:t>
            </w:r>
            <w:r>
              <w:rPr>
                <w:rStyle w:val="55"/>
                <w:rFonts w:hint="eastAsia" w:ascii="宋体" w:hAnsi="宋体" w:eastAsia="宋体" w:cs="宋体"/>
                <w:color w:val="auto"/>
                <w:sz w:val="21"/>
                <w:szCs w:val="21"/>
                <w:highlight w:val="none"/>
              </w:rPr>
              <w:t>符合国家相关标准、行业标准、地方标准或者其他标准、规范。如具体采购需求与标准、规范不一致的，高于标准、规范的按具体采购需求执行；低于标准、规范的按标准、规范执行</w:t>
            </w:r>
            <w:r>
              <w:rPr>
                <w:rFonts w:hint="eastAsia" w:ascii="宋体" w:hAnsi="宋体" w:eastAsia="宋体" w:cs="宋体"/>
                <w:color w:val="auto"/>
                <w:sz w:val="21"/>
                <w:szCs w:val="21"/>
                <w:highlight w:val="none"/>
              </w:rPr>
              <w:t>。</w:t>
            </w:r>
          </w:p>
          <w:p w14:paraId="083F7BDB">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履约验收程序</w:t>
            </w:r>
            <w:r>
              <w:rPr>
                <w:rFonts w:hint="eastAsia" w:ascii="宋体" w:hAnsi="宋体" w:eastAsia="宋体" w:cs="宋体"/>
                <w:color w:val="auto"/>
                <w:sz w:val="21"/>
                <w:szCs w:val="21"/>
                <w:highlight w:val="none"/>
                <w:lang w:eastAsia="zh-CN"/>
              </w:rPr>
              <w:t>：</w:t>
            </w:r>
          </w:p>
          <w:p w14:paraId="73CA12E0">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A.成立验收小组：采购</w:t>
            </w:r>
            <w:r>
              <w:rPr>
                <w:rFonts w:hint="eastAsia" w:ascii="宋体" w:hAnsi="宋体" w:eastAsia="宋体" w:cs="宋体"/>
                <w:color w:val="auto"/>
                <w:sz w:val="21"/>
                <w:szCs w:val="21"/>
                <w:highlight w:val="none"/>
                <w:lang w:eastAsia="zh-CN"/>
              </w:rPr>
              <w:t>人</w:t>
            </w:r>
            <w:r>
              <w:rPr>
                <w:rFonts w:hint="eastAsia" w:ascii="宋体" w:hAnsi="宋体" w:eastAsia="宋体" w:cs="宋体"/>
                <w:color w:val="auto"/>
                <w:sz w:val="21"/>
                <w:szCs w:val="21"/>
                <w:highlight w:val="none"/>
              </w:rPr>
              <w:t>代表成立验收小组。</w:t>
            </w:r>
          </w:p>
          <w:p w14:paraId="6E2794F1">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B.</w:t>
            </w:r>
            <w:r>
              <w:rPr>
                <w:rFonts w:hint="eastAsia" w:ascii="宋体" w:hAnsi="宋体" w:cs="宋体"/>
                <w:color w:val="auto"/>
                <w:sz w:val="21"/>
                <w:szCs w:val="21"/>
                <w:highlight w:val="none"/>
                <w:lang w:val="en-US" w:eastAsia="zh-CN"/>
              </w:rPr>
              <w:t>系统</w:t>
            </w:r>
            <w:r>
              <w:rPr>
                <w:rFonts w:hint="eastAsia" w:ascii="宋体" w:hAnsi="宋体" w:eastAsia="宋体" w:cs="宋体"/>
                <w:color w:val="auto"/>
                <w:sz w:val="21"/>
                <w:szCs w:val="21"/>
                <w:highlight w:val="none"/>
              </w:rPr>
              <w:t>安装、调试</w:t>
            </w:r>
          </w:p>
          <w:p w14:paraId="02A46B28">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)由</w:t>
            </w:r>
            <w:r>
              <w:rPr>
                <w:rFonts w:hint="eastAsia" w:ascii="宋体" w:hAnsi="宋体" w:eastAsia="宋体" w:cs="宋体"/>
                <w:color w:val="auto"/>
                <w:sz w:val="21"/>
                <w:szCs w:val="21"/>
                <w:highlight w:val="none"/>
                <w:lang w:eastAsia="zh-CN"/>
              </w:rPr>
              <w:t>中标人代表</w:t>
            </w:r>
            <w:r>
              <w:rPr>
                <w:rFonts w:hint="eastAsia" w:ascii="宋体" w:hAnsi="宋体" w:eastAsia="宋体" w:cs="宋体"/>
                <w:color w:val="auto"/>
                <w:sz w:val="21"/>
                <w:szCs w:val="21"/>
                <w:highlight w:val="none"/>
              </w:rPr>
              <w:t>进行</w:t>
            </w:r>
            <w:r>
              <w:rPr>
                <w:rFonts w:hint="eastAsia" w:ascii="宋体" w:hAnsi="宋体" w:eastAsia="宋体" w:cs="宋体"/>
                <w:color w:val="auto"/>
                <w:sz w:val="21"/>
                <w:szCs w:val="21"/>
                <w:highlight w:val="none"/>
                <w:lang w:val="en-US" w:eastAsia="zh-CN"/>
              </w:rPr>
              <w:t>系统</w:t>
            </w:r>
            <w:r>
              <w:rPr>
                <w:rFonts w:hint="eastAsia" w:ascii="宋体" w:hAnsi="宋体" w:eastAsia="宋体" w:cs="宋体"/>
                <w:color w:val="auto"/>
                <w:sz w:val="21"/>
                <w:szCs w:val="21"/>
                <w:highlight w:val="none"/>
              </w:rPr>
              <w:t>的安装、调试。</w:t>
            </w:r>
          </w:p>
          <w:p w14:paraId="28FBB521">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)由采购</w:t>
            </w:r>
            <w:r>
              <w:rPr>
                <w:rFonts w:hint="eastAsia" w:ascii="宋体" w:hAnsi="宋体" w:eastAsia="宋体" w:cs="宋体"/>
                <w:color w:val="auto"/>
                <w:sz w:val="21"/>
                <w:szCs w:val="21"/>
                <w:highlight w:val="none"/>
                <w:lang w:eastAsia="zh-CN"/>
              </w:rPr>
              <w:t>人</w:t>
            </w:r>
            <w:r>
              <w:rPr>
                <w:rFonts w:hint="eastAsia" w:ascii="宋体" w:hAnsi="宋体" w:eastAsia="宋体" w:cs="宋体"/>
                <w:color w:val="auto"/>
                <w:sz w:val="21"/>
                <w:szCs w:val="21"/>
                <w:highlight w:val="none"/>
              </w:rPr>
              <w:t>代表</w:t>
            </w:r>
            <w:r>
              <w:rPr>
                <w:rFonts w:hint="eastAsia" w:ascii="宋体" w:hAnsi="宋体" w:eastAsia="宋体" w:cs="宋体"/>
                <w:color w:val="auto"/>
                <w:sz w:val="21"/>
                <w:szCs w:val="21"/>
                <w:highlight w:val="none"/>
                <w:lang w:eastAsia="zh-CN"/>
              </w:rPr>
              <w:t>、中标人代表进行</w:t>
            </w:r>
            <w:r>
              <w:rPr>
                <w:rFonts w:hint="eastAsia" w:ascii="宋体" w:hAnsi="宋体" w:eastAsia="宋体" w:cs="宋体"/>
                <w:color w:val="auto"/>
                <w:sz w:val="21"/>
                <w:szCs w:val="21"/>
                <w:highlight w:val="none"/>
                <w:lang w:val="en-US" w:eastAsia="zh-CN"/>
              </w:rPr>
              <w:t>系统</w:t>
            </w:r>
            <w:r>
              <w:rPr>
                <w:rFonts w:hint="eastAsia" w:ascii="宋体" w:hAnsi="宋体" w:eastAsia="宋体" w:cs="宋体"/>
                <w:color w:val="auto"/>
                <w:sz w:val="21"/>
                <w:szCs w:val="21"/>
                <w:highlight w:val="none"/>
                <w:lang w:eastAsia="zh-CN"/>
              </w:rPr>
              <w:t>试运行</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并</w:t>
            </w:r>
            <w:r>
              <w:rPr>
                <w:rFonts w:hint="eastAsia" w:ascii="宋体" w:hAnsi="宋体" w:eastAsia="宋体" w:cs="宋体"/>
                <w:color w:val="auto"/>
                <w:sz w:val="21"/>
                <w:szCs w:val="21"/>
                <w:highlight w:val="none"/>
              </w:rPr>
              <w:t>对</w:t>
            </w:r>
            <w:r>
              <w:rPr>
                <w:rFonts w:hint="eastAsia" w:ascii="宋体" w:hAnsi="宋体" w:eastAsia="宋体" w:cs="宋体"/>
                <w:color w:val="auto"/>
                <w:sz w:val="21"/>
                <w:szCs w:val="21"/>
                <w:highlight w:val="none"/>
                <w:lang w:eastAsia="zh-CN"/>
              </w:rPr>
              <w:t>试运行情况</w:t>
            </w:r>
            <w:r>
              <w:rPr>
                <w:rFonts w:hint="eastAsia" w:ascii="宋体" w:hAnsi="宋体" w:eastAsia="宋体" w:cs="宋体"/>
                <w:color w:val="auto"/>
                <w:sz w:val="21"/>
                <w:szCs w:val="21"/>
                <w:highlight w:val="none"/>
              </w:rPr>
              <w:t>进行评价。</w:t>
            </w:r>
          </w:p>
          <w:p w14:paraId="7FB1B219">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)验收时现场测试</w:t>
            </w:r>
            <w:r>
              <w:rPr>
                <w:rFonts w:hint="eastAsia" w:ascii="宋体" w:hAnsi="宋体" w:eastAsia="宋体" w:cs="宋体"/>
                <w:color w:val="auto"/>
                <w:sz w:val="21"/>
                <w:szCs w:val="21"/>
                <w:highlight w:val="none"/>
                <w:lang w:val="en-US" w:eastAsia="zh-CN"/>
              </w:rPr>
              <w:t>系统</w:t>
            </w:r>
            <w:r>
              <w:rPr>
                <w:rFonts w:hint="eastAsia" w:ascii="宋体" w:hAnsi="宋体" w:eastAsia="宋体" w:cs="宋体"/>
                <w:color w:val="auto"/>
                <w:sz w:val="21"/>
                <w:szCs w:val="21"/>
                <w:highlight w:val="none"/>
              </w:rPr>
              <w:t>的技术性能指标，确认各项功能正常运行，同时检查随机文件应齐整。</w:t>
            </w:r>
            <w:r>
              <w:rPr>
                <w:rFonts w:hint="eastAsia" w:ascii="宋体" w:hAnsi="宋体" w:eastAsia="宋体" w:cs="宋体"/>
                <w:color w:val="auto"/>
                <w:sz w:val="21"/>
                <w:szCs w:val="21"/>
                <w:highlight w:val="none"/>
                <w:lang w:eastAsia="zh-CN"/>
              </w:rPr>
              <w:t>试运行时由采购人对照招标文件的功能目标及技术指标要求、投标文件响应的功能、参数全面核对检验，所提供</w:t>
            </w:r>
            <w:r>
              <w:rPr>
                <w:rFonts w:hint="eastAsia" w:ascii="宋体" w:hAnsi="宋体" w:eastAsia="宋体" w:cs="宋体"/>
                <w:color w:val="auto"/>
                <w:sz w:val="21"/>
                <w:szCs w:val="21"/>
                <w:highlight w:val="none"/>
                <w:lang w:val="en-US" w:eastAsia="zh-CN"/>
              </w:rPr>
              <w:t>系统</w:t>
            </w:r>
            <w:r>
              <w:rPr>
                <w:rFonts w:hint="eastAsia" w:ascii="宋体" w:hAnsi="宋体" w:eastAsia="宋体" w:cs="宋体"/>
                <w:color w:val="auto"/>
                <w:sz w:val="21"/>
                <w:szCs w:val="21"/>
                <w:highlight w:val="none"/>
                <w:lang w:eastAsia="zh-CN"/>
              </w:rPr>
              <w:t>的性能应与投标时响应的</w:t>
            </w:r>
            <w:r>
              <w:rPr>
                <w:rFonts w:hint="eastAsia" w:ascii="宋体" w:hAnsi="宋体" w:eastAsia="宋体" w:cs="宋体"/>
                <w:color w:val="auto"/>
                <w:sz w:val="21"/>
                <w:szCs w:val="21"/>
                <w:highlight w:val="none"/>
                <w:lang w:val="en-US" w:eastAsia="zh-CN"/>
              </w:rPr>
              <w:t>技术性能</w:t>
            </w:r>
            <w:r>
              <w:rPr>
                <w:rFonts w:hint="eastAsia" w:ascii="宋体" w:hAnsi="宋体" w:eastAsia="宋体" w:cs="宋体"/>
                <w:color w:val="auto"/>
                <w:sz w:val="21"/>
                <w:szCs w:val="21"/>
                <w:highlight w:val="none"/>
                <w:lang w:eastAsia="zh-CN"/>
              </w:rPr>
              <w:t>、参数完全一致，</w:t>
            </w:r>
            <w:r>
              <w:rPr>
                <w:rFonts w:hint="eastAsia" w:ascii="宋体" w:hAnsi="宋体" w:eastAsia="宋体" w:cs="宋体"/>
                <w:color w:val="auto"/>
                <w:sz w:val="21"/>
                <w:szCs w:val="21"/>
                <w:highlight w:val="none"/>
              </w:rPr>
              <w:t>视为</w:t>
            </w:r>
            <w:r>
              <w:rPr>
                <w:rFonts w:hint="eastAsia" w:ascii="宋体" w:hAnsi="宋体" w:eastAsia="宋体" w:cs="宋体"/>
                <w:color w:val="auto"/>
                <w:sz w:val="21"/>
                <w:szCs w:val="21"/>
                <w:highlight w:val="none"/>
                <w:lang w:eastAsia="zh-CN"/>
              </w:rPr>
              <w:t>验收合格</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采购人有权要求中标人在验收时提供检测报告或生产厂家官方技术说明书、官方产品宣传页等证明材料原件，有权将系统送第三方检测机构进行检测，以核验系统各功能参数与中标人投标时响应的技术性能、参数完全一致，否则视为验收不合格。）</w:t>
            </w:r>
            <w:r>
              <w:rPr>
                <w:rFonts w:hint="eastAsia" w:ascii="宋体" w:hAnsi="宋体" w:eastAsia="宋体" w:cs="宋体"/>
                <w:color w:val="auto"/>
                <w:sz w:val="21"/>
                <w:szCs w:val="21"/>
                <w:highlight w:val="none"/>
              </w:rPr>
              <w:t>，由采购</w:t>
            </w:r>
            <w:r>
              <w:rPr>
                <w:rFonts w:hint="eastAsia" w:ascii="宋体" w:hAnsi="宋体" w:eastAsia="宋体" w:cs="宋体"/>
                <w:color w:val="auto"/>
                <w:sz w:val="21"/>
                <w:szCs w:val="21"/>
                <w:highlight w:val="none"/>
                <w:lang w:eastAsia="zh-CN"/>
              </w:rPr>
              <w:t>人</w:t>
            </w:r>
            <w:r>
              <w:rPr>
                <w:rFonts w:hint="eastAsia" w:ascii="宋体" w:hAnsi="宋体" w:eastAsia="宋体" w:cs="宋体"/>
                <w:color w:val="auto"/>
                <w:sz w:val="21"/>
                <w:szCs w:val="21"/>
                <w:highlight w:val="none"/>
              </w:rPr>
              <w:t>代表及</w:t>
            </w:r>
            <w:r>
              <w:rPr>
                <w:rFonts w:hint="eastAsia" w:ascii="宋体" w:hAnsi="宋体" w:eastAsia="宋体" w:cs="宋体"/>
                <w:color w:val="auto"/>
                <w:sz w:val="21"/>
                <w:szCs w:val="21"/>
                <w:highlight w:val="none"/>
                <w:lang w:eastAsia="zh-CN"/>
              </w:rPr>
              <w:t>中标人代表</w:t>
            </w:r>
            <w:r>
              <w:rPr>
                <w:rFonts w:hint="eastAsia" w:ascii="宋体" w:hAnsi="宋体" w:eastAsia="宋体" w:cs="宋体"/>
                <w:color w:val="auto"/>
                <w:sz w:val="21"/>
                <w:szCs w:val="21"/>
                <w:highlight w:val="none"/>
              </w:rPr>
              <w:t>共同对安装、调试情况进行记录。本项目所有系统功能模块，试运行测评完成后，对测评不通过的部分，</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rPr>
              <w:t>须无条件整改，直至整改通过，否则项目将不予整体验收。因</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rPr>
              <w:t>原因导致的测评不通过，将导致项目无法整体验收，此视为</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rPr>
              <w:t>严重违约，</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rPr>
              <w:t>须退回采购人已经支付的所有款项，并须承担无法验收给采购人造成的损失</w:t>
            </w:r>
            <w:r>
              <w:rPr>
                <w:rFonts w:hint="eastAsia" w:ascii="宋体" w:hAnsi="宋体" w:eastAsia="宋体" w:cs="宋体"/>
                <w:color w:val="auto"/>
                <w:sz w:val="21"/>
                <w:szCs w:val="21"/>
                <w:highlight w:val="none"/>
                <w:lang w:eastAsia="zh-CN"/>
              </w:rPr>
              <w:t>。</w:t>
            </w:r>
          </w:p>
          <w:p w14:paraId="47468DEA">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采购项目进行验收时，采购人可以邀请参加本项目的其他投标人、技术专家或者第三方机构参与验收。参与验收的投标人、技术专家或者第三方机构的意见作为验收书的参考资料一并存档。验收所产生的一切费用由中标人承担。</w:t>
            </w:r>
          </w:p>
          <w:p w14:paraId="2CFFD68F">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C</w:t>
            </w:r>
            <w:r>
              <w:rPr>
                <w:rFonts w:hint="eastAsia" w:ascii="宋体" w:hAnsi="宋体" w:eastAsia="宋体" w:cs="宋体"/>
                <w:color w:val="auto"/>
                <w:sz w:val="21"/>
                <w:szCs w:val="21"/>
                <w:highlight w:val="none"/>
                <w:lang w:eastAsia="zh-CN"/>
              </w:rPr>
              <w:t>.履约验收其他事项：</w:t>
            </w:r>
          </w:p>
          <w:p w14:paraId="13CE3A86">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 验收资料归档，采购合同项目完成验收后，将验收原始记录、验收书等资料作为该采购项目档案妥善保管，不得伪造、变造、隐匿或者销毁，验收资料保存期为采购结束之日起至少保存15年。</w:t>
            </w:r>
          </w:p>
          <w:p w14:paraId="6974EBF6">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)由于中标人原因造成不按时完成验收、造成逾期供货事实的，由中标人承担相关合同责任。</w:t>
            </w:r>
          </w:p>
          <w:p w14:paraId="09BA106F">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r>
              <w:rPr>
                <w:color w:val="auto"/>
                <w:szCs w:val="21"/>
                <w:highlight w:val="none"/>
              </w:rPr>
              <w:t>采购人对</w:t>
            </w:r>
            <w:r>
              <w:rPr>
                <w:rFonts w:hint="eastAsia"/>
                <w:color w:val="auto"/>
                <w:szCs w:val="21"/>
                <w:highlight w:val="none"/>
                <w:lang w:val="en-US" w:eastAsia="zh-CN"/>
              </w:rPr>
              <w:t>中标人</w:t>
            </w:r>
            <w:r>
              <w:rPr>
                <w:color w:val="auto"/>
                <w:szCs w:val="21"/>
                <w:highlight w:val="none"/>
              </w:rPr>
              <w:t>提供的</w:t>
            </w:r>
            <w:r>
              <w:rPr>
                <w:rFonts w:hint="eastAsia"/>
                <w:color w:val="auto"/>
                <w:szCs w:val="21"/>
                <w:highlight w:val="none"/>
                <w:lang w:val="en-US" w:eastAsia="zh-CN"/>
              </w:rPr>
              <w:t>项目</w:t>
            </w:r>
            <w:r>
              <w:rPr>
                <w:rFonts w:hint="eastAsia"/>
                <w:color w:val="auto"/>
                <w:szCs w:val="21"/>
                <w:highlight w:val="none"/>
              </w:rPr>
              <w:t>成果</w:t>
            </w:r>
            <w:r>
              <w:rPr>
                <w:color w:val="auto"/>
                <w:szCs w:val="21"/>
                <w:highlight w:val="none"/>
              </w:rPr>
              <w:t>在</w:t>
            </w:r>
            <w:r>
              <w:rPr>
                <w:rFonts w:hint="eastAsia"/>
                <w:color w:val="auto"/>
                <w:szCs w:val="21"/>
                <w:highlight w:val="none"/>
              </w:rPr>
              <w:t>验收</w:t>
            </w:r>
            <w:r>
              <w:rPr>
                <w:color w:val="auto"/>
                <w:szCs w:val="21"/>
                <w:highlight w:val="none"/>
              </w:rPr>
              <w:t>时，</w:t>
            </w:r>
            <w:r>
              <w:rPr>
                <w:rFonts w:hint="eastAsia"/>
                <w:color w:val="auto"/>
                <w:szCs w:val="21"/>
                <w:highlight w:val="none"/>
                <w:lang w:val="en-US" w:eastAsia="zh-CN"/>
              </w:rPr>
              <w:t>中标人</w:t>
            </w:r>
            <w:r>
              <w:rPr>
                <w:color w:val="auto"/>
                <w:szCs w:val="21"/>
                <w:highlight w:val="none"/>
              </w:rPr>
              <w:t>须负责安装</w:t>
            </w:r>
            <w:r>
              <w:rPr>
                <w:rFonts w:hint="eastAsia"/>
                <w:color w:val="auto"/>
                <w:szCs w:val="21"/>
                <w:highlight w:val="none"/>
              </w:rPr>
              <w:t>调试</w:t>
            </w:r>
            <w:r>
              <w:rPr>
                <w:color w:val="auto"/>
                <w:szCs w:val="21"/>
                <w:highlight w:val="none"/>
              </w:rPr>
              <w:t>并培训采购人的操作使用人员，符合所有技术要求的，采购人才作最终验收</w:t>
            </w:r>
            <w:r>
              <w:rPr>
                <w:rFonts w:hint="eastAsia" w:ascii="宋体" w:hAnsi="宋体" w:eastAsia="宋体" w:cs="宋体"/>
                <w:color w:val="auto"/>
                <w:sz w:val="21"/>
                <w:szCs w:val="21"/>
                <w:highlight w:val="none"/>
                <w:lang w:eastAsia="zh-CN"/>
              </w:rPr>
              <w:t>。</w:t>
            </w:r>
          </w:p>
          <w:p w14:paraId="6399508C">
            <w:pPr>
              <w:keepNext w:val="0"/>
              <w:keepLines w:val="0"/>
              <w:suppressLineNumbers w:val="0"/>
              <w:spacing w:before="0" w:beforeAutospacing="0" w:after="0" w:afterAutospacing="0" w:line="360" w:lineRule="auto"/>
              <w:ind w:left="0" w:right="0"/>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6.验收内容：包括每个采购标的每一项技术参数和商务要求全部内容的履约情况。</w:t>
            </w:r>
          </w:p>
          <w:p w14:paraId="62D57D4B">
            <w:pPr>
              <w:keepNext w:val="0"/>
              <w:keepLines w:val="0"/>
              <w:suppressLineNumbers w:val="0"/>
              <w:spacing w:before="0" w:beforeAutospacing="0" w:after="0" w:afterAutospacing="0" w:line="360" w:lineRule="auto"/>
              <w:ind w:left="0" w:leftChars="0" w:right="0" w:right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lang w:eastAsia="zh-CN"/>
              </w:rPr>
              <w:t>其他未尽事宜应严格参照《关于印发广西壮族自治区政府采购项目履约验收管理办法的通知》[桂财采〔2015〕22号]以及《财政部关于进一步加强政府采购需求和履约验收管理的指导意见》[财库〔2016〕205 号]规定执行。</w:t>
            </w:r>
          </w:p>
        </w:tc>
      </w:tr>
      <w:tr w14:paraId="4C33FE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0" w:hRule="atLeast"/>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08CBDEA5">
            <w:pPr>
              <w:keepNext w:val="0"/>
              <w:keepLines w:val="0"/>
              <w:suppressLineNumbers w:val="0"/>
              <w:bidi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7</w:t>
            </w:r>
          </w:p>
        </w:tc>
        <w:tc>
          <w:tcPr>
            <w:tcW w:w="1119" w:type="dxa"/>
            <w:tcBorders>
              <w:left w:val="nil"/>
              <w:right w:val="single" w:color="000000" w:sz="4" w:space="0"/>
            </w:tcBorders>
            <w:shd w:val="clear" w:color="auto" w:fill="auto"/>
            <w:vAlign w:val="center"/>
          </w:tcPr>
          <w:p w14:paraId="07E03C87">
            <w:pPr>
              <w:keepNext w:val="0"/>
              <w:keepLines w:val="0"/>
              <w:suppressLineNumbers w:val="0"/>
              <w:snapToGrid w:val="0"/>
              <w:spacing w:before="0" w:beforeAutospacing="0" w:after="0" w:afterAutospacing="0" w:line="400" w:lineRule="exact"/>
              <w:ind w:left="0" w:leftChars="0" w:right="0" w:rightChars="0"/>
              <w:jc w:val="center"/>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color w:val="auto"/>
                <w:sz w:val="21"/>
                <w:szCs w:val="21"/>
                <w:highlight w:val="none"/>
              </w:rPr>
              <w:t>付款条件</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5EFB2537">
            <w:pPr>
              <w:keepNext w:val="0"/>
              <w:keepLines w:val="0"/>
              <w:suppressLineNumbers w:val="0"/>
              <w:spacing w:before="0" w:beforeAutospacing="0" w:after="0" w:afterAutospacing="0" w:line="360" w:lineRule="exact"/>
              <w:ind w:left="0" w:right="0"/>
              <w:jc w:val="left"/>
              <w:rPr>
                <w:rFonts w:hint="eastAsia" w:ascii="宋体" w:hAnsi="宋体"/>
                <w:color w:val="auto"/>
                <w:sz w:val="21"/>
                <w:szCs w:val="21"/>
                <w:highlight w:val="none"/>
              </w:rPr>
            </w:pPr>
            <w:r>
              <w:rPr>
                <w:rFonts w:hint="eastAsia" w:ascii="宋体" w:hAnsi="宋体"/>
                <w:color w:val="auto"/>
                <w:sz w:val="21"/>
                <w:szCs w:val="21"/>
                <w:highlight w:val="none"/>
              </w:rPr>
              <w:t>1</w:t>
            </w: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系统</w:t>
            </w:r>
            <w:r>
              <w:rPr>
                <w:rFonts w:hint="eastAsia" w:ascii="宋体" w:hAnsi="宋体"/>
                <w:color w:val="auto"/>
                <w:sz w:val="21"/>
                <w:szCs w:val="21"/>
                <w:highlight w:val="none"/>
              </w:rPr>
              <w:t>验收合格后，</w:t>
            </w:r>
            <w:r>
              <w:rPr>
                <w:rFonts w:hint="eastAsia" w:ascii="宋体" w:hAnsi="宋体"/>
                <w:color w:val="auto"/>
                <w:sz w:val="21"/>
                <w:szCs w:val="21"/>
                <w:highlight w:val="none"/>
                <w:lang w:val="en-US" w:eastAsia="zh-CN"/>
              </w:rPr>
              <w:t>中标人</w:t>
            </w:r>
            <w:r>
              <w:rPr>
                <w:rFonts w:hint="eastAsia" w:ascii="宋体" w:hAnsi="宋体"/>
                <w:color w:val="auto"/>
                <w:sz w:val="21"/>
                <w:szCs w:val="21"/>
                <w:highlight w:val="none"/>
              </w:rPr>
              <w:t>应向</w:t>
            </w:r>
            <w:r>
              <w:rPr>
                <w:rFonts w:hint="eastAsia" w:ascii="宋体" w:hAnsi="宋体"/>
                <w:color w:val="auto"/>
                <w:sz w:val="21"/>
                <w:szCs w:val="21"/>
                <w:highlight w:val="none"/>
                <w:lang w:val="en-US" w:eastAsia="zh-CN"/>
              </w:rPr>
              <w:t>采购人</w:t>
            </w:r>
            <w:r>
              <w:rPr>
                <w:rFonts w:hint="eastAsia" w:ascii="宋体" w:hAnsi="宋体"/>
                <w:color w:val="auto"/>
                <w:sz w:val="21"/>
                <w:szCs w:val="21"/>
                <w:highlight w:val="none"/>
              </w:rPr>
              <w:t>开具合法增值税专用发票，</w:t>
            </w:r>
            <w:r>
              <w:rPr>
                <w:rFonts w:hint="eastAsia" w:ascii="宋体" w:hAnsi="宋体"/>
                <w:color w:val="auto"/>
                <w:sz w:val="21"/>
                <w:szCs w:val="21"/>
                <w:highlight w:val="none"/>
                <w:lang w:val="en-US" w:eastAsia="zh-CN"/>
              </w:rPr>
              <w:t>采购人</w:t>
            </w:r>
            <w:r>
              <w:rPr>
                <w:rFonts w:hint="eastAsia" w:ascii="宋体" w:hAnsi="宋体"/>
                <w:color w:val="auto"/>
                <w:sz w:val="21"/>
                <w:szCs w:val="21"/>
                <w:highlight w:val="none"/>
              </w:rPr>
              <w:t>在30日内进行</w:t>
            </w:r>
            <w:r>
              <w:rPr>
                <w:rFonts w:hint="eastAsia" w:ascii="宋体" w:hAnsi="宋体"/>
                <w:color w:val="auto"/>
                <w:sz w:val="21"/>
                <w:szCs w:val="21"/>
                <w:highlight w:val="none"/>
                <w:lang w:val="en-US" w:eastAsia="zh-CN"/>
              </w:rPr>
              <w:t>合同价款</w:t>
            </w:r>
            <w:r>
              <w:rPr>
                <w:rFonts w:hint="eastAsia" w:ascii="宋体" w:hAnsi="宋体"/>
                <w:color w:val="auto"/>
                <w:sz w:val="21"/>
                <w:szCs w:val="21"/>
                <w:highlight w:val="none"/>
              </w:rPr>
              <w:t>支付。</w:t>
            </w:r>
          </w:p>
          <w:p w14:paraId="4FD05B35">
            <w:pPr>
              <w:keepNext w:val="0"/>
              <w:keepLines w:val="0"/>
              <w:suppressLineNumbers w:val="0"/>
              <w:spacing w:before="0" w:beforeAutospacing="0" w:after="0" w:afterAutospacing="0" w:line="400" w:lineRule="exact"/>
              <w:ind w:left="0" w:leftChars="0" w:right="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color w:val="auto"/>
                <w:sz w:val="21"/>
                <w:szCs w:val="21"/>
                <w:highlight w:val="none"/>
                <w:lang w:val="en-US" w:eastAsia="zh-CN"/>
              </w:rPr>
              <w:t>2</w:t>
            </w:r>
            <w:r>
              <w:rPr>
                <w:rFonts w:hint="eastAsia" w:ascii="宋体" w:hAnsi="宋体"/>
                <w:color w:val="auto"/>
                <w:sz w:val="21"/>
                <w:szCs w:val="21"/>
                <w:highlight w:val="none"/>
              </w:rPr>
              <w:t>.</w:t>
            </w:r>
            <w:r>
              <w:rPr>
                <w:rFonts w:hint="eastAsia" w:ascii="宋体" w:hAnsi="宋体"/>
                <w:color w:val="auto"/>
                <w:sz w:val="21"/>
                <w:szCs w:val="21"/>
                <w:highlight w:val="none"/>
                <w:lang w:val="en-US" w:eastAsia="zh-CN"/>
              </w:rPr>
              <w:t>中标人</w:t>
            </w:r>
            <w:r>
              <w:rPr>
                <w:rFonts w:hint="eastAsia" w:ascii="宋体" w:hAnsi="宋体"/>
                <w:color w:val="auto"/>
                <w:sz w:val="21"/>
                <w:szCs w:val="21"/>
                <w:highlight w:val="none"/>
              </w:rPr>
              <w:t>必须按照采购人要求提供真实、有效、合法的正式发票。一旦发现</w:t>
            </w:r>
            <w:r>
              <w:rPr>
                <w:rFonts w:hint="eastAsia" w:ascii="宋体" w:hAnsi="宋体"/>
                <w:color w:val="auto"/>
                <w:sz w:val="21"/>
                <w:szCs w:val="21"/>
                <w:highlight w:val="none"/>
                <w:lang w:val="en-US" w:eastAsia="zh-CN"/>
              </w:rPr>
              <w:t>中标人</w:t>
            </w:r>
            <w:r>
              <w:rPr>
                <w:rFonts w:hint="eastAsia" w:ascii="宋体" w:hAnsi="宋体"/>
                <w:color w:val="auto"/>
                <w:sz w:val="21"/>
                <w:szCs w:val="21"/>
                <w:highlight w:val="none"/>
              </w:rPr>
              <w:t>提供虚假发票，除须向采购人补开合法发票外，采购人有权向税务机关投诉，并扣除全部履约保证金。</w:t>
            </w:r>
          </w:p>
        </w:tc>
      </w:tr>
      <w:tr w14:paraId="0DF972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97" w:hRule="atLeast"/>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410FAAF6">
            <w:pPr>
              <w:keepNext w:val="0"/>
              <w:keepLines w:val="0"/>
              <w:suppressLineNumbers w:val="0"/>
              <w:bidi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8</w:t>
            </w:r>
          </w:p>
        </w:tc>
        <w:tc>
          <w:tcPr>
            <w:tcW w:w="1119" w:type="dxa"/>
            <w:tcBorders>
              <w:left w:val="nil"/>
              <w:right w:val="single" w:color="000000" w:sz="4" w:space="0"/>
            </w:tcBorders>
            <w:shd w:val="clear" w:color="auto" w:fill="auto"/>
            <w:vAlign w:val="center"/>
          </w:tcPr>
          <w:p w14:paraId="53A995B6">
            <w:pPr>
              <w:keepNext w:val="0"/>
              <w:keepLines w:val="0"/>
              <w:suppressLineNumbers w:val="0"/>
              <w:snapToGrid w:val="0"/>
              <w:spacing w:before="0" w:beforeAutospacing="0" w:after="0" w:afterAutospacing="0" w:line="360" w:lineRule="exact"/>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售后服务要求</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4AFABE8E">
            <w:pPr>
              <w:keepNext w:val="0"/>
              <w:keepLines w:val="0"/>
              <w:suppressLineNumbers w:val="0"/>
              <w:spacing w:before="0" w:beforeAutospacing="0" w:after="0" w:afterAutospacing="0" w:line="340" w:lineRule="exact"/>
              <w:ind w:left="0" w:right="0"/>
              <w:jc w:val="left"/>
              <w:rPr>
                <w:rFonts w:hint="eastAsia" w:ascii="宋体" w:hAnsi="宋体"/>
                <w:color w:val="auto"/>
                <w:sz w:val="21"/>
                <w:szCs w:val="21"/>
                <w:highlight w:val="none"/>
              </w:rPr>
            </w:pPr>
            <w:r>
              <w:rPr>
                <w:rFonts w:hint="eastAsia" w:ascii="宋体" w:hAnsi="宋体"/>
                <w:color w:val="auto"/>
                <w:sz w:val="21"/>
                <w:szCs w:val="21"/>
                <w:highlight w:val="none"/>
                <w:lang w:val="en-US" w:eastAsia="zh-CN"/>
              </w:rPr>
              <w:t>1</w:t>
            </w:r>
            <w:r>
              <w:rPr>
                <w:rFonts w:hint="eastAsia" w:ascii="宋体" w:hAnsi="宋体"/>
                <w:color w:val="auto"/>
                <w:sz w:val="21"/>
                <w:szCs w:val="21"/>
                <w:highlight w:val="none"/>
              </w:rPr>
              <w:t>.</w:t>
            </w:r>
            <w:r>
              <w:rPr>
                <w:rFonts w:hint="eastAsia" w:ascii="宋体" w:hAnsi="宋体"/>
                <w:color w:val="auto"/>
                <w:sz w:val="21"/>
                <w:szCs w:val="21"/>
                <w:highlight w:val="none"/>
                <w:lang w:val="en-US" w:eastAsia="zh-CN"/>
              </w:rPr>
              <w:t>中标人</w:t>
            </w:r>
            <w:r>
              <w:rPr>
                <w:rFonts w:hint="eastAsia" w:ascii="宋体" w:hAnsi="宋体"/>
                <w:color w:val="auto"/>
                <w:sz w:val="21"/>
                <w:szCs w:val="21"/>
                <w:highlight w:val="none"/>
              </w:rPr>
              <w:t>必须保证提供的</w:t>
            </w:r>
            <w:r>
              <w:rPr>
                <w:rFonts w:hint="eastAsia" w:ascii="宋体" w:hAnsi="宋体" w:cs="宋体"/>
                <w:color w:val="auto"/>
                <w:sz w:val="21"/>
                <w:szCs w:val="21"/>
                <w:highlight w:val="none"/>
                <w:lang w:val="en-US" w:eastAsia="zh-CN"/>
              </w:rPr>
              <w:t>整套系统</w:t>
            </w:r>
            <w:r>
              <w:rPr>
                <w:rFonts w:hint="eastAsia" w:ascii="宋体" w:hAnsi="宋体"/>
                <w:color w:val="auto"/>
                <w:sz w:val="21"/>
                <w:szCs w:val="21"/>
                <w:highlight w:val="none"/>
              </w:rPr>
              <w:t>是全新正品、未使用过的。</w:t>
            </w:r>
          </w:p>
          <w:p w14:paraId="675233C1">
            <w:pPr>
              <w:keepNext w:val="0"/>
              <w:keepLines w:val="0"/>
              <w:suppressLineNumbers w:val="0"/>
              <w:spacing w:before="0" w:beforeAutospacing="0" w:after="0" w:afterAutospacing="0" w:line="340" w:lineRule="exact"/>
              <w:ind w:left="0" w:right="0"/>
              <w:jc w:val="left"/>
              <w:rPr>
                <w:rFonts w:ascii="宋体" w:hAnsi="宋体"/>
                <w:color w:val="auto"/>
                <w:sz w:val="21"/>
                <w:szCs w:val="21"/>
                <w:highlight w:val="none"/>
              </w:rPr>
            </w:pPr>
            <w:r>
              <w:rPr>
                <w:rFonts w:hint="eastAsia" w:ascii="宋体" w:hAnsi="宋体"/>
                <w:color w:val="auto"/>
                <w:sz w:val="21"/>
                <w:szCs w:val="21"/>
                <w:highlight w:val="none"/>
                <w:lang w:val="en-US" w:eastAsia="zh-CN"/>
              </w:rPr>
              <w:t>2</w:t>
            </w:r>
            <w:r>
              <w:rPr>
                <w:rFonts w:hint="eastAsia" w:ascii="宋体" w:hAnsi="宋体"/>
                <w:color w:val="auto"/>
                <w:sz w:val="21"/>
                <w:szCs w:val="21"/>
                <w:highlight w:val="none"/>
              </w:rPr>
              <w:t>.负责</w:t>
            </w:r>
            <w:r>
              <w:rPr>
                <w:rFonts w:hint="eastAsia" w:ascii="宋体" w:hAnsi="宋体"/>
                <w:color w:val="auto"/>
                <w:sz w:val="21"/>
                <w:szCs w:val="21"/>
                <w:highlight w:val="none"/>
                <w:lang w:val="en-US" w:eastAsia="zh-CN"/>
              </w:rPr>
              <w:t>系统搭建</w:t>
            </w:r>
            <w:r>
              <w:rPr>
                <w:rFonts w:hint="eastAsia" w:ascii="宋体" w:hAnsi="宋体"/>
                <w:color w:val="auto"/>
                <w:sz w:val="21"/>
                <w:szCs w:val="21"/>
                <w:highlight w:val="none"/>
              </w:rPr>
              <w:t>，安装、调试，提供技术培训，保证</w:t>
            </w:r>
            <w:r>
              <w:rPr>
                <w:rFonts w:hint="eastAsia" w:ascii="宋体" w:hAnsi="宋体"/>
                <w:color w:val="auto"/>
                <w:sz w:val="21"/>
                <w:szCs w:val="21"/>
                <w:highlight w:val="none"/>
                <w:lang w:val="en-US" w:eastAsia="zh-CN"/>
              </w:rPr>
              <w:t>采购单位</w:t>
            </w:r>
            <w:r>
              <w:rPr>
                <w:rFonts w:hint="eastAsia" w:ascii="宋体" w:hAnsi="宋体"/>
                <w:color w:val="auto"/>
                <w:sz w:val="21"/>
                <w:szCs w:val="21"/>
                <w:highlight w:val="none"/>
              </w:rPr>
              <w:t>使用人员正常操作设备的各种功能；其余按</w:t>
            </w:r>
            <w:r>
              <w:rPr>
                <w:rFonts w:hint="eastAsia" w:ascii="宋体" w:hAnsi="宋体"/>
                <w:color w:val="auto"/>
                <w:sz w:val="21"/>
                <w:szCs w:val="21"/>
                <w:highlight w:val="none"/>
                <w:lang w:val="en-US" w:eastAsia="zh-CN"/>
              </w:rPr>
              <w:t>投标人</w:t>
            </w:r>
            <w:r>
              <w:rPr>
                <w:rFonts w:hint="eastAsia" w:ascii="宋体" w:hAnsi="宋体"/>
                <w:color w:val="auto"/>
                <w:sz w:val="21"/>
                <w:szCs w:val="21"/>
                <w:highlight w:val="none"/>
              </w:rPr>
              <w:t>承诺进行。</w:t>
            </w:r>
          </w:p>
          <w:p w14:paraId="59B184FD">
            <w:pPr>
              <w:keepNext w:val="0"/>
              <w:keepLines w:val="0"/>
              <w:suppressLineNumbers w:val="0"/>
              <w:spacing w:before="0" w:beforeAutospacing="0" w:after="0" w:afterAutospacing="0" w:line="340" w:lineRule="exact"/>
              <w:ind w:left="0" w:right="0"/>
              <w:jc w:val="left"/>
              <w:rPr>
                <w:rFonts w:ascii="宋体" w:hAnsi="宋体"/>
                <w:color w:val="auto"/>
                <w:sz w:val="21"/>
                <w:szCs w:val="21"/>
                <w:highlight w:val="none"/>
              </w:rPr>
            </w:pPr>
            <w:r>
              <w:rPr>
                <w:rFonts w:hint="eastAsia" w:ascii="宋体" w:hAnsi="宋体"/>
                <w:color w:val="auto"/>
                <w:sz w:val="21"/>
                <w:szCs w:val="21"/>
                <w:highlight w:val="none"/>
                <w:lang w:val="en-US" w:eastAsia="zh-CN"/>
              </w:rPr>
              <w:t>3</w:t>
            </w:r>
            <w:r>
              <w:rPr>
                <w:rFonts w:hint="eastAsia" w:ascii="宋体" w:hAnsi="宋体"/>
                <w:color w:val="auto"/>
                <w:sz w:val="21"/>
                <w:szCs w:val="21"/>
                <w:highlight w:val="none"/>
              </w:rPr>
              <w:t>.</w:t>
            </w:r>
            <w:r>
              <w:rPr>
                <w:rFonts w:hint="eastAsia" w:ascii="宋体" w:hAnsi="宋体" w:cs="宋体"/>
                <w:color w:val="auto"/>
                <w:sz w:val="21"/>
                <w:szCs w:val="21"/>
                <w:highlight w:val="none"/>
              </w:rPr>
              <w:t>故障响应时间：售后服务时间为7</w:t>
            </w:r>
            <w:r>
              <w:rPr>
                <w:rFonts w:ascii="Arial" w:hAnsi="Arial" w:cs="Arial"/>
                <w:color w:val="auto"/>
                <w:sz w:val="21"/>
                <w:szCs w:val="21"/>
                <w:highlight w:val="none"/>
              </w:rPr>
              <w:t>×</w:t>
            </w:r>
            <w:r>
              <w:rPr>
                <w:rFonts w:hint="eastAsia" w:ascii="宋体" w:hAnsi="宋体" w:cs="宋体"/>
                <w:color w:val="auto"/>
                <w:sz w:val="21"/>
                <w:szCs w:val="21"/>
                <w:highlight w:val="none"/>
              </w:rPr>
              <w:t>24小时，提供服务热线电话。</w:t>
            </w:r>
            <w:r>
              <w:rPr>
                <w:rFonts w:hint="eastAsia" w:ascii="宋体" w:hAnsi="宋体"/>
                <w:color w:val="auto"/>
                <w:sz w:val="21"/>
                <w:szCs w:val="21"/>
                <w:highlight w:val="none"/>
                <w:lang w:val="en-US" w:eastAsia="zh-CN"/>
              </w:rPr>
              <w:t>中标人</w:t>
            </w:r>
            <w:r>
              <w:rPr>
                <w:rFonts w:hint="eastAsia" w:ascii="宋体" w:hAnsi="宋体" w:cs="宋体"/>
                <w:color w:val="auto"/>
                <w:sz w:val="21"/>
                <w:szCs w:val="21"/>
                <w:highlight w:val="none"/>
              </w:rPr>
              <w:t>接到采购人</w:t>
            </w:r>
            <w:r>
              <w:rPr>
                <w:rFonts w:hint="eastAsia" w:ascii="宋体" w:hAnsi="宋体" w:cs="宋体"/>
                <w:color w:val="auto"/>
                <w:sz w:val="21"/>
                <w:szCs w:val="21"/>
                <w:highlight w:val="none"/>
                <w:lang w:val="en-US" w:eastAsia="zh-CN"/>
              </w:rPr>
              <w:t>故障</w:t>
            </w:r>
            <w:r>
              <w:rPr>
                <w:rFonts w:hint="eastAsia" w:ascii="宋体" w:hAnsi="宋体" w:cs="宋体"/>
                <w:color w:val="auto"/>
                <w:sz w:val="21"/>
                <w:szCs w:val="21"/>
                <w:highlight w:val="none"/>
              </w:rPr>
              <w:t>通知2小时内做出响应，</w:t>
            </w:r>
            <w:r>
              <w:rPr>
                <w:rFonts w:hint="eastAsia" w:ascii="宋体" w:hAnsi="宋体" w:eastAsia="宋体" w:cs="宋体"/>
                <w:color w:val="auto"/>
                <w:sz w:val="21"/>
                <w:szCs w:val="21"/>
                <w:highlight w:val="none"/>
              </w:rPr>
              <w:t>8小时内远程排查处理故障；远程无法处理的，应在接到通知后24小时内到达现场维修。其中，一般故障应在48小时内修复，重大故障或其他无法迅速解决的故障应在7日内修复</w:t>
            </w:r>
            <w:r>
              <w:rPr>
                <w:rFonts w:hint="eastAsia" w:ascii="宋体" w:hAnsi="宋体" w:cs="宋体"/>
                <w:color w:val="auto"/>
                <w:sz w:val="21"/>
                <w:szCs w:val="21"/>
                <w:highlight w:val="none"/>
              </w:rPr>
              <w:t>。质保期内因</w:t>
            </w:r>
            <w:r>
              <w:rPr>
                <w:rFonts w:hint="eastAsia" w:ascii="宋体" w:hAnsi="宋体" w:cs="宋体"/>
                <w:color w:val="auto"/>
                <w:sz w:val="21"/>
                <w:szCs w:val="21"/>
                <w:highlight w:val="none"/>
                <w:lang w:val="en-US" w:eastAsia="zh-CN"/>
              </w:rPr>
              <w:t>软件</w:t>
            </w:r>
            <w:r>
              <w:rPr>
                <w:rFonts w:hint="eastAsia" w:ascii="宋体" w:hAnsi="宋体" w:cs="宋体"/>
                <w:color w:val="auto"/>
                <w:sz w:val="21"/>
                <w:szCs w:val="21"/>
                <w:highlight w:val="none"/>
              </w:rPr>
              <w:t>性能故障检修三次仍不能正常使用的，</w:t>
            </w:r>
            <w:r>
              <w:rPr>
                <w:rFonts w:hint="eastAsia" w:ascii="宋体" w:hAnsi="宋体"/>
                <w:color w:val="auto"/>
                <w:sz w:val="21"/>
                <w:szCs w:val="21"/>
                <w:highlight w:val="none"/>
                <w:lang w:val="en-US" w:eastAsia="zh-CN"/>
              </w:rPr>
              <w:t>中标人</w:t>
            </w:r>
            <w:r>
              <w:rPr>
                <w:rFonts w:hint="eastAsia" w:ascii="宋体" w:hAnsi="宋体" w:cs="宋体"/>
                <w:color w:val="auto"/>
                <w:sz w:val="21"/>
                <w:szCs w:val="21"/>
                <w:highlight w:val="none"/>
              </w:rPr>
              <w:t>须</w:t>
            </w:r>
            <w:r>
              <w:rPr>
                <w:rFonts w:hint="eastAsia" w:ascii="宋体" w:hAnsi="宋体" w:cs="宋体"/>
                <w:color w:val="auto"/>
                <w:sz w:val="21"/>
                <w:szCs w:val="21"/>
                <w:highlight w:val="none"/>
                <w:lang w:val="en-US" w:eastAsia="zh-CN"/>
              </w:rPr>
              <w:t>承担</w:t>
            </w:r>
            <w:r>
              <w:rPr>
                <w:rFonts w:hint="eastAsia" w:ascii="宋体" w:hAnsi="宋体" w:eastAsia="宋体" w:cs="宋体"/>
                <w:color w:val="auto"/>
                <w:sz w:val="21"/>
                <w:szCs w:val="21"/>
                <w:highlight w:val="none"/>
                <w:lang w:val="en-US" w:eastAsia="zh-CN"/>
              </w:rPr>
              <w:t>因软件设计、开发或软件自身缺陷的相应赔偿责任</w:t>
            </w:r>
            <w:r>
              <w:rPr>
                <w:rFonts w:hint="eastAsia" w:ascii="宋体" w:hAnsi="宋体"/>
                <w:color w:val="auto"/>
                <w:sz w:val="21"/>
                <w:szCs w:val="21"/>
                <w:highlight w:val="none"/>
              </w:rPr>
              <w:t>。</w:t>
            </w:r>
          </w:p>
          <w:p w14:paraId="01CB5464">
            <w:pPr>
              <w:keepNext w:val="0"/>
              <w:keepLines w:val="0"/>
              <w:suppressLineNumbers w:val="0"/>
              <w:snapToGrid w:val="0"/>
              <w:spacing w:before="0" w:beforeAutospacing="0" w:after="0" w:afterAutospacing="0" w:line="360" w:lineRule="exact"/>
              <w:ind w:left="0" w:right="0"/>
              <w:outlineLvl w:val="0"/>
              <w:rPr>
                <w:rFonts w:hint="eastAsia" w:ascii="宋体" w:hAnsi="宋体" w:cs="宋体"/>
                <w:color w:val="auto"/>
                <w:sz w:val="21"/>
                <w:szCs w:val="21"/>
                <w:highlight w:val="none"/>
              </w:rPr>
            </w:pPr>
            <w:r>
              <w:rPr>
                <w:rFonts w:hint="eastAsia" w:ascii="宋体" w:hAnsi="宋体"/>
                <w:color w:val="auto"/>
                <w:sz w:val="21"/>
                <w:szCs w:val="21"/>
                <w:highlight w:val="none"/>
                <w:lang w:val="en-US" w:eastAsia="zh-CN"/>
              </w:rPr>
              <w:t>4</w:t>
            </w:r>
            <w:r>
              <w:rPr>
                <w:rFonts w:hint="eastAsia" w:ascii="宋体" w:hAnsi="宋体" w:cs="宋体"/>
                <w:color w:val="auto"/>
                <w:sz w:val="21"/>
                <w:szCs w:val="21"/>
                <w:highlight w:val="none"/>
              </w:rPr>
              <w:t>.提供维护服务和技术咨询服务，项目含一年的质保。</w:t>
            </w:r>
            <w:r>
              <w:rPr>
                <w:rFonts w:hint="eastAsia" w:ascii="宋体" w:hAnsi="宋体" w:eastAsia="宋体" w:cs="宋体"/>
                <w:color w:val="auto"/>
                <w:sz w:val="21"/>
                <w:szCs w:val="21"/>
                <w:highlight w:val="none"/>
                <w:lang w:val="en-US" w:eastAsia="zh-CN"/>
              </w:rPr>
              <w:t>系统免费运维期满后</w:t>
            </w:r>
            <w:r>
              <w:rPr>
                <w:rFonts w:hint="eastAsia" w:ascii="宋体" w:hAnsi="宋体" w:eastAsia="宋体" w:cs="宋体"/>
                <w:color w:val="auto"/>
                <w:sz w:val="21"/>
                <w:szCs w:val="21"/>
                <w:highlight w:val="none"/>
              </w:rPr>
              <w:t>，软件不升级不影响原有软件功能正常使用，若需升级，</w:t>
            </w:r>
            <w:r>
              <w:rPr>
                <w:rFonts w:hint="eastAsia" w:ascii="宋体" w:hAnsi="宋体" w:cs="宋体"/>
                <w:color w:val="auto"/>
                <w:sz w:val="21"/>
                <w:szCs w:val="21"/>
                <w:highlight w:val="none"/>
              </w:rPr>
              <w:t>后期维保金额不超过项目总金额的10%。具体服务费用由双方根据服务内容、服务范围、服务时长及市场公允行情另行协商确定，签订书面补充协议后执行。</w:t>
            </w:r>
          </w:p>
          <w:p w14:paraId="79374DDA">
            <w:pPr>
              <w:keepNext w:val="0"/>
              <w:keepLines w:val="0"/>
              <w:widowControl/>
              <w:suppressLineNumbers w:val="0"/>
              <w:spacing w:before="0" w:beforeAutospacing="0" w:after="0" w:afterAutospacing="0" w:line="240" w:lineRule="auto"/>
              <w:ind w:left="0" w:leftChars="0" w:right="0" w:rightChars="0"/>
              <w:jc w:val="left"/>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5.其他要求：</w:t>
            </w:r>
            <w:r>
              <w:rPr>
                <w:rFonts w:hint="eastAsia" w:asciiTheme="minorEastAsia" w:hAnsiTheme="minorEastAsia" w:eastAsiaTheme="minorEastAsia"/>
                <w:color w:val="auto"/>
                <w:szCs w:val="21"/>
                <w:highlight w:val="none"/>
              </w:rPr>
              <w:t>提供平台操作的免费咨询服务</w:t>
            </w:r>
            <w:r>
              <w:rPr>
                <w:rFonts w:hint="eastAsia" w:ascii="仿宋_GB2312" w:hAnsi="仿宋_GB2312" w:eastAsia="仿宋_GB2312" w:cs="仿宋_GB2312"/>
                <w:color w:val="auto"/>
                <w:sz w:val="21"/>
                <w:szCs w:val="21"/>
                <w:highlight w:val="none"/>
              </w:rPr>
              <w:t>。</w:t>
            </w:r>
          </w:p>
        </w:tc>
      </w:tr>
      <w:tr w14:paraId="6E2A97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81" w:hRule="atLeast"/>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2F1F8BD2">
            <w:pPr>
              <w:keepNext w:val="0"/>
              <w:keepLines w:val="0"/>
              <w:suppressLineNumbers w:val="0"/>
              <w:bidi w:val="0"/>
              <w:spacing w:before="0" w:beforeAutospacing="0" w:after="0" w:afterAutospacing="0"/>
              <w:ind w:left="0" w:leftChars="0" w:right="0" w:rightChars="0"/>
              <w:jc w:val="center"/>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9</w:t>
            </w:r>
          </w:p>
        </w:tc>
        <w:tc>
          <w:tcPr>
            <w:tcW w:w="1119" w:type="dxa"/>
            <w:tcBorders>
              <w:left w:val="nil"/>
              <w:right w:val="single" w:color="000000" w:sz="4" w:space="0"/>
            </w:tcBorders>
            <w:shd w:val="clear" w:color="auto" w:fill="auto"/>
            <w:vAlign w:val="center"/>
          </w:tcPr>
          <w:p w14:paraId="79E7C488">
            <w:pPr>
              <w:keepNext w:val="0"/>
              <w:keepLines w:val="0"/>
              <w:suppressLineNumbers w:val="0"/>
              <w:snapToGrid w:val="0"/>
              <w:spacing w:before="0" w:beforeAutospacing="0" w:after="0" w:afterAutospacing="0" w:line="400" w:lineRule="exact"/>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核心产品</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4B684D60">
            <w:pPr>
              <w:pStyle w:val="14"/>
              <w:keepNext w:val="0"/>
              <w:keepLines w:val="0"/>
              <w:suppressLineNumbers w:val="0"/>
              <w:snapToGrid w:val="0"/>
              <w:spacing w:before="0" w:beforeAutospacing="0" w:after="0" w:afterAutospacing="0" w:line="360" w:lineRule="auto"/>
              <w:ind w:left="0" w:leftChars="0" w:right="0" w:rightChars="0"/>
              <w:outlineLvl w:val="0"/>
              <w:rPr>
                <w:rFonts w:hint="eastAsia" w:ascii="宋体" w:hAnsi="宋体" w:eastAsia="宋体" w:cs="宋体"/>
                <w:b/>
                <w:bCs/>
                <w:color w:val="auto"/>
                <w:kern w:val="2"/>
                <w:sz w:val="21"/>
                <w:szCs w:val="21"/>
                <w:highlight w:val="none"/>
                <w:lang w:val="en-US" w:eastAsia="zh-CN" w:bidi="ar"/>
              </w:rPr>
            </w:pPr>
            <w:r>
              <w:rPr>
                <w:rFonts w:hint="eastAsia" w:ascii="宋体" w:hAnsi="宋体" w:eastAsia="宋体" w:cs="宋体"/>
                <w:b/>
                <w:bCs/>
                <w:color w:val="auto"/>
                <w:kern w:val="2"/>
                <w:sz w:val="21"/>
                <w:szCs w:val="21"/>
                <w:highlight w:val="none"/>
                <w:lang w:val="en-US" w:eastAsia="zh-CN" w:bidi="ar"/>
              </w:rPr>
              <w:t>提供相同品牌产品且通过资格审查、符合性审查的不同投标人参加同一合同项下投标的，按一家投标人计算，采用最低评标价法则以报价最低者参与评标，采用综合评分法则以评审得分最高者获得中标人推荐资格，采用最低评标价法报价相同的或者采用综合评分法评审得分相同的，按“投标人须知前附表”规定方式确定，确定后其他同品牌投标人投标无效或不作为中标候选人。</w:t>
            </w:r>
          </w:p>
        </w:tc>
      </w:tr>
      <w:tr w14:paraId="1EE0F1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atLeast"/>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61380015">
            <w:pPr>
              <w:keepNext w:val="0"/>
              <w:keepLines w:val="0"/>
              <w:suppressLineNumbers w:val="0"/>
              <w:bidi w:val="0"/>
              <w:spacing w:before="0" w:beforeAutospacing="0" w:after="0" w:afterAutospacing="0"/>
              <w:ind w:left="0" w:leftChars="0" w:right="0" w:rightChars="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10</w:t>
            </w:r>
          </w:p>
        </w:tc>
        <w:tc>
          <w:tcPr>
            <w:tcW w:w="1119" w:type="dxa"/>
            <w:tcBorders>
              <w:left w:val="nil"/>
              <w:right w:val="single" w:color="000000" w:sz="4" w:space="0"/>
            </w:tcBorders>
            <w:shd w:val="clear" w:color="auto" w:fill="auto"/>
            <w:vAlign w:val="center"/>
          </w:tcPr>
          <w:p w14:paraId="60C7BD20">
            <w:pPr>
              <w:keepNext w:val="0"/>
              <w:keepLines w:val="0"/>
              <w:suppressLineNumbers w:val="0"/>
              <w:snapToGrid w:val="0"/>
              <w:spacing w:before="0" w:beforeAutospacing="0" w:after="0" w:afterAutospacing="0" w:line="400" w:lineRule="exact"/>
              <w:ind w:left="0" w:leftChars="0" w:right="0" w:rightChars="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进品产品</w:t>
            </w:r>
          </w:p>
        </w:tc>
        <w:tc>
          <w:tcPr>
            <w:tcW w:w="7772" w:type="dxa"/>
            <w:gridSpan w:val="4"/>
            <w:tcBorders>
              <w:top w:val="single" w:color="000000" w:sz="4" w:space="0"/>
              <w:left w:val="nil"/>
              <w:bottom w:val="single" w:color="000000" w:sz="4" w:space="0"/>
              <w:right w:val="single" w:color="000000" w:sz="4" w:space="0"/>
            </w:tcBorders>
            <w:shd w:val="clear" w:color="auto" w:fill="auto"/>
            <w:vAlign w:val="center"/>
          </w:tcPr>
          <w:p w14:paraId="489ADFF6">
            <w:pPr>
              <w:pStyle w:val="14"/>
              <w:keepNext w:val="0"/>
              <w:keepLines w:val="0"/>
              <w:suppressLineNumbers w:val="0"/>
              <w:snapToGrid w:val="0"/>
              <w:spacing w:before="0" w:beforeAutospacing="0" w:after="0" w:afterAutospacing="0" w:line="360" w:lineRule="auto"/>
              <w:ind w:left="0" w:leftChars="0" w:right="0" w:rightChars="0"/>
              <w:jc w:val="left"/>
              <w:outlineLvl w:val="0"/>
              <w:rPr>
                <w:rFonts w:hint="eastAsia"/>
                <w:color w:val="auto"/>
                <w:sz w:val="21"/>
                <w:szCs w:val="21"/>
                <w:highlight w:val="none"/>
                <w:lang w:val="en-US" w:eastAsia="zh-CN"/>
              </w:rPr>
            </w:pPr>
            <w:r>
              <w:rPr>
                <w:rFonts w:hint="eastAsia" w:ascii="宋体" w:hAnsi="宋体" w:cs="宋体"/>
                <w:color w:val="auto"/>
                <w:sz w:val="21"/>
                <w:szCs w:val="21"/>
                <w:highlight w:val="none"/>
                <w:lang w:val="en-US" w:eastAsia="zh-CN"/>
              </w:rPr>
              <w:t xml:space="preserve">是否接受进口产品: </w:t>
            </w:r>
            <w:r>
              <w:rPr>
                <w:rFonts w:hint="eastAsia" w:hAnsi="宋体" w:cs="宋体"/>
                <w:color w:val="auto"/>
                <w:sz w:val="21"/>
                <w:szCs w:val="21"/>
                <w:highlight w:val="none"/>
                <w:lang w:val="en-US" w:eastAsia="zh-CN"/>
              </w:rPr>
              <w:t>不</w:t>
            </w:r>
            <w:r>
              <w:rPr>
                <w:rFonts w:hint="eastAsia" w:hAnsi="宋体" w:cs="宋体"/>
                <w:b/>
                <w:bCs/>
                <w:color w:val="auto"/>
                <w:kern w:val="2"/>
                <w:sz w:val="21"/>
                <w:szCs w:val="21"/>
                <w:highlight w:val="none"/>
                <w:lang w:val="en-US" w:eastAsia="zh-CN" w:bidi="ar"/>
              </w:rPr>
              <w:t>接受。</w:t>
            </w:r>
          </w:p>
        </w:tc>
      </w:tr>
      <w:tr w14:paraId="2BD24A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4B352D95">
            <w:pPr>
              <w:keepNext w:val="0"/>
              <w:keepLines w:val="0"/>
              <w:suppressLineNumbers w:val="0"/>
              <w:bidi w:val="0"/>
              <w:spacing w:before="0" w:beforeAutospacing="0" w:after="0" w:afterAutospacing="0"/>
              <w:ind w:left="0" w:leftChars="0" w:right="0" w:rightChars="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119" w:type="dxa"/>
            <w:tcBorders>
              <w:left w:val="nil"/>
              <w:right w:val="single" w:color="000000" w:sz="4" w:space="0"/>
            </w:tcBorders>
            <w:shd w:val="clear" w:color="auto" w:fill="auto"/>
            <w:vAlign w:val="center"/>
          </w:tcPr>
          <w:p w14:paraId="33E93CD3">
            <w:pPr>
              <w:keepNext w:val="0"/>
              <w:keepLines w:val="0"/>
              <w:suppressLineNumbers w:val="0"/>
              <w:snapToGrid w:val="0"/>
              <w:spacing w:before="0" w:beforeAutospacing="0" w:after="0" w:afterAutospacing="0" w:line="400" w:lineRule="exact"/>
              <w:ind w:left="0" w:leftChars="0" w:right="0" w:rightChars="0"/>
              <w:jc w:val="center"/>
              <w:rPr>
                <w:rFonts w:hint="eastAsia" w:ascii="宋体" w:hAnsi="宋体" w:cs="宋体"/>
                <w:color w:val="auto"/>
                <w:sz w:val="21"/>
                <w:szCs w:val="21"/>
                <w:highlight w:val="none"/>
                <w:lang w:val="en-US" w:eastAsia="zh-CN"/>
              </w:rPr>
            </w:pPr>
            <w:r>
              <w:rPr>
                <w:rFonts w:hint="eastAsia" w:ascii="宋体" w:hAnsi="宋体"/>
                <w:color w:val="auto"/>
                <w:sz w:val="21"/>
                <w:szCs w:val="21"/>
                <w:highlight w:val="none"/>
              </w:rPr>
              <w:t>其他</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0F763F62">
            <w:pPr>
              <w:keepNext w:val="0"/>
              <w:keepLines w:val="0"/>
              <w:suppressLineNumbers w:val="0"/>
              <w:spacing w:before="0" w:beforeAutospacing="0" w:after="0" w:afterAutospacing="0" w:line="360" w:lineRule="exact"/>
              <w:ind w:left="0" w:right="0"/>
              <w:rPr>
                <w:rFonts w:hint="eastAsia" w:ascii="宋体" w:hAnsi="宋体"/>
                <w:color w:val="auto"/>
                <w:sz w:val="21"/>
                <w:szCs w:val="21"/>
                <w:highlight w:val="none"/>
              </w:rPr>
            </w:pPr>
            <w:r>
              <w:rPr>
                <w:rFonts w:hint="eastAsia" w:ascii="宋体" w:hAnsi="宋体"/>
                <w:color w:val="auto"/>
                <w:sz w:val="21"/>
                <w:szCs w:val="21"/>
                <w:highlight w:val="none"/>
                <w:lang w:val="en-US" w:eastAsia="zh-CN"/>
              </w:rPr>
              <w:t>1</w:t>
            </w:r>
            <w:r>
              <w:rPr>
                <w:rFonts w:hint="eastAsia" w:ascii="宋体" w:hAnsi="宋体"/>
                <w:color w:val="auto"/>
                <w:sz w:val="21"/>
                <w:szCs w:val="21"/>
                <w:highlight w:val="none"/>
              </w:rPr>
              <w:t>.样品递交：否</w:t>
            </w:r>
          </w:p>
          <w:p w14:paraId="6801A8E0">
            <w:pPr>
              <w:keepNext w:val="0"/>
              <w:keepLines w:val="0"/>
              <w:suppressLineNumbers w:val="0"/>
              <w:spacing w:before="0" w:beforeAutospacing="0" w:after="0" w:afterAutospacing="0" w:line="360" w:lineRule="exact"/>
              <w:ind w:left="0" w:right="0"/>
              <w:rPr>
                <w:rFonts w:hint="eastAsia" w:ascii="宋体" w:hAnsi="宋体" w:eastAsia="宋体" w:cs="Times New Roman"/>
                <w:color w:val="auto"/>
                <w:sz w:val="21"/>
                <w:szCs w:val="21"/>
                <w:highlight w:val="none"/>
              </w:rPr>
            </w:pPr>
            <w:r>
              <w:rPr>
                <w:rFonts w:hint="eastAsia" w:ascii="宋体" w:hAnsi="宋体"/>
                <w:color w:val="auto"/>
                <w:sz w:val="21"/>
                <w:szCs w:val="21"/>
                <w:highlight w:val="none"/>
                <w:lang w:val="en-US" w:eastAsia="zh-CN"/>
              </w:rPr>
              <w:t>2</w:t>
            </w:r>
            <w:r>
              <w:rPr>
                <w:rFonts w:hint="eastAsia" w:ascii="宋体" w:hAnsi="宋体"/>
                <w:color w:val="auto"/>
                <w:sz w:val="21"/>
                <w:szCs w:val="21"/>
                <w:highlight w:val="none"/>
              </w:rPr>
              <w:t>.是</w:t>
            </w:r>
            <w:r>
              <w:rPr>
                <w:rFonts w:hint="eastAsia" w:ascii="宋体" w:hAnsi="宋体" w:eastAsia="宋体" w:cs="Times New Roman"/>
                <w:color w:val="auto"/>
                <w:sz w:val="21"/>
                <w:szCs w:val="21"/>
                <w:highlight w:val="none"/>
              </w:rPr>
              <w:t>否组织现场踏勘：否</w:t>
            </w:r>
          </w:p>
          <w:p w14:paraId="1CC9982D">
            <w:pPr>
              <w:keepNext w:val="0"/>
              <w:keepLines w:val="0"/>
              <w:suppressLineNumbers w:val="0"/>
              <w:spacing w:before="0" w:beforeAutospacing="0" w:after="0" w:afterAutospacing="0" w:line="360" w:lineRule="exact"/>
              <w:ind w:left="0" w:right="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3</w:t>
            </w:r>
            <w:r>
              <w:rPr>
                <w:rFonts w:hint="eastAsia" w:ascii="宋体" w:hAnsi="宋体" w:eastAsia="宋体" w:cs="Times New Roman"/>
                <w:color w:val="auto"/>
                <w:sz w:val="21"/>
                <w:szCs w:val="21"/>
                <w:highlight w:val="none"/>
              </w:rPr>
              <w:t>.现场演示：否</w:t>
            </w:r>
          </w:p>
          <w:p w14:paraId="1D30F849">
            <w:pPr>
              <w:keepNext w:val="0"/>
              <w:keepLines w:val="0"/>
              <w:suppressLineNumbers w:val="0"/>
              <w:spacing w:before="0" w:beforeAutospacing="0" w:after="0" w:afterAutospacing="0" w:line="360" w:lineRule="exact"/>
              <w:ind w:left="0" w:right="0"/>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4.知识产权归属：</w:t>
            </w:r>
          </w:p>
          <w:p w14:paraId="59220F61">
            <w:pPr>
              <w:keepNext w:val="0"/>
              <w:keepLines w:val="0"/>
              <w:suppressLineNumbers w:val="0"/>
              <w:spacing w:before="0" w:beforeAutospacing="0" w:after="0" w:afterAutospacing="0" w:line="360" w:lineRule="exact"/>
              <w:ind w:left="0" w:right="0"/>
              <w:rPr>
                <w:rFonts w:hint="eastAsia"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1</w:t>
            </w:r>
            <w:r>
              <w:rPr>
                <w:rFonts w:hint="eastAsia" w:ascii="宋体" w:hAnsi="宋体"/>
                <w:color w:val="auto"/>
                <w:szCs w:val="21"/>
                <w:highlight w:val="none"/>
                <w:lang w:eastAsia="zh-CN"/>
              </w:rPr>
              <w:t>）</w:t>
            </w:r>
            <w:r>
              <w:rPr>
                <w:rFonts w:hint="eastAsia" w:ascii="宋体" w:hAnsi="宋体"/>
                <w:color w:val="auto"/>
                <w:szCs w:val="21"/>
                <w:highlight w:val="none"/>
              </w:rPr>
              <w:t>采购人享有本项目软件平台在采购人单位内部的永久使用权；</w:t>
            </w:r>
          </w:p>
          <w:p w14:paraId="2194180D">
            <w:pPr>
              <w:keepNext w:val="0"/>
              <w:keepLines w:val="0"/>
              <w:suppressLineNumbers w:val="0"/>
              <w:spacing w:before="0" w:beforeAutospacing="0" w:after="0" w:afterAutospacing="0" w:line="360" w:lineRule="exact"/>
              <w:ind w:left="0" w:right="0"/>
              <w:rPr>
                <w:rFonts w:hint="eastAsia"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2</w:t>
            </w:r>
            <w:r>
              <w:rPr>
                <w:rFonts w:hint="eastAsia" w:ascii="宋体" w:hAnsi="宋体"/>
                <w:color w:val="auto"/>
                <w:szCs w:val="21"/>
                <w:highlight w:val="none"/>
                <w:lang w:eastAsia="zh-CN"/>
              </w:rPr>
              <w:t>）</w:t>
            </w:r>
            <w:r>
              <w:rPr>
                <w:rFonts w:hint="eastAsia" w:ascii="宋体" w:hAnsi="宋体"/>
                <w:color w:val="auto"/>
                <w:szCs w:val="21"/>
                <w:highlight w:val="none"/>
              </w:rPr>
              <w:t>中标人提供的第三方软件或组件，须保证已取得合法授权中标人还应保证采购人不受到第三方关于侵犯知识产权及专利权、商标权或工业设计权等知识产权方面的指控，若任何第三方提出此方面指控均与采购人无关，中标人应与第三方交涉，并承担可能发生的一切法律责任、费用和后果；若采购人因此而遭致损失（包括但不限于律师费、诉讼费、鉴定费、诉讼过程采购人所产生的交通费等），则中标人应赔偿该损失。</w:t>
            </w:r>
          </w:p>
          <w:p w14:paraId="275AAE1A">
            <w:pPr>
              <w:keepNext w:val="0"/>
              <w:keepLines w:val="0"/>
              <w:suppressLineNumbers w:val="0"/>
              <w:spacing w:before="0" w:beforeAutospacing="0" w:after="0" w:afterAutospacing="0" w:line="360" w:lineRule="exact"/>
              <w:ind w:left="0" w:right="0"/>
              <w:rPr>
                <w:rFonts w:hint="eastAsia" w:ascii="宋体" w:hAnsi="宋体" w:eastAsia="宋体" w:cs="Times New Roman"/>
                <w:color w:val="auto"/>
                <w:szCs w:val="21"/>
                <w:highlight w:val="none"/>
                <w:lang w:val="en-US" w:eastAsia="zh-CN"/>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3</w:t>
            </w:r>
            <w:r>
              <w:rPr>
                <w:rFonts w:hint="eastAsia" w:ascii="宋体" w:hAnsi="宋体"/>
                <w:color w:val="auto"/>
                <w:szCs w:val="21"/>
                <w:highlight w:val="none"/>
                <w:lang w:eastAsia="zh-CN"/>
              </w:rPr>
              <w:t>）</w:t>
            </w:r>
            <w:r>
              <w:rPr>
                <w:rFonts w:hint="eastAsia" w:ascii="宋体" w:hAnsi="宋体"/>
                <w:color w:val="auto"/>
                <w:szCs w:val="21"/>
                <w:highlight w:val="none"/>
              </w:rPr>
              <w:t>定制化开发部分的知识产权归采购</w:t>
            </w:r>
            <w:r>
              <w:rPr>
                <w:rFonts w:hint="eastAsia" w:ascii="宋体" w:hAnsi="宋体"/>
                <w:color w:val="auto"/>
                <w:szCs w:val="21"/>
                <w:highlight w:val="none"/>
                <w:lang w:val="en-US" w:eastAsia="zh-CN"/>
              </w:rPr>
              <w:t>人</w:t>
            </w:r>
            <w:r>
              <w:rPr>
                <w:rFonts w:hint="eastAsia" w:ascii="宋体" w:hAnsi="宋体"/>
                <w:color w:val="auto"/>
                <w:szCs w:val="21"/>
                <w:highlight w:val="none"/>
              </w:rPr>
              <w:t>所有；</w:t>
            </w:r>
          </w:p>
          <w:p w14:paraId="08F0C554">
            <w:pPr>
              <w:keepNext w:val="0"/>
              <w:keepLines w:val="0"/>
              <w:suppressLineNumbers w:val="0"/>
              <w:spacing w:before="0" w:beforeAutospacing="0" w:after="0" w:afterAutospacing="0" w:line="360" w:lineRule="exact"/>
              <w:ind w:left="0" w:right="0"/>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（4）</w:t>
            </w:r>
            <w:r>
              <w:rPr>
                <w:rFonts w:hint="eastAsia" w:ascii="宋体" w:hAnsi="宋体" w:eastAsia="宋体" w:cs="Times New Roman"/>
                <w:color w:val="auto"/>
                <w:szCs w:val="21"/>
                <w:highlight w:val="none"/>
                <w:lang w:val="en-US" w:eastAsia="zh-CN"/>
              </w:rPr>
              <w:t>中标人提供的采购标的应符合国家知识产权法律法规的规定且非假冒伪劣品</w:t>
            </w:r>
            <w:r>
              <w:rPr>
                <w:rFonts w:hint="eastAsia" w:ascii="宋体" w:hAnsi="宋体" w:cs="Times New Roman"/>
                <w:color w:val="auto"/>
                <w:szCs w:val="21"/>
                <w:highlight w:val="none"/>
                <w:lang w:val="en-US" w:eastAsia="zh-CN"/>
              </w:rPr>
              <w:t>。</w:t>
            </w:r>
          </w:p>
          <w:p w14:paraId="04564D67">
            <w:pPr>
              <w:keepNext w:val="0"/>
              <w:keepLines w:val="0"/>
              <w:suppressLineNumbers w:val="0"/>
              <w:spacing w:before="0" w:beforeAutospacing="0" w:after="0" w:afterAutospacing="0" w:line="360" w:lineRule="exact"/>
              <w:ind w:left="0" w:right="0"/>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5.保密要求：</w:t>
            </w:r>
          </w:p>
          <w:p w14:paraId="3B0260AA">
            <w:pPr>
              <w:keepNext w:val="0"/>
              <w:keepLines w:val="0"/>
              <w:suppressLineNumbers w:val="0"/>
              <w:spacing w:before="0" w:beforeAutospacing="0" w:after="0" w:afterAutospacing="0" w:line="360" w:lineRule="exact"/>
              <w:ind w:left="0" w:right="0"/>
              <w:rPr>
                <w:rFonts w:hint="eastAsia"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1</w:t>
            </w:r>
            <w:r>
              <w:rPr>
                <w:rFonts w:hint="eastAsia" w:ascii="宋体" w:hAnsi="宋体"/>
                <w:color w:val="auto"/>
                <w:szCs w:val="21"/>
                <w:highlight w:val="none"/>
                <w:lang w:eastAsia="zh-CN"/>
              </w:rPr>
              <w:t>）</w:t>
            </w:r>
            <w:r>
              <w:rPr>
                <w:rFonts w:hint="eastAsia" w:ascii="宋体" w:hAnsi="宋体"/>
                <w:color w:val="auto"/>
                <w:szCs w:val="21"/>
                <w:highlight w:val="none"/>
              </w:rPr>
              <w:t>中标人对项目实施过程中接触到的采购人医疗数据、患者信息、业务数据等一切信息严格保密，不得泄露、出售或用于与本项目无关的任何目的；</w:t>
            </w:r>
          </w:p>
          <w:p w14:paraId="4E432697">
            <w:pPr>
              <w:keepNext w:val="0"/>
              <w:keepLines w:val="0"/>
              <w:suppressLineNumbers w:val="0"/>
              <w:spacing w:before="0" w:beforeAutospacing="0" w:after="0" w:afterAutospacing="0" w:line="360" w:lineRule="exact"/>
              <w:ind w:left="0" w:right="0"/>
              <w:rPr>
                <w:rFonts w:hint="eastAsia"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2</w:t>
            </w:r>
            <w:r>
              <w:rPr>
                <w:rFonts w:hint="eastAsia" w:ascii="宋体" w:hAnsi="宋体"/>
                <w:color w:val="auto"/>
                <w:szCs w:val="21"/>
                <w:highlight w:val="none"/>
                <w:lang w:eastAsia="zh-CN"/>
              </w:rPr>
              <w:t>）</w:t>
            </w:r>
            <w:r>
              <w:rPr>
                <w:rFonts w:hint="eastAsia" w:ascii="宋体" w:hAnsi="宋体"/>
                <w:color w:val="auto"/>
                <w:szCs w:val="21"/>
                <w:highlight w:val="none"/>
              </w:rPr>
              <w:t>中标人须签署《数据安全保密协议》，明确数据安全责任人，建立数据访问与操作日志审计机制，确保数据使用全过程可追溯；</w:t>
            </w:r>
          </w:p>
          <w:p w14:paraId="0E683A70">
            <w:pPr>
              <w:keepNext w:val="0"/>
              <w:keepLines w:val="0"/>
              <w:suppressLineNumbers w:val="0"/>
              <w:spacing w:before="0" w:beforeAutospacing="0" w:after="0" w:afterAutospacing="0" w:line="360" w:lineRule="exact"/>
              <w:ind w:left="0" w:leftChars="0" w:right="0" w:rightChars="0"/>
              <w:rPr>
                <w:rFonts w:hint="eastAsia"/>
                <w:color w:val="auto"/>
                <w:highlight w:val="none"/>
                <w:lang w:val="en-US" w:eastAsia="zh-CN"/>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3</w:t>
            </w:r>
            <w:r>
              <w:rPr>
                <w:rFonts w:hint="eastAsia" w:ascii="宋体" w:hAnsi="宋体"/>
                <w:color w:val="auto"/>
                <w:szCs w:val="21"/>
                <w:highlight w:val="none"/>
                <w:lang w:eastAsia="zh-CN"/>
              </w:rPr>
              <w:t>）</w:t>
            </w:r>
            <w:r>
              <w:rPr>
                <w:rFonts w:hint="eastAsia" w:ascii="宋体" w:hAnsi="宋体"/>
                <w:color w:val="auto"/>
                <w:szCs w:val="21"/>
                <w:highlight w:val="none"/>
              </w:rPr>
              <w:t>保密义务不因合同终止而终止，保密期限不少于 5 年。</w:t>
            </w:r>
          </w:p>
        </w:tc>
      </w:tr>
    </w:tbl>
    <w:p w14:paraId="73CD6B9D">
      <w:pPr>
        <w:rPr>
          <w:rFonts w:hint="eastAsia" w:cs="宋体"/>
          <w:b/>
          <w:bCs/>
          <w:color w:val="auto"/>
          <w:sz w:val="21"/>
          <w:szCs w:val="21"/>
          <w:highlight w:val="none"/>
          <w:lang w:val="en-US" w:eastAsia="zh-CN"/>
        </w:rPr>
      </w:pPr>
      <w:r>
        <w:rPr>
          <w:rFonts w:hint="eastAsia" w:cs="宋体"/>
          <w:b/>
          <w:bCs/>
          <w:color w:val="auto"/>
          <w:sz w:val="21"/>
          <w:szCs w:val="21"/>
          <w:highlight w:val="none"/>
          <w:lang w:val="en-US" w:eastAsia="zh-CN"/>
        </w:rPr>
        <w:br w:type="page"/>
      </w:r>
    </w:p>
    <w:p w14:paraId="64B8C1A9">
      <w:pPr>
        <w:pStyle w:val="2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20"/>
        <w:rPr>
          <w:rFonts w:hint="default" w:ascii="宋体" w:hAnsi="宋体" w:eastAsia="宋体" w:cs="宋体"/>
          <w:b/>
          <w:bCs/>
          <w:color w:val="auto"/>
          <w:sz w:val="21"/>
          <w:szCs w:val="21"/>
          <w:highlight w:val="none"/>
          <w:lang w:val="en-US" w:eastAsia="zh-CN"/>
        </w:rPr>
      </w:pPr>
      <w:r>
        <w:rPr>
          <w:rFonts w:hint="eastAsia" w:cs="宋体"/>
          <w:b/>
          <w:bCs/>
          <w:color w:val="auto"/>
          <w:sz w:val="21"/>
          <w:szCs w:val="21"/>
          <w:highlight w:val="none"/>
          <w:lang w:val="en-US" w:eastAsia="zh-CN"/>
        </w:rPr>
        <w:t>分标4：</w:t>
      </w:r>
    </w:p>
    <w:tbl>
      <w:tblPr>
        <w:tblStyle w:val="28"/>
        <w:tblW w:w="945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62"/>
        <w:gridCol w:w="1119"/>
        <w:gridCol w:w="562"/>
        <w:gridCol w:w="519"/>
        <w:gridCol w:w="5194"/>
        <w:gridCol w:w="1497"/>
      </w:tblGrid>
      <w:tr w14:paraId="6CD347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5" w:hRule="atLeast"/>
          <w:jc w:val="center"/>
        </w:trPr>
        <w:tc>
          <w:tcPr>
            <w:tcW w:w="9453" w:type="dxa"/>
            <w:gridSpan w:val="6"/>
            <w:tcBorders>
              <w:top w:val="single" w:color="000000" w:sz="4" w:space="0"/>
              <w:left w:val="single" w:color="auto" w:sz="4" w:space="0"/>
              <w:bottom w:val="single" w:color="000000" w:sz="4" w:space="0"/>
              <w:right w:val="single" w:color="000000" w:sz="4" w:space="0"/>
            </w:tcBorders>
            <w:vAlign w:val="center"/>
          </w:tcPr>
          <w:p w14:paraId="093A8913">
            <w:pPr>
              <w:keepNext w:val="0"/>
              <w:keepLines w:val="0"/>
              <w:widowControl w:val="0"/>
              <w:suppressLineNumbers w:val="0"/>
              <w:wordWrap/>
              <w:adjustRightInd/>
              <w:snapToGrid/>
              <w:spacing w:before="0" w:beforeAutospacing="0" w:after="0" w:afterAutospacing="0" w:line="320" w:lineRule="exact"/>
              <w:ind w:left="0" w:leftChars="0" w:right="0" w:firstLine="0" w:firstLineChars="0"/>
              <w:jc w:val="center"/>
              <w:textAlignment w:val="auto"/>
              <w:outlineLvl w:val="9"/>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一、技术要求</w:t>
            </w:r>
          </w:p>
        </w:tc>
      </w:tr>
      <w:tr w14:paraId="20EDD5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485A8EF9">
            <w:pPr>
              <w:keepNext w:val="0"/>
              <w:keepLines w:val="0"/>
              <w:widowControl w:val="0"/>
              <w:suppressLineNumbers w:val="0"/>
              <w:wordWrap/>
              <w:adjustRightInd/>
              <w:snapToGrid/>
              <w:spacing w:before="0" w:beforeAutospacing="0" w:after="0" w:afterAutospacing="0" w:line="320" w:lineRule="exact"/>
              <w:ind w:left="0" w:leftChars="0" w:right="0" w:rightChars="0" w:firstLine="0" w:firstLineChars="0"/>
              <w:jc w:val="center"/>
              <w:textAlignment w:val="auto"/>
              <w:outlineLvl w:val="9"/>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sz w:val="21"/>
                <w:szCs w:val="21"/>
                <w:highlight w:val="none"/>
              </w:rPr>
              <w:t>序号</w:t>
            </w:r>
          </w:p>
        </w:tc>
        <w:tc>
          <w:tcPr>
            <w:tcW w:w="1119" w:type="dxa"/>
            <w:tcBorders>
              <w:top w:val="single" w:color="000000" w:sz="4" w:space="0"/>
              <w:left w:val="nil"/>
              <w:bottom w:val="single" w:color="000000" w:sz="4" w:space="0"/>
              <w:right w:val="single" w:color="000000" w:sz="4" w:space="0"/>
            </w:tcBorders>
            <w:shd w:val="clear" w:color="auto" w:fill="auto"/>
            <w:vAlign w:val="center"/>
          </w:tcPr>
          <w:p w14:paraId="6794D810">
            <w:pPr>
              <w:keepNext w:val="0"/>
              <w:keepLines w:val="0"/>
              <w:widowControl w:val="0"/>
              <w:suppressLineNumbers w:val="0"/>
              <w:wordWrap/>
              <w:adjustRightInd/>
              <w:snapToGrid/>
              <w:spacing w:before="0" w:beforeAutospacing="0" w:after="0" w:afterAutospacing="0" w:line="320" w:lineRule="exact"/>
              <w:ind w:left="0" w:leftChars="0" w:right="0" w:rightChars="0" w:firstLine="0" w:firstLineChars="0"/>
              <w:jc w:val="center"/>
              <w:textAlignment w:val="auto"/>
              <w:outlineLvl w:val="9"/>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0"/>
                <w:sz w:val="21"/>
                <w:szCs w:val="21"/>
                <w:highlight w:val="none"/>
                <w:lang w:eastAsia="zh-CN"/>
              </w:rPr>
              <w:t>标的</w:t>
            </w:r>
            <w:r>
              <w:rPr>
                <w:rFonts w:hint="eastAsia" w:ascii="宋体" w:hAnsi="宋体" w:eastAsia="宋体" w:cs="宋体"/>
                <w:b/>
                <w:bCs/>
                <w:color w:val="auto"/>
                <w:sz w:val="21"/>
                <w:szCs w:val="21"/>
                <w:highlight w:val="none"/>
              </w:rPr>
              <w:t>名称</w:t>
            </w:r>
          </w:p>
        </w:tc>
        <w:tc>
          <w:tcPr>
            <w:tcW w:w="562" w:type="dxa"/>
            <w:tcBorders>
              <w:top w:val="single" w:color="000000" w:sz="4" w:space="0"/>
              <w:left w:val="nil"/>
              <w:bottom w:val="single" w:color="000000" w:sz="4" w:space="0"/>
              <w:right w:val="single" w:color="000000" w:sz="4" w:space="0"/>
            </w:tcBorders>
            <w:shd w:val="clear" w:color="auto" w:fill="auto"/>
            <w:vAlign w:val="center"/>
          </w:tcPr>
          <w:p w14:paraId="0C2B6E30">
            <w:pPr>
              <w:keepNext w:val="0"/>
              <w:keepLines w:val="0"/>
              <w:widowControl w:val="0"/>
              <w:suppressLineNumbers w:val="0"/>
              <w:wordWrap/>
              <w:adjustRightInd/>
              <w:snapToGrid/>
              <w:spacing w:before="0" w:beforeAutospacing="0" w:after="0" w:afterAutospacing="0" w:line="320" w:lineRule="exact"/>
              <w:ind w:left="0" w:leftChars="0" w:right="0" w:rightChars="0" w:firstLine="0" w:firstLineChars="0"/>
              <w:jc w:val="center"/>
              <w:textAlignment w:val="auto"/>
              <w:outlineLvl w:val="9"/>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sz w:val="21"/>
                <w:szCs w:val="21"/>
                <w:highlight w:val="none"/>
              </w:rPr>
              <w:t>数量</w:t>
            </w:r>
          </w:p>
        </w:tc>
        <w:tc>
          <w:tcPr>
            <w:tcW w:w="519" w:type="dxa"/>
            <w:tcBorders>
              <w:top w:val="single" w:color="000000" w:sz="4" w:space="0"/>
              <w:left w:val="nil"/>
              <w:bottom w:val="single" w:color="000000" w:sz="4" w:space="0"/>
              <w:right w:val="single" w:color="000000" w:sz="4" w:space="0"/>
            </w:tcBorders>
            <w:shd w:val="clear" w:color="auto" w:fill="auto"/>
            <w:vAlign w:val="center"/>
          </w:tcPr>
          <w:p w14:paraId="3872DB7F">
            <w:pPr>
              <w:keepNext w:val="0"/>
              <w:keepLines w:val="0"/>
              <w:widowControl w:val="0"/>
              <w:suppressLineNumbers w:val="0"/>
              <w:wordWrap/>
              <w:adjustRightInd/>
              <w:snapToGrid/>
              <w:spacing w:before="0" w:beforeAutospacing="0" w:after="0" w:afterAutospacing="0" w:line="320" w:lineRule="exact"/>
              <w:ind w:left="0" w:leftChars="0" w:right="0" w:rightChars="0" w:firstLine="0" w:firstLineChars="0"/>
              <w:jc w:val="center"/>
              <w:textAlignment w:val="auto"/>
              <w:outlineLvl w:val="9"/>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sz w:val="21"/>
                <w:szCs w:val="21"/>
                <w:highlight w:val="none"/>
              </w:rPr>
              <w:t>单位</w:t>
            </w:r>
          </w:p>
        </w:tc>
        <w:tc>
          <w:tcPr>
            <w:tcW w:w="5194" w:type="dxa"/>
            <w:tcBorders>
              <w:top w:val="single" w:color="000000" w:sz="4" w:space="0"/>
              <w:left w:val="nil"/>
              <w:bottom w:val="single" w:color="000000" w:sz="4" w:space="0"/>
              <w:right w:val="single" w:color="auto" w:sz="4" w:space="0"/>
            </w:tcBorders>
            <w:shd w:val="clear" w:color="auto" w:fill="auto"/>
            <w:vAlign w:val="center"/>
          </w:tcPr>
          <w:p w14:paraId="09D52E45">
            <w:pPr>
              <w:keepNext w:val="0"/>
              <w:keepLines w:val="0"/>
              <w:widowControl w:val="0"/>
              <w:suppressLineNumbers w:val="0"/>
              <w:wordWrap/>
              <w:adjustRightInd/>
              <w:snapToGrid/>
              <w:spacing w:before="0" w:beforeAutospacing="0" w:after="0" w:afterAutospacing="0" w:line="320" w:lineRule="exact"/>
              <w:ind w:left="0" w:leftChars="0" w:right="0" w:rightChars="0" w:firstLine="0" w:firstLineChars="0"/>
              <w:jc w:val="center"/>
              <w:textAlignment w:val="auto"/>
              <w:outlineLvl w:val="9"/>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技术参数及性能（配置）要求</w:t>
            </w:r>
          </w:p>
        </w:tc>
        <w:tc>
          <w:tcPr>
            <w:tcW w:w="1497" w:type="dxa"/>
            <w:tcBorders>
              <w:top w:val="single" w:color="000000" w:sz="4" w:space="0"/>
              <w:left w:val="single" w:color="auto" w:sz="4" w:space="0"/>
              <w:bottom w:val="single" w:color="000000" w:sz="4" w:space="0"/>
              <w:right w:val="single" w:color="000000" w:sz="4" w:space="0"/>
            </w:tcBorders>
            <w:shd w:val="clear" w:color="auto" w:fill="auto"/>
            <w:vAlign w:val="center"/>
          </w:tcPr>
          <w:p w14:paraId="1349550C">
            <w:pPr>
              <w:keepNext w:val="0"/>
              <w:keepLines w:val="0"/>
              <w:widowControl w:val="0"/>
              <w:suppressLineNumbers w:val="0"/>
              <w:wordWrap/>
              <w:adjustRightInd/>
              <w:snapToGrid/>
              <w:spacing w:before="0" w:beforeAutospacing="0" w:after="0" w:afterAutospacing="0" w:line="320" w:lineRule="exact"/>
              <w:ind w:left="0" w:leftChars="0" w:right="0" w:rightChars="0" w:firstLine="0" w:firstLineChars="0"/>
              <w:jc w:val="center"/>
              <w:textAlignment w:val="auto"/>
              <w:outlineLvl w:val="9"/>
              <w:rPr>
                <w:rFonts w:hint="eastAsia" w:ascii="宋体" w:hAnsi="宋体" w:eastAsia="宋体" w:cs="宋体"/>
                <w:b/>
                <w:bCs/>
                <w:color w:val="auto"/>
                <w:sz w:val="21"/>
                <w:szCs w:val="21"/>
                <w:highlight w:val="none"/>
                <w:lang w:eastAsia="zh-CN"/>
              </w:rPr>
            </w:pPr>
            <w:r>
              <w:rPr>
                <w:rFonts w:hint="eastAsia" w:ascii="宋体" w:hAnsi="宋体" w:cs="宋体"/>
                <w:b/>
                <w:bCs/>
                <w:color w:val="auto"/>
                <w:sz w:val="21"/>
                <w:szCs w:val="21"/>
                <w:highlight w:val="none"/>
                <w:lang w:eastAsia="zh-CN"/>
              </w:rPr>
              <w:t>采购标的对应中小企业划分所属行业</w:t>
            </w:r>
          </w:p>
        </w:tc>
      </w:tr>
      <w:tr w14:paraId="3444F7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4F3F58C8">
            <w:pPr>
              <w:keepNext w:val="0"/>
              <w:keepLines w:val="0"/>
              <w:suppressLineNumbers w:val="0"/>
              <w:wordWrap w:val="0"/>
              <w:spacing w:before="0" w:beforeAutospacing="0" w:after="0" w:afterAutospacing="0" w:line="240" w:lineRule="auto"/>
              <w:ind w:left="0" w:right="0"/>
              <w:jc w:val="both"/>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1</w:t>
            </w:r>
          </w:p>
        </w:tc>
        <w:tc>
          <w:tcPr>
            <w:tcW w:w="1119" w:type="dxa"/>
            <w:tcBorders>
              <w:top w:val="single" w:color="000000" w:sz="4" w:space="0"/>
              <w:left w:val="nil"/>
              <w:bottom w:val="single" w:color="000000" w:sz="4" w:space="0"/>
              <w:right w:val="single" w:color="000000" w:sz="4" w:space="0"/>
            </w:tcBorders>
            <w:shd w:val="clear" w:color="auto" w:fill="auto"/>
            <w:vAlign w:val="center"/>
          </w:tcPr>
          <w:p w14:paraId="339DE646">
            <w:pPr>
              <w:keepNext w:val="0"/>
              <w:keepLines w:val="0"/>
              <w:suppressLineNumbers w:val="0"/>
              <w:wordWrap w:val="0"/>
              <w:spacing w:before="0" w:beforeAutospacing="0" w:after="0" w:afterAutospacing="0" w:line="240" w:lineRule="auto"/>
              <w:ind w:left="0" w:right="0"/>
              <w:jc w:val="both"/>
              <w:rPr>
                <w:rFonts w:hint="eastAsia" w:asciiTheme="minorEastAsia" w:hAnsiTheme="minorEastAsia" w:eastAsiaTheme="minorEastAsia" w:cstheme="minorEastAsia"/>
                <w:color w:val="auto"/>
                <w:kern w:val="2"/>
                <w:sz w:val="21"/>
                <w:szCs w:val="21"/>
                <w:highlight w:val="none"/>
                <w:lang w:val="en-US" w:eastAsia="zh-CN" w:bidi="ar-SA"/>
              </w:rPr>
            </w:pPr>
            <w:r>
              <w:rPr>
                <w:rFonts w:hint="default" w:eastAsia="宋体"/>
                <w:color w:val="auto"/>
                <w:sz w:val="21"/>
                <w:szCs w:val="21"/>
                <w:highlight w:val="none"/>
                <w:lang w:val="en-US" w:eastAsia="zh-CN"/>
              </w:rPr>
              <w:t>影像云诊断思维训练平台</w:t>
            </w:r>
          </w:p>
        </w:tc>
        <w:tc>
          <w:tcPr>
            <w:tcW w:w="562" w:type="dxa"/>
            <w:tcBorders>
              <w:top w:val="single" w:color="000000" w:sz="4" w:space="0"/>
              <w:left w:val="nil"/>
              <w:bottom w:val="single" w:color="000000" w:sz="4" w:space="0"/>
              <w:right w:val="single" w:color="000000" w:sz="4" w:space="0"/>
            </w:tcBorders>
            <w:shd w:val="clear" w:color="auto" w:fill="auto"/>
            <w:vAlign w:val="center"/>
          </w:tcPr>
          <w:p w14:paraId="6C4682E5">
            <w:pPr>
              <w:keepNext w:val="0"/>
              <w:keepLines w:val="0"/>
              <w:suppressLineNumbers w:val="0"/>
              <w:wordWrap w:val="0"/>
              <w:spacing w:before="0" w:beforeAutospacing="0" w:after="0" w:afterAutospacing="0" w:line="240" w:lineRule="auto"/>
              <w:ind w:left="0" w:right="0"/>
              <w:jc w:val="both"/>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1</w:t>
            </w:r>
          </w:p>
        </w:tc>
        <w:tc>
          <w:tcPr>
            <w:tcW w:w="519" w:type="dxa"/>
            <w:tcBorders>
              <w:top w:val="single" w:color="000000" w:sz="4" w:space="0"/>
              <w:left w:val="nil"/>
              <w:bottom w:val="single" w:color="000000" w:sz="4" w:space="0"/>
              <w:right w:val="single" w:color="000000" w:sz="4" w:space="0"/>
            </w:tcBorders>
            <w:shd w:val="clear" w:color="auto" w:fill="auto"/>
            <w:vAlign w:val="center"/>
          </w:tcPr>
          <w:p w14:paraId="1EE53BAC">
            <w:pPr>
              <w:keepNext w:val="0"/>
              <w:keepLines w:val="0"/>
              <w:suppressLineNumbers w:val="0"/>
              <w:wordWrap w:val="0"/>
              <w:spacing w:before="0" w:beforeAutospacing="0" w:after="0" w:afterAutospacing="0" w:line="240" w:lineRule="auto"/>
              <w:ind w:left="0" w:right="0"/>
              <w:jc w:val="both"/>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套</w:t>
            </w:r>
          </w:p>
        </w:tc>
        <w:tc>
          <w:tcPr>
            <w:tcW w:w="5194" w:type="dxa"/>
            <w:tcBorders>
              <w:top w:val="single" w:color="000000" w:sz="4" w:space="0"/>
              <w:left w:val="nil"/>
              <w:bottom w:val="single" w:color="000000" w:sz="4" w:space="0"/>
              <w:right w:val="single" w:color="auto" w:sz="4" w:space="0"/>
            </w:tcBorders>
            <w:shd w:val="clear" w:color="auto" w:fill="auto"/>
            <w:vAlign w:val="center"/>
          </w:tcPr>
          <w:p w14:paraId="659C6056">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b w:val="0"/>
                <w:bCs w:val="0"/>
                <w:color w:val="auto"/>
                <w:sz w:val="21"/>
                <w:szCs w:val="21"/>
                <w:highlight w:val="none"/>
                <w:lang w:val="en-US" w:eastAsia="zh-CN"/>
              </w:rPr>
              <w:t>一、技术要求：</w:t>
            </w:r>
            <w:r>
              <w:rPr>
                <w:rFonts w:hint="eastAsia"/>
                <w:color w:val="auto"/>
                <w:sz w:val="21"/>
                <w:szCs w:val="21"/>
                <w:highlight w:val="none"/>
              </w:rPr>
              <w:t>资源平台技术总体要求，</w:t>
            </w:r>
            <w:r>
              <w:rPr>
                <w:rFonts w:hint="eastAsia"/>
                <w:color w:val="auto"/>
                <w:sz w:val="21"/>
                <w:szCs w:val="21"/>
                <w:highlight w:val="none"/>
                <w:lang w:val="en-US" w:eastAsia="zh-CN"/>
              </w:rPr>
              <w:t>支持</w:t>
            </w:r>
            <w:r>
              <w:rPr>
                <w:rFonts w:hint="eastAsia"/>
                <w:color w:val="auto"/>
                <w:sz w:val="21"/>
                <w:szCs w:val="21"/>
                <w:highlight w:val="none"/>
              </w:rPr>
              <w:t>对接到学校</w:t>
            </w:r>
            <w:r>
              <w:rPr>
                <w:rFonts w:hint="eastAsia"/>
                <w:color w:val="auto"/>
                <w:sz w:val="21"/>
                <w:szCs w:val="21"/>
                <w:highlight w:val="none"/>
                <w:lang w:val="en-US" w:eastAsia="zh-CN"/>
              </w:rPr>
              <w:t>原</w:t>
            </w:r>
            <w:r>
              <w:rPr>
                <w:rFonts w:hint="eastAsia"/>
                <w:color w:val="auto"/>
                <w:sz w:val="21"/>
                <w:szCs w:val="21"/>
                <w:highlight w:val="none"/>
              </w:rPr>
              <w:t>有虚拟仿真平台上使用</w:t>
            </w:r>
            <w:r>
              <w:rPr>
                <w:rFonts w:hint="eastAsia"/>
                <w:color w:val="auto"/>
                <w:sz w:val="21"/>
                <w:szCs w:val="21"/>
                <w:highlight w:val="none"/>
                <w:lang w:eastAsia="zh-CN"/>
              </w:rPr>
              <w:t>，支持账号、班级、学习记录双向互通，提供完整对接文档、接口调试服务</w:t>
            </w:r>
            <w:r>
              <w:rPr>
                <w:rFonts w:hint="eastAsia"/>
                <w:color w:val="auto"/>
                <w:sz w:val="21"/>
                <w:szCs w:val="21"/>
                <w:highlight w:val="none"/>
              </w:rPr>
              <w:t>。</w:t>
            </w:r>
          </w:p>
          <w:p w14:paraId="5CE037FE">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1、软件集资源库，教学，训练，考试，大数据分析为一体,需要符合教学及临床相关标准规范，不能有知识性错误。</w:t>
            </w:r>
          </w:p>
          <w:p w14:paraId="04C0596B">
            <w:pPr>
              <w:keepNext w:val="0"/>
              <w:keepLines w:val="0"/>
              <w:suppressLineNumbers w:val="0"/>
              <w:wordWrap w:val="0"/>
              <w:spacing w:before="0" w:beforeAutospacing="0" w:after="0" w:afterAutospacing="0" w:line="240" w:lineRule="auto"/>
              <w:ind w:left="0" w:right="0"/>
              <w:rPr>
                <w:rFonts w:hint="eastAsia" w:eastAsia="宋体"/>
                <w:color w:val="auto"/>
                <w:sz w:val="21"/>
                <w:szCs w:val="21"/>
                <w:highlight w:val="none"/>
                <w:lang w:eastAsia="zh-CN"/>
              </w:rPr>
            </w:pPr>
            <w:r>
              <w:rPr>
                <w:rFonts w:hint="eastAsia"/>
                <w:color w:val="auto"/>
                <w:sz w:val="21"/>
                <w:szCs w:val="21"/>
                <w:highlight w:val="none"/>
                <w:lang w:eastAsia="zh-CN"/>
              </w:rPr>
              <w:t>▲</w:t>
            </w:r>
            <w:r>
              <w:rPr>
                <w:rFonts w:hint="eastAsia"/>
                <w:color w:val="auto"/>
                <w:sz w:val="21"/>
                <w:szCs w:val="21"/>
                <w:highlight w:val="none"/>
              </w:rPr>
              <w:t>2、软件为B/S架构，使用浏览器访问，学生无需进行任何下载安装。</w:t>
            </w:r>
            <w:r>
              <w:rPr>
                <w:rFonts w:hint="eastAsia"/>
                <w:color w:val="auto"/>
                <w:sz w:val="21"/>
                <w:szCs w:val="21"/>
                <w:highlight w:val="none"/>
                <w:lang w:val="en-US" w:eastAsia="zh-CN"/>
              </w:rPr>
              <w:t>支持同时在线人数</w:t>
            </w:r>
            <w:r>
              <w:rPr>
                <w:rFonts w:hint="eastAsia"/>
                <w:color w:val="auto"/>
                <w:sz w:val="21"/>
                <w:szCs w:val="21"/>
                <w:highlight w:val="none"/>
              </w:rPr>
              <w:t>≥500</w:t>
            </w:r>
            <w:r>
              <w:rPr>
                <w:rFonts w:hint="eastAsia"/>
                <w:color w:val="auto"/>
                <w:sz w:val="21"/>
                <w:szCs w:val="21"/>
                <w:highlight w:val="none"/>
                <w:lang w:val="en-US" w:eastAsia="zh-CN"/>
              </w:rPr>
              <w:t>人</w:t>
            </w:r>
            <w:r>
              <w:rPr>
                <w:rFonts w:hint="eastAsia"/>
                <w:color w:val="auto"/>
                <w:sz w:val="21"/>
                <w:szCs w:val="21"/>
                <w:highlight w:val="none"/>
                <w:lang w:eastAsia="zh-CN"/>
              </w:rPr>
              <w:t>。</w:t>
            </w:r>
          </w:p>
          <w:p w14:paraId="3E1E3C13">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3、具有电脑版及手机版。</w:t>
            </w:r>
          </w:p>
          <w:p w14:paraId="5D85F011">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4、软件采用JAVA开发，安装在服务器上，通过局域网及互联网访问；数据库采用Microsoft SQL Server。</w:t>
            </w:r>
          </w:p>
          <w:p w14:paraId="3261854D">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5、可进行自由分类；具有常用的影像资源。</w:t>
            </w:r>
          </w:p>
          <w:p w14:paraId="4C69DA0E">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6、系统支持全自动评分，老师也可进行手动阅卷，实现学生报告书写后自动评分。</w:t>
            </w:r>
          </w:p>
          <w:p w14:paraId="7B1CAEBE">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7、支持DICOM3.0标准，无需安装即可方便和PACS对接共享发布影像。</w:t>
            </w:r>
          </w:p>
          <w:p w14:paraId="2C5DA6E5">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8、DICOM通讯支持SSL加密传输，保证通讯的安全可靠。</w:t>
            </w:r>
          </w:p>
          <w:p w14:paraId="1C2460AD">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9、支持MPR、CPR、MIP、SSD、VR、VE三维图像处理；支持三维裁剪切割/一键去床。</w:t>
            </w:r>
          </w:p>
          <w:p w14:paraId="4B0F2336">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10、系统扩展性要求：</w:t>
            </w:r>
          </w:p>
          <w:p w14:paraId="0F5EE043">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(1)支持PEPTCT三维融合；</w:t>
            </w:r>
          </w:p>
          <w:p w14:paraId="056BE465">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(2)支持XA数字减影</w:t>
            </w:r>
            <w:r>
              <w:rPr>
                <w:rFonts w:hint="eastAsia"/>
                <w:color w:val="auto"/>
                <w:sz w:val="21"/>
                <w:szCs w:val="21"/>
                <w:highlight w:val="none"/>
                <w:lang w:eastAsia="zh-CN"/>
              </w:rPr>
              <w:t>；</w:t>
            </w:r>
            <w:r>
              <w:rPr>
                <w:rFonts w:hint="eastAsia"/>
                <w:color w:val="auto"/>
                <w:sz w:val="21"/>
                <w:szCs w:val="21"/>
                <w:highlight w:val="none"/>
              </w:rPr>
              <w:t>影像增强；</w:t>
            </w:r>
          </w:p>
          <w:p w14:paraId="3EA590D7">
            <w:pPr>
              <w:keepNext w:val="0"/>
              <w:keepLines w:val="0"/>
              <w:suppressLineNumbers w:val="0"/>
              <w:wordWrap w:val="0"/>
              <w:spacing w:before="0" w:beforeAutospacing="0" w:after="0" w:afterAutospacing="0" w:line="240" w:lineRule="auto"/>
              <w:ind w:left="0" w:right="0"/>
              <w:rPr>
                <w:rFonts w:hint="eastAsia" w:eastAsia="宋体"/>
                <w:color w:val="auto"/>
                <w:sz w:val="21"/>
                <w:szCs w:val="21"/>
                <w:highlight w:val="none"/>
                <w:lang w:eastAsia="zh-CN"/>
              </w:rPr>
            </w:pPr>
            <w:r>
              <w:rPr>
                <w:rFonts w:hint="eastAsia"/>
                <w:color w:val="auto"/>
                <w:sz w:val="21"/>
                <w:szCs w:val="21"/>
                <w:highlight w:val="none"/>
              </w:rPr>
              <w:t>(3)支持放疗RT</w:t>
            </w:r>
            <w:r>
              <w:rPr>
                <w:rFonts w:hint="eastAsia"/>
                <w:color w:val="auto"/>
                <w:sz w:val="21"/>
                <w:szCs w:val="21"/>
                <w:highlight w:val="none"/>
                <w:lang w:eastAsia="zh-CN"/>
              </w:rPr>
              <w:t>，</w:t>
            </w:r>
            <w:r>
              <w:rPr>
                <w:rFonts w:hint="eastAsia"/>
                <w:color w:val="auto"/>
                <w:sz w:val="21"/>
                <w:szCs w:val="21"/>
                <w:highlight w:val="none"/>
              </w:rPr>
              <w:t>支持2D、DVH、3D</w:t>
            </w:r>
            <w:r>
              <w:rPr>
                <w:rFonts w:hint="eastAsia"/>
                <w:color w:val="auto"/>
                <w:sz w:val="21"/>
                <w:szCs w:val="21"/>
                <w:highlight w:val="none"/>
                <w:lang w:eastAsia="zh-CN"/>
              </w:rPr>
              <w:t>；</w:t>
            </w:r>
          </w:p>
          <w:p w14:paraId="3967FF71">
            <w:pPr>
              <w:keepNext w:val="0"/>
              <w:keepLines w:val="0"/>
              <w:suppressLineNumbers w:val="0"/>
              <w:wordWrap w:val="0"/>
              <w:spacing w:before="0" w:beforeAutospacing="0" w:after="0" w:afterAutospacing="0" w:line="240" w:lineRule="auto"/>
              <w:ind w:left="0" w:right="0"/>
              <w:rPr>
                <w:rFonts w:hint="eastAsia" w:eastAsia="宋体"/>
                <w:color w:val="auto"/>
                <w:sz w:val="21"/>
                <w:szCs w:val="21"/>
                <w:highlight w:val="none"/>
                <w:lang w:eastAsia="zh-CN"/>
              </w:rPr>
            </w:pPr>
            <w:r>
              <w:rPr>
                <w:rFonts w:hint="eastAsia"/>
                <w:color w:val="auto"/>
                <w:sz w:val="21"/>
                <w:szCs w:val="21"/>
                <w:highlight w:val="none"/>
              </w:rPr>
              <w:t>(4)支持超声</w:t>
            </w:r>
            <w:r>
              <w:rPr>
                <w:rFonts w:hint="eastAsia"/>
                <w:color w:val="auto"/>
                <w:sz w:val="21"/>
                <w:szCs w:val="21"/>
                <w:highlight w:val="none"/>
                <w:lang w:eastAsia="zh-CN"/>
              </w:rPr>
              <w:t>。</w:t>
            </w:r>
          </w:p>
          <w:p w14:paraId="3D13A632">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11、必须满足教学要求，影像阅片及写诊断报告需在同一窗口同屏显示。</w:t>
            </w:r>
          </w:p>
          <w:p w14:paraId="36340912">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12、学校、医校都可使用；学校、医校区别建设数据库；可设置相关属性是公用，还是自用等。</w:t>
            </w:r>
          </w:p>
          <w:p w14:paraId="15AF1FC3">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二、系统资源库要求</w:t>
            </w:r>
          </w:p>
          <w:p w14:paraId="49EB4F4B">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1、内容要求：</w:t>
            </w:r>
          </w:p>
          <w:p w14:paraId="65BA439C">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(1)中枢神经系统；包含正常影像、颅脑先天性畸形及发育异常、颅内感染性疾病、颅内肿瘤、颅脑损伤、脑血管疾病、脱髓鞘疾病、脊髓和椎管内疾病、脑变性疾病、常见疾病。</w:t>
            </w:r>
          </w:p>
          <w:p w14:paraId="32A72C88">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(2)头颈部；包含眼部、鼻部、耳部、口腔颌面部、咽部、喉部、颈部。</w:t>
            </w:r>
          </w:p>
          <w:p w14:paraId="58C15C1B">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(3)呼吸系统；包含正常影像、基本病变影像、气管和支气管病变、肺部病变、胸膜及胸壁病变、纵隔病变、膈肌病变、胸部外伤。</w:t>
            </w:r>
          </w:p>
          <w:p w14:paraId="689C9E84">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(4)循环系统；包含正常影像、基本病变影像、先天性心脏病、冠状动脉疾病、瓣膜性心脏病、高血压相关心脏损伤、心肌病、心包疾病、主动脉病变、肺循环疾病、周围血管病变。</w:t>
            </w:r>
          </w:p>
          <w:p w14:paraId="1F56E8A5">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(5)乳腺；包含正常影像、基本病变影像、乳腺增生性改变、乳腺良性肿瘤和瘤样、乳腺恶性肿瘤。</w:t>
            </w:r>
          </w:p>
          <w:p w14:paraId="39B34F89">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(6)消化系统和腹膜腔；包含胃肠道、肝脏、胆系、胰腺和脾、腹膜与腹膜腔、急腹症。</w:t>
            </w:r>
          </w:p>
          <w:p w14:paraId="046B202C">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(7)泌尿生殖系统和腹膜后间隙；包含泌尿系统、肾上腺、男性生殖系统、女性生殖系统、腹膜后间隙。</w:t>
            </w:r>
          </w:p>
          <w:p w14:paraId="0FD8EC36">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(8)骨骼肌肉系统；包含正常影像、基本病变影像、骨关节发育畸形和骨软骨发育异常、骨与关节创伤、骨坏死、骨关节感染、骨肿瘤、内分泌与代谢性骨病、慢性关节病、脊柱病变、软组织肿瘤。</w:t>
            </w:r>
          </w:p>
          <w:p w14:paraId="133E12D2">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(9)儿科疾病；包含中枢神经系统、头颈部、呼吸系统、循环系统、消化系统、泌尿与生殖系统、骨骼与肌肉系统。</w:t>
            </w:r>
          </w:p>
          <w:p w14:paraId="41AADB26">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(10)其它还包含少量的多器官系统、介入案例、教学案例等。</w:t>
            </w:r>
          </w:p>
          <w:p w14:paraId="1CD3970E">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2、数量要求：不少于10000个案例，案例均提供病例资料、临床报告及教学评分标准。</w:t>
            </w:r>
          </w:p>
          <w:p w14:paraId="70290A19">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3、类型要求：具有常规DR、CT、MR等多种类型案例，案例中98%以上应为DICOM格式文件，以满足图像处理相关要求；即使是图片格式，也要能进行窗宽的调整。</w:t>
            </w:r>
          </w:p>
          <w:p w14:paraId="7AF9842A">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三、学生端功能要求：</w:t>
            </w:r>
          </w:p>
          <w:p w14:paraId="49BC3066">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1、系统登陆要求：</w:t>
            </w:r>
          </w:p>
          <w:p w14:paraId="1B1280F5">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(1)支持用户名、密码登陆。</w:t>
            </w:r>
          </w:p>
          <w:p w14:paraId="656FDA3D">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(2)支持微信扫码登陆（需要开通外网及公众号支持）。</w:t>
            </w:r>
          </w:p>
          <w:p w14:paraId="7EABEEF3">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(3)支持普通注册与微信注册2种方式。</w:t>
            </w:r>
          </w:p>
          <w:p w14:paraId="3797EAD7">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(4)支持登陆人脸验证。具有人脸识别验证识别功能，当未采集人脸图像时，进行人脸图像采集，可通过手机进行人脸识别验证。</w:t>
            </w:r>
          </w:p>
          <w:p w14:paraId="5AC1410A">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(5)具有单点登陆功能。</w:t>
            </w:r>
          </w:p>
          <w:p w14:paraId="2967511D">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(6)登录失败超过一定次数后，限制登录。</w:t>
            </w:r>
          </w:p>
          <w:p w14:paraId="3AF626AA">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2、系统具有公告、学习、训练、考试（大赛）、个人主页、积分排行等多个功能模块。</w:t>
            </w:r>
          </w:p>
          <w:p w14:paraId="4845DBE8">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3、首页具有公告栏、最新案例、热门点击、最新知识点等快捷功能。</w:t>
            </w:r>
          </w:p>
          <w:p w14:paraId="0B40B530">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4、系统公告功能：</w:t>
            </w:r>
          </w:p>
          <w:p w14:paraId="64DEF88E">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(1)可查看系统发布的公告，默认显示最近一次的公告内容；</w:t>
            </w:r>
          </w:p>
          <w:p w14:paraId="7E89A168">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(2)可查看所有公告列表及内容，公告具有标题、内容及发布时间等信息。</w:t>
            </w:r>
          </w:p>
          <w:p w14:paraId="5B5C96D5">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5、学习功能：</w:t>
            </w:r>
          </w:p>
          <w:p w14:paraId="3B31A1CB">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(1)分为知识点学习、自由案例学习、我的学习任务三个模块。</w:t>
            </w:r>
          </w:p>
          <w:p w14:paraId="53F94897">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(2)知识点学习功能要求：可选择知识点进行学习；具有上一知识点、下一知识点、评论、点赞及收藏功能；知识点内容支持文字、图片、视频等多种形式。布局要求：左边为分类，右边为知识点。</w:t>
            </w:r>
          </w:p>
          <w:p w14:paraId="0AC4E8A6">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(3)具有知识点学习过程中查看相关案例功能。</w:t>
            </w:r>
          </w:p>
          <w:p w14:paraId="55E7F221">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(4)自由案例学习：具有分类查看及搜索功能；以列表的形式显示诊断资源库；单击可查看影像资料、案例名称、所属分类、患者信息、临床表现（如有则显示）、影像所见、诊断意见、诊断思路（如有则显示）等信息。</w:t>
            </w:r>
          </w:p>
          <w:p w14:paraId="1F8FC09F">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(5)我的学习任务（指定学习任务）:为老师发布的指定学习案例内容；状态具有已学习/未学习等状态。学习后具有累</w:t>
            </w:r>
            <w:r>
              <w:rPr>
                <w:rFonts w:hint="eastAsia"/>
                <w:color w:val="auto"/>
                <w:sz w:val="21"/>
                <w:szCs w:val="21"/>
                <w:highlight w:val="none"/>
                <w:lang w:val="en-US" w:eastAsia="zh-CN"/>
              </w:rPr>
              <w:t>计</w:t>
            </w:r>
            <w:r>
              <w:rPr>
                <w:rFonts w:hint="eastAsia"/>
                <w:color w:val="auto"/>
                <w:sz w:val="21"/>
                <w:szCs w:val="21"/>
                <w:highlight w:val="none"/>
              </w:rPr>
              <w:t>学习时长，相关数据老师后台可查询统计。</w:t>
            </w:r>
          </w:p>
          <w:p w14:paraId="2DCDD672">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(6)案例资料库内容应为DICOM格式。查看影像资料功能详见“五、阅片功能要求”</w:t>
            </w:r>
          </w:p>
          <w:p w14:paraId="0BD6C7F2">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(7)具有点赞，收藏，评论等功能；可显示评论点赞，收藏，评论条数。</w:t>
            </w:r>
          </w:p>
          <w:p w14:paraId="0787DEFD">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(8)阅片、病人信息、影像所见、诊断信息可以一个屏显示，也可进行全屏阅片。</w:t>
            </w:r>
          </w:p>
          <w:p w14:paraId="4279EB6A">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(9)默认打开只显示影像图片，不显示诊断及病人信息，单击后才显示诊断相关信息。</w:t>
            </w:r>
          </w:p>
          <w:p w14:paraId="0FF2224A">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(10)具有查看关联知识点功能，案例学习学习过程中查看相关知识点功能。</w:t>
            </w:r>
          </w:p>
          <w:p w14:paraId="718BD55C">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val="en-US" w:eastAsia="zh-CN"/>
              </w:rPr>
              <w:t>6</w:t>
            </w:r>
            <w:r>
              <w:rPr>
                <w:rFonts w:hint="eastAsia"/>
                <w:color w:val="auto"/>
                <w:sz w:val="21"/>
                <w:szCs w:val="21"/>
                <w:highlight w:val="none"/>
              </w:rPr>
              <w:t>、具有训练功能：</w:t>
            </w:r>
          </w:p>
          <w:p w14:paraId="17E6A4C5">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(1)分为任务与作业、自由练习二个模块。</w:t>
            </w:r>
          </w:p>
          <w:p w14:paraId="16358FF8">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(2)任务与作业：为练习老师发布的指定一个或多个内容，状态至少具有待完成、已完成、已过期等状态。根据老师后台设置需要在有时间或无时间限制内完该任务，根据老师设置如果没有达到训练目标，还可进行一定次数的重复训练。</w:t>
            </w:r>
          </w:p>
          <w:p w14:paraId="7DF483A9">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(3)自由练习操作过程要求：学生选择所属分类案例数后点开始练习</w:t>
            </w:r>
            <w:r>
              <w:rPr>
                <w:rFonts w:hint="eastAsia"/>
                <w:color w:val="auto"/>
                <w:sz w:val="21"/>
                <w:szCs w:val="21"/>
                <w:highlight w:val="none"/>
                <w:lang w:eastAsia="zh-CN"/>
              </w:rPr>
              <w:t>按钮</w:t>
            </w:r>
            <w:r>
              <w:rPr>
                <w:rFonts w:hint="eastAsia"/>
                <w:color w:val="auto"/>
                <w:sz w:val="21"/>
                <w:szCs w:val="21"/>
                <w:highlight w:val="none"/>
              </w:rPr>
              <w:t>-&gt;由计算机随机组题-&gt;阅片训练-&gt;结束练习-&gt;由计算机评分-&gt;提示答题情况-&gt;给出练习的评价结果；学生可反复这一过程进行不限次数的训练。</w:t>
            </w:r>
          </w:p>
          <w:p w14:paraId="1A49DADD">
            <w:pPr>
              <w:keepNext w:val="0"/>
              <w:keepLines w:val="0"/>
              <w:suppressLineNumbers w:val="0"/>
              <w:wordWrap/>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(4)具有分类级次，分类，影像类型，题目类型，关键信息等进行筛选功能。（</w:t>
            </w:r>
            <w:r>
              <w:rPr>
                <w:rFonts w:hint="eastAsia"/>
                <w:b/>
                <w:bCs/>
                <w:color w:val="auto"/>
                <w:sz w:val="21"/>
                <w:szCs w:val="21"/>
                <w:highlight w:val="none"/>
                <w:lang w:val="en-US" w:eastAsia="zh-CN"/>
              </w:rPr>
              <w:t>投标时</w:t>
            </w:r>
            <w:r>
              <w:rPr>
                <w:rFonts w:hint="eastAsia"/>
                <w:b/>
                <w:bCs/>
                <w:color w:val="auto"/>
                <w:sz w:val="21"/>
                <w:szCs w:val="21"/>
                <w:highlight w:val="none"/>
              </w:rPr>
              <w:t>提供</w:t>
            </w:r>
            <w:r>
              <w:rPr>
                <w:rFonts w:hint="eastAsia"/>
                <w:b/>
                <w:bCs/>
                <w:color w:val="auto"/>
                <w:sz w:val="21"/>
                <w:szCs w:val="21"/>
                <w:highlight w:val="none"/>
                <w:lang w:val="en-US" w:eastAsia="zh-CN"/>
              </w:rPr>
              <w:t>截图证明</w:t>
            </w:r>
            <w:r>
              <w:rPr>
                <w:rFonts w:hint="eastAsia"/>
                <w:b/>
                <w:bCs/>
                <w:color w:val="auto"/>
                <w:sz w:val="21"/>
                <w:szCs w:val="21"/>
                <w:highlight w:val="none"/>
              </w:rPr>
              <w:t>材料</w:t>
            </w:r>
            <w:r>
              <w:rPr>
                <w:rFonts w:hint="eastAsia"/>
                <w:b/>
                <w:bCs/>
                <w:color w:val="auto"/>
                <w:sz w:val="21"/>
                <w:szCs w:val="21"/>
                <w:highlight w:val="none"/>
                <w:lang w:val="en-US" w:eastAsia="zh-CN"/>
              </w:rPr>
              <w:t>并加盖投标人公章</w:t>
            </w:r>
            <w:r>
              <w:rPr>
                <w:rFonts w:hint="eastAsia"/>
                <w:b/>
                <w:bCs/>
                <w:color w:val="auto"/>
                <w:sz w:val="21"/>
                <w:szCs w:val="21"/>
                <w:highlight w:val="none"/>
              </w:rPr>
              <w:t>）</w:t>
            </w:r>
          </w:p>
          <w:p w14:paraId="19C26643">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(5)具有上一题，下一题，选题，参考答案，结束练习，报告模板调用等功能。</w:t>
            </w:r>
          </w:p>
          <w:p w14:paraId="25DCA0E5">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(6)报告模板调用支持搜索，单击预览，双击追加功能。</w:t>
            </w:r>
          </w:p>
          <w:p w14:paraId="61283BFD">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(7)阅片、训练信息（训练人、总题数、当前题号）、病人信息、报告书写支持一个屏上显示，也可进行全屏阅片，以满足教学要求。</w:t>
            </w:r>
          </w:p>
          <w:p w14:paraId="66E7510D">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(8)训练评价详情：可查看每题的病人信息、答题情况、参考影像所见及诊断意见、阅片图像及评分结果，并可进行收藏。</w:t>
            </w:r>
          </w:p>
          <w:p w14:paraId="55142B75">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(9)一套案例练习支持理论题，诊断题，分析题（一题多问）等多种题型组合；分析题支持一题多个选择，一题多个问答，一题多个填空或一题多种形式组合，且每个小项具有独立评分项及分值。</w:t>
            </w:r>
          </w:p>
          <w:p w14:paraId="08498436">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(10)训练过程中阅片的功能详见“五、阅片功能要求”；</w:t>
            </w:r>
          </w:p>
          <w:p w14:paraId="32FE7652">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val="en-US" w:eastAsia="zh-CN"/>
              </w:rPr>
              <w:t>7</w:t>
            </w:r>
            <w:r>
              <w:rPr>
                <w:rFonts w:hint="eastAsia"/>
                <w:color w:val="auto"/>
                <w:sz w:val="21"/>
                <w:szCs w:val="21"/>
                <w:highlight w:val="none"/>
              </w:rPr>
              <w:t>、具有考试功能：</w:t>
            </w:r>
          </w:p>
          <w:p w14:paraId="69FBA0F1">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进入时显示老师发布的考试列表，列表内容具有考试名称、考试时间、发布人、状态等信息；状态具有待考、缺考、已考三个状态；待考状态学生可在指定开始时间后进入考试，缺考状态说明学生在指定时间内未进行考试，已考状态如老师设置公布了成绩，可查看已公布的考试评价情况；</w:t>
            </w:r>
          </w:p>
          <w:p w14:paraId="1C42A7EA">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(2) 考试时能显示考试名称、考试剩余时间；具有“跳转到第几题”、“上一题”、“ 下一题”、“交卷”、“ 未答题”功能。</w:t>
            </w:r>
          </w:p>
          <w:p w14:paraId="519E16FC">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(3)考试时病人姓名等患者信息、检查类型、检查部位、影像阅片、书写报告等信息在一个屏上进行显示，支持全屏阅片，考生通过输入或调用报告模板进行报告书写。</w:t>
            </w:r>
          </w:p>
          <w:p w14:paraId="3A721881">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(4) 报告模板根据后台设置是否可调用，支持搜索，单击预览，双击追加功能。</w:t>
            </w:r>
          </w:p>
          <w:p w14:paraId="68EA98EB">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(5)非法退出考试后，可根据后台设置次数及时间再次进入考试，接着刚才的考试继续进行，时间进行相应的减少。</w:t>
            </w:r>
          </w:p>
          <w:p w14:paraId="6A4A9020">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(6)练习及考试过程中禁用返回等功能。</w:t>
            </w:r>
          </w:p>
          <w:p w14:paraId="057A5754">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(7)具有防作弊功能：A、考试过程中可根据后台设置，自动抓取考试图像。B、具有防切屏功能。C、禁止复制及粘贴功能。</w:t>
            </w:r>
          </w:p>
          <w:p w14:paraId="46B7509A">
            <w:pPr>
              <w:keepNext w:val="0"/>
              <w:keepLines w:val="0"/>
              <w:suppressLineNumbers w:val="0"/>
              <w:wordWrap/>
              <w:spacing w:before="0" w:beforeAutospacing="0" w:after="0" w:afterAutospacing="0" w:line="240" w:lineRule="auto"/>
              <w:ind w:left="0" w:right="0"/>
              <w:rPr>
                <w:rFonts w:hint="eastAsia"/>
                <w:b/>
                <w:bCs/>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(8)一套试题支持理论题，诊断题，分析题（一题多问）等多种题型组合；分析题支持一题多个选择，一题多个问答，一题多个填空或一题多种形式组合，且每个小项具有独立评分项及分值。</w:t>
            </w:r>
            <w:r>
              <w:rPr>
                <w:rFonts w:hint="eastAsia"/>
                <w:b/>
                <w:bCs/>
                <w:color w:val="auto"/>
                <w:sz w:val="21"/>
                <w:szCs w:val="21"/>
                <w:highlight w:val="none"/>
              </w:rPr>
              <w:t>（</w:t>
            </w:r>
            <w:r>
              <w:rPr>
                <w:rFonts w:hint="eastAsia"/>
                <w:b/>
                <w:bCs/>
                <w:color w:val="auto"/>
                <w:sz w:val="21"/>
                <w:szCs w:val="21"/>
                <w:highlight w:val="none"/>
                <w:lang w:val="en-US" w:eastAsia="zh-CN"/>
              </w:rPr>
              <w:t>投标时</w:t>
            </w:r>
            <w:r>
              <w:rPr>
                <w:rFonts w:hint="eastAsia"/>
                <w:b/>
                <w:bCs/>
                <w:color w:val="auto"/>
                <w:sz w:val="21"/>
                <w:szCs w:val="21"/>
                <w:highlight w:val="none"/>
              </w:rPr>
              <w:t>提供</w:t>
            </w:r>
            <w:r>
              <w:rPr>
                <w:rFonts w:hint="eastAsia"/>
                <w:b/>
                <w:bCs/>
                <w:color w:val="auto"/>
                <w:sz w:val="21"/>
                <w:szCs w:val="21"/>
                <w:highlight w:val="none"/>
                <w:lang w:val="en-US" w:eastAsia="zh-CN"/>
              </w:rPr>
              <w:t>截图证明</w:t>
            </w:r>
            <w:r>
              <w:rPr>
                <w:rFonts w:hint="eastAsia"/>
                <w:b/>
                <w:bCs/>
                <w:color w:val="auto"/>
                <w:sz w:val="21"/>
                <w:szCs w:val="21"/>
                <w:highlight w:val="none"/>
              </w:rPr>
              <w:t>材料</w:t>
            </w:r>
            <w:r>
              <w:rPr>
                <w:rFonts w:hint="eastAsia"/>
                <w:b/>
                <w:bCs/>
                <w:color w:val="auto"/>
                <w:sz w:val="21"/>
                <w:szCs w:val="21"/>
                <w:highlight w:val="none"/>
                <w:lang w:val="en-US" w:eastAsia="zh-CN"/>
              </w:rPr>
              <w:t>并加盖投标人公章</w:t>
            </w:r>
            <w:r>
              <w:rPr>
                <w:rFonts w:hint="eastAsia"/>
                <w:b/>
                <w:bCs/>
                <w:color w:val="auto"/>
                <w:sz w:val="21"/>
                <w:szCs w:val="21"/>
                <w:highlight w:val="none"/>
              </w:rPr>
              <w:t>）</w:t>
            </w:r>
          </w:p>
          <w:p w14:paraId="1201AAE4">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(9)每个答题点的分值要进行显示，</w:t>
            </w:r>
            <w:r>
              <w:rPr>
                <w:rFonts w:hint="eastAsia"/>
                <w:b/>
                <w:bCs/>
                <w:color w:val="auto"/>
                <w:sz w:val="21"/>
                <w:szCs w:val="21"/>
                <w:highlight w:val="none"/>
                <w:lang w:val="en-US" w:eastAsia="zh-CN"/>
              </w:rPr>
              <w:t>投标时</w:t>
            </w:r>
            <w:r>
              <w:rPr>
                <w:rFonts w:hint="eastAsia"/>
                <w:b/>
                <w:bCs/>
                <w:color w:val="auto"/>
                <w:sz w:val="21"/>
                <w:szCs w:val="21"/>
                <w:highlight w:val="none"/>
              </w:rPr>
              <w:t>提供</w:t>
            </w:r>
            <w:r>
              <w:rPr>
                <w:rFonts w:hint="eastAsia"/>
                <w:b/>
                <w:bCs/>
                <w:color w:val="auto"/>
                <w:sz w:val="21"/>
                <w:szCs w:val="21"/>
                <w:highlight w:val="none"/>
                <w:lang w:val="en-US" w:eastAsia="zh-CN"/>
              </w:rPr>
              <w:t>截图证明</w:t>
            </w:r>
            <w:r>
              <w:rPr>
                <w:rFonts w:hint="eastAsia"/>
                <w:b/>
                <w:bCs/>
                <w:color w:val="auto"/>
                <w:sz w:val="21"/>
                <w:szCs w:val="21"/>
                <w:highlight w:val="none"/>
              </w:rPr>
              <w:t>材料</w:t>
            </w:r>
            <w:r>
              <w:rPr>
                <w:rFonts w:hint="eastAsia"/>
                <w:b/>
                <w:bCs/>
                <w:color w:val="auto"/>
                <w:sz w:val="21"/>
                <w:szCs w:val="21"/>
                <w:highlight w:val="none"/>
                <w:lang w:val="en-US" w:eastAsia="zh-CN"/>
              </w:rPr>
              <w:t>并加盖投标人公章</w:t>
            </w:r>
            <w:r>
              <w:rPr>
                <w:rFonts w:hint="eastAsia"/>
                <w:color w:val="auto"/>
                <w:sz w:val="21"/>
                <w:szCs w:val="21"/>
                <w:highlight w:val="none"/>
              </w:rPr>
              <w:t>。</w:t>
            </w:r>
          </w:p>
          <w:p w14:paraId="40B6A950">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(10)过程中阅片的功能详见“五、阅片功能要求”</w:t>
            </w:r>
          </w:p>
          <w:p w14:paraId="0CFC9503">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val="en-US" w:eastAsia="zh-CN"/>
              </w:rPr>
              <w:t>8</w:t>
            </w:r>
            <w:r>
              <w:rPr>
                <w:rFonts w:hint="eastAsia"/>
                <w:color w:val="auto"/>
                <w:sz w:val="21"/>
                <w:szCs w:val="21"/>
                <w:highlight w:val="none"/>
              </w:rPr>
              <w:t>、个人主页功能：</w:t>
            </w:r>
          </w:p>
          <w:p w14:paraId="7280D433">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(1)具有个人主页、修改个人信息、修改密码、我的收藏、练习记录、考试记录、学习记录、积分记录、人像采集等功能。</w:t>
            </w:r>
          </w:p>
          <w:p w14:paraId="58903AED">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(2)个人主页：显示练习次数、考试次数、收藏次数、学习时长、可用积分等信息</w:t>
            </w:r>
          </w:p>
          <w:p w14:paraId="49BED29B">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(3)我的收藏：查看收藏的知识点及诊断案例库。</w:t>
            </w:r>
          </w:p>
          <w:p w14:paraId="63A28D64">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(4)练习记录：显示自己的历史练习记录，并可查看练习的详细情况。</w:t>
            </w:r>
          </w:p>
          <w:p w14:paraId="73930303">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(5)考试记录：显示自己的历史考试记录，并可查看考试的详细情况。</w:t>
            </w:r>
          </w:p>
          <w:p w14:paraId="044DB27E">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(6)学习记录：显示自己的历史学习记录。</w:t>
            </w:r>
          </w:p>
          <w:p w14:paraId="4AEF7D84">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val="en-US" w:eastAsia="zh-CN"/>
              </w:rPr>
              <w:t>9</w:t>
            </w:r>
            <w:r>
              <w:rPr>
                <w:rFonts w:hint="eastAsia"/>
                <w:color w:val="auto"/>
                <w:sz w:val="21"/>
                <w:szCs w:val="21"/>
                <w:highlight w:val="none"/>
              </w:rPr>
              <w:t>、积分排行功能：分班级排行和全网排行两部分。</w:t>
            </w:r>
          </w:p>
          <w:p w14:paraId="159AAB05">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10</w:t>
            </w:r>
            <w:r>
              <w:rPr>
                <w:rFonts w:hint="eastAsia"/>
                <w:color w:val="auto"/>
                <w:sz w:val="21"/>
                <w:szCs w:val="21"/>
                <w:highlight w:val="none"/>
              </w:rPr>
              <w:t>、具有案例及知识点的纠错功能。</w:t>
            </w:r>
          </w:p>
          <w:p w14:paraId="23AA48C6">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11</w:t>
            </w:r>
            <w:r>
              <w:rPr>
                <w:rFonts w:hint="eastAsia"/>
                <w:color w:val="auto"/>
                <w:sz w:val="21"/>
                <w:szCs w:val="21"/>
                <w:highlight w:val="none"/>
              </w:rPr>
              <w:t>、具有电脑版及手机版，手机版与电脑版功能一致。</w:t>
            </w:r>
          </w:p>
          <w:p w14:paraId="7C6D4747">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四、老师后台管理功能要求：</w:t>
            </w:r>
          </w:p>
          <w:p w14:paraId="458CE1BA">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1、角色管理：可进行角色添加、编辑、删除及权限菜单分配。</w:t>
            </w:r>
          </w:p>
          <w:p w14:paraId="6E74481B">
            <w:pPr>
              <w:keepNext w:val="0"/>
              <w:keepLines w:val="0"/>
              <w:suppressLineNumbers w:val="0"/>
              <w:wordWrap/>
              <w:spacing w:before="0" w:beforeAutospacing="0" w:after="0" w:afterAutospacing="0" w:line="240" w:lineRule="auto"/>
              <w:ind w:left="0" w:right="0"/>
              <w:rPr>
                <w:rFonts w:hint="eastAsia"/>
                <w:b/>
                <w:bCs/>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2、参数设置功能：对系统进行配置，以实现不同场合的功能应用。</w:t>
            </w:r>
            <w:r>
              <w:rPr>
                <w:rFonts w:hint="eastAsia"/>
                <w:b/>
                <w:bCs/>
                <w:color w:val="auto"/>
                <w:sz w:val="21"/>
                <w:szCs w:val="21"/>
                <w:highlight w:val="none"/>
              </w:rPr>
              <w:t>（</w:t>
            </w:r>
            <w:r>
              <w:rPr>
                <w:rFonts w:hint="eastAsia"/>
                <w:b/>
                <w:bCs/>
                <w:color w:val="auto"/>
                <w:sz w:val="21"/>
                <w:szCs w:val="21"/>
                <w:highlight w:val="none"/>
                <w:lang w:val="en-US" w:eastAsia="zh-CN"/>
              </w:rPr>
              <w:t>投标时</w:t>
            </w:r>
            <w:r>
              <w:rPr>
                <w:rFonts w:hint="eastAsia"/>
                <w:b/>
                <w:bCs/>
                <w:color w:val="auto"/>
                <w:sz w:val="21"/>
                <w:szCs w:val="21"/>
                <w:highlight w:val="none"/>
              </w:rPr>
              <w:t>提供</w:t>
            </w:r>
            <w:r>
              <w:rPr>
                <w:rFonts w:hint="eastAsia"/>
                <w:b/>
                <w:bCs/>
                <w:color w:val="auto"/>
                <w:sz w:val="21"/>
                <w:szCs w:val="21"/>
                <w:highlight w:val="none"/>
                <w:lang w:val="en-US" w:eastAsia="zh-CN"/>
              </w:rPr>
              <w:t>截图证明</w:t>
            </w:r>
            <w:r>
              <w:rPr>
                <w:rFonts w:hint="eastAsia"/>
                <w:b/>
                <w:bCs/>
                <w:color w:val="auto"/>
                <w:sz w:val="21"/>
                <w:szCs w:val="21"/>
                <w:highlight w:val="none"/>
              </w:rPr>
              <w:t>材料</w:t>
            </w:r>
            <w:r>
              <w:rPr>
                <w:rFonts w:hint="eastAsia"/>
                <w:b/>
                <w:bCs/>
                <w:color w:val="auto"/>
                <w:sz w:val="21"/>
                <w:szCs w:val="21"/>
                <w:highlight w:val="none"/>
                <w:lang w:val="en-US" w:eastAsia="zh-CN"/>
              </w:rPr>
              <w:t>并加盖投标人公章</w:t>
            </w:r>
            <w:r>
              <w:rPr>
                <w:rFonts w:hint="eastAsia"/>
                <w:b/>
                <w:bCs/>
                <w:color w:val="auto"/>
                <w:sz w:val="21"/>
                <w:szCs w:val="21"/>
                <w:highlight w:val="none"/>
              </w:rPr>
              <w:t>）</w:t>
            </w:r>
          </w:p>
          <w:p w14:paraId="148F0ECF">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(1)登陆是否进行人脸验证：无/人像对比/身份证对比</w:t>
            </w:r>
          </w:p>
          <w:p w14:paraId="58C0AD51">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(2)微信登录/注册： 开启/关闭</w:t>
            </w:r>
          </w:p>
          <w:p w14:paraId="0FA14DC5">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(3)注册时是否进行身份证人脸识别: 是/否</w:t>
            </w:r>
          </w:p>
          <w:p w14:paraId="3301676F">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(4)注册时是否需要审核: 是/否</w:t>
            </w:r>
          </w:p>
          <w:p w14:paraId="2E40FA6A">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(5)具有注册成功提示语设置。</w:t>
            </w:r>
          </w:p>
          <w:p w14:paraId="23908225">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(6)登录失败超过多少次，提示用户过两分钟才能登录设置。</w:t>
            </w:r>
          </w:p>
          <w:p w14:paraId="69134CC1">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(7)前端界面模式：学习模式/考试模式(提示：选择学习模式，用户可以学习，练习，考试等；选择考试模式，用户只能考试。)</w:t>
            </w:r>
          </w:p>
          <w:p w14:paraId="13D2A476">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(8)考试模式下，是否可以用手机端考试：不可以/可以</w:t>
            </w:r>
          </w:p>
          <w:p w14:paraId="653516CA">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(9)上机考试每题答XX秒。注：设置该值后，用户每答一题都有秒数限制，超时系统自动进入下一题倒计时。</w:t>
            </w:r>
          </w:p>
          <w:p w14:paraId="351785CD">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(10)上机考试答题顺序： 顺序/随机。注：选择顺序，用户考试出题顺序按题号升序排序；选择随机，用户考试出题顺序随机排序。</w:t>
            </w:r>
          </w:p>
          <w:p w14:paraId="17BC3E85">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(11)选择题选项顺序是否打乱： 打乱/不打乱</w:t>
            </w:r>
          </w:p>
          <w:p w14:paraId="0CFBCF69">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(12)考试时定期保存人脸图像，每隔多少秒保存一次；设置该值后，用户考试时会自动打开摄像头，并每隔一段时间保存一次人脸图像，方便后台查看。</w:t>
            </w:r>
          </w:p>
          <w:p w14:paraId="36944DF8">
            <w:pPr>
              <w:pStyle w:val="10"/>
              <w:keepNext w:val="0"/>
              <w:keepLines w:val="0"/>
              <w:suppressLineNumbers w:val="0"/>
              <w:spacing w:before="0" w:beforeAutospacing="0" w:after="0" w:afterAutospacing="0"/>
              <w:ind w:left="0" w:right="0"/>
              <w:rPr>
                <w:rFonts w:hint="eastAsia"/>
                <w:color w:val="auto"/>
                <w:sz w:val="21"/>
                <w:szCs w:val="21"/>
                <w:highlight w:val="none"/>
              </w:rPr>
            </w:pPr>
            <w:r>
              <w:rPr>
                <w:rFonts w:hint="eastAsia"/>
                <w:color w:val="auto"/>
                <w:sz w:val="21"/>
                <w:szCs w:val="21"/>
                <w:highlight w:val="none"/>
              </w:rPr>
              <w:t>(13)考生切屏超过多少次后执行强制交卷；限制考生答卷时切屏/反复登录的次数，为空表示无限制，</w:t>
            </w:r>
            <w:r>
              <w:rPr>
                <w:rStyle w:val="30"/>
                <w:rFonts w:hint="eastAsia" w:ascii="Times New Roman" w:hAnsi="Times New Roman" w:eastAsia="宋体" w:cs="Times New Roman"/>
                <w:b w:val="0"/>
                <w:bCs w:val="0"/>
                <w:i w:val="0"/>
                <w:iCs w:val="0"/>
                <w:caps w:val="0"/>
                <w:color w:val="auto"/>
                <w:spacing w:val="0"/>
                <w:sz w:val="21"/>
                <w:szCs w:val="21"/>
                <w:highlight w:val="none"/>
                <w:shd w:val="clear" w:fill="FFFFFF"/>
              </w:rPr>
              <w:t>以防</w:t>
            </w:r>
            <w:r>
              <w:rPr>
                <w:rFonts w:hint="eastAsia"/>
                <w:color w:val="auto"/>
                <w:sz w:val="21"/>
                <w:szCs w:val="21"/>
                <w:highlight w:val="none"/>
              </w:rPr>
              <w:t>考生误操作或异常退出。</w:t>
            </w:r>
          </w:p>
          <w:p w14:paraId="6CEC3FEC">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(14)进入考试超过多少次，未提交的试卷系统自动提交。</w:t>
            </w:r>
          </w:p>
          <w:p w14:paraId="63772414">
            <w:pPr>
              <w:pStyle w:val="10"/>
              <w:keepNext w:val="0"/>
              <w:keepLines w:val="0"/>
              <w:suppressLineNumbers w:val="0"/>
              <w:spacing w:before="0" w:beforeAutospacing="0" w:after="0" w:afterAutospacing="0"/>
              <w:ind w:left="0" w:right="0"/>
              <w:rPr>
                <w:rFonts w:hint="eastAsia"/>
                <w:color w:val="auto"/>
                <w:sz w:val="21"/>
                <w:szCs w:val="21"/>
                <w:highlight w:val="none"/>
              </w:rPr>
            </w:pPr>
            <w:r>
              <w:rPr>
                <w:rFonts w:hint="eastAsia"/>
                <w:color w:val="auto"/>
                <w:sz w:val="21"/>
                <w:szCs w:val="21"/>
                <w:highlight w:val="none"/>
              </w:rPr>
              <w:t>(15)超过考试结束时间</w:t>
            </w:r>
            <w:r>
              <w:rPr>
                <w:rFonts w:hint="eastAsia"/>
                <w:color w:val="auto"/>
                <w:sz w:val="21"/>
                <w:szCs w:val="21"/>
                <w:highlight w:val="none"/>
                <w:lang w:eastAsia="zh-CN"/>
              </w:rPr>
              <w:t>（</w:t>
            </w:r>
            <w:r>
              <w:rPr>
                <w:rFonts w:hint="eastAsia"/>
                <w:color w:val="auto"/>
                <w:highlight w:val="none"/>
                <w:lang w:val="en-US" w:eastAsia="zh-CN"/>
              </w:rPr>
              <w:t>老师可根据考试情况自由设置）</w:t>
            </w:r>
            <w:r>
              <w:rPr>
                <w:rFonts w:hint="eastAsia"/>
                <w:color w:val="auto"/>
                <w:sz w:val="21"/>
                <w:szCs w:val="21"/>
                <w:highlight w:val="none"/>
              </w:rPr>
              <w:t>，未提交的试卷系统自动提交。(提示：系统自动提交试卷后，不能再进入考试）</w:t>
            </w:r>
          </w:p>
          <w:p w14:paraId="02C5A23B">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(16)报告模板：启用/停用;提示：报告模板启用后，用户考试或练习时可以选择报告模板；停用后不能选择报告模板。</w:t>
            </w:r>
          </w:p>
          <w:p w14:paraId="4BACC669">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(17)默认重考分数线设置。</w:t>
            </w:r>
          </w:p>
          <w:p w14:paraId="02E57C83">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(18)默认重考次数设置。</w:t>
            </w:r>
          </w:p>
          <w:p w14:paraId="6CB29802">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(19)专家阅卷时，是否显示考生姓名：否/是。</w:t>
            </w:r>
          </w:p>
          <w:p w14:paraId="49C51426">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3、具有日志功能，分为管理日志及用户日志。</w:t>
            </w:r>
          </w:p>
          <w:p w14:paraId="1BD84072">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4、具有数据备份及还原功能。</w:t>
            </w:r>
          </w:p>
          <w:p w14:paraId="11B78DC7">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5、具有用户注册审核功能，审核时可修改用户信息，具有批量审核功能。</w:t>
            </w:r>
          </w:p>
          <w:p w14:paraId="33410134">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6、具有广告位设置功能。</w:t>
            </w:r>
          </w:p>
          <w:p w14:paraId="5E6B57AD">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7、具有公告管理功能：可进行增加、修改、删除、查询.</w:t>
            </w:r>
          </w:p>
          <w:p w14:paraId="2E0FB2C4">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8、部门管理</w:t>
            </w:r>
          </w:p>
          <w:p w14:paraId="7DBA688A">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(1)具有添加、编辑、删除功能。</w:t>
            </w:r>
          </w:p>
          <w:p w14:paraId="2FDD3362">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(2)可不限层次的进行部门分类管理。</w:t>
            </w:r>
          </w:p>
          <w:p w14:paraId="181CE485">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9、用户分类</w:t>
            </w:r>
          </w:p>
          <w:p w14:paraId="1D15FF2F">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(1)具有添加、编辑、删除功能。</w:t>
            </w:r>
          </w:p>
          <w:p w14:paraId="2B372F71">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(2)可不限层次的进行班级分类管理。</w:t>
            </w:r>
          </w:p>
          <w:p w14:paraId="0DECD4CE">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10、教师管理：具有查询、添加、编辑、删除、修改密码功能。</w:t>
            </w:r>
          </w:p>
          <w:p w14:paraId="734EDB4E">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11、用户帐号管理（学生管理）</w:t>
            </w:r>
          </w:p>
          <w:p w14:paraId="237B55F1">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(1)具有查询、添加、编辑、删除、修改密码功能。</w:t>
            </w:r>
          </w:p>
          <w:p w14:paraId="6806FE05">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(2)具有导入、导出、下载学生模板功能。</w:t>
            </w:r>
          </w:p>
          <w:p w14:paraId="070A3B4F">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(3)至少具有用户分类、分组、账号、姓名、</w:t>
            </w:r>
            <w:r>
              <w:rPr>
                <w:rFonts w:hint="eastAsia"/>
                <w:color w:val="auto"/>
                <w:sz w:val="21"/>
                <w:szCs w:val="21"/>
                <w:highlight w:val="none"/>
                <w:lang w:val="en-US" w:eastAsia="zh-CN"/>
              </w:rPr>
              <w:t>性</w:t>
            </w:r>
            <w:r>
              <w:rPr>
                <w:rFonts w:hint="eastAsia"/>
                <w:color w:val="auto"/>
                <w:sz w:val="21"/>
                <w:szCs w:val="21"/>
                <w:highlight w:val="none"/>
              </w:rPr>
              <w:t>别、手机、邮箱等信息。</w:t>
            </w:r>
          </w:p>
          <w:p w14:paraId="703F8ABF">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(4)具有批量启用、批量停用功能；如未选择指定用户只选择班级时，启/停用整个班级。</w:t>
            </w:r>
          </w:p>
          <w:p w14:paraId="3AD1F46F">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(5)如果采集了人脸，可查看人脸图像。</w:t>
            </w:r>
          </w:p>
          <w:p w14:paraId="08BEFFF5">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12、具有代教权限管理功能：可设置老师所管理的班级及所管理的部门，设置后每次发布作业及考试，默认自动指定到该老师所管理的班级。</w:t>
            </w:r>
          </w:p>
          <w:p w14:paraId="7A8ADFD9">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13、字典管理：可进行相关字典添加、编辑、删除；如检查类型、检查部位、分数等级等。</w:t>
            </w:r>
          </w:p>
          <w:p w14:paraId="21BF4E90">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14、难易系数管理：具有添加、编辑、删除功能，可进行无限制的增加。</w:t>
            </w:r>
          </w:p>
          <w:p w14:paraId="27B91775">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15、知识库管理功能：</w:t>
            </w:r>
          </w:p>
          <w:p w14:paraId="2FB70817">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(1)可进行增加、修改、删除知识点分类。</w:t>
            </w:r>
          </w:p>
          <w:p w14:paraId="72E781AE">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(2)知识点具有查询、添加、编辑、删除功能。</w:t>
            </w:r>
          </w:p>
          <w:p w14:paraId="3543CE0D">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(3)知识点管理内容具有：知识点标题、知识点分类、跳转链接(填写后会打开新的窗口)、知识点内容、排序号、是否公开、关联案例。投标文件中提供软件截图。</w:t>
            </w:r>
          </w:p>
          <w:p w14:paraId="18A16D24">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(4)具有知识点预览及分享链接功能。</w:t>
            </w:r>
          </w:p>
          <w:p w14:paraId="07F6D4C7">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16、报告模板管理：</w:t>
            </w:r>
          </w:p>
          <w:p w14:paraId="29DB11A5">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(1)具有添加、编辑、删除、查询、导入功能。</w:t>
            </w:r>
          </w:p>
          <w:p w14:paraId="09341EB1">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(2)可不限层次的进行分类管理。</w:t>
            </w:r>
          </w:p>
          <w:p w14:paraId="0966EDF3">
            <w:pPr>
              <w:keepNext w:val="0"/>
              <w:keepLines w:val="0"/>
              <w:suppressLineNumbers w:val="0"/>
              <w:wordWrap w:val="0"/>
              <w:spacing w:before="0" w:beforeAutospacing="0" w:after="0" w:afterAutospacing="0" w:line="240" w:lineRule="auto"/>
              <w:ind w:left="0" w:right="0"/>
              <w:rPr>
                <w:rFonts w:hint="eastAsia" w:eastAsia="宋体"/>
                <w:color w:val="auto"/>
                <w:sz w:val="21"/>
                <w:szCs w:val="21"/>
                <w:highlight w:val="none"/>
                <w:lang w:eastAsia="zh-CN"/>
              </w:rPr>
            </w:pPr>
            <w:r>
              <w:rPr>
                <w:rFonts w:hint="eastAsia"/>
                <w:color w:val="auto"/>
                <w:sz w:val="21"/>
                <w:szCs w:val="21"/>
                <w:highlight w:val="none"/>
                <w:lang w:eastAsia="zh-CN"/>
              </w:rPr>
              <w:t>▲</w:t>
            </w:r>
            <w:r>
              <w:rPr>
                <w:rFonts w:hint="eastAsia"/>
                <w:color w:val="auto"/>
                <w:sz w:val="21"/>
                <w:szCs w:val="21"/>
                <w:highlight w:val="none"/>
              </w:rPr>
              <w:t>(3)具有所属分类、模板名称、检查所见、诊断意见、公用/自用标志、显示号（排序号）、启用标志等信息，</w:t>
            </w:r>
            <w:r>
              <w:rPr>
                <w:rFonts w:hint="eastAsia"/>
                <w:b/>
                <w:bCs/>
                <w:color w:val="auto"/>
                <w:sz w:val="21"/>
                <w:szCs w:val="21"/>
                <w:highlight w:val="none"/>
              </w:rPr>
              <w:t>（</w:t>
            </w:r>
            <w:r>
              <w:rPr>
                <w:rFonts w:hint="eastAsia"/>
                <w:b/>
                <w:bCs/>
                <w:color w:val="auto"/>
                <w:sz w:val="21"/>
                <w:szCs w:val="21"/>
                <w:highlight w:val="none"/>
                <w:lang w:val="en-US" w:eastAsia="zh-CN"/>
              </w:rPr>
              <w:t>投标时</w:t>
            </w:r>
            <w:r>
              <w:rPr>
                <w:rFonts w:hint="eastAsia"/>
                <w:b/>
                <w:bCs/>
                <w:color w:val="auto"/>
                <w:sz w:val="21"/>
                <w:szCs w:val="21"/>
                <w:highlight w:val="none"/>
              </w:rPr>
              <w:t>提供</w:t>
            </w:r>
            <w:r>
              <w:rPr>
                <w:rFonts w:hint="eastAsia"/>
                <w:b/>
                <w:bCs/>
                <w:color w:val="auto"/>
                <w:sz w:val="21"/>
                <w:szCs w:val="21"/>
                <w:highlight w:val="none"/>
                <w:lang w:val="en-US" w:eastAsia="zh-CN"/>
              </w:rPr>
              <w:t>截图证明</w:t>
            </w:r>
            <w:r>
              <w:rPr>
                <w:rFonts w:hint="eastAsia"/>
                <w:b/>
                <w:bCs/>
                <w:color w:val="auto"/>
                <w:sz w:val="21"/>
                <w:szCs w:val="21"/>
                <w:highlight w:val="none"/>
              </w:rPr>
              <w:t>材料</w:t>
            </w:r>
            <w:r>
              <w:rPr>
                <w:rFonts w:hint="eastAsia"/>
                <w:b/>
                <w:bCs/>
                <w:color w:val="auto"/>
                <w:sz w:val="21"/>
                <w:szCs w:val="21"/>
                <w:highlight w:val="none"/>
                <w:lang w:val="en-US" w:eastAsia="zh-CN"/>
              </w:rPr>
              <w:t>并加盖投标人公章</w:t>
            </w:r>
            <w:r>
              <w:rPr>
                <w:rFonts w:hint="eastAsia"/>
                <w:b/>
                <w:bCs/>
                <w:color w:val="auto"/>
                <w:sz w:val="21"/>
                <w:szCs w:val="21"/>
                <w:highlight w:val="none"/>
              </w:rPr>
              <w:t>）</w:t>
            </w:r>
            <w:r>
              <w:rPr>
                <w:rFonts w:hint="eastAsia"/>
                <w:color w:val="auto"/>
                <w:sz w:val="21"/>
                <w:szCs w:val="21"/>
                <w:highlight w:val="none"/>
                <w:lang w:eastAsia="zh-CN"/>
              </w:rPr>
              <w:t>。</w:t>
            </w:r>
          </w:p>
          <w:p w14:paraId="2AA44D1E">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17、分类管理功能要求：</w:t>
            </w:r>
          </w:p>
          <w:p w14:paraId="594E18E4">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(1)具有添加、编辑、删除功能，可不限层次的进行分类管理。</w:t>
            </w:r>
          </w:p>
          <w:p w14:paraId="3A86148F">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(2)一个分类可设置同属于多个案例库。</w:t>
            </w:r>
          </w:p>
          <w:p w14:paraId="644FCFF3">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(3)分类具有公用/自用属性，当为自用时，其它人无法查看。</w:t>
            </w:r>
          </w:p>
          <w:p w14:paraId="47F7FAD1">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18、案例库管理</w:t>
            </w:r>
          </w:p>
          <w:p w14:paraId="7478D22E">
            <w:pPr>
              <w:keepNext w:val="0"/>
              <w:keepLines w:val="0"/>
              <w:suppressLineNumbers w:val="0"/>
              <w:wordWrap w:val="0"/>
              <w:spacing w:before="0" w:beforeAutospacing="0" w:after="0" w:afterAutospacing="0" w:line="240" w:lineRule="auto"/>
              <w:ind w:left="0" w:right="0"/>
              <w:rPr>
                <w:rFonts w:hint="eastAsia"/>
                <w:b/>
                <w:bCs/>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(1)具有查询，添加，编辑，删除，诊断案例导入，分析题导入，理论题导入，批量脱名，批量分类，批量修改用途等功能。</w:t>
            </w:r>
            <w:r>
              <w:rPr>
                <w:rFonts w:hint="eastAsia"/>
                <w:b/>
                <w:bCs/>
                <w:color w:val="auto"/>
                <w:sz w:val="21"/>
                <w:szCs w:val="21"/>
                <w:highlight w:val="none"/>
              </w:rPr>
              <w:t>（</w:t>
            </w:r>
            <w:r>
              <w:rPr>
                <w:rFonts w:hint="eastAsia"/>
                <w:b/>
                <w:bCs/>
                <w:color w:val="auto"/>
                <w:sz w:val="21"/>
                <w:szCs w:val="21"/>
                <w:highlight w:val="none"/>
                <w:lang w:val="en-US" w:eastAsia="zh-CN"/>
              </w:rPr>
              <w:t>投标时</w:t>
            </w:r>
            <w:r>
              <w:rPr>
                <w:rFonts w:hint="eastAsia"/>
                <w:b/>
                <w:bCs/>
                <w:color w:val="auto"/>
                <w:sz w:val="21"/>
                <w:szCs w:val="21"/>
                <w:highlight w:val="none"/>
              </w:rPr>
              <w:t>提供</w:t>
            </w:r>
            <w:r>
              <w:rPr>
                <w:rFonts w:hint="eastAsia"/>
                <w:b/>
                <w:bCs/>
                <w:color w:val="auto"/>
                <w:sz w:val="21"/>
                <w:szCs w:val="21"/>
                <w:highlight w:val="none"/>
                <w:lang w:val="en-US" w:eastAsia="zh-CN"/>
              </w:rPr>
              <w:t>截图证明</w:t>
            </w:r>
            <w:r>
              <w:rPr>
                <w:rFonts w:hint="eastAsia"/>
                <w:b/>
                <w:bCs/>
                <w:color w:val="auto"/>
                <w:sz w:val="21"/>
                <w:szCs w:val="21"/>
                <w:highlight w:val="none"/>
              </w:rPr>
              <w:t>材料</w:t>
            </w:r>
            <w:r>
              <w:rPr>
                <w:rFonts w:hint="eastAsia"/>
                <w:b/>
                <w:bCs/>
                <w:color w:val="auto"/>
                <w:sz w:val="21"/>
                <w:szCs w:val="21"/>
                <w:highlight w:val="none"/>
                <w:lang w:val="en-US" w:eastAsia="zh-CN"/>
              </w:rPr>
              <w:t>并加盖投标人公章</w:t>
            </w:r>
            <w:r>
              <w:rPr>
                <w:rFonts w:hint="eastAsia"/>
                <w:b/>
                <w:bCs/>
                <w:color w:val="auto"/>
                <w:sz w:val="21"/>
                <w:szCs w:val="21"/>
                <w:highlight w:val="none"/>
              </w:rPr>
              <w:t>）</w:t>
            </w:r>
          </w:p>
          <w:p w14:paraId="3E4AA1C1">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(2)案例信息内容具有：影像片、案例名称、所属分类、患者信息、类型、检查部位、临床表现、检查申请单、影像所见、诊断意见、影像所见所关键字、诊断意见关键字、对应关键字得分、诊断思路、公用/自用、难易度、用途、排序号、启用标志、关联知识点等信息。</w:t>
            </w:r>
            <w:r>
              <w:rPr>
                <w:rFonts w:hint="eastAsia"/>
                <w:b/>
                <w:bCs/>
                <w:color w:val="auto"/>
                <w:sz w:val="21"/>
                <w:szCs w:val="21"/>
                <w:highlight w:val="none"/>
              </w:rPr>
              <w:t>（</w:t>
            </w:r>
            <w:r>
              <w:rPr>
                <w:rFonts w:hint="eastAsia"/>
                <w:b/>
                <w:bCs/>
                <w:color w:val="auto"/>
                <w:sz w:val="21"/>
                <w:szCs w:val="21"/>
                <w:highlight w:val="none"/>
                <w:lang w:val="en-US" w:eastAsia="zh-CN"/>
              </w:rPr>
              <w:t>投标时</w:t>
            </w:r>
            <w:r>
              <w:rPr>
                <w:rFonts w:hint="eastAsia"/>
                <w:b/>
                <w:bCs/>
                <w:color w:val="auto"/>
                <w:sz w:val="21"/>
                <w:szCs w:val="21"/>
                <w:highlight w:val="none"/>
              </w:rPr>
              <w:t>提供</w:t>
            </w:r>
            <w:r>
              <w:rPr>
                <w:rFonts w:hint="eastAsia"/>
                <w:b/>
                <w:bCs/>
                <w:color w:val="auto"/>
                <w:sz w:val="21"/>
                <w:szCs w:val="21"/>
                <w:highlight w:val="none"/>
                <w:lang w:val="en-US" w:eastAsia="zh-CN"/>
              </w:rPr>
              <w:t>截图证明</w:t>
            </w:r>
            <w:r>
              <w:rPr>
                <w:rFonts w:hint="eastAsia"/>
                <w:b/>
                <w:bCs/>
                <w:color w:val="auto"/>
                <w:sz w:val="21"/>
                <w:szCs w:val="21"/>
                <w:highlight w:val="none"/>
              </w:rPr>
              <w:t>材料</w:t>
            </w:r>
            <w:r>
              <w:rPr>
                <w:rFonts w:hint="eastAsia"/>
                <w:b/>
                <w:bCs/>
                <w:color w:val="auto"/>
                <w:sz w:val="21"/>
                <w:szCs w:val="21"/>
                <w:highlight w:val="none"/>
                <w:lang w:val="en-US" w:eastAsia="zh-CN"/>
              </w:rPr>
              <w:t>并加盖投标人公章</w:t>
            </w:r>
            <w:r>
              <w:rPr>
                <w:rFonts w:hint="eastAsia"/>
                <w:b/>
                <w:bCs/>
                <w:color w:val="auto"/>
                <w:sz w:val="21"/>
                <w:szCs w:val="21"/>
                <w:highlight w:val="none"/>
              </w:rPr>
              <w:t>）</w:t>
            </w:r>
          </w:p>
          <w:p w14:paraId="711310C5">
            <w:pPr>
              <w:keepNext w:val="0"/>
              <w:keepLines w:val="0"/>
              <w:suppressLineNumbers w:val="0"/>
              <w:wordWrap w:val="0"/>
              <w:spacing w:before="0" w:beforeAutospacing="0" w:after="0" w:afterAutospacing="0" w:line="240" w:lineRule="auto"/>
              <w:ind w:left="0" w:right="0"/>
              <w:rPr>
                <w:rFonts w:hint="eastAsia"/>
                <w:b/>
                <w:bCs/>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(3)DICOM文件上传方式：支持多个文件同时上传，ZIP上传，服务器拖放等多种方式，程序将自动解析DICOM信息。</w:t>
            </w:r>
            <w:r>
              <w:rPr>
                <w:rFonts w:hint="eastAsia"/>
                <w:b/>
                <w:bCs/>
                <w:color w:val="auto"/>
                <w:sz w:val="21"/>
                <w:szCs w:val="21"/>
                <w:highlight w:val="none"/>
              </w:rPr>
              <w:t>（</w:t>
            </w:r>
            <w:r>
              <w:rPr>
                <w:rFonts w:hint="eastAsia"/>
                <w:b/>
                <w:bCs/>
                <w:color w:val="auto"/>
                <w:sz w:val="21"/>
                <w:szCs w:val="21"/>
                <w:highlight w:val="none"/>
                <w:lang w:val="en-US" w:eastAsia="zh-CN"/>
              </w:rPr>
              <w:t>投标时</w:t>
            </w:r>
            <w:r>
              <w:rPr>
                <w:rFonts w:hint="eastAsia"/>
                <w:b/>
                <w:bCs/>
                <w:color w:val="auto"/>
                <w:sz w:val="21"/>
                <w:szCs w:val="21"/>
                <w:highlight w:val="none"/>
              </w:rPr>
              <w:t>提供</w:t>
            </w:r>
            <w:r>
              <w:rPr>
                <w:rFonts w:hint="eastAsia"/>
                <w:b/>
                <w:bCs/>
                <w:color w:val="auto"/>
                <w:sz w:val="21"/>
                <w:szCs w:val="21"/>
                <w:highlight w:val="none"/>
                <w:lang w:val="en-US" w:eastAsia="zh-CN"/>
              </w:rPr>
              <w:t>截图证明</w:t>
            </w:r>
            <w:r>
              <w:rPr>
                <w:rFonts w:hint="eastAsia"/>
                <w:b/>
                <w:bCs/>
                <w:color w:val="auto"/>
                <w:sz w:val="21"/>
                <w:szCs w:val="21"/>
                <w:highlight w:val="none"/>
              </w:rPr>
              <w:t>材料</w:t>
            </w:r>
            <w:r>
              <w:rPr>
                <w:rFonts w:hint="eastAsia"/>
                <w:b/>
                <w:bCs/>
                <w:color w:val="auto"/>
                <w:sz w:val="21"/>
                <w:szCs w:val="21"/>
                <w:highlight w:val="none"/>
                <w:lang w:val="en-US" w:eastAsia="zh-CN"/>
              </w:rPr>
              <w:t>并加盖投标人公章</w:t>
            </w:r>
            <w:r>
              <w:rPr>
                <w:rFonts w:hint="eastAsia"/>
                <w:b/>
                <w:bCs/>
                <w:color w:val="auto"/>
                <w:sz w:val="21"/>
                <w:szCs w:val="21"/>
                <w:highlight w:val="none"/>
              </w:rPr>
              <w:t>）</w:t>
            </w:r>
          </w:p>
          <w:p w14:paraId="51A462D2">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(4)诊断案例库用途分类至少具有3种，教学，练习自测，考试；可进行多选；每种用途分别对应学生端不同功能中使用。</w:t>
            </w:r>
          </w:p>
          <w:p w14:paraId="5E90D9E5">
            <w:pPr>
              <w:keepNext w:val="0"/>
              <w:keepLines w:val="0"/>
              <w:suppressLineNumbers w:val="0"/>
              <w:wordWrap w:val="0"/>
              <w:spacing w:before="0" w:beforeAutospacing="0" w:after="0" w:afterAutospacing="0" w:line="240" w:lineRule="auto"/>
              <w:ind w:left="0" w:right="0"/>
              <w:rPr>
                <w:rFonts w:hint="eastAsia"/>
                <w:b/>
                <w:bCs/>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(5)关联知识点：可为该案例设置多个知识点。</w:t>
            </w:r>
            <w:r>
              <w:rPr>
                <w:rFonts w:hint="eastAsia"/>
                <w:b/>
                <w:bCs/>
                <w:color w:val="auto"/>
                <w:sz w:val="21"/>
                <w:szCs w:val="21"/>
                <w:highlight w:val="none"/>
              </w:rPr>
              <w:t>（</w:t>
            </w:r>
            <w:r>
              <w:rPr>
                <w:rFonts w:hint="eastAsia"/>
                <w:b/>
                <w:bCs/>
                <w:color w:val="auto"/>
                <w:sz w:val="21"/>
                <w:szCs w:val="21"/>
                <w:highlight w:val="none"/>
                <w:lang w:val="en-US" w:eastAsia="zh-CN"/>
              </w:rPr>
              <w:t>投标时</w:t>
            </w:r>
            <w:r>
              <w:rPr>
                <w:rFonts w:hint="eastAsia"/>
                <w:b/>
                <w:bCs/>
                <w:color w:val="auto"/>
                <w:sz w:val="21"/>
                <w:szCs w:val="21"/>
                <w:highlight w:val="none"/>
              </w:rPr>
              <w:t>提供</w:t>
            </w:r>
            <w:r>
              <w:rPr>
                <w:rFonts w:hint="eastAsia"/>
                <w:b/>
                <w:bCs/>
                <w:color w:val="auto"/>
                <w:sz w:val="21"/>
                <w:szCs w:val="21"/>
                <w:highlight w:val="none"/>
                <w:lang w:val="en-US" w:eastAsia="zh-CN"/>
              </w:rPr>
              <w:t>截图证明</w:t>
            </w:r>
            <w:r>
              <w:rPr>
                <w:rFonts w:hint="eastAsia"/>
                <w:b/>
                <w:bCs/>
                <w:color w:val="auto"/>
                <w:sz w:val="21"/>
                <w:szCs w:val="21"/>
                <w:highlight w:val="none"/>
              </w:rPr>
              <w:t>材料</w:t>
            </w:r>
            <w:r>
              <w:rPr>
                <w:rFonts w:hint="eastAsia"/>
                <w:b/>
                <w:bCs/>
                <w:color w:val="auto"/>
                <w:sz w:val="21"/>
                <w:szCs w:val="21"/>
                <w:highlight w:val="none"/>
                <w:lang w:val="en-US" w:eastAsia="zh-CN"/>
              </w:rPr>
              <w:t>并加盖投标人公章</w:t>
            </w:r>
            <w:r>
              <w:rPr>
                <w:rFonts w:hint="eastAsia"/>
                <w:b/>
                <w:bCs/>
                <w:color w:val="auto"/>
                <w:sz w:val="21"/>
                <w:szCs w:val="21"/>
                <w:highlight w:val="none"/>
              </w:rPr>
              <w:t>）</w:t>
            </w:r>
          </w:p>
          <w:p w14:paraId="08A25DFE">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(6) 脱名支持单击脱名、直接修改、批量脱名三种方式，脱名须修改DICOM文件信息。</w:t>
            </w:r>
          </w:p>
          <w:p w14:paraId="0857BB56">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(7)具有自用/公用选项，自用的案例其它老师不可见；</w:t>
            </w:r>
          </w:p>
          <w:p w14:paraId="36DBE18E">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(8)老师写报告时，可调用报告模板；支持搜索，单击预览，双击追加功能。</w:t>
            </w:r>
          </w:p>
          <w:p w14:paraId="319511FA">
            <w:pPr>
              <w:keepNext w:val="0"/>
              <w:keepLines w:val="0"/>
              <w:suppressLineNumbers w:val="0"/>
              <w:wordWrap w:val="0"/>
              <w:spacing w:before="0" w:beforeAutospacing="0" w:after="0" w:afterAutospacing="0" w:line="240" w:lineRule="auto"/>
              <w:ind w:left="0" w:right="0"/>
              <w:rPr>
                <w:rFonts w:hint="eastAsia"/>
                <w:b/>
                <w:bCs/>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(9)案例分为诊断题，分析题（一题多问）；分析题支持一题多个选择、一题多个问答、一题多个填空及一题多种形式进行组合，且每个小项具有独立评分项及分值；分析题不限小题数量。</w:t>
            </w:r>
            <w:r>
              <w:rPr>
                <w:rFonts w:hint="eastAsia"/>
                <w:b/>
                <w:bCs/>
                <w:color w:val="auto"/>
                <w:sz w:val="21"/>
                <w:szCs w:val="21"/>
                <w:highlight w:val="none"/>
              </w:rPr>
              <w:t>（</w:t>
            </w:r>
            <w:r>
              <w:rPr>
                <w:rFonts w:hint="eastAsia"/>
                <w:b/>
                <w:bCs/>
                <w:color w:val="auto"/>
                <w:sz w:val="21"/>
                <w:szCs w:val="21"/>
                <w:highlight w:val="none"/>
                <w:lang w:val="en-US" w:eastAsia="zh-CN"/>
              </w:rPr>
              <w:t>投标时</w:t>
            </w:r>
            <w:r>
              <w:rPr>
                <w:rFonts w:hint="eastAsia"/>
                <w:b/>
                <w:bCs/>
                <w:color w:val="auto"/>
                <w:sz w:val="21"/>
                <w:szCs w:val="21"/>
                <w:highlight w:val="none"/>
              </w:rPr>
              <w:t>提供</w:t>
            </w:r>
            <w:r>
              <w:rPr>
                <w:rFonts w:hint="eastAsia"/>
                <w:b/>
                <w:bCs/>
                <w:color w:val="auto"/>
                <w:sz w:val="21"/>
                <w:szCs w:val="21"/>
                <w:highlight w:val="none"/>
                <w:lang w:val="en-US" w:eastAsia="zh-CN"/>
              </w:rPr>
              <w:t>截图证明</w:t>
            </w:r>
            <w:r>
              <w:rPr>
                <w:rFonts w:hint="eastAsia"/>
                <w:b/>
                <w:bCs/>
                <w:color w:val="auto"/>
                <w:sz w:val="21"/>
                <w:szCs w:val="21"/>
                <w:highlight w:val="none"/>
              </w:rPr>
              <w:t>材料</w:t>
            </w:r>
            <w:r>
              <w:rPr>
                <w:rFonts w:hint="eastAsia"/>
                <w:b/>
                <w:bCs/>
                <w:color w:val="auto"/>
                <w:sz w:val="21"/>
                <w:szCs w:val="21"/>
                <w:highlight w:val="none"/>
                <w:lang w:val="en-US" w:eastAsia="zh-CN"/>
              </w:rPr>
              <w:t>并加盖投标人公章</w:t>
            </w:r>
            <w:r>
              <w:rPr>
                <w:rFonts w:hint="eastAsia"/>
                <w:b/>
                <w:bCs/>
                <w:color w:val="auto"/>
                <w:sz w:val="21"/>
                <w:szCs w:val="21"/>
                <w:highlight w:val="none"/>
              </w:rPr>
              <w:t>）</w:t>
            </w:r>
          </w:p>
          <w:p w14:paraId="6DCED86D">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(10)布局要求：左边为分类，右边为列表。</w:t>
            </w:r>
          </w:p>
          <w:p w14:paraId="6A556ECB">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(11)具有批量停用功能。</w:t>
            </w:r>
          </w:p>
          <w:p w14:paraId="1BF7D5FA">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(12)阅片的功能详见“五、阅片功能要求”；</w:t>
            </w:r>
          </w:p>
          <w:p w14:paraId="7EE75F69">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19、具有个人案例库管理功能</w:t>
            </w:r>
            <w:r>
              <w:rPr>
                <w:rFonts w:hint="eastAsia"/>
                <w:color w:val="auto"/>
                <w:sz w:val="21"/>
                <w:szCs w:val="21"/>
                <w:highlight w:val="none"/>
                <w:lang w:eastAsia="zh-CN"/>
              </w:rPr>
              <w:t>：</w:t>
            </w:r>
            <w:r>
              <w:rPr>
                <w:rFonts w:hint="eastAsia"/>
                <w:color w:val="auto"/>
                <w:sz w:val="21"/>
                <w:szCs w:val="21"/>
                <w:highlight w:val="none"/>
              </w:rPr>
              <w:t>方便老师建自己私用的案例库，私用案例库不对其它老师开放。</w:t>
            </w:r>
          </w:p>
          <w:p w14:paraId="01D2F22C">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20、具有纠错管理功能；对学生提出的纠错进行处理。</w:t>
            </w:r>
          </w:p>
          <w:p w14:paraId="37202865">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21、评论管理：具有对学生评论的信息进行查看及删除的功能。</w:t>
            </w:r>
          </w:p>
          <w:p w14:paraId="77760241">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22、学习任务发布功能：</w:t>
            </w:r>
          </w:p>
          <w:p w14:paraId="56A95DFD">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(1)具有查询、新增、编辑、删除功能。</w:t>
            </w:r>
          </w:p>
          <w:p w14:paraId="167B0C5B">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(2)创建任务过程：点击新增-&gt;选择案例或试题-&gt;设置任务信息;</w:t>
            </w:r>
          </w:p>
          <w:p w14:paraId="385C36CB">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(3)具有指定用户、预览、导出、复制新增、查看学习情况等功能。</w:t>
            </w:r>
          </w:p>
          <w:p w14:paraId="129102AC">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(4) 查看学习情况具有班级、帐号 、姓名、累计学习时间(分钟)以及学习的详细情况等信息。</w:t>
            </w:r>
          </w:p>
          <w:p w14:paraId="15BD777A">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 xml:space="preserve">23、具有作业发布功能： </w:t>
            </w:r>
          </w:p>
          <w:p w14:paraId="7C8F1A94">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(1)具有查询、新增、编辑、删除功能，创建任务过程及要求类似考试管理，但可不设置时间，如果设置了时间，学习必须在指定时间内完成作业。</w:t>
            </w:r>
          </w:p>
          <w:p w14:paraId="0B149E3E">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(2)具有指定用户、预览、导出、复制新增、实时查看、作业分析、成绩报表功能。</w:t>
            </w:r>
          </w:p>
          <w:p w14:paraId="37C28519">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(3)具有作业分析功能：能分析该作业每个案例的总体情况及答题情况。</w:t>
            </w:r>
          </w:p>
          <w:p w14:paraId="57D14F46">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(4)具有成绩报表功能：能统计及导出学生作业成绩；能导出学生作业答题记录。</w:t>
            </w:r>
          </w:p>
          <w:p w14:paraId="47087457">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2</w:t>
            </w:r>
            <w:r>
              <w:rPr>
                <w:rFonts w:hint="eastAsia"/>
                <w:color w:val="auto"/>
                <w:sz w:val="21"/>
                <w:szCs w:val="21"/>
                <w:highlight w:val="none"/>
                <w:lang w:val="en-US" w:eastAsia="zh-CN"/>
              </w:rPr>
              <w:t>4</w:t>
            </w:r>
            <w:r>
              <w:rPr>
                <w:rFonts w:hint="eastAsia"/>
                <w:color w:val="auto"/>
                <w:sz w:val="21"/>
                <w:szCs w:val="21"/>
                <w:highlight w:val="none"/>
              </w:rPr>
              <w:t>、具有作业批改功能：功能类似于专家阅卷功能，可对学生的作业进行批复。</w:t>
            </w:r>
          </w:p>
          <w:p w14:paraId="3965978E">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2</w:t>
            </w:r>
            <w:r>
              <w:rPr>
                <w:rFonts w:hint="eastAsia"/>
                <w:color w:val="auto"/>
                <w:sz w:val="21"/>
                <w:szCs w:val="21"/>
                <w:highlight w:val="none"/>
                <w:lang w:val="en-US" w:eastAsia="zh-CN"/>
              </w:rPr>
              <w:t>5</w:t>
            </w:r>
            <w:r>
              <w:rPr>
                <w:rFonts w:hint="eastAsia"/>
                <w:color w:val="auto"/>
                <w:sz w:val="21"/>
                <w:szCs w:val="21"/>
                <w:highlight w:val="none"/>
              </w:rPr>
              <w:t>、考试管理功能：</w:t>
            </w:r>
          </w:p>
          <w:p w14:paraId="0C7BE742">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(1)具有查询、新增、编辑、删除、预览、导出等功能。</w:t>
            </w:r>
          </w:p>
          <w:p w14:paraId="27AEB85F">
            <w:pPr>
              <w:keepNext w:val="0"/>
              <w:keepLines w:val="0"/>
              <w:suppressLineNumbers w:val="0"/>
              <w:wordWrap w:val="0"/>
              <w:spacing w:before="0" w:beforeAutospacing="0" w:after="0" w:afterAutospacing="0" w:line="240" w:lineRule="auto"/>
              <w:ind w:left="0" w:right="0"/>
              <w:rPr>
                <w:rFonts w:hint="eastAsia"/>
                <w:b/>
                <w:bCs/>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(2)具有考试名称、考试时间开始、考试时间结束、题目总数、总分、是否正常、是否公布成绩、发布人、发布时间等信息内容。</w:t>
            </w:r>
            <w:r>
              <w:rPr>
                <w:rFonts w:hint="eastAsia"/>
                <w:b/>
                <w:bCs/>
                <w:color w:val="auto"/>
                <w:sz w:val="21"/>
                <w:szCs w:val="21"/>
                <w:highlight w:val="none"/>
              </w:rPr>
              <w:t>（</w:t>
            </w:r>
            <w:r>
              <w:rPr>
                <w:rFonts w:hint="eastAsia"/>
                <w:b/>
                <w:bCs/>
                <w:color w:val="auto"/>
                <w:sz w:val="21"/>
                <w:szCs w:val="21"/>
                <w:highlight w:val="none"/>
                <w:lang w:val="en-US" w:eastAsia="zh-CN"/>
              </w:rPr>
              <w:t>投标时</w:t>
            </w:r>
            <w:r>
              <w:rPr>
                <w:rFonts w:hint="eastAsia"/>
                <w:b/>
                <w:bCs/>
                <w:color w:val="auto"/>
                <w:sz w:val="21"/>
                <w:szCs w:val="21"/>
                <w:highlight w:val="none"/>
              </w:rPr>
              <w:t>提供</w:t>
            </w:r>
            <w:r>
              <w:rPr>
                <w:rFonts w:hint="eastAsia"/>
                <w:b/>
                <w:bCs/>
                <w:color w:val="auto"/>
                <w:sz w:val="21"/>
                <w:szCs w:val="21"/>
                <w:highlight w:val="none"/>
                <w:lang w:val="en-US" w:eastAsia="zh-CN"/>
              </w:rPr>
              <w:t>截图证明</w:t>
            </w:r>
            <w:r>
              <w:rPr>
                <w:rFonts w:hint="eastAsia"/>
                <w:b/>
                <w:bCs/>
                <w:color w:val="auto"/>
                <w:sz w:val="21"/>
                <w:szCs w:val="21"/>
                <w:highlight w:val="none"/>
              </w:rPr>
              <w:t>材料</w:t>
            </w:r>
            <w:r>
              <w:rPr>
                <w:rFonts w:hint="eastAsia"/>
                <w:b/>
                <w:bCs/>
                <w:color w:val="auto"/>
                <w:sz w:val="21"/>
                <w:szCs w:val="21"/>
                <w:highlight w:val="none"/>
                <w:lang w:val="en-US" w:eastAsia="zh-CN"/>
              </w:rPr>
              <w:t>并加盖投标人公章</w:t>
            </w:r>
            <w:r>
              <w:rPr>
                <w:rFonts w:hint="eastAsia"/>
                <w:b/>
                <w:bCs/>
                <w:color w:val="auto"/>
                <w:sz w:val="21"/>
                <w:szCs w:val="21"/>
                <w:highlight w:val="none"/>
              </w:rPr>
              <w:t>）</w:t>
            </w:r>
          </w:p>
          <w:p w14:paraId="3A82DADB">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(3)每套题可进行参数设置：如上机考试每题答多少秒；上机考试答题顺序顺序/随机；考试时定期保存人脸图像，每隔多少秒保存一次；考生切屏超过多少次后执行强制交卷；进入考试超过多少次，未提交的试卷系统自动提交；报告模板启用/停用等设置。</w:t>
            </w:r>
          </w:p>
          <w:p w14:paraId="70DE3DD0">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(4)创建考试过程：点击新增-&gt;选择案例-&gt;设置考试信息及考试提醒;</w:t>
            </w:r>
          </w:p>
          <w:p w14:paraId="0887BB4F">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(5)选题时具有重新排列、批量删除、按分类随机选择、按难易度随机选择、自定义选择等功能，投标文件中提供软件截图。随机选择由计算机自动选择，自定义选择由老师进行指定选择某诊断案例，二种方式可进行组合形成一套试题。</w:t>
            </w:r>
          </w:p>
          <w:p w14:paraId="1AA43BAA">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(6)按分类随机或难易随机选择可从一个或多个用途中选择案例题库，可选择教学或训练案例库作为考试题。</w:t>
            </w:r>
          </w:p>
          <w:p w14:paraId="426CA61B">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(7)具有筛选功能：可根据分类级次，分类，影像类型，题目类型，关键信息等进行筛选功能，自定义选择时还可查看诊断案例的具体信息（影像片及参考报告）后再进行选择。</w:t>
            </w:r>
          </w:p>
          <w:p w14:paraId="5E040B32">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(8)具有一键停用、启用功能。</w:t>
            </w:r>
          </w:p>
          <w:p w14:paraId="6AA83D45">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(9)具有一键设置公布成绩功能。</w:t>
            </w:r>
          </w:p>
          <w:p w14:paraId="696BDA9B">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(10)具有指定班级、指定考生功能；可指定到具体考生。</w:t>
            </w:r>
          </w:p>
          <w:p w14:paraId="39F78384">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(11)具有试卷复制新增功能。</w:t>
            </w:r>
          </w:p>
          <w:p w14:paraId="4AA70F5E">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w:t>
            </w:r>
            <w:r>
              <w:rPr>
                <w:rFonts w:hint="eastAsia"/>
                <w:color w:val="auto"/>
                <w:sz w:val="21"/>
                <w:szCs w:val="21"/>
                <w:highlight w:val="none"/>
                <w:lang w:val="en-US" w:eastAsia="zh-CN"/>
              </w:rPr>
              <w:t>2</w:t>
            </w:r>
            <w:r>
              <w:rPr>
                <w:rFonts w:hint="eastAsia"/>
                <w:color w:val="auto"/>
                <w:sz w:val="21"/>
                <w:szCs w:val="21"/>
                <w:highlight w:val="none"/>
              </w:rPr>
              <w:t>)具有实时监考功能：可监控学生考试过程中的人像，具有导出功能，导出可以加水印；具有强制收卷功能，前端会收到结束消息。</w:t>
            </w:r>
          </w:p>
          <w:p w14:paraId="2A37DC3A">
            <w:pPr>
              <w:keepNext w:val="0"/>
              <w:keepLines w:val="0"/>
              <w:suppressLineNumbers w:val="0"/>
              <w:wordWrap w:val="0"/>
              <w:spacing w:before="0" w:beforeAutospacing="0" w:after="0" w:afterAutospacing="0" w:line="240" w:lineRule="auto"/>
              <w:ind w:left="0" w:right="0"/>
              <w:rPr>
                <w:rFonts w:hint="eastAsia"/>
                <w:b/>
                <w:bCs/>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(13)具有试卷分析与答案纠错功能：可以学生考试后进行答案纠错，纠错后提示是否对学生成绩进行纠正，并具有纠错记录，及纠错后的分数变化等情况，</w:t>
            </w:r>
            <w:r>
              <w:rPr>
                <w:rFonts w:hint="eastAsia"/>
                <w:b/>
                <w:bCs/>
                <w:color w:val="auto"/>
                <w:sz w:val="21"/>
                <w:szCs w:val="21"/>
                <w:highlight w:val="none"/>
              </w:rPr>
              <w:t>（</w:t>
            </w:r>
            <w:r>
              <w:rPr>
                <w:rFonts w:hint="eastAsia"/>
                <w:b/>
                <w:bCs/>
                <w:color w:val="auto"/>
                <w:sz w:val="21"/>
                <w:szCs w:val="21"/>
                <w:highlight w:val="none"/>
                <w:lang w:val="en-US" w:eastAsia="zh-CN"/>
              </w:rPr>
              <w:t>投标时</w:t>
            </w:r>
            <w:r>
              <w:rPr>
                <w:rFonts w:hint="eastAsia"/>
                <w:b/>
                <w:bCs/>
                <w:color w:val="auto"/>
                <w:sz w:val="21"/>
                <w:szCs w:val="21"/>
                <w:highlight w:val="none"/>
              </w:rPr>
              <w:t>提供</w:t>
            </w:r>
            <w:r>
              <w:rPr>
                <w:rFonts w:hint="eastAsia"/>
                <w:b/>
                <w:bCs/>
                <w:color w:val="auto"/>
                <w:sz w:val="21"/>
                <w:szCs w:val="21"/>
                <w:highlight w:val="none"/>
                <w:lang w:val="en-US" w:eastAsia="zh-CN"/>
              </w:rPr>
              <w:t>截图证明</w:t>
            </w:r>
            <w:r>
              <w:rPr>
                <w:rFonts w:hint="eastAsia"/>
                <w:b/>
                <w:bCs/>
                <w:color w:val="auto"/>
                <w:sz w:val="21"/>
                <w:szCs w:val="21"/>
                <w:highlight w:val="none"/>
              </w:rPr>
              <w:t>材料</w:t>
            </w:r>
            <w:r>
              <w:rPr>
                <w:rFonts w:hint="eastAsia"/>
                <w:b/>
                <w:bCs/>
                <w:color w:val="auto"/>
                <w:sz w:val="21"/>
                <w:szCs w:val="21"/>
                <w:highlight w:val="none"/>
                <w:lang w:val="en-US" w:eastAsia="zh-CN"/>
              </w:rPr>
              <w:t>并加盖投标人公章</w:t>
            </w:r>
            <w:r>
              <w:rPr>
                <w:rFonts w:hint="eastAsia"/>
                <w:b/>
                <w:bCs/>
                <w:color w:val="auto"/>
                <w:sz w:val="21"/>
                <w:szCs w:val="21"/>
                <w:highlight w:val="none"/>
              </w:rPr>
              <w:t>）</w:t>
            </w:r>
          </w:p>
          <w:p w14:paraId="76080C1E">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(14)具有成绩报表功能。</w:t>
            </w:r>
          </w:p>
          <w:p w14:paraId="5286513B">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(15)理论题支持出题时批量设置分值；可按题目类型设置分数、设置总分数、设置每题分数等多种形式选择。</w:t>
            </w:r>
          </w:p>
          <w:p w14:paraId="6FD21893">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(16)具有分享功能，方便老师快速分享给学生，可生成二维码。</w:t>
            </w:r>
          </w:p>
          <w:p w14:paraId="608B8CFA">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2</w:t>
            </w:r>
            <w:r>
              <w:rPr>
                <w:rFonts w:hint="eastAsia"/>
                <w:color w:val="auto"/>
                <w:sz w:val="21"/>
                <w:szCs w:val="21"/>
                <w:highlight w:val="none"/>
                <w:lang w:val="en-US" w:eastAsia="zh-CN"/>
              </w:rPr>
              <w:t>6</w:t>
            </w:r>
            <w:r>
              <w:rPr>
                <w:rFonts w:hint="eastAsia"/>
                <w:color w:val="auto"/>
                <w:sz w:val="21"/>
                <w:szCs w:val="21"/>
                <w:highlight w:val="none"/>
              </w:rPr>
              <w:t>、专家阅卷功能及评分规则要求：</w:t>
            </w:r>
            <w:r>
              <w:rPr>
                <w:rFonts w:hint="eastAsia"/>
                <w:b/>
                <w:bCs/>
                <w:color w:val="auto"/>
                <w:sz w:val="21"/>
                <w:szCs w:val="21"/>
                <w:highlight w:val="none"/>
              </w:rPr>
              <w:t>（</w:t>
            </w:r>
            <w:r>
              <w:rPr>
                <w:rFonts w:hint="eastAsia"/>
                <w:b/>
                <w:bCs/>
                <w:color w:val="auto"/>
                <w:sz w:val="21"/>
                <w:szCs w:val="21"/>
                <w:highlight w:val="none"/>
                <w:lang w:val="en-US" w:eastAsia="zh-CN"/>
              </w:rPr>
              <w:t>投标时</w:t>
            </w:r>
            <w:r>
              <w:rPr>
                <w:rFonts w:hint="eastAsia"/>
                <w:b/>
                <w:bCs/>
                <w:color w:val="auto"/>
                <w:sz w:val="21"/>
                <w:szCs w:val="21"/>
                <w:highlight w:val="none"/>
              </w:rPr>
              <w:t>提供</w:t>
            </w:r>
            <w:r>
              <w:rPr>
                <w:rFonts w:hint="eastAsia"/>
                <w:b/>
                <w:bCs/>
                <w:color w:val="auto"/>
                <w:sz w:val="21"/>
                <w:szCs w:val="21"/>
                <w:highlight w:val="none"/>
                <w:lang w:val="en-US" w:eastAsia="zh-CN"/>
              </w:rPr>
              <w:t>截图证明</w:t>
            </w:r>
            <w:r>
              <w:rPr>
                <w:rFonts w:hint="eastAsia"/>
                <w:b/>
                <w:bCs/>
                <w:color w:val="auto"/>
                <w:sz w:val="21"/>
                <w:szCs w:val="21"/>
                <w:highlight w:val="none"/>
              </w:rPr>
              <w:t>材料</w:t>
            </w:r>
            <w:r>
              <w:rPr>
                <w:rFonts w:hint="eastAsia"/>
                <w:b/>
                <w:bCs/>
                <w:color w:val="auto"/>
                <w:sz w:val="21"/>
                <w:szCs w:val="21"/>
                <w:highlight w:val="none"/>
                <w:lang w:val="en-US" w:eastAsia="zh-CN"/>
              </w:rPr>
              <w:t>并加盖投标人公章</w:t>
            </w:r>
            <w:r>
              <w:rPr>
                <w:rFonts w:hint="eastAsia"/>
                <w:b/>
                <w:bCs/>
                <w:color w:val="auto"/>
                <w:sz w:val="21"/>
                <w:szCs w:val="21"/>
                <w:highlight w:val="none"/>
              </w:rPr>
              <w:t>）</w:t>
            </w:r>
          </w:p>
          <w:p w14:paraId="5F9767FD">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(1)当考试无专家阅卷时，计算机将自动评分（无论客观题或主观题均可自动评分）。</w:t>
            </w:r>
          </w:p>
          <w:p w14:paraId="0C420DBE">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(2)当有专家进行阅卷时，计算机评分将自动失效，有多少个专家评分就取多少个专家的平均分。</w:t>
            </w:r>
          </w:p>
          <w:p w14:paraId="0060BB4D">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(3)专家可选择只评某一道题或几道题进行评分（无论客观题或主观题均可手动评分），支持多个专家同时以多种形式评一套题；如：A专家评第1题，B专家评2－5题，C专家评6－8题，D专家评1－5题。评分后系统自动进行平均分计算及汇总。</w:t>
            </w:r>
          </w:p>
          <w:p w14:paraId="64DC01E0">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(4)评分结束能立即通过用户成绩报表实时导出试卷数据。</w:t>
            </w:r>
          </w:p>
          <w:p w14:paraId="6BBB4DAF">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(5)评分时一个大题有多个小题时可对每个小题进行单独评分。</w:t>
            </w:r>
          </w:p>
          <w:p w14:paraId="5D17787D">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(6)阅卷完成后可具有查看本人阅卷情况及导出功能，具有撤销重新阅卷功能。</w:t>
            </w:r>
          </w:p>
          <w:p w14:paraId="015F3B57">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(7)老师批改的时候可以填修改报告(修改意见)。</w:t>
            </w:r>
          </w:p>
          <w:p w14:paraId="4B176291">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2</w:t>
            </w:r>
            <w:r>
              <w:rPr>
                <w:rFonts w:hint="eastAsia"/>
                <w:color w:val="auto"/>
                <w:sz w:val="21"/>
                <w:szCs w:val="21"/>
                <w:highlight w:val="none"/>
                <w:lang w:val="en-US" w:eastAsia="zh-CN"/>
              </w:rPr>
              <w:t>7</w:t>
            </w:r>
            <w:r>
              <w:rPr>
                <w:rFonts w:hint="eastAsia"/>
                <w:color w:val="auto"/>
                <w:sz w:val="21"/>
                <w:szCs w:val="21"/>
                <w:highlight w:val="none"/>
              </w:rPr>
              <w:t>、大数据分析功能：</w:t>
            </w:r>
          </w:p>
          <w:p w14:paraId="77AC598A">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(1)试卷分析：具有考试人数、最高分、最低分、零分成绩分布统计图、每题答题详情的统计分析。</w:t>
            </w:r>
          </w:p>
          <w:p w14:paraId="006DA6A3">
            <w:pPr>
              <w:keepNext w:val="0"/>
              <w:keepLines w:val="0"/>
              <w:suppressLineNumbers w:val="0"/>
              <w:wordWrap w:val="0"/>
              <w:spacing w:before="0" w:beforeAutospacing="0" w:after="0" w:afterAutospacing="0" w:line="240" w:lineRule="auto"/>
              <w:ind w:left="0" w:right="0"/>
              <w:rPr>
                <w:rFonts w:hint="eastAsia"/>
                <w:b/>
                <w:bCs/>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(2)用户成绩报表：具有学生成绩的统计及柱形图，具有导出功能。可导出每个学生的答题记录明细word及成绩报表。具有查看某人考试详情功能，详情具有题号、题目、参考答案、用户答案、电脑评分、专家阅卷明细情况等信息，</w:t>
            </w:r>
            <w:r>
              <w:rPr>
                <w:rFonts w:hint="eastAsia"/>
                <w:b/>
                <w:bCs/>
                <w:color w:val="auto"/>
                <w:sz w:val="21"/>
                <w:szCs w:val="21"/>
                <w:highlight w:val="none"/>
              </w:rPr>
              <w:t>（</w:t>
            </w:r>
            <w:r>
              <w:rPr>
                <w:rFonts w:hint="eastAsia"/>
                <w:b/>
                <w:bCs/>
                <w:color w:val="auto"/>
                <w:sz w:val="21"/>
                <w:szCs w:val="21"/>
                <w:highlight w:val="none"/>
                <w:lang w:val="en-US" w:eastAsia="zh-CN"/>
              </w:rPr>
              <w:t>投标时</w:t>
            </w:r>
            <w:r>
              <w:rPr>
                <w:rFonts w:hint="eastAsia"/>
                <w:b/>
                <w:bCs/>
                <w:color w:val="auto"/>
                <w:sz w:val="21"/>
                <w:szCs w:val="21"/>
                <w:highlight w:val="none"/>
              </w:rPr>
              <w:t>提供</w:t>
            </w:r>
            <w:r>
              <w:rPr>
                <w:rFonts w:hint="eastAsia"/>
                <w:b/>
                <w:bCs/>
                <w:color w:val="auto"/>
                <w:sz w:val="21"/>
                <w:szCs w:val="21"/>
                <w:highlight w:val="none"/>
                <w:lang w:val="en-US" w:eastAsia="zh-CN"/>
              </w:rPr>
              <w:t>截图证明</w:t>
            </w:r>
            <w:r>
              <w:rPr>
                <w:rFonts w:hint="eastAsia"/>
                <w:b/>
                <w:bCs/>
                <w:color w:val="auto"/>
                <w:sz w:val="21"/>
                <w:szCs w:val="21"/>
                <w:highlight w:val="none"/>
              </w:rPr>
              <w:t>材料</w:t>
            </w:r>
            <w:r>
              <w:rPr>
                <w:rFonts w:hint="eastAsia"/>
                <w:b/>
                <w:bCs/>
                <w:color w:val="auto"/>
                <w:sz w:val="21"/>
                <w:szCs w:val="21"/>
                <w:highlight w:val="none"/>
                <w:lang w:val="en-US" w:eastAsia="zh-CN"/>
              </w:rPr>
              <w:t>并加盖投标人公章</w:t>
            </w:r>
            <w:r>
              <w:rPr>
                <w:rFonts w:hint="eastAsia"/>
                <w:b/>
                <w:bCs/>
                <w:color w:val="auto"/>
                <w:sz w:val="21"/>
                <w:szCs w:val="21"/>
                <w:highlight w:val="none"/>
              </w:rPr>
              <w:t>）</w:t>
            </w:r>
          </w:p>
          <w:p w14:paraId="20A0B6DD">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(3)用户成绩分析：具有用户分类、分组、人数、平均分及柱形图，具有导出功能，可按总分排名或平均分排名，</w:t>
            </w:r>
            <w:r>
              <w:rPr>
                <w:rFonts w:hint="eastAsia"/>
                <w:b/>
                <w:bCs/>
                <w:color w:val="auto"/>
                <w:sz w:val="21"/>
                <w:szCs w:val="21"/>
                <w:highlight w:val="none"/>
              </w:rPr>
              <w:t>（</w:t>
            </w:r>
            <w:r>
              <w:rPr>
                <w:rFonts w:hint="eastAsia"/>
                <w:b/>
                <w:bCs/>
                <w:color w:val="auto"/>
                <w:sz w:val="21"/>
                <w:szCs w:val="21"/>
                <w:highlight w:val="none"/>
                <w:lang w:val="en-US" w:eastAsia="zh-CN"/>
              </w:rPr>
              <w:t>投标时</w:t>
            </w:r>
            <w:r>
              <w:rPr>
                <w:rFonts w:hint="eastAsia"/>
                <w:b/>
                <w:bCs/>
                <w:color w:val="auto"/>
                <w:sz w:val="21"/>
                <w:szCs w:val="21"/>
                <w:highlight w:val="none"/>
              </w:rPr>
              <w:t>提供</w:t>
            </w:r>
            <w:r>
              <w:rPr>
                <w:rFonts w:hint="eastAsia"/>
                <w:b/>
                <w:bCs/>
                <w:color w:val="auto"/>
                <w:sz w:val="21"/>
                <w:szCs w:val="21"/>
                <w:highlight w:val="none"/>
                <w:lang w:val="en-US" w:eastAsia="zh-CN"/>
              </w:rPr>
              <w:t>截图证明</w:t>
            </w:r>
            <w:r>
              <w:rPr>
                <w:rFonts w:hint="eastAsia"/>
                <w:b/>
                <w:bCs/>
                <w:color w:val="auto"/>
                <w:sz w:val="21"/>
                <w:szCs w:val="21"/>
                <w:highlight w:val="none"/>
              </w:rPr>
              <w:t>材料</w:t>
            </w:r>
            <w:r>
              <w:rPr>
                <w:rFonts w:hint="eastAsia"/>
                <w:b/>
                <w:bCs/>
                <w:color w:val="auto"/>
                <w:sz w:val="21"/>
                <w:szCs w:val="21"/>
                <w:highlight w:val="none"/>
                <w:lang w:val="en-US" w:eastAsia="zh-CN"/>
              </w:rPr>
              <w:t>并加盖投标人公章</w:t>
            </w:r>
            <w:r>
              <w:rPr>
                <w:rFonts w:hint="eastAsia"/>
                <w:b/>
                <w:bCs/>
                <w:color w:val="auto"/>
                <w:sz w:val="21"/>
                <w:szCs w:val="21"/>
                <w:highlight w:val="none"/>
              </w:rPr>
              <w:t>）</w:t>
            </w:r>
          </w:p>
          <w:p w14:paraId="6D6645C7">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(4)具有考试合并算分功能：方便老师对多个试卷进行合并算分。</w:t>
            </w:r>
          </w:p>
          <w:p w14:paraId="08EF57B8">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(5)具有学习明细：可根据班级、帐号、姓名、时间段查询学习记录。</w:t>
            </w:r>
          </w:p>
          <w:p w14:paraId="674CD7B6">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(6)学生学习时长：具有学生学习时长及柱</w:t>
            </w:r>
            <w:r>
              <w:rPr>
                <w:rFonts w:hint="eastAsia"/>
                <w:color w:val="auto"/>
                <w:sz w:val="21"/>
                <w:szCs w:val="21"/>
                <w:highlight w:val="none"/>
                <w:lang w:val="en-US" w:eastAsia="zh-CN"/>
              </w:rPr>
              <w:t>形</w:t>
            </w:r>
            <w:r>
              <w:rPr>
                <w:rFonts w:hint="eastAsia"/>
                <w:color w:val="auto"/>
                <w:sz w:val="21"/>
                <w:szCs w:val="21"/>
                <w:highlight w:val="none"/>
              </w:rPr>
              <w:t>图。</w:t>
            </w:r>
          </w:p>
          <w:p w14:paraId="60C8631D">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(7)用户练习记录：可根据班级、帐号、姓名、时间段查询练习记录。</w:t>
            </w:r>
          </w:p>
          <w:p w14:paraId="7DB2058A">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(8)用户练习统计：可根据班级、帐号、姓名、时间段查询进行汇总统计。</w:t>
            </w:r>
          </w:p>
          <w:p w14:paraId="57438EBA">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(9)系统访问量统计：具有按年或月统计系统访问量的柱</w:t>
            </w:r>
            <w:r>
              <w:rPr>
                <w:rFonts w:hint="eastAsia"/>
                <w:color w:val="auto"/>
                <w:sz w:val="21"/>
                <w:szCs w:val="21"/>
                <w:highlight w:val="none"/>
                <w:lang w:val="en-US" w:eastAsia="zh-CN"/>
              </w:rPr>
              <w:t>形</w:t>
            </w:r>
            <w:r>
              <w:rPr>
                <w:rFonts w:hint="eastAsia"/>
                <w:color w:val="auto"/>
                <w:sz w:val="21"/>
                <w:szCs w:val="21"/>
                <w:highlight w:val="none"/>
              </w:rPr>
              <w:t>图。</w:t>
            </w:r>
          </w:p>
          <w:p w14:paraId="6E1244B3">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(10)栏目点击量统计：具有按年或月统计教学、评价（练习）、考试使用量的柱</w:t>
            </w:r>
            <w:r>
              <w:rPr>
                <w:rFonts w:hint="eastAsia"/>
                <w:color w:val="auto"/>
                <w:sz w:val="21"/>
                <w:szCs w:val="21"/>
                <w:highlight w:val="none"/>
                <w:lang w:val="en-US" w:eastAsia="zh-CN"/>
              </w:rPr>
              <w:t>形</w:t>
            </w:r>
            <w:r>
              <w:rPr>
                <w:rFonts w:hint="eastAsia"/>
                <w:color w:val="auto"/>
                <w:sz w:val="21"/>
                <w:szCs w:val="21"/>
                <w:highlight w:val="none"/>
              </w:rPr>
              <w:t>图。</w:t>
            </w:r>
          </w:p>
          <w:p w14:paraId="66A8F99F">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(11)评论统计分析：可查看评论情况。</w:t>
            </w:r>
          </w:p>
          <w:p w14:paraId="5F133541">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(12)热门点击排行榜：可根据人数进行排序，可导出Excel功能。</w:t>
            </w:r>
          </w:p>
          <w:p w14:paraId="276EB695">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五、阅片功能要求:</w:t>
            </w:r>
          </w:p>
          <w:p w14:paraId="58D2BFEE">
            <w:pPr>
              <w:keepNext w:val="0"/>
              <w:keepLines w:val="0"/>
              <w:suppressLineNumbers w:val="0"/>
              <w:wordWrap w:val="0"/>
              <w:spacing w:before="0" w:beforeAutospacing="0" w:after="0" w:afterAutospacing="0" w:line="240" w:lineRule="auto"/>
              <w:ind w:left="0" w:right="0"/>
              <w:rPr>
                <w:rFonts w:hint="eastAsia" w:eastAsia="宋体"/>
                <w:color w:val="auto"/>
                <w:sz w:val="21"/>
                <w:szCs w:val="21"/>
                <w:highlight w:val="none"/>
                <w:lang w:eastAsia="zh-CN"/>
              </w:rPr>
            </w:pPr>
            <w:r>
              <w:rPr>
                <w:rFonts w:hint="eastAsia"/>
                <w:color w:val="auto"/>
                <w:sz w:val="21"/>
                <w:szCs w:val="21"/>
                <w:highlight w:val="none"/>
              </w:rPr>
              <w:t>1、布局：任意序列图像格布局，任意多序列格布局</w:t>
            </w:r>
            <w:r>
              <w:rPr>
                <w:rFonts w:hint="eastAsia"/>
                <w:color w:val="auto"/>
                <w:sz w:val="21"/>
                <w:szCs w:val="21"/>
                <w:highlight w:val="none"/>
                <w:lang w:eastAsia="zh-CN"/>
              </w:rPr>
              <w:t>；</w:t>
            </w:r>
          </w:p>
          <w:p w14:paraId="3EF258BE">
            <w:pPr>
              <w:keepNext w:val="0"/>
              <w:keepLines w:val="0"/>
              <w:suppressLineNumbers w:val="0"/>
              <w:wordWrap w:val="0"/>
              <w:spacing w:before="0" w:beforeAutospacing="0" w:after="0" w:afterAutospacing="0" w:line="240" w:lineRule="auto"/>
              <w:ind w:left="0" w:right="0"/>
              <w:rPr>
                <w:rFonts w:hint="eastAsia" w:eastAsia="宋体"/>
                <w:color w:val="auto"/>
                <w:sz w:val="21"/>
                <w:szCs w:val="21"/>
                <w:highlight w:val="none"/>
                <w:lang w:eastAsia="zh-CN"/>
              </w:rPr>
            </w:pPr>
            <w:r>
              <w:rPr>
                <w:rFonts w:hint="eastAsia"/>
                <w:color w:val="auto"/>
                <w:sz w:val="21"/>
                <w:szCs w:val="21"/>
                <w:highlight w:val="none"/>
              </w:rPr>
              <w:t>2、调窗：默认窗，全动态窗，自适应窗，各种预设窗宽窗位，自定义输入窗宽窗位，ROI调窗，多段曲线调窗等</w:t>
            </w:r>
            <w:r>
              <w:rPr>
                <w:rFonts w:hint="eastAsia"/>
                <w:color w:val="auto"/>
                <w:sz w:val="21"/>
                <w:szCs w:val="21"/>
                <w:highlight w:val="none"/>
                <w:lang w:eastAsia="zh-CN"/>
              </w:rPr>
              <w:t>；</w:t>
            </w:r>
          </w:p>
          <w:p w14:paraId="2BAFE9E8">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3、缩放：自适应窗口，放大镜(慧眼)，鹰眼全貌图，无级缩放（Truesize）；</w:t>
            </w:r>
          </w:p>
          <w:p w14:paraId="303D1C45">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4、处理：裁剪、负像、伪彩、水平镜像，垂直镜像、左旋、右旋、任意旋转、旋转复位、增强、petct融合、XA减影、显隐文字标尺、DICOM信息显示；</w:t>
            </w:r>
          </w:p>
          <w:p w14:paraId="02F4626B">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5、测量：CT值测量、直线、矩形、圆/椭圆、角度、指示箭头、文字标注、任意多边形、任意轮廓、心胸比测量；可显示面积、周长、最大值、最小值、均值，SD均方差测量结果；测量元素可任意修改、编辑；</w:t>
            </w:r>
          </w:p>
          <w:p w14:paraId="612866E7">
            <w:pPr>
              <w:keepNext w:val="0"/>
              <w:keepLines w:val="0"/>
              <w:suppressLineNumbers w:val="0"/>
              <w:wordWrap w:val="0"/>
              <w:spacing w:before="0" w:beforeAutospacing="0" w:after="0" w:afterAutospacing="0" w:line="240" w:lineRule="auto"/>
              <w:ind w:left="0" w:right="0"/>
              <w:rPr>
                <w:rFonts w:hint="eastAsia"/>
                <w:b/>
                <w:bCs/>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6、三维重建</w:t>
            </w:r>
            <w:r>
              <w:rPr>
                <w:rFonts w:hint="eastAsia"/>
                <w:b/>
                <w:bCs/>
                <w:color w:val="auto"/>
                <w:sz w:val="21"/>
                <w:szCs w:val="21"/>
                <w:highlight w:val="none"/>
              </w:rPr>
              <w:t>（</w:t>
            </w:r>
            <w:r>
              <w:rPr>
                <w:rFonts w:hint="eastAsia"/>
                <w:b/>
                <w:bCs/>
                <w:color w:val="auto"/>
                <w:sz w:val="21"/>
                <w:szCs w:val="21"/>
                <w:highlight w:val="none"/>
                <w:lang w:val="en-US" w:eastAsia="zh-CN"/>
              </w:rPr>
              <w:t>投标时</w:t>
            </w:r>
            <w:r>
              <w:rPr>
                <w:rFonts w:hint="eastAsia"/>
                <w:b/>
                <w:bCs/>
                <w:color w:val="auto"/>
                <w:sz w:val="21"/>
                <w:szCs w:val="21"/>
                <w:highlight w:val="none"/>
              </w:rPr>
              <w:t>提供</w:t>
            </w:r>
            <w:r>
              <w:rPr>
                <w:rFonts w:hint="eastAsia"/>
                <w:b/>
                <w:bCs/>
                <w:color w:val="auto"/>
                <w:sz w:val="21"/>
                <w:szCs w:val="21"/>
                <w:highlight w:val="none"/>
                <w:lang w:val="en-US" w:eastAsia="zh-CN"/>
              </w:rPr>
              <w:t>截图证明</w:t>
            </w:r>
            <w:r>
              <w:rPr>
                <w:rFonts w:hint="eastAsia"/>
                <w:b/>
                <w:bCs/>
                <w:color w:val="auto"/>
                <w:sz w:val="21"/>
                <w:szCs w:val="21"/>
                <w:highlight w:val="none"/>
              </w:rPr>
              <w:t>材料</w:t>
            </w:r>
            <w:r>
              <w:rPr>
                <w:rFonts w:hint="eastAsia"/>
                <w:b/>
                <w:bCs/>
                <w:color w:val="auto"/>
                <w:sz w:val="21"/>
                <w:szCs w:val="21"/>
                <w:highlight w:val="none"/>
                <w:lang w:val="en-US" w:eastAsia="zh-CN"/>
              </w:rPr>
              <w:t>并加盖投标人公章</w:t>
            </w:r>
            <w:r>
              <w:rPr>
                <w:rFonts w:hint="eastAsia"/>
                <w:b/>
                <w:bCs/>
                <w:color w:val="auto"/>
                <w:sz w:val="21"/>
                <w:szCs w:val="21"/>
                <w:highlight w:val="none"/>
              </w:rPr>
              <w:t>）</w:t>
            </w:r>
          </w:p>
          <w:p w14:paraId="7F3BDA7C">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(1)MPR多平面重建(支持任意旋转)、CPR直接切面重建、CPR任意曲线切面重建、MIP最大密度、SSD表面重建、VR容积重建、VE虚拟内窥；</w:t>
            </w:r>
          </w:p>
          <w:p w14:paraId="588A1BE3">
            <w:pPr>
              <w:keepNext w:val="0"/>
              <w:keepLines w:val="0"/>
              <w:suppressLineNumbers w:val="0"/>
              <w:wordWrap w:val="0"/>
              <w:spacing w:before="0" w:beforeAutospacing="0" w:after="0" w:afterAutospacing="0" w:line="240" w:lineRule="auto"/>
              <w:ind w:left="0" w:right="0"/>
              <w:rPr>
                <w:rFonts w:hint="eastAsia" w:eastAsia="宋体"/>
                <w:color w:val="auto"/>
                <w:sz w:val="21"/>
                <w:szCs w:val="21"/>
                <w:highlight w:val="none"/>
                <w:lang w:eastAsia="zh-CN"/>
              </w:rPr>
            </w:pPr>
            <w:r>
              <w:rPr>
                <w:rFonts w:hint="eastAsia"/>
                <w:color w:val="auto"/>
                <w:sz w:val="21"/>
                <w:szCs w:val="21"/>
                <w:highlight w:val="none"/>
              </w:rPr>
              <w:t>(2)具有任意三维裁剪、旋转、缩放、重建质量设置等功能</w:t>
            </w:r>
            <w:r>
              <w:rPr>
                <w:rFonts w:hint="eastAsia"/>
                <w:color w:val="auto"/>
                <w:sz w:val="21"/>
                <w:szCs w:val="21"/>
                <w:highlight w:val="none"/>
                <w:lang w:eastAsia="zh-CN"/>
              </w:rPr>
              <w:t>；</w:t>
            </w:r>
          </w:p>
          <w:p w14:paraId="03F1FD5E">
            <w:pPr>
              <w:keepNext w:val="0"/>
              <w:keepLines w:val="0"/>
              <w:suppressLineNumbers w:val="0"/>
              <w:wordWrap w:val="0"/>
              <w:spacing w:before="0" w:beforeAutospacing="0" w:after="0" w:afterAutospacing="0" w:line="240" w:lineRule="auto"/>
              <w:ind w:left="0" w:right="0"/>
              <w:rPr>
                <w:rFonts w:hint="eastAsia" w:eastAsia="宋体"/>
                <w:color w:val="auto"/>
                <w:sz w:val="21"/>
                <w:szCs w:val="21"/>
                <w:highlight w:val="none"/>
                <w:lang w:eastAsia="zh-CN"/>
              </w:rPr>
            </w:pPr>
            <w:r>
              <w:rPr>
                <w:rFonts w:hint="eastAsia"/>
                <w:color w:val="auto"/>
                <w:sz w:val="21"/>
                <w:szCs w:val="21"/>
                <w:highlight w:val="none"/>
              </w:rPr>
              <w:t>(3)具有厚切(无/3/5/10/15/MIP/minMIP/均值)、CPR折线模式、MPR PLANAR模式、MPR旋转复位、默认窗、负像、直线测量、角度测量、显隐文字标尺等功能菜单</w:t>
            </w:r>
            <w:r>
              <w:rPr>
                <w:rFonts w:hint="eastAsia"/>
                <w:color w:val="auto"/>
                <w:sz w:val="21"/>
                <w:szCs w:val="21"/>
                <w:highlight w:val="none"/>
                <w:lang w:eastAsia="zh-CN"/>
              </w:rPr>
              <w:t>；</w:t>
            </w:r>
          </w:p>
          <w:p w14:paraId="7C8323C1">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w:t>
            </w:r>
            <w:r>
              <w:rPr>
                <w:rFonts w:hint="eastAsia"/>
                <w:color w:val="auto"/>
                <w:sz w:val="21"/>
                <w:szCs w:val="21"/>
                <w:highlight w:val="none"/>
                <w:lang w:val="en-US" w:eastAsia="zh-CN"/>
              </w:rPr>
              <w:t>4</w:t>
            </w:r>
            <w:r>
              <w:rPr>
                <w:rFonts w:hint="eastAsia"/>
                <w:color w:val="auto"/>
                <w:sz w:val="21"/>
                <w:szCs w:val="21"/>
                <w:highlight w:val="none"/>
              </w:rPr>
              <w:t>)具有一键去床、正立位、左侧位、右侧位、轴切位、轮廓内裁剪、轮廓外裁剪、多边形裁剪、裁剪重置、VR预设方案、SSD伪彩设置、数据恢复等功能菜单。</w:t>
            </w:r>
          </w:p>
          <w:p w14:paraId="2A6C9964">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7、对比：不同序列或同一序列可多个序列窗口打开系统按切片位置自动同步对比浏览；浏览不同平面的系列图像时，自动显示交叉定位线可更好地展示相互间的关系；浏览不同平面的系列图像时，可实时显示平面上任意一点在其它平面上的空间位置(三维空间定位)</w:t>
            </w:r>
          </w:p>
          <w:p w14:paraId="1F4581B0">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8、打印：所见即所得排版打印</w:t>
            </w:r>
            <w:r>
              <w:rPr>
                <w:rFonts w:hint="eastAsia"/>
                <w:color w:val="auto"/>
                <w:sz w:val="21"/>
                <w:szCs w:val="21"/>
                <w:highlight w:val="none"/>
                <w:lang w:eastAsia="zh-CN"/>
              </w:rPr>
              <w:t>；</w:t>
            </w:r>
            <w:r>
              <w:rPr>
                <w:rFonts w:hint="eastAsia"/>
                <w:color w:val="auto"/>
                <w:sz w:val="21"/>
                <w:szCs w:val="21"/>
                <w:highlight w:val="none"/>
              </w:rPr>
              <w:t xml:space="preserve">任意胶片排版布局，支持排版图像拖拽交换和插入；支持批量添加图像到布局窗口(可添加图像/序列/检查)； </w:t>
            </w:r>
          </w:p>
          <w:p w14:paraId="42BA7E3D">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9、具有放疗(RT浏览)功能：DICOMRT浏览显示；ROIStructs显示、DVH曲线计算显示、ISO等剂量线显示；支持3D浏览，支持任意MPR平面重建显示ROIStructs和ISO等剂量线；</w:t>
            </w:r>
            <w:r>
              <w:rPr>
                <w:rFonts w:hint="eastAsia"/>
                <w:b/>
                <w:bCs/>
                <w:color w:val="auto"/>
                <w:sz w:val="21"/>
                <w:szCs w:val="21"/>
                <w:highlight w:val="none"/>
                <w:lang w:eastAsia="zh-CN"/>
              </w:rPr>
              <w:t>（</w:t>
            </w:r>
            <w:r>
              <w:rPr>
                <w:rFonts w:hint="eastAsia"/>
                <w:b/>
                <w:bCs/>
                <w:color w:val="auto"/>
                <w:sz w:val="21"/>
                <w:szCs w:val="21"/>
                <w:highlight w:val="none"/>
                <w:lang w:val="en-US" w:eastAsia="zh-CN"/>
              </w:rPr>
              <w:t>投标时</w:t>
            </w:r>
            <w:r>
              <w:rPr>
                <w:rFonts w:hint="eastAsia"/>
                <w:b/>
                <w:bCs/>
                <w:color w:val="auto"/>
                <w:sz w:val="21"/>
                <w:szCs w:val="21"/>
                <w:highlight w:val="none"/>
              </w:rPr>
              <w:t>提供</w:t>
            </w:r>
            <w:r>
              <w:rPr>
                <w:rFonts w:hint="eastAsia"/>
                <w:b/>
                <w:bCs/>
                <w:color w:val="auto"/>
                <w:sz w:val="21"/>
                <w:szCs w:val="21"/>
                <w:highlight w:val="none"/>
                <w:lang w:val="en-US" w:eastAsia="zh-CN"/>
              </w:rPr>
              <w:t>截图证明</w:t>
            </w:r>
            <w:r>
              <w:rPr>
                <w:rFonts w:hint="eastAsia"/>
                <w:b/>
                <w:bCs/>
                <w:color w:val="auto"/>
                <w:sz w:val="21"/>
                <w:szCs w:val="21"/>
                <w:highlight w:val="none"/>
              </w:rPr>
              <w:t>材料</w:t>
            </w:r>
            <w:r>
              <w:rPr>
                <w:rFonts w:hint="eastAsia"/>
                <w:b/>
                <w:bCs/>
                <w:color w:val="auto"/>
                <w:sz w:val="21"/>
                <w:szCs w:val="21"/>
                <w:highlight w:val="none"/>
                <w:lang w:val="en-US" w:eastAsia="zh-CN"/>
              </w:rPr>
              <w:t>并加盖投标人公章</w:t>
            </w:r>
            <w:r>
              <w:rPr>
                <w:rFonts w:hint="eastAsia"/>
                <w:b/>
                <w:bCs/>
                <w:color w:val="auto"/>
                <w:sz w:val="21"/>
                <w:szCs w:val="21"/>
                <w:highlight w:val="none"/>
              </w:rPr>
              <w:t>）</w:t>
            </w:r>
          </w:p>
          <w:p w14:paraId="0CE4CE60">
            <w:pPr>
              <w:keepNext w:val="0"/>
              <w:keepLines w:val="0"/>
              <w:suppressLineNumbers w:val="0"/>
              <w:wordWrap w:val="0"/>
              <w:spacing w:before="0" w:beforeAutospacing="0" w:after="0" w:afterAutospacing="0" w:line="240" w:lineRule="auto"/>
              <w:ind w:left="0" w:right="0"/>
              <w:rPr>
                <w:rFonts w:hint="eastAsia"/>
                <w:b/>
                <w:bCs/>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10、PETCT三维融</w:t>
            </w:r>
            <w:r>
              <w:rPr>
                <w:rFonts w:hint="eastAsia"/>
                <w:color w:val="auto"/>
                <w:sz w:val="21"/>
                <w:szCs w:val="21"/>
                <w:highlight w:val="none"/>
                <w:lang w:val="en-US" w:eastAsia="zh-CN"/>
              </w:rPr>
              <w:t>合</w:t>
            </w:r>
            <w:r>
              <w:rPr>
                <w:rFonts w:hint="eastAsia"/>
                <w:color w:val="auto"/>
                <w:sz w:val="21"/>
                <w:szCs w:val="21"/>
                <w:highlight w:val="none"/>
              </w:rPr>
              <w:t>，MPR（PT）及MPR（CT）；</w:t>
            </w:r>
            <w:r>
              <w:rPr>
                <w:rFonts w:hint="eastAsia"/>
                <w:b/>
                <w:bCs/>
                <w:color w:val="auto"/>
                <w:sz w:val="21"/>
                <w:szCs w:val="21"/>
                <w:highlight w:val="none"/>
                <w:lang w:eastAsia="zh-CN"/>
              </w:rPr>
              <w:t>（</w:t>
            </w:r>
            <w:r>
              <w:rPr>
                <w:rFonts w:hint="eastAsia"/>
                <w:b/>
                <w:bCs/>
                <w:color w:val="auto"/>
                <w:sz w:val="21"/>
                <w:szCs w:val="21"/>
                <w:highlight w:val="none"/>
                <w:lang w:val="en-US" w:eastAsia="zh-CN"/>
              </w:rPr>
              <w:t>投标时</w:t>
            </w:r>
            <w:r>
              <w:rPr>
                <w:rFonts w:hint="eastAsia"/>
                <w:b/>
                <w:bCs/>
                <w:color w:val="auto"/>
                <w:sz w:val="21"/>
                <w:szCs w:val="21"/>
                <w:highlight w:val="none"/>
              </w:rPr>
              <w:t>提供</w:t>
            </w:r>
            <w:r>
              <w:rPr>
                <w:rFonts w:hint="eastAsia"/>
                <w:b/>
                <w:bCs/>
                <w:color w:val="auto"/>
                <w:sz w:val="21"/>
                <w:szCs w:val="21"/>
                <w:highlight w:val="none"/>
                <w:lang w:val="en-US" w:eastAsia="zh-CN"/>
              </w:rPr>
              <w:t>截图证明</w:t>
            </w:r>
            <w:r>
              <w:rPr>
                <w:rFonts w:hint="eastAsia"/>
                <w:b/>
                <w:bCs/>
                <w:color w:val="auto"/>
                <w:sz w:val="21"/>
                <w:szCs w:val="21"/>
                <w:highlight w:val="none"/>
              </w:rPr>
              <w:t>材料</w:t>
            </w:r>
            <w:r>
              <w:rPr>
                <w:rFonts w:hint="eastAsia"/>
                <w:b/>
                <w:bCs/>
                <w:color w:val="auto"/>
                <w:sz w:val="21"/>
                <w:szCs w:val="21"/>
                <w:highlight w:val="none"/>
                <w:lang w:val="en-US" w:eastAsia="zh-CN"/>
              </w:rPr>
              <w:t>并加盖投标人公章</w:t>
            </w:r>
            <w:r>
              <w:rPr>
                <w:rFonts w:hint="eastAsia"/>
                <w:b/>
                <w:bCs/>
                <w:color w:val="auto"/>
                <w:sz w:val="21"/>
                <w:szCs w:val="21"/>
                <w:highlight w:val="none"/>
              </w:rPr>
              <w:t>）</w:t>
            </w:r>
          </w:p>
          <w:p w14:paraId="01F0B831">
            <w:pPr>
              <w:keepNext w:val="0"/>
              <w:keepLines w:val="0"/>
              <w:suppressLineNumbers w:val="0"/>
              <w:wordWrap w:val="0"/>
              <w:spacing w:before="0" w:beforeAutospacing="0" w:after="0" w:afterAutospacing="0" w:line="240" w:lineRule="auto"/>
              <w:ind w:left="0" w:right="0"/>
              <w:rPr>
                <w:rFonts w:hint="eastAsia"/>
                <w:b/>
                <w:bCs/>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11、支持超声、介入及XA减影开启及</w:t>
            </w:r>
            <w:r>
              <w:rPr>
                <w:rFonts w:hint="eastAsia"/>
                <w:color w:val="auto"/>
                <w:sz w:val="21"/>
                <w:szCs w:val="21"/>
                <w:highlight w:val="none"/>
                <w:lang w:val="en-US" w:eastAsia="zh-CN"/>
              </w:rPr>
              <w:t>关</w:t>
            </w:r>
            <w:r>
              <w:rPr>
                <w:rFonts w:hint="eastAsia"/>
                <w:color w:val="auto"/>
                <w:sz w:val="21"/>
                <w:szCs w:val="21"/>
                <w:highlight w:val="none"/>
              </w:rPr>
              <w:t>闭。</w:t>
            </w:r>
            <w:r>
              <w:rPr>
                <w:rFonts w:hint="eastAsia"/>
                <w:b/>
                <w:bCs/>
                <w:color w:val="auto"/>
                <w:sz w:val="21"/>
                <w:szCs w:val="21"/>
                <w:highlight w:val="none"/>
                <w:lang w:eastAsia="zh-CN"/>
              </w:rPr>
              <w:t>（</w:t>
            </w:r>
            <w:r>
              <w:rPr>
                <w:rFonts w:hint="eastAsia"/>
                <w:b/>
                <w:bCs/>
                <w:color w:val="auto"/>
                <w:sz w:val="21"/>
                <w:szCs w:val="21"/>
                <w:highlight w:val="none"/>
                <w:lang w:val="en-US" w:eastAsia="zh-CN"/>
              </w:rPr>
              <w:t>投标时</w:t>
            </w:r>
            <w:r>
              <w:rPr>
                <w:rFonts w:hint="eastAsia"/>
                <w:b/>
                <w:bCs/>
                <w:color w:val="auto"/>
                <w:sz w:val="21"/>
                <w:szCs w:val="21"/>
                <w:highlight w:val="none"/>
              </w:rPr>
              <w:t>提供</w:t>
            </w:r>
            <w:r>
              <w:rPr>
                <w:rFonts w:hint="eastAsia"/>
                <w:b/>
                <w:bCs/>
                <w:color w:val="auto"/>
                <w:sz w:val="21"/>
                <w:szCs w:val="21"/>
                <w:highlight w:val="none"/>
                <w:lang w:val="en-US" w:eastAsia="zh-CN"/>
              </w:rPr>
              <w:t>截图证明</w:t>
            </w:r>
            <w:r>
              <w:rPr>
                <w:rFonts w:hint="eastAsia"/>
                <w:b/>
                <w:bCs/>
                <w:color w:val="auto"/>
                <w:sz w:val="21"/>
                <w:szCs w:val="21"/>
                <w:highlight w:val="none"/>
              </w:rPr>
              <w:t>材料</w:t>
            </w:r>
            <w:r>
              <w:rPr>
                <w:rFonts w:hint="eastAsia"/>
                <w:b/>
                <w:bCs/>
                <w:color w:val="auto"/>
                <w:sz w:val="21"/>
                <w:szCs w:val="21"/>
                <w:highlight w:val="none"/>
                <w:lang w:val="en-US" w:eastAsia="zh-CN"/>
              </w:rPr>
              <w:t>并加盖投标人公章</w:t>
            </w:r>
            <w:r>
              <w:rPr>
                <w:rFonts w:hint="eastAsia"/>
                <w:b/>
                <w:bCs/>
                <w:color w:val="auto"/>
                <w:sz w:val="21"/>
                <w:szCs w:val="21"/>
                <w:highlight w:val="none"/>
              </w:rPr>
              <w:t>）</w:t>
            </w:r>
          </w:p>
          <w:p w14:paraId="3CAABD2B">
            <w:pPr>
              <w:keepNext w:val="0"/>
              <w:keepLines w:val="0"/>
              <w:suppressLineNumbers w:val="0"/>
              <w:wordWrap w:val="0"/>
              <w:spacing w:before="0" w:beforeAutospacing="0" w:after="0" w:afterAutospacing="0" w:line="240" w:lineRule="auto"/>
              <w:ind w:left="0" w:right="0"/>
              <w:rPr>
                <w:rFonts w:hint="eastAsia" w:eastAsia="宋体"/>
                <w:color w:val="auto"/>
                <w:sz w:val="21"/>
                <w:szCs w:val="21"/>
                <w:highlight w:val="none"/>
                <w:lang w:eastAsia="zh-CN"/>
              </w:rPr>
            </w:pPr>
            <w:r>
              <w:rPr>
                <w:rFonts w:hint="eastAsia"/>
                <w:color w:val="auto"/>
                <w:sz w:val="21"/>
                <w:szCs w:val="21"/>
                <w:highlight w:val="none"/>
              </w:rPr>
              <w:t>12、支持全数字病理DICOM切片显示浏览；支持心电DICOM浏览处理、心电滤波、心电测量、显示心电参数；可调整心电显示增益、纸速、格式，Grid等</w:t>
            </w:r>
            <w:r>
              <w:rPr>
                <w:rFonts w:hint="eastAsia"/>
                <w:color w:val="auto"/>
                <w:sz w:val="21"/>
                <w:szCs w:val="21"/>
                <w:highlight w:val="none"/>
                <w:lang w:eastAsia="zh-CN"/>
              </w:rPr>
              <w:t>；</w:t>
            </w:r>
          </w:p>
          <w:p w14:paraId="4E644D98">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13、其它：定位线(点击定位线可直接定位浏览图像)</w:t>
            </w:r>
            <w:r>
              <w:rPr>
                <w:rFonts w:hint="eastAsia"/>
                <w:color w:val="auto"/>
                <w:sz w:val="21"/>
                <w:szCs w:val="21"/>
                <w:highlight w:val="none"/>
                <w:lang w:eastAsia="zh-CN"/>
              </w:rPr>
              <w:t>，</w:t>
            </w:r>
            <w:r>
              <w:rPr>
                <w:rFonts w:hint="eastAsia"/>
                <w:color w:val="auto"/>
                <w:sz w:val="21"/>
                <w:szCs w:val="21"/>
                <w:highlight w:val="none"/>
              </w:rPr>
              <w:t>另存截图等；</w:t>
            </w:r>
          </w:p>
          <w:p w14:paraId="335BF290">
            <w:pPr>
              <w:keepNext w:val="0"/>
              <w:keepLines w:val="0"/>
              <w:suppressLineNumbers w:val="0"/>
              <w:wordWrap w:val="0"/>
              <w:spacing w:before="0" w:beforeAutospacing="0" w:after="0" w:afterAutospacing="0" w:line="240" w:lineRule="auto"/>
              <w:ind w:left="0" w:right="0"/>
              <w:rPr>
                <w:rFonts w:hint="eastAsia" w:eastAsia="宋体"/>
                <w:color w:val="auto"/>
                <w:sz w:val="21"/>
                <w:szCs w:val="21"/>
                <w:highlight w:val="none"/>
                <w:lang w:eastAsia="zh-CN"/>
              </w:rPr>
            </w:pPr>
            <w:r>
              <w:rPr>
                <w:rFonts w:hint="eastAsia"/>
                <w:color w:val="auto"/>
                <w:sz w:val="21"/>
                <w:szCs w:val="21"/>
                <w:highlight w:val="none"/>
                <w:lang w:eastAsia="zh-CN"/>
              </w:rPr>
              <w:t>▲</w:t>
            </w:r>
            <w:r>
              <w:rPr>
                <w:rFonts w:hint="eastAsia"/>
                <w:color w:val="auto"/>
                <w:sz w:val="21"/>
                <w:szCs w:val="21"/>
                <w:highlight w:val="none"/>
              </w:rPr>
              <w:t>14、支持有损/无损压缩；支持服务器处理/前端H5处理选择；支持webgl三维加速</w:t>
            </w:r>
            <w:r>
              <w:rPr>
                <w:rFonts w:hint="eastAsia"/>
                <w:color w:val="auto"/>
                <w:sz w:val="21"/>
                <w:szCs w:val="21"/>
                <w:highlight w:val="none"/>
                <w:lang w:eastAsia="zh-CN"/>
              </w:rPr>
              <w:t>；</w:t>
            </w:r>
          </w:p>
          <w:p w14:paraId="3080D840">
            <w:pPr>
              <w:keepNext w:val="0"/>
              <w:keepLines w:val="0"/>
              <w:suppressLineNumbers w:val="0"/>
              <w:wordWrap w:val="0"/>
              <w:spacing w:before="0" w:beforeAutospacing="0" w:after="0" w:afterAutospacing="0" w:line="240" w:lineRule="auto"/>
              <w:ind w:left="0" w:right="0"/>
              <w:rPr>
                <w:rFonts w:hint="eastAsia" w:eastAsia="宋体"/>
                <w:color w:val="auto"/>
                <w:sz w:val="21"/>
                <w:szCs w:val="21"/>
                <w:highlight w:val="none"/>
                <w:lang w:eastAsia="zh-CN"/>
              </w:rPr>
            </w:pPr>
            <w:r>
              <w:rPr>
                <w:rFonts w:hint="eastAsia"/>
                <w:color w:val="auto"/>
                <w:sz w:val="21"/>
                <w:szCs w:val="21"/>
                <w:highlight w:val="none"/>
              </w:rPr>
              <w:t>15、支持禁止联动、序列联动、多序列联动以及复选/关键影像联动</w:t>
            </w:r>
            <w:r>
              <w:rPr>
                <w:rFonts w:hint="eastAsia"/>
                <w:color w:val="auto"/>
                <w:sz w:val="21"/>
                <w:szCs w:val="21"/>
                <w:highlight w:val="none"/>
                <w:lang w:eastAsia="zh-CN"/>
              </w:rPr>
              <w:t>；</w:t>
            </w:r>
          </w:p>
          <w:p w14:paraId="6F5168D0">
            <w:pPr>
              <w:keepNext w:val="0"/>
              <w:keepLines w:val="0"/>
              <w:suppressLineNumbers w:val="0"/>
              <w:wordWrap w:val="0"/>
              <w:spacing w:before="0" w:beforeAutospacing="0" w:after="0" w:afterAutospacing="0" w:line="240" w:lineRule="auto"/>
              <w:ind w:left="0" w:right="0"/>
              <w:rPr>
                <w:rFonts w:hint="eastAsia" w:eastAsia="宋体"/>
                <w:color w:val="auto"/>
                <w:sz w:val="21"/>
                <w:szCs w:val="21"/>
                <w:highlight w:val="none"/>
                <w:lang w:eastAsia="zh-CN"/>
              </w:rPr>
            </w:pPr>
            <w:r>
              <w:rPr>
                <w:rFonts w:hint="eastAsia"/>
                <w:color w:val="auto"/>
                <w:sz w:val="21"/>
                <w:szCs w:val="21"/>
                <w:highlight w:val="none"/>
              </w:rPr>
              <w:t>16、支持和现有PACS级联，无需单独开发接口，即连即用；支持多级存储，分布式存储；支持WPACS服务集群</w:t>
            </w:r>
            <w:r>
              <w:rPr>
                <w:rFonts w:hint="eastAsia"/>
                <w:color w:val="auto"/>
                <w:sz w:val="21"/>
                <w:szCs w:val="21"/>
                <w:highlight w:val="none"/>
                <w:lang w:eastAsia="zh-CN"/>
              </w:rPr>
              <w:t>。</w:t>
            </w:r>
          </w:p>
          <w:p w14:paraId="2435AD62">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六、配套计算机断层成像技术仿真软件单机版</w:t>
            </w:r>
            <w:r>
              <w:rPr>
                <w:rFonts w:hint="eastAsia"/>
                <w:color w:val="auto"/>
                <w:sz w:val="21"/>
                <w:szCs w:val="21"/>
                <w:highlight w:val="none"/>
                <w:lang w:val="en-US" w:eastAsia="zh-CN"/>
              </w:rPr>
              <w:t>2节点，安装到教师机使用</w:t>
            </w:r>
            <w:r>
              <w:rPr>
                <w:rFonts w:hint="eastAsia"/>
                <w:color w:val="auto"/>
                <w:sz w:val="21"/>
                <w:szCs w:val="21"/>
                <w:highlight w:val="none"/>
              </w:rPr>
              <w:t>。</w:t>
            </w:r>
          </w:p>
          <w:p w14:paraId="5A9A9DBE">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val="en-US" w:eastAsia="zh-CN"/>
              </w:rPr>
              <w:t>（一）</w:t>
            </w:r>
            <w:r>
              <w:rPr>
                <w:rFonts w:hint="eastAsia"/>
                <w:color w:val="auto"/>
                <w:sz w:val="21"/>
                <w:szCs w:val="21"/>
                <w:highlight w:val="none"/>
              </w:rPr>
              <w:t>成像原理技术参数</w:t>
            </w:r>
          </w:p>
          <w:p w14:paraId="468B971A">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 针对笔形束和扇形束成像原理，可设置旋转角度，旋转步进，源心距等参数的开放式操作实验；</w:t>
            </w:r>
          </w:p>
          <w:p w14:paraId="791696AD">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2. 动画演示笔形束和扇形束CT的原始投影数据（正弦图）采集过程；</w:t>
            </w:r>
          </w:p>
          <w:p w14:paraId="24B1B108">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3. 由简单到复杂设计9种样品模型实验，用户也可以手绘自定义样品模型；</w:t>
            </w:r>
          </w:p>
          <w:p w14:paraId="1EE0D066">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4. 可分别动态演示第一代和第三代CT扫描模式的探测器和球管的扫描运动过程，数据动态采集过程（即正弦图获取），滤波反投影过程和最终的重建图像效果；</w:t>
            </w:r>
          </w:p>
          <w:p w14:paraId="0B81ECAF">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5. 扇形束CT重建中，可选择使用不同加窗函数滤波器进行反投影重建，观察重建图像效果，包括Sinc窗，矩形窗，三角窗，汉宁窗，汉明窗，切比雪夫窗，布莱克曼窗和高斯窗等。可显示加窗滤波器的时域和频域波形</w:t>
            </w:r>
            <w:r>
              <w:rPr>
                <w:rFonts w:hint="eastAsia"/>
                <w:b/>
                <w:bCs/>
                <w:color w:val="auto"/>
                <w:sz w:val="21"/>
                <w:szCs w:val="21"/>
                <w:highlight w:val="none"/>
                <w:lang w:eastAsia="zh-CN"/>
              </w:rPr>
              <w:t>（</w:t>
            </w:r>
            <w:r>
              <w:rPr>
                <w:rFonts w:hint="eastAsia"/>
                <w:b/>
                <w:bCs/>
                <w:color w:val="auto"/>
                <w:sz w:val="21"/>
                <w:szCs w:val="21"/>
                <w:highlight w:val="none"/>
                <w:lang w:val="en-US" w:eastAsia="zh-CN"/>
              </w:rPr>
              <w:t>投标时</w:t>
            </w:r>
            <w:r>
              <w:rPr>
                <w:rFonts w:hint="eastAsia"/>
                <w:b/>
                <w:bCs/>
                <w:color w:val="auto"/>
                <w:sz w:val="21"/>
                <w:szCs w:val="21"/>
                <w:highlight w:val="none"/>
              </w:rPr>
              <w:t>提供</w:t>
            </w:r>
            <w:r>
              <w:rPr>
                <w:rFonts w:hint="eastAsia"/>
                <w:b/>
                <w:bCs/>
                <w:color w:val="auto"/>
                <w:sz w:val="21"/>
                <w:szCs w:val="21"/>
                <w:highlight w:val="none"/>
                <w:lang w:val="en-US" w:eastAsia="zh-CN"/>
              </w:rPr>
              <w:t>截图证明</w:t>
            </w:r>
            <w:r>
              <w:rPr>
                <w:rFonts w:hint="eastAsia"/>
                <w:b/>
                <w:bCs/>
                <w:color w:val="auto"/>
                <w:sz w:val="21"/>
                <w:szCs w:val="21"/>
                <w:highlight w:val="none"/>
              </w:rPr>
              <w:t>材料</w:t>
            </w:r>
            <w:r>
              <w:rPr>
                <w:rFonts w:hint="eastAsia"/>
                <w:b/>
                <w:bCs/>
                <w:color w:val="auto"/>
                <w:sz w:val="21"/>
                <w:szCs w:val="21"/>
                <w:highlight w:val="none"/>
                <w:lang w:val="en-US" w:eastAsia="zh-CN"/>
              </w:rPr>
              <w:t>并加盖投标人公章</w:t>
            </w:r>
            <w:r>
              <w:rPr>
                <w:rFonts w:hint="eastAsia"/>
                <w:b/>
                <w:bCs/>
                <w:color w:val="auto"/>
                <w:sz w:val="21"/>
                <w:szCs w:val="21"/>
                <w:highlight w:val="none"/>
              </w:rPr>
              <w:t>）</w:t>
            </w:r>
            <w:r>
              <w:rPr>
                <w:rFonts w:hint="eastAsia"/>
                <w:color w:val="auto"/>
                <w:sz w:val="21"/>
                <w:szCs w:val="21"/>
                <w:highlight w:val="none"/>
              </w:rPr>
              <w:t>；</w:t>
            </w:r>
          </w:p>
          <w:p w14:paraId="54EB1ABC">
            <w:pPr>
              <w:keepNext w:val="0"/>
              <w:keepLines w:val="0"/>
              <w:suppressLineNumbers w:val="0"/>
              <w:wordWrap w:val="0"/>
              <w:spacing w:before="0" w:beforeAutospacing="0" w:after="0" w:afterAutospacing="0" w:line="240" w:lineRule="auto"/>
              <w:ind w:left="0" w:right="0"/>
              <w:rPr>
                <w:rFonts w:hint="eastAsia"/>
                <w:b/>
                <w:bCs/>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6. 常见伪影等模拟功能：探测器损坏或响应不一致、DAS增益不一致、金属异物、球管打火等常见伪影等模拟功能</w:t>
            </w:r>
            <w:r>
              <w:rPr>
                <w:rFonts w:hint="eastAsia"/>
                <w:b/>
                <w:bCs/>
                <w:color w:val="auto"/>
                <w:sz w:val="21"/>
                <w:szCs w:val="21"/>
                <w:highlight w:val="none"/>
                <w:lang w:eastAsia="zh-CN"/>
              </w:rPr>
              <w:t>（</w:t>
            </w:r>
            <w:r>
              <w:rPr>
                <w:rFonts w:hint="eastAsia"/>
                <w:b/>
                <w:bCs/>
                <w:color w:val="auto"/>
                <w:sz w:val="21"/>
                <w:szCs w:val="21"/>
                <w:highlight w:val="none"/>
                <w:lang w:val="en-US" w:eastAsia="zh-CN"/>
              </w:rPr>
              <w:t>投标时</w:t>
            </w:r>
            <w:r>
              <w:rPr>
                <w:rFonts w:hint="eastAsia"/>
                <w:b/>
                <w:bCs/>
                <w:color w:val="auto"/>
                <w:sz w:val="21"/>
                <w:szCs w:val="21"/>
                <w:highlight w:val="none"/>
              </w:rPr>
              <w:t>提供</w:t>
            </w:r>
            <w:r>
              <w:rPr>
                <w:rFonts w:hint="eastAsia"/>
                <w:b/>
                <w:bCs/>
                <w:color w:val="auto"/>
                <w:sz w:val="21"/>
                <w:szCs w:val="21"/>
                <w:highlight w:val="none"/>
                <w:lang w:val="en-US" w:eastAsia="zh-CN"/>
              </w:rPr>
              <w:t>截图证明</w:t>
            </w:r>
            <w:r>
              <w:rPr>
                <w:rFonts w:hint="eastAsia"/>
                <w:b/>
                <w:bCs/>
                <w:color w:val="auto"/>
                <w:sz w:val="21"/>
                <w:szCs w:val="21"/>
                <w:highlight w:val="none"/>
              </w:rPr>
              <w:t>材料</w:t>
            </w:r>
            <w:r>
              <w:rPr>
                <w:rFonts w:hint="eastAsia"/>
                <w:b/>
                <w:bCs/>
                <w:color w:val="auto"/>
                <w:sz w:val="21"/>
                <w:szCs w:val="21"/>
                <w:highlight w:val="none"/>
                <w:lang w:val="en-US" w:eastAsia="zh-CN"/>
              </w:rPr>
              <w:t>并加盖投标人公章</w:t>
            </w:r>
            <w:r>
              <w:rPr>
                <w:rFonts w:hint="eastAsia"/>
                <w:b/>
                <w:bCs/>
                <w:color w:val="auto"/>
                <w:sz w:val="21"/>
                <w:szCs w:val="21"/>
                <w:highlight w:val="none"/>
              </w:rPr>
              <w:t>）；</w:t>
            </w:r>
          </w:p>
          <w:p w14:paraId="666DCD50">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7. 空间分辨率和密度分辨率测试；</w:t>
            </w:r>
          </w:p>
          <w:p w14:paraId="7CE996EC">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8. 开机预热过程显示；</w:t>
            </w:r>
          </w:p>
          <w:p w14:paraId="41CBDDCF">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9. 可保存与打开原始数据（mat格式）；</w:t>
            </w:r>
          </w:p>
          <w:p w14:paraId="7329C463">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10. 可保存与打开图像（jpg，IMA，DCM）；</w:t>
            </w:r>
          </w:p>
          <w:p w14:paraId="2CA63E97">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11. 基本图像进行后处理：如测量感兴趣区的大小与距离、窗宽窗位的调节、切片显示、图像翻转、图像显示幅面等；</w:t>
            </w:r>
          </w:p>
          <w:p w14:paraId="6973B772">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12. 可编辑、存储与读取病人相关信息；</w:t>
            </w:r>
          </w:p>
          <w:p w14:paraId="6487EBCB">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13. 成像参数：X射线参数（kV、mA、s）可调节，并实时显示对图像的影响；</w:t>
            </w:r>
          </w:p>
          <w:p w14:paraId="73C6624E">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14. 可调节层面参数（层倾斜角度、层位、层数）、采集参数（旋转角度、步进角度）；采集矩阵大小；扫描方向，病人体位，扫描距离，螺旋/常规扫描等设置；</w:t>
            </w:r>
          </w:p>
          <w:p w14:paraId="13643A31">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15. 样品模版为数字人体；可实现针对数字人的不同倾斜角度的单幅或多幅CT数据采集和图像重建效果等；</w:t>
            </w:r>
          </w:p>
          <w:p w14:paraId="2CF0750D">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rPr>
              <w:t>16. 图像缩放，移动，伪彩，负片，电影播放，灰度直方图，灰度均衡化等图像后处理或显示功能；</w:t>
            </w:r>
          </w:p>
          <w:p w14:paraId="5A23C553">
            <w:pPr>
              <w:keepNext w:val="0"/>
              <w:keepLines w:val="0"/>
              <w:suppressLineNumbers w:val="0"/>
              <w:wordWrap w:val="0"/>
              <w:spacing w:before="0" w:beforeAutospacing="0" w:after="0" w:afterAutospacing="0" w:line="240" w:lineRule="auto"/>
              <w:ind w:left="0" w:right="0"/>
              <w:rPr>
                <w:rFonts w:hint="eastAsia" w:eastAsia="宋体"/>
                <w:color w:val="auto"/>
                <w:sz w:val="21"/>
                <w:szCs w:val="21"/>
                <w:highlight w:val="none"/>
                <w:lang w:eastAsia="zh-CN"/>
              </w:rPr>
            </w:pPr>
            <w:r>
              <w:rPr>
                <w:rFonts w:hint="eastAsia"/>
                <w:color w:val="auto"/>
                <w:sz w:val="21"/>
                <w:szCs w:val="21"/>
                <w:highlight w:val="none"/>
              </w:rPr>
              <w:t>17. 配套实验教材，可开展不少于8个学时的教学实验，教学实验内容与前指标完全相关</w:t>
            </w:r>
            <w:r>
              <w:rPr>
                <w:rFonts w:hint="eastAsia"/>
                <w:color w:val="auto"/>
                <w:sz w:val="21"/>
                <w:szCs w:val="21"/>
                <w:highlight w:val="none"/>
                <w:lang w:eastAsia="zh-CN"/>
              </w:rPr>
              <w:t>。</w:t>
            </w:r>
          </w:p>
          <w:p w14:paraId="52B6EB52">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二</w:t>
            </w:r>
            <w:r>
              <w:rPr>
                <w:rFonts w:hint="eastAsia"/>
                <w:color w:val="auto"/>
                <w:sz w:val="21"/>
                <w:szCs w:val="21"/>
                <w:highlight w:val="none"/>
                <w:lang w:eastAsia="zh-CN"/>
              </w:rPr>
              <w:t>）</w:t>
            </w:r>
            <w:r>
              <w:rPr>
                <w:rFonts w:hint="eastAsia"/>
                <w:color w:val="auto"/>
                <w:sz w:val="21"/>
                <w:szCs w:val="21"/>
                <w:highlight w:val="none"/>
              </w:rPr>
              <w:t>X射线CT数据采集与图像重建</w:t>
            </w:r>
          </w:p>
          <w:p w14:paraId="458683C4">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val="en-US" w:eastAsia="zh-CN"/>
              </w:rPr>
              <w:t>1.</w:t>
            </w:r>
            <w:r>
              <w:rPr>
                <w:rFonts w:hint="eastAsia"/>
                <w:color w:val="auto"/>
                <w:sz w:val="21"/>
                <w:szCs w:val="21"/>
                <w:highlight w:val="none"/>
              </w:rPr>
              <w:t>笔形束CT扫描模式</w:t>
            </w:r>
          </w:p>
          <w:p w14:paraId="52F51B8A">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参数</w:t>
            </w:r>
          </w:p>
          <w:p w14:paraId="168B967A">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eastAsia="zh-CN"/>
              </w:rPr>
              <w:t>▲</w:t>
            </w:r>
            <w:r>
              <w:rPr>
                <w:rFonts w:hint="default"/>
                <w:color w:val="auto"/>
                <w:sz w:val="21"/>
                <w:szCs w:val="21"/>
                <w:highlight w:val="none"/>
              </w:rPr>
              <w:t>①</w:t>
            </w:r>
            <w:r>
              <w:rPr>
                <w:rFonts w:hint="eastAsia"/>
                <w:color w:val="auto"/>
                <w:sz w:val="21"/>
                <w:szCs w:val="21"/>
                <w:highlight w:val="none"/>
              </w:rPr>
              <w:t>数据采集参数控制区，设置有旋转角度、旋转步进角度、探测器通道损坏、DAS增益不稳、金属伪影（x，y），可自行设置。</w:t>
            </w:r>
          </w:p>
          <w:p w14:paraId="2222CCBF">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default"/>
                <w:color w:val="auto"/>
                <w:sz w:val="21"/>
                <w:szCs w:val="21"/>
                <w:highlight w:val="none"/>
              </w:rPr>
              <w:t>②</w:t>
            </w:r>
            <w:r>
              <w:rPr>
                <w:rFonts w:hint="eastAsia"/>
                <w:color w:val="auto"/>
                <w:sz w:val="21"/>
                <w:szCs w:val="21"/>
                <w:highlight w:val="none"/>
              </w:rPr>
              <w:t>重建参数控制区，可选择图像矩阵（128*128、256*256,、512*512和1024*1024）和重建方法（滤波反投影（FBP）、迭代重建算法（ART）以及无滤波的反投影算法（Non-Fitter BP）），设置迭代法后，重建矩阵无法选择，替换成迭代次数和收敛因子的设置，迭代法重建时间较长。</w:t>
            </w:r>
          </w:p>
          <w:p w14:paraId="4648E52D">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rFonts w:hint="eastAsia"/>
                <w:color w:val="auto"/>
                <w:sz w:val="21"/>
                <w:szCs w:val="21"/>
                <w:highlight w:val="none"/>
              </w:rPr>
              <w:t>样品选择：有17种样品可供选择（比如有中心单体素样品、偏中心单体素样品、中心双体素样品、偏中心双体素样品、多体素样品、字符块样品、颅脑模型等），还可以手绘自定义样品模型（按住鼠标左键在绘图板上可以进行任意样品模板的绘制；reset按钮进行绘图清空；width设置笔迹粗细；density设置像素点的密度）。</w:t>
            </w:r>
          </w:p>
          <w:p w14:paraId="520F3737">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lang w:eastAsia="zh-CN"/>
              </w:rPr>
              <w:t>）</w:t>
            </w:r>
            <w:r>
              <w:rPr>
                <w:rFonts w:hint="eastAsia"/>
                <w:color w:val="auto"/>
                <w:sz w:val="21"/>
                <w:szCs w:val="21"/>
                <w:highlight w:val="none"/>
              </w:rPr>
              <w:t>扫描</w:t>
            </w:r>
          </w:p>
          <w:p w14:paraId="7D81468B">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default"/>
                <w:color w:val="auto"/>
                <w:sz w:val="21"/>
                <w:szCs w:val="21"/>
                <w:highlight w:val="none"/>
              </w:rPr>
              <w:t>①</w:t>
            </w:r>
            <w:r>
              <w:rPr>
                <w:rFonts w:hint="eastAsia"/>
                <w:color w:val="auto"/>
                <w:sz w:val="21"/>
                <w:szCs w:val="21"/>
                <w:highlight w:val="none"/>
              </w:rPr>
              <w:t>点击扫描按钮，扫描运动显示以动画呈现，显示了探测器和球管的扫描运动过程。</w:t>
            </w:r>
          </w:p>
          <w:p w14:paraId="666B5BEB">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default"/>
                <w:color w:val="auto"/>
                <w:sz w:val="21"/>
                <w:szCs w:val="21"/>
                <w:highlight w:val="none"/>
              </w:rPr>
              <w:t>②</w:t>
            </w:r>
            <w:r>
              <w:rPr>
                <w:rFonts w:hint="eastAsia"/>
                <w:color w:val="auto"/>
                <w:sz w:val="21"/>
                <w:szCs w:val="21"/>
                <w:highlight w:val="none"/>
              </w:rPr>
              <w:t>数据采集显示，与动画相结合，最终以3D显示。</w:t>
            </w:r>
          </w:p>
          <w:p w14:paraId="2A6D11E8">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4</w:t>
            </w:r>
            <w:r>
              <w:rPr>
                <w:rFonts w:hint="eastAsia"/>
                <w:color w:val="auto"/>
                <w:sz w:val="21"/>
                <w:szCs w:val="21"/>
                <w:highlight w:val="none"/>
                <w:lang w:eastAsia="zh-CN"/>
              </w:rPr>
              <w:t>）</w:t>
            </w:r>
            <w:r>
              <w:rPr>
                <w:rFonts w:hint="eastAsia"/>
                <w:color w:val="auto"/>
                <w:sz w:val="21"/>
                <w:szCs w:val="21"/>
                <w:highlight w:val="none"/>
              </w:rPr>
              <w:t>重建</w:t>
            </w:r>
          </w:p>
          <w:p w14:paraId="4FDDDED4">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default"/>
                <w:color w:val="auto"/>
                <w:sz w:val="21"/>
                <w:szCs w:val="21"/>
                <w:highlight w:val="none"/>
              </w:rPr>
              <w:t>①</w:t>
            </w:r>
            <w:r>
              <w:rPr>
                <w:rFonts w:hint="eastAsia"/>
                <w:color w:val="auto"/>
                <w:sz w:val="21"/>
                <w:szCs w:val="21"/>
                <w:highlight w:val="none"/>
              </w:rPr>
              <w:t>点击重建按钮，图像重建进度以动画的形式展现。</w:t>
            </w:r>
          </w:p>
          <w:p w14:paraId="0122929F">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default"/>
                <w:color w:val="auto"/>
                <w:sz w:val="21"/>
                <w:szCs w:val="21"/>
                <w:highlight w:val="none"/>
              </w:rPr>
              <w:t>②</w:t>
            </w:r>
            <w:r>
              <w:rPr>
                <w:rFonts w:hint="eastAsia"/>
                <w:color w:val="auto"/>
                <w:sz w:val="21"/>
                <w:szCs w:val="21"/>
                <w:highlight w:val="none"/>
              </w:rPr>
              <w:t>最终以3D显示重建图像效果。</w:t>
            </w:r>
          </w:p>
          <w:p w14:paraId="620459B2">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val="en-US" w:eastAsia="zh-CN"/>
              </w:rPr>
              <w:t>2.</w:t>
            </w:r>
            <w:r>
              <w:rPr>
                <w:rFonts w:hint="eastAsia"/>
                <w:color w:val="auto"/>
                <w:sz w:val="21"/>
                <w:szCs w:val="21"/>
                <w:highlight w:val="none"/>
              </w:rPr>
              <w:t>扇形束CT扫描模式</w:t>
            </w:r>
          </w:p>
          <w:p w14:paraId="22F5430D">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参数</w:t>
            </w:r>
          </w:p>
          <w:p w14:paraId="159C88B1">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default"/>
                <w:color w:val="auto"/>
                <w:sz w:val="21"/>
                <w:szCs w:val="21"/>
                <w:highlight w:val="none"/>
              </w:rPr>
              <w:t>①</w:t>
            </w:r>
            <w:r>
              <w:rPr>
                <w:rFonts w:hint="eastAsia"/>
                <w:color w:val="auto"/>
                <w:sz w:val="21"/>
                <w:szCs w:val="21"/>
                <w:highlight w:val="none"/>
              </w:rPr>
              <w:t>数据采集参数控制区，设置有源心距（射线源和样品中心之间的距离）、旋转角度、旋转步进角度、探测器对应的角度、探测器通道损坏、DAS增益不稳、金属异物（x，y）和球管打火。</w:t>
            </w:r>
          </w:p>
          <w:p w14:paraId="7E0D9BD4">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default"/>
                <w:color w:val="auto"/>
                <w:sz w:val="21"/>
                <w:szCs w:val="21"/>
                <w:highlight w:val="none"/>
              </w:rPr>
              <w:t>②</w:t>
            </w:r>
            <w:r>
              <w:rPr>
                <w:rFonts w:hint="eastAsia"/>
                <w:color w:val="auto"/>
                <w:sz w:val="21"/>
                <w:szCs w:val="21"/>
                <w:highlight w:val="none"/>
              </w:rPr>
              <w:t>重建参数控制区，可选择图像矩阵（128*128、256*256和512*512）</w:t>
            </w:r>
          </w:p>
          <w:p w14:paraId="67585019">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eastAsia="zh-CN"/>
              </w:rPr>
              <w:t>▲</w:t>
            </w:r>
            <w:r>
              <w:rPr>
                <w:rFonts w:hint="default"/>
                <w:color w:val="auto"/>
                <w:sz w:val="21"/>
                <w:szCs w:val="21"/>
                <w:highlight w:val="none"/>
              </w:rPr>
              <w:t>③</w:t>
            </w:r>
            <w:r>
              <w:rPr>
                <w:rFonts w:hint="eastAsia"/>
                <w:color w:val="auto"/>
                <w:sz w:val="21"/>
                <w:szCs w:val="21"/>
                <w:highlight w:val="none"/>
              </w:rPr>
              <w:t>在Filter-Design菜单中单击Design，即可弹出加窗函数选择界面。默认的为矩形窗+Ramp斜坡函数的频域和时域波形。选择Sinc、Hanning、Hamming、Blackman、Butterworth、Gaussian和Triangle等不同加窗后，单击Confirm按钮，即可看到加窗后的频域和时域波形，单击Save按钮，即完成了滤波器选择。后面主界面上的重建过程均采用该滤波器，如需要更改滤波器，需要重新打开滤波器选择界面。</w:t>
            </w:r>
          </w:p>
          <w:p w14:paraId="4F428FC1">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rFonts w:hint="eastAsia"/>
                <w:color w:val="auto"/>
                <w:sz w:val="21"/>
                <w:szCs w:val="21"/>
                <w:highlight w:val="none"/>
              </w:rPr>
              <w:t>样品选择：有7种样品可供选择（有中心单体素样品、偏中心单体素样品、中心双体素样品、偏中心双体素样品、多体素样品、字符块样品和颅脑模型）。</w:t>
            </w:r>
          </w:p>
          <w:p w14:paraId="1FC77EF6">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lang w:eastAsia="zh-CN"/>
              </w:rPr>
              <w:t>）</w:t>
            </w:r>
            <w:r>
              <w:rPr>
                <w:rFonts w:hint="eastAsia"/>
                <w:color w:val="auto"/>
                <w:sz w:val="21"/>
                <w:szCs w:val="21"/>
                <w:highlight w:val="none"/>
              </w:rPr>
              <w:t>扫描</w:t>
            </w:r>
          </w:p>
          <w:p w14:paraId="4B3F0A0C">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default"/>
                <w:color w:val="auto"/>
                <w:sz w:val="21"/>
                <w:szCs w:val="21"/>
                <w:highlight w:val="none"/>
              </w:rPr>
              <w:t>①</w:t>
            </w:r>
            <w:r>
              <w:rPr>
                <w:rFonts w:hint="eastAsia"/>
                <w:color w:val="auto"/>
                <w:sz w:val="21"/>
                <w:szCs w:val="21"/>
                <w:highlight w:val="none"/>
              </w:rPr>
              <w:t>点击扫描按钮，扫描运动显示以动画呈现，显示了探测器和球管的扫描运动过程。</w:t>
            </w:r>
          </w:p>
          <w:p w14:paraId="537CAFBB">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default"/>
                <w:color w:val="auto"/>
                <w:sz w:val="21"/>
                <w:szCs w:val="21"/>
                <w:highlight w:val="none"/>
              </w:rPr>
              <w:t>②</w:t>
            </w:r>
            <w:r>
              <w:rPr>
                <w:rFonts w:hint="eastAsia"/>
                <w:color w:val="auto"/>
                <w:sz w:val="21"/>
                <w:szCs w:val="21"/>
                <w:highlight w:val="none"/>
              </w:rPr>
              <w:t>数据采集显示，与动画相结合，最终以3D显示。</w:t>
            </w:r>
          </w:p>
          <w:p w14:paraId="66DAF0F5">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val="en-US" w:eastAsia="zh-CN"/>
              </w:rPr>
              <w:t>3</w:t>
            </w:r>
            <w:r>
              <w:rPr>
                <w:rFonts w:hint="eastAsia"/>
                <w:color w:val="auto"/>
                <w:sz w:val="21"/>
                <w:szCs w:val="21"/>
                <w:highlight w:val="none"/>
              </w:rPr>
              <w:t>. 重建</w:t>
            </w:r>
          </w:p>
          <w:p w14:paraId="1AA1BA9D">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default"/>
                <w:color w:val="auto"/>
                <w:sz w:val="21"/>
                <w:szCs w:val="21"/>
                <w:highlight w:val="none"/>
              </w:rPr>
              <w:t>①</w:t>
            </w:r>
            <w:r>
              <w:rPr>
                <w:rFonts w:hint="eastAsia"/>
                <w:color w:val="auto"/>
                <w:sz w:val="21"/>
                <w:szCs w:val="21"/>
                <w:highlight w:val="none"/>
              </w:rPr>
              <w:t>点击重建按钮，图像重建进度以动画的形式展现。</w:t>
            </w:r>
          </w:p>
          <w:p w14:paraId="7A5B0F51">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default"/>
                <w:color w:val="auto"/>
                <w:sz w:val="21"/>
                <w:szCs w:val="21"/>
                <w:highlight w:val="none"/>
              </w:rPr>
              <w:t>②</w:t>
            </w:r>
            <w:r>
              <w:rPr>
                <w:rFonts w:hint="eastAsia"/>
                <w:color w:val="auto"/>
                <w:sz w:val="21"/>
                <w:szCs w:val="21"/>
                <w:highlight w:val="none"/>
              </w:rPr>
              <w:t>最终以3D显示重建图像效果。</w:t>
            </w:r>
          </w:p>
          <w:p w14:paraId="52DBB1F3">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val="en-US" w:eastAsia="zh-CN"/>
              </w:rPr>
              <w:t>4.</w:t>
            </w:r>
            <w:r>
              <w:rPr>
                <w:rFonts w:hint="eastAsia"/>
                <w:color w:val="auto"/>
                <w:sz w:val="21"/>
                <w:szCs w:val="21"/>
                <w:highlight w:val="none"/>
              </w:rPr>
              <w:t>数字人CT成像</w:t>
            </w:r>
          </w:p>
          <w:p w14:paraId="4879240D">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整体界面</w:t>
            </w:r>
          </w:p>
          <w:p w14:paraId="35DA2DE5">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default"/>
                <w:color w:val="auto"/>
                <w:sz w:val="21"/>
                <w:szCs w:val="21"/>
                <w:highlight w:val="none"/>
              </w:rPr>
              <w:t>①</w:t>
            </w:r>
            <w:r>
              <w:rPr>
                <w:rFonts w:hint="eastAsia"/>
                <w:color w:val="auto"/>
                <w:sz w:val="21"/>
                <w:szCs w:val="21"/>
                <w:highlight w:val="none"/>
              </w:rPr>
              <w:t>菜单栏里包括文件（File）、病人（Patient）、系统（System）等。文件里有保存原始图像数据和图像，以及打开原始数据和图像等，也可以保存和读取DICOM图像，该软件虚拟扫描的图像保存为DICOM后，可到临床设备上读取显示；同理，临床CT设备扫描的CT图像，可以通过本软件读取显示，并做相应的后处理；病人菜单包括注册和查找病人功能；系统菜单主要是开机预热（Checkup）功能。</w:t>
            </w:r>
          </w:p>
          <w:p w14:paraId="146EF625">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default"/>
                <w:color w:val="auto"/>
                <w:sz w:val="21"/>
                <w:szCs w:val="21"/>
                <w:highlight w:val="none"/>
              </w:rPr>
              <w:t>②</w:t>
            </w:r>
            <w:r>
              <w:rPr>
                <w:rFonts w:hint="eastAsia"/>
                <w:color w:val="auto"/>
                <w:sz w:val="21"/>
                <w:szCs w:val="21"/>
                <w:highlight w:val="none"/>
              </w:rPr>
              <w:t>工具栏分别为：打开文件、打印图形、注册病人、病人检查结束；以及基本的图像后处理功能：局部放大、缩小、平移、三维旋转、色彩变换；单点标注、测距、切片显示；图像显示方式：单幅、1*2、2*2、3*3、4*4等；图像翻转：左右、上下、左旋90°；窗宽增减、窗位增减等。</w:t>
            </w:r>
          </w:p>
          <w:p w14:paraId="5C4D3A4E">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eastAsia="zh-CN"/>
              </w:rPr>
              <w:t>▲</w:t>
            </w:r>
            <w:r>
              <w:rPr>
                <w:rFonts w:hint="default"/>
                <w:color w:val="auto"/>
                <w:sz w:val="21"/>
                <w:szCs w:val="21"/>
                <w:highlight w:val="none"/>
              </w:rPr>
              <w:t>③</w:t>
            </w:r>
            <w:r>
              <w:rPr>
                <w:rFonts w:hint="eastAsia"/>
                <w:color w:val="auto"/>
                <w:sz w:val="21"/>
                <w:szCs w:val="21"/>
                <w:highlight w:val="none"/>
              </w:rPr>
              <w:t>参数设置，分别为X射线物理参数（包括kV、mA、s）、层面参数（层倾斜角度、层位、层数）、采集参数（层数、扫描范围、步进距离、螺距、扫描方向（选择CranioCaudal时，床为进床模式扫描，头先进摆位时，为从头到脚扫描；选择CaudoCranisl时，床为出床模式，头先进摆位时，为从脚到头扫描））、矩阵大小（128*128、256*256、512*512、1024*1024）、重建算法以及图像显示窗宽窗位调节等。</w:t>
            </w:r>
          </w:p>
          <w:p w14:paraId="367489B8">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rFonts w:hint="eastAsia"/>
                <w:color w:val="auto"/>
                <w:sz w:val="21"/>
                <w:szCs w:val="21"/>
                <w:highlight w:val="none"/>
              </w:rPr>
              <w:t>开机预热界面</w:t>
            </w:r>
          </w:p>
          <w:p w14:paraId="2B34B4D3">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default"/>
                <w:color w:val="auto"/>
                <w:sz w:val="21"/>
                <w:szCs w:val="21"/>
                <w:highlight w:val="none"/>
              </w:rPr>
              <w:t>①</w:t>
            </w:r>
            <w:r>
              <w:rPr>
                <w:rFonts w:hint="eastAsia"/>
                <w:color w:val="auto"/>
                <w:sz w:val="21"/>
                <w:szCs w:val="21"/>
                <w:highlight w:val="none"/>
              </w:rPr>
              <w:t>进入人体扫描界面后，会自动出现开机预热界面，模拟实际仪器开机的自动球管预热功能。</w:t>
            </w:r>
          </w:p>
          <w:p w14:paraId="02F7250C">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default"/>
                <w:color w:val="auto"/>
                <w:sz w:val="21"/>
                <w:szCs w:val="21"/>
                <w:highlight w:val="none"/>
              </w:rPr>
              <w:t>②</w:t>
            </w:r>
            <w:r>
              <w:rPr>
                <w:rFonts w:hint="eastAsia"/>
                <w:color w:val="auto"/>
                <w:sz w:val="21"/>
                <w:szCs w:val="21"/>
                <w:highlight w:val="none"/>
              </w:rPr>
              <w:t>提示开机预热的主要功能，以及离上次预热之间的时间天数。如果配有CT模型，此时模型会出现球管和检测开机检查动作。</w:t>
            </w:r>
          </w:p>
          <w:p w14:paraId="6F6A6E0A">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lang w:eastAsia="zh-CN"/>
              </w:rPr>
              <w:t>）</w:t>
            </w:r>
            <w:r>
              <w:rPr>
                <w:rFonts w:hint="eastAsia"/>
                <w:color w:val="auto"/>
                <w:sz w:val="21"/>
                <w:szCs w:val="21"/>
                <w:highlight w:val="none"/>
              </w:rPr>
              <w:t>病人注册与显示界面</w:t>
            </w:r>
          </w:p>
          <w:p w14:paraId="2CBCC4D7">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default"/>
                <w:color w:val="auto"/>
                <w:sz w:val="21"/>
                <w:szCs w:val="21"/>
                <w:highlight w:val="none"/>
              </w:rPr>
              <w:t>①</w:t>
            </w:r>
            <w:r>
              <w:rPr>
                <w:rFonts w:hint="eastAsia"/>
                <w:color w:val="auto"/>
                <w:sz w:val="21"/>
                <w:szCs w:val="21"/>
                <w:highlight w:val="none"/>
              </w:rPr>
              <w:t>点击菜单栏的Patient中的Register，会出现病人注册界面，或者直接点击Registe按钮。</w:t>
            </w:r>
          </w:p>
          <w:p w14:paraId="0D206356">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default"/>
                <w:color w:val="auto"/>
                <w:sz w:val="21"/>
                <w:szCs w:val="21"/>
                <w:highlight w:val="none"/>
              </w:rPr>
              <w:t>②</w:t>
            </w:r>
            <w:r>
              <w:rPr>
                <w:rFonts w:hint="eastAsia"/>
                <w:color w:val="auto"/>
                <w:sz w:val="21"/>
                <w:szCs w:val="21"/>
                <w:highlight w:val="none"/>
              </w:rPr>
              <w:t>病人信息中，ID号为自动增加，检查日期默认为当天。分别填写姓名、性别、年龄、体重（必填），以及转诊医生和入院检查等信息后，单击确认后继续按钮（Confirm and Proceed），即完成注册。</w:t>
            </w:r>
          </w:p>
          <w:p w14:paraId="0F676131">
            <w:pPr>
              <w:keepNext w:val="0"/>
              <w:keepLines w:val="0"/>
              <w:suppressLineNumbers w:val="0"/>
              <w:wordWrap w:val="0"/>
              <w:spacing w:before="0" w:beforeAutospacing="0" w:after="0" w:afterAutospacing="0" w:line="240" w:lineRule="auto"/>
              <w:ind w:left="0" w:right="0"/>
              <w:rPr>
                <w:rFonts w:hint="eastAsia"/>
                <w:color w:val="auto"/>
                <w:sz w:val="21"/>
                <w:szCs w:val="21"/>
                <w:highlight w:val="none"/>
              </w:rPr>
            </w:pPr>
            <w:r>
              <w:rPr>
                <w:rFonts w:hint="default"/>
                <w:color w:val="auto"/>
                <w:sz w:val="21"/>
                <w:szCs w:val="21"/>
                <w:highlight w:val="none"/>
              </w:rPr>
              <w:t>③</w:t>
            </w:r>
            <w:r>
              <w:rPr>
                <w:rFonts w:hint="eastAsia"/>
                <w:color w:val="auto"/>
                <w:sz w:val="21"/>
                <w:szCs w:val="21"/>
                <w:highlight w:val="none"/>
              </w:rPr>
              <w:t>注册病人过程中，患者数据库会显示出最新注册的14位病人信息。</w:t>
            </w:r>
          </w:p>
          <w:p w14:paraId="403674FD">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0" w:firstLineChars="0"/>
              <w:jc w:val="left"/>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lang w:eastAsia="zh-CN"/>
              </w:rPr>
              <w:t>（</w:t>
            </w:r>
            <w:r>
              <w:rPr>
                <w:rFonts w:hint="eastAsia"/>
                <w:color w:val="auto"/>
                <w:sz w:val="21"/>
                <w:szCs w:val="21"/>
                <w:highlight w:val="none"/>
                <w:lang w:val="en-US" w:eastAsia="zh-CN"/>
              </w:rPr>
              <w:t>4</w:t>
            </w:r>
            <w:r>
              <w:rPr>
                <w:rFonts w:hint="eastAsia"/>
                <w:color w:val="auto"/>
                <w:sz w:val="21"/>
                <w:szCs w:val="21"/>
                <w:highlight w:val="none"/>
                <w:lang w:eastAsia="zh-CN"/>
              </w:rPr>
              <w:t>）</w:t>
            </w:r>
            <w:r>
              <w:rPr>
                <w:rFonts w:hint="eastAsia"/>
                <w:color w:val="auto"/>
                <w:sz w:val="21"/>
                <w:szCs w:val="21"/>
                <w:highlight w:val="none"/>
              </w:rPr>
              <w:t>扫描：虚拟扫描的CT图像显示时，四角会出现基本信息（患者ID号、姓名、性别、时间、窗宽窗位等）。图像处理，可进行左右、上下、90°旋转、反白、多幅浏览、直方图均衡、窗宽/窗位调节、多幅显示、放大/缩小、平移、测距、数据等基本功能</w:t>
            </w:r>
            <w:r>
              <w:rPr>
                <w:rFonts w:hint="eastAsia"/>
                <w:color w:val="auto"/>
                <w:sz w:val="21"/>
                <w:szCs w:val="21"/>
                <w:highlight w:val="none"/>
                <w:lang w:eastAsia="zh-CN"/>
              </w:rPr>
              <w:t>。</w:t>
            </w:r>
          </w:p>
        </w:tc>
        <w:tc>
          <w:tcPr>
            <w:tcW w:w="1497" w:type="dxa"/>
            <w:tcBorders>
              <w:top w:val="single" w:color="000000" w:sz="4" w:space="0"/>
              <w:left w:val="single" w:color="auto" w:sz="4" w:space="0"/>
              <w:bottom w:val="single" w:color="000000" w:sz="4" w:space="0"/>
              <w:right w:val="single" w:color="000000" w:sz="4" w:space="0"/>
            </w:tcBorders>
            <w:shd w:val="clear" w:color="auto" w:fill="auto"/>
            <w:vAlign w:val="center"/>
          </w:tcPr>
          <w:p w14:paraId="6A1EF06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宋体" w:hAnsi="宋体" w:eastAsia="宋体" w:cs="宋体"/>
                <w:color w:val="auto"/>
                <w:kern w:val="0"/>
                <w:sz w:val="21"/>
                <w:szCs w:val="21"/>
                <w:highlight w:val="none"/>
                <w:lang w:val="en-US" w:eastAsia="zh-CN" w:bidi="ar-SA"/>
              </w:rPr>
            </w:pPr>
            <w:r>
              <w:rPr>
                <w:rFonts w:hint="eastAsia"/>
                <w:color w:val="auto"/>
                <w:sz w:val="21"/>
                <w:szCs w:val="21"/>
                <w:highlight w:val="none"/>
              </w:rPr>
              <w:t>软件和信息技术服务业</w:t>
            </w:r>
          </w:p>
        </w:tc>
      </w:tr>
      <w:tr w14:paraId="1C731E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2" w:hRule="atLeast"/>
          <w:jc w:val="center"/>
        </w:trPr>
        <w:tc>
          <w:tcPr>
            <w:tcW w:w="9453" w:type="dxa"/>
            <w:gridSpan w:val="6"/>
            <w:tcBorders>
              <w:top w:val="single" w:color="000000" w:sz="4" w:space="0"/>
              <w:left w:val="single" w:color="auto" w:sz="4" w:space="0"/>
              <w:bottom w:val="single" w:color="000000" w:sz="4" w:space="0"/>
              <w:right w:val="single" w:color="000000" w:sz="4" w:space="0"/>
            </w:tcBorders>
            <w:vAlign w:val="center"/>
          </w:tcPr>
          <w:p w14:paraId="7194093B">
            <w:pPr>
              <w:keepNext w:val="0"/>
              <w:keepLines w:val="0"/>
              <w:widowControl w:val="0"/>
              <w:suppressLineNumbers w:val="0"/>
              <w:wordWrap/>
              <w:adjustRightInd/>
              <w:snapToGrid/>
              <w:spacing w:before="0" w:beforeAutospacing="0" w:after="0" w:afterAutospacing="0" w:line="320" w:lineRule="exact"/>
              <w:ind w:left="0" w:leftChars="0" w:right="0" w:firstLine="0" w:firstLineChars="0"/>
              <w:jc w:val="center"/>
              <w:textAlignment w:val="auto"/>
              <w:outlineLvl w:val="9"/>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二、商务要求</w:t>
            </w:r>
          </w:p>
        </w:tc>
      </w:tr>
      <w:tr w14:paraId="4579FB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7ECBCD07">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1</w:t>
            </w:r>
          </w:p>
        </w:tc>
        <w:tc>
          <w:tcPr>
            <w:tcW w:w="1119" w:type="dxa"/>
            <w:tcBorders>
              <w:left w:val="nil"/>
              <w:right w:val="single" w:color="000000" w:sz="4" w:space="0"/>
            </w:tcBorders>
            <w:shd w:val="clear" w:color="auto" w:fill="auto"/>
            <w:vAlign w:val="center"/>
          </w:tcPr>
          <w:p w14:paraId="11A07C68">
            <w:pPr>
              <w:keepNext w:val="0"/>
              <w:keepLines w:val="0"/>
              <w:suppressLineNumbers w:val="0"/>
              <w:snapToGrid w:val="0"/>
              <w:spacing w:before="0" w:beforeAutospacing="0" w:after="0" w:afterAutospacing="0" w:line="400" w:lineRule="exact"/>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w:t>
            </w:r>
            <w:r>
              <w:rPr>
                <w:rFonts w:hint="eastAsia" w:ascii="宋体" w:hAnsi="宋体" w:eastAsia="宋体" w:cs="宋体"/>
                <w:color w:val="auto"/>
                <w:kern w:val="2"/>
                <w:sz w:val="21"/>
                <w:szCs w:val="21"/>
                <w:highlight w:val="none"/>
                <w:lang w:val="en-US" w:eastAsia="zh-CN" w:bidi="ar-SA"/>
              </w:rPr>
              <w:t>合同签订时间</w:t>
            </w:r>
          </w:p>
        </w:tc>
        <w:tc>
          <w:tcPr>
            <w:tcW w:w="7772" w:type="dxa"/>
            <w:gridSpan w:val="4"/>
            <w:tcBorders>
              <w:top w:val="single" w:color="000000" w:sz="4" w:space="0"/>
              <w:left w:val="nil"/>
              <w:bottom w:val="single" w:color="000000" w:sz="4" w:space="0"/>
              <w:right w:val="single" w:color="000000" w:sz="4" w:space="0"/>
            </w:tcBorders>
            <w:shd w:val="clear" w:color="auto" w:fill="auto"/>
            <w:vAlign w:val="center"/>
          </w:tcPr>
          <w:p w14:paraId="0A58C204">
            <w:pPr>
              <w:pStyle w:val="14"/>
              <w:keepNext w:val="0"/>
              <w:keepLines w:val="0"/>
              <w:suppressLineNumbers w:val="0"/>
              <w:snapToGrid w:val="0"/>
              <w:spacing w:before="0" w:beforeAutospacing="0" w:after="0" w:afterAutospacing="0" w:line="400" w:lineRule="exact"/>
              <w:ind w:left="0" w:right="0"/>
              <w:jc w:val="left"/>
              <w:rPr>
                <w:rFonts w:hint="eastAsia" w:ascii="宋体" w:hAnsi="宋体" w:eastAsia="宋体" w:cs="宋体"/>
                <w:color w:val="auto"/>
                <w:sz w:val="21"/>
                <w:szCs w:val="21"/>
                <w:highlight w:val="none"/>
                <w:lang w:val="en-US" w:eastAsia="zh-CN"/>
              </w:rPr>
            </w:pPr>
            <w:r>
              <w:rPr>
                <w:rFonts w:hint="eastAsia" w:ascii="宋体" w:hAnsi="宋体"/>
                <w:color w:val="auto"/>
                <w:sz w:val="21"/>
                <w:szCs w:val="21"/>
                <w:highlight w:val="none"/>
              </w:rPr>
              <w:t>自</w:t>
            </w:r>
            <w:r>
              <w:rPr>
                <w:rFonts w:hint="eastAsia" w:ascii="宋体" w:hAnsi="宋体"/>
                <w:color w:val="auto"/>
                <w:sz w:val="21"/>
                <w:szCs w:val="21"/>
                <w:highlight w:val="none"/>
                <w:lang w:val="en-US" w:eastAsia="zh-CN"/>
              </w:rPr>
              <w:t>中标</w:t>
            </w:r>
            <w:r>
              <w:rPr>
                <w:rFonts w:hint="eastAsia" w:ascii="宋体" w:hAnsi="宋体"/>
                <w:color w:val="auto"/>
                <w:sz w:val="21"/>
                <w:szCs w:val="21"/>
                <w:highlight w:val="none"/>
              </w:rPr>
              <w:t>通知书发出之日起</w:t>
            </w:r>
            <w:r>
              <w:rPr>
                <w:rFonts w:hint="eastAsia" w:ascii="宋体" w:hAnsi="宋体"/>
                <w:color w:val="auto"/>
                <w:sz w:val="21"/>
                <w:szCs w:val="21"/>
                <w:highlight w:val="none"/>
                <w:u w:val="single"/>
              </w:rPr>
              <w:t xml:space="preserve"> 25 </w:t>
            </w:r>
            <w:r>
              <w:rPr>
                <w:rFonts w:hint="eastAsia" w:ascii="宋体" w:hAnsi="宋体"/>
                <w:color w:val="auto"/>
                <w:sz w:val="21"/>
                <w:szCs w:val="21"/>
                <w:highlight w:val="none"/>
              </w:rPr>
              <w:t>日内。</w:t>
            </w:r>
          </w:p>
        </w:tc>
      </w:tr>
      <w:tr w14:paraId="42B1FE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0329E212">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2</w:t>
            </w:r>
          </w:p>
        </w:tc>
        <w:tc>
          <w:tcPr>
            <w:tcW w:w="1119" w:type="dxa"/>
            <w:tcBorders>
              <w:left w:val="nil"/>
              <w:right w:val="single" w:color="000000" w:sz="4" w:space="0"/>
            </w:tcBorders>
            <w:shd w:val="clear" w:color="auto" w:fill="auto"/>
            <w:vAlign w:val="center"/>
          </w:tcPr>
          <w:p w14:paraId="66A1874E">
            <w:pPr>
              <w:keepNext w:val="0"/>
              <w:keepLines w:val="0"/>
              <w:suppressLineNumbers w:val="0"/>
              <w:snapToGrid w:val="0"/>
              <w:spacing w:before="0" w:beforeAutospacing="0" w:after="0" w:afterAutospacing="0" w:line="400" w:lineRule="exact"/>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质保期</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02BDDC45">
            <w:pPr>
              <w:keepNext w:val="0"/>
              <w:keepLines w:val="0"/>
              <w:suppressLineNumbers w:val="0"/>
              <w:spacing w:before="0" w:beforeAutospacing="0" w:after="0" w:afterAutospacing="0" w:line="340" w:lineRule="exact"/>
              <w:ind w:left="0" w:right="0"/>
              <w:jc w:val="left"/>
              <w:rPr>
                <w:rFonts w:hint="eastAsia" w:ascii="宋体"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质保期：中标人提供系统生产厂家对本项目的售后服务承诺函并承诺平台终身免费升级，平台每年至少1次升级资源内容</w:t>
            </w:r>
            <w:r>
              <w:rPr>
                <w:rFonts w:hint="eastAsia" w:ascii="宋体" w:hAnsi="宋体" w:cs="宋体"/>
                <w:color w:val="auto"/>
                <w:sz w:val="21"/>
                <w:szCs w:val="21"/>
                <w:highlight w:val="none"/>
              </w:rPr>
              <w:t>。</w:t>
            </w:r>
          </w:p>
          <w:p w14:paraId="79999AAE">
            <w:pPr>
              <w:pStyle w:val="14"/>
              <w:keepNext w:val="0"/>
              <w:keepLines w:val="0"/>
              <w:suppressLineNumbers w:val="0"/>
              <w:snapToGrid w:val="0"/>
              <w:spacing w:before="0" w:beforeAutospacing="0" w:after="0" w:afterAutospacing="0" w:line="400" w:lineRule="exact"/>
              <w:ind w:left="0" w:leftChars="0" w:right="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2.</w:t>
            </w:r>
            <w:r>
              <w:rPr>
                <w:rFonts w:hint="eastAsia" w:hAnsi="宋体" w:cs="宋体"/>
                <w:color w:val="auto"/>
                <w:sz w:val="21"/>
                <w:szCs w:val="21"/>
                <w:highlight w:val="none"/>
                <w:lang w:val="en-US" w:eastAsia="zh-CN"/>
              </w:rPr>
              <w:t>质保期内</w:t>
            </w:r>
            <w:r>
              <w:rPr>
                <w:rFonts w:hint="eastAsia"/>
                <w:color w:val="auto"/>
                <w:szCs w:val="21"/>
                <w:highlight w:val="none"/>
                <w:lang w:val="en-US" w:eastAsia="zh-CN"/>
              </w:rPr>
              <w:t>中标人</w:t>
            </w:r>
            <w:r>
              <w:rPr>
                <w:rFonts w:hint="eastAsia"/>
                <w:color w:val="auto"/>
                <w:szCs w:val="21"/>
                <w:highlight w:val="none"/>
              </w:rPr>
              <w:t>提供升级与技术支持服务，提供7</w:t>
            </w:r>
            <w:r>
              <w:rPr>
                <w:rFonts w:hint="default" w:ascii="Arial" w:hAnsi="Arial" w:cs="Arial"/>
                <w:color w:val="auto"/>
                <w:szCs w:val="21"/>
                <w:highlight w:val="none"/>
              </w:rPr>
              <w:t>×</w:t>
            </w:r>
            <w:r>
              <w:rPr>
                <w:rFonts w:hint="eastAsia"/>
                <w:color w:val="auto"/>
                <w:szCs w:val="21"/>
                <w:highlight w:val="none"/>
              </w:rPr>
              <w:t>24小时服务体系，所有服务费用包含在本次报价中</w:t>
            </w:r>
            <w:r>
              <w:rPr>
                <w:rFonts w:hint="eastAsia" w:ascii="宋体" w:hAnsi="宋体" w:eastAsia="宋体" w:cs="宋体"/>
                <w:color w:val="auto"/>
                <w:sz w:val="21"/>
                <w:szCs w:val="21"/>
                <w:highlight w:val="none"/>
                <w:lang w:val="en-US" w:eastAsia="zh-CN"/>
              </w:rPr>
              <w:t>。</w:t>
            </w:r>
          </w:p>
        </w:tc>
      </w:tr>
      <w:tr w14:paraId="55F1C8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16DA0100">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3</w:t>
            </w:r>
          </w:p>
        </w:tc>
        <w:tc>
          <w:tcPr>
            <w:tcW w:w="1119" w:type="dxa"/>
            <w:tcBorders>
              <w:left w:val="nil"/>
              <w:right w:val="single" w:color="000000" w:sz="4" w:space="0"/>
            </w:tcBorders>
            <w:shd w:val="clear" w:color="auto" w:fill="auto"/>
            <w:vAlign w:val="center"/>
          </w:tcPr>
          <w:p w14:paraId="59E0C26A">
            <w:pPr>
              <w:keepNext w:val="0"/>
              <w:keepLines w:val="0"/>
              <w:suppressLineNumbers w:val="0"/>
              <w:snapToGrid w:val="0"/>
              <w:spacing w:before="0" w:beforeAutospacing="0" w:after="0" w:afterAutospacing="0" w:line="400" w:lineRule="exact"/>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投标</w:t>
            </w:r>
            <w:r>
              <w:rPr>
                <w:rFonts w:hint="eastAsia" w:ascii="宋体" w:hAnsi="宋体" w:eastAsia="宋体" w:cs="宋体"/>
                <w:color w:val="auto"/>
                <w:sz w:val="21"/>
                <w:szCs w:val="21"/>
                <w:highlight w:val="none"/>
              </w:rPr>
              <w:t>报价</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4646EEA5">
            <w:pPr>
              <w:pStyle w:val="14"/>
              <w:keepNext w:val="0"/>
              <w:keepLines w:val="0"/>
              <w:suppressLineNumbers w:val="0"/>
              <w:snapToGrid w:val="0"/>
              <w:spacing w:before="0" w:beforeAutospacing="0" w:after="0" w:afterAutospacing="0" w:line="400" w:lineRule="exact"/>
              <w:ind w:left="0" w:leftChars="0" w:right="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投标报价包括货款、</w:t>
            </w:r>
            <w:r>
              <w:rPr>
                <w:color w:val="auto"/>
                <w:szCs w:val="21"/>
                <w:highlight w:val="none"/>
              </w:rPr>
              <w:t>技术服务费、交通、运输、</w:t>
            </w:r>
            <w:r>
              <w:rPr>
                <w:rFonts w:hint="eastAsia"/>
                <w:color w:val="auto"/>
                <w:szCs w:val="21"/>
                <w:highlight w:val="none"/>
              </w:rPr>
              <w:t>检测</w:t>
            </w:r>
            <w:r>
              <w:rPr>
                <w:color w:val="auto"/>
                <w:szCs w:val="21"/>
                <w:highlight w:val="none"/>
              </w:rPr>
              <w:t>、管理费、税费、安装调试费、软硬件升级、售后服务、利润、验收、政策性文件规定及合同包含的所有风险、责任等</w:t>
            </w:r>
            <w:r>
              <w:rPr>
                <w:rFonts w:hint="eastAsia"/>
                <w:color w:val="auto"/>
                <w:szCs w:val="21"/>
                <w:highlight w:val="none"/>
                <w:lang w:val="en-US" w:eastAsia="zh-CN"/>
              </w:rPr>
              <w:t>直至运行交付使用的一切</w:t>
            </w:r>
            <w:r>
              <w:rPr>
                <w:color w:val="auto"/>
                <w:szCs w:val="21"/>
                <w:highlight w:val="none"/>
              </w:rPr>
              <w:t>费用</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投标人</w:t>
            </w:r>
            <w:r>
              <w:rPr>
                <w:rFonts w:hint="eastAsia" w:ascii="宋体" w:hAnsi="宋体" w:eastAsia="宋体" w:cs="宋体"/>
                <w:color w:val="auto"/>
                <w:sz w:val="21"/>
                <w:szCs w:val="21"/>
                <w:highlight w:val="none"/>
              </w:rPr>
              <w:t>不得以任何理由要求采购人另行支付其他任何费用</w:t>
            </w:r>
            <w:r>
              <w:rPr>
                <w:rFonts w:hint="eastAsia" w:ascii="宋体" w:hAnsi="宋体" w:eastAsia="宋体" w:cs="宋体"/>
                <w:color w:val="auto"/>
                <w:sz w:val="21"/>
                <w:szCs w:val="21"/>
                <w:highlight w:val="none"/>
                <w:lang w:val="en-US" w:eastAsia="zh-CN"/>
              </w:rPr>
              <w:t>。</w:t>
            </w:r>
          </w:p>
        </w:tc>
      </w:tr>
      <w:tr w14:paraId="29B04A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05B36C44">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4</w:t>
            </w:r>
          </w:p>
        </w:tc>
        <w:tc>
          <w:tcPr>
            <w:tcW w:w="1119" w:type="dxa"/>
            <w:tcBorders>
              <w:left w:val="nil"/>
              <w:right w:val="single" w:color="000000" w:sz="4" w:space="0"/>
            </w:tcBorders>
            <w:shd w:val="clear" w:color="auto" w:fill="auto"/>
            <w:vAlign w:val="center"/>
          </w:tcPr>
          <w:p w14:paraId="3437501C">
            <w:pPr>
              <w:keepNext w:val="0"/>
              <w:keepLines w:val="0"/>
              <w:suppressLineNumbers w:val="0"/>
              <w:snapToGrid w:val="0"/>
              <w:spacing w:before="0" w:beforeAutospacing="0" w:after="0" w:afterAutospacing="0" w:line="400" w:lineRule="exact"/>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▲交</w:t>
            </w:r>
            <w:r>
              <w:rPr>
                <w:rFonts w:hint="eastAsia" w:hAnsi="宋体" w:cs="宋体"/>
                <w:color w:val="auto"/>
                <w:sz w:val="21"/>
                <w:szCs w:val="21"/>
                <w:highlight w:val="none"/>
                <w:lang w:val="en-US" w:eastAsia="zh-CN"/>
              </w:rPr>
              <w:t>付</w:t>
            </w:r>
            <w:r>
              <w:rPr>
                <w:rFonts w:hint="eastAsia" w:ascii="宋体" w:hAnsi="宋体" w:eastAsia="宋体" w:cs="宋体"/>
                <w:color w:val="auto"/>
                <w:sz w:val="21"/>
                <w:szCs w:val="21"/>
                <w:highlight w:val="none"/>
              </w:rPr>
              <w:t>时间及地点</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115E88E8">
            <w:pPr>
              <w:pStyle w:val="14"/>
              <w:keepNext w:val="0"/>
              <w:keepLines w:val="0"/>
              <w:suppressLineNumbers w:val="0"/>
              <w:snapToGrid w:val="0"/>
              <w:spacing w:before="0" w:beforeAutospacing="0" w:after="0" w:afterAutospacing="0" w:line="400" w:lineRule="exact"/>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1.交</w:t>
            </w:r>
            <w:r>
              <w:rPr>
                <w:rFonts w:hint="eastAsia" w:hAnsi="宋体" w:cs="宋体"/>
                <w:color w:val="auto"/>
                <w:sz w:val="21"/>
                <w:szCs w:val="21"/>
                <w:highlight w:val="none"/>
                <w:lang w:val="en-US" w:eastAsia="zh-CN"/>
              </w:rPr>
              <w:t>付</w:t>
            </w:r>
            <w:r>
              <w:rPr>
                <w:rFonts w:hint="eastAsia" w:ascii="宋体" w:hAnsi="宋体" w:eastAsia="宋体" w:cs="宋体"/>
                <w:color w:val="auto"/>
                <w:sz w:val="21"/>
                <w:szCs w:val="21"/>
                <w:highlight w:val="none"/>
                <w:lang w:val="en-US" w:eastAsia="zh-CN"/>
              </w:rPr>
              <w:t>时间：自签订合同</w:t>
            </w:r>
            <w:r>
              <w:rPr>
                <w:rFonts w:hint="eastAsia" w:hAnsi="宋体" w:cs="宋体"/>
                <w:color w:val="auto"/>
                <w:sz w:val="21"/>
                <w:szCs w:val="21"/>
                <w:highlight w:val="none"/>
                <w:lang w:val="en-US" w:eastAsia="zh-CN"/>
              </w:rPr>
              <w:t>并</w:t>
            </w:r>
            <w:r>
              <w:rPr>
                <w:rFonts w:hint="eastAsia" w:ascii="宋体" w:hAnsi="宋体" w:eastAsia="宋体" w:cs="宋体"/>
                <w:color w:val="auto"/>
                <w:sz w:val="21"/>
                <w:szCs w:val="21"/>
                <w:highlight w:val="none"/>
                <w:lang w:val="en-US" w:eastAsia="zh-CN"/>
              </w:rPr>
              <w:t>接到采购人交货通知后15个日历日内按采购人要求安装完毕并交付使用。</w:t>
            </w:r>
          </w:p>
          <w:p w14:paraId="3DEAD9F4">
            <w:pPr>
              <w:pStyle w:val="14"/>
              <w:keepNext w:val="0"/>
              <w:keepLines w:val="0"/>
              <w:suppressLineNumbers w:val="0"/>
              <w:snapToGrid w:val="0"/>
              <w:spacing w:before="0" w:beforeAutospacing="0" w:after="0" w:afterAutospacing="0" w:line="400" w:lineRule="exact"/>
              <w:ind w:left="0" w:right="0"/>
              <w:jc w:val="left"/>
              <w:rPr>
                <w:rFonts w:hint="eastAsia" w:ascii="宋体"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.交</w:t>
            </w:r>
            <w:r>
              <w:rPr>
                <w:rFonts w:hint="eastAsia" w:hAnsi="宋体" w:cs="宋体"/>
                <w:color w:val="auto"/>
                <w:sz w:val="21"/>
                <w:szCs w:val="21"/>
                <w:highlight w:val="none"/>
                <w:lang w:val="en-US" w:eastAsia="zh-CN"/>
              </w:rPr>
              <w:t>付</w:t>
            </w:r>
            <w:r>
              <w:rPr>
                <w:rFonts w:hint="eastAsia" w:ascii="宋体" w:hAnsi="宋体" w:eastAsia="宋体" w:cs="宋体"/>
                <w:color w:val="auto"/>
                <w:sz w:val="21"/>
                <w:szCs w:val="21"/>
                <w:highlight w:val="none"/>
                <w:lang w:val="en-US" w:eastAsia="zh-CN"/>
              </w:rPr>
              <w:t>地点：</w:t>
            </w:r>
            <w:r>
              <w:rPr>
                <w:rFonts w:hint="eastAsia" w:hAnsi="宋体" w:cs="宋体"/>
                <w:color w:val="auto"/>
                <w:sz w:val="21"/>
                <w:szCs w:val="21"/>
                <w:highlight w:val="none"/>
                <w:lang w:val="en-US" w:eastAsia="zh-CN"/>
              </w:rPr>
              <w:t>百色市内</w:t>
            </w:r>
            <w:r>
              <w:rPr>
                <w:rFonts w:hint="eastAsia" w:ascii="宋体" w:hAnsi="宋体" w:eastAsia="宋体" w:cs="宋体"/>
                <w:color w:val="auto"/>
                <w:sz w:val="21"/>
                <w:szCs w:val="21"/>
                <w:highlight w:val="none"/>
                <w:lang w:val="en-US" w:eastAsia="zh-CN"/>
              </w:rPr>
              <w:t>（采购人指定地点）。</w:t>
            </w:r>
          </w:p>
          <w:p w14:paraId="36418574">
            <w:pPr>
              <w:keepNext w:val="0"/>
              <w:keepLines w:val="0"/>
              <w:suppressLineNumbers w:val="0"/>
              <w:spacing w:before="0" w:beforeAutospacing="0" w:after="0" w:afterAutospacing="0"/>
              <w:ind w:left="0" w:right="0"/>
              <w:rPr>
                <w:rFonts w:hint="eastAsia"/>
                <w:color w:val="auto"/>
                <w:sz w:val="21"/>
                <w:szCs w:val="21"/>
                <w:highlight w:val="none"/>
                <w:lang w:val="en-US" w:eastAsia="zh-CN"/>
              </w:rPr>
            </w:pPr>
            <w:r>
              <w:rPr>
                <w:rFonts w:hint="eastAsia" w:ascii="宋体" w:hAnsi="宋体" w:eastAsia="宋体" w:cs="宋体"/>
                <w:color w:val="auto"/>
                <w:sz w:val="21"/>
                <w:szCs w:val="21"/>
                <w:highlight w:val="none"/>
                <w:lang w:val="en-US" w:eastAsia="zh-CN"/>
              </w:rPr>
              <w:t>3.交</w:t>
            </w:r>
            <w:r>
              <w:rPr>
                <w:rFonts w:hint="eastAsia" w:hAnsi="宋体" w:cs="宋体"/>
                <w:color w:val="auto"/>
                <w:sz w:val="21"/>
                <w:szCs w:val="21"/>
                <w:highlight w:val="none"/>
                <w:lang w:val="en-US" w:eastAsia="zh-CN"/>
              </w:rPr>
              <w:t>付</w:t>
            </w:r>
            <w:r>
              <w:rPr>
                <w:rFonts w:hint="eastAsia" w:ascii="宋体" w:hAnsi="宋体" w:eastAsia="宋体" w:cs="宋体"/>
                <w:color w:val="auto"/>
                <w:sz w:val="21"/>
                <w:szCs w:val="21"/>
                <w:highlight w:val="none"/>
                <w:lang w:val="en-US" w:eastAsia="zh-CN"/>
              </w:rPr>
              <w:t>内容包括：</w:t>
            </w:r>
            <w:r>
              <w:rPr>
                <w:rFonts w:hint="eastAsia" w:ascii="宋体" w:hAnsi="宋体" w:cs="宋体"/>
                <w:color w:val="auto"/>
                <w:sz w:val="21"/>
                <w:szCs w:val="21"/>
                <w:highlight w:val="none"/>
                <w:lang w:val="en-US" w:eastAsia="zh-CN"/>
              </w:rPr>
              <w:t>系统、技术文档、用户操作手册、培训手册、源代码（如有）</w:t>
            </w:r>
            <w:r>
              <w:rPr>
                <w:rFonts w:hint="eastAsia" w:ascii="宋体" w:hAnsi="宋体" w:eastAsia="宋体" w:cs="宋体"/>
                <w:color w:val="auto"/>
                <w:sz w:val="21"/>
                <w:szCs w:val="21"/>
                <w:highlight w:val="none"/>
                <w:lang w:val="en-US" w:eastAsia="zh-CN"/>
              </w:rPr>
              <w:t>等。</w:t>
            </w:r>
          </w:p>
        </w:tc>
      </w:tr>
      <w:tr w14:paraId="2A1603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22F8962B">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5</w:t>
            </w:r>
          </w:p>
        </w:tc>
        <w:tc>
          <w:tcPr>
            <w:tcW w:w="1119" w:type="dxa"/>
            <w:tcBorders>
              <w:left w:val="nil"/>
              <w:right w:val="single" w:color="000000" w:sz="4" w:space="0"/>
            </w:tcBorders>
            <w:shd w:val="clear" w:color="auto" w:fill="auto"/>
            <w:vAlign w:val="center"/>
          </w:tcPr>
          <w:p w14:paraId="079AB952">
            <w:pPr>
              <w:keepNext w:val="0"/>
              <w:keepLines w:val="0"/>
              <w:suppressLineNumbers w:val="0"/>
              <w:spacing w:before="0" w:beforeAutospacing="0" w:after="0" w:afterAutospacing="0" w:line="360" w:lineRule="exact"/>
              <w:ind w:left="0" w:leftChars="0" w:right="0" w:rightChars="0"/>
              <w:jc w:val="center"/>
              <w:rPr>
                <w:rFonts w:hint="eastAsia" w:ascii="宋体" w:hAnsi="宋体" w:eastAsia="宋体" w:cs="Times New Roman"/>
                <w:b/>
                <w:color w:val="auto"/>
                <w:kern w:val="2"/>
                <w:sz w:val="21"/>
                <w:szCs w:val="21"/>
                <w:highlight w:val="none"/>
                <w:lang w:val="en-US" w:eastAsia="zh-CN" w:bidi="ar-SA"/>
              </w:rPr>
            </w:pPr>
            <w:r>
              <w:rPr>
                <w:rFonts w:hint="eastAsia" w:ascii="宋体" w:hAnsi="宋体" w:cs="宋体"/>
                <w:b w:val="0"/>
                <w:bCs/>
                <w:color w:val="auto"/>
                <w:kern w:val="2"/>
                <w:sz w:val="21"/>
                <w:szCs w:val="21"/>
                <w:highlight w:val="none"/>
                <w:lang w:val="en-US" w:eastAsia="zh-CN" w:bidi="ar-SA"/>
              </w:rPr>
              <w:t>软件部署要求</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60525EF6">
            <w:pPr>
              <w:keepNext w:val="0"/>
              <w:keepLines w:val="0"/>
              <w:suppressLineNumbers w:val="0"/>
              <w:spacing w:before="0" w:beforeAutospacing="0" w:after="0" w:afterAutospacing="0" w:line="360" w:lineRule="exact"/>
              <w:ind w:left="0" w:leftChars="0" w:right="0" w:rightChars="0"/>
              <w:rPr>
                <w:rFonts w:hint="eastAsia" w:ascii="宋体" w:hAnsi="宋体" w:eastAsia="宋体" w:cs="Times New Roman"/>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中</w:t>
            </w:r>
            <w:r>
              <w:rPr>
                <w:rFonts w:hint="eastAsia" w:ascii="宋体" w:hAnsi="宋体" w:eastAsia="宋体" w:cs="宋体"/>
                <w:color w:val="auto"/>
                <w:kern w:val="2"/>
                <w:sz w:val="21"/>
                <w:szCs w:val="21"/>
                <w:highlight w:val="none"/>
                <w:lang w:val="en-US" w:eastAsia="zh-CN" w:bidi="ar-SA"/>
              </w:rPr>
              <w:t>标人应负责软件系统在采购人指定环境中的部署实施，确保系统稳定运行。部署前应完成环境检测并出具符合性报告；部署实施应依据经采购人确认的部署方案执行，关键步骤记录留存；涉及数据迁移的应编制迁移方案并校验数据完整性；部署完成后应配合完成联调测试，各项功能及性能指标应满足技术规格书要求。部署完成后提交部署完成报告并经采购人签字确认。</w:t>
            </w:r>
          </w:p>
        </w:tc>
      </w:tr>
      <w:tr w14:paraId="7328DD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11CDF367">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6</w:t>
            </w:r>
          </w:p>
        </w:tc>
        <w:tc>
          <w:tcPr>
            <w:tcW w:w="1119" w:type="dxa"/>
            <w:tcBorders>
              <w:left w:val="nil"/>
              <w:right w:val="single" w:color="000000" w:sz="4" w:space="0"/>
            </w:tcBorders>
            <w:shd w:val="clear" w:color="auto" w:fill="auto"/>
            <w:vAlign w:val="center"/>
          </w:tcPr>
          <w:p w14:paraId="76535BE6">
            <w:pPr>
              <w:keepNext w:val="0"/>
              <w:keepLines w:val="0"/>
              <w:suppressLineNumbers w:val="0"/>
              <w:snapToGrid w:val="0"/>
              <w:spacing w:before="0" w:beforeAutospacing="0" w:after="0" w:afterAutospacing="0" w:line="360" w:lineRule="auto"/>
              <w:ind w:left="0" w:leftChars="0" w:right="0" w:rightChars="0"/>
              <w:jc w:val="center"/>
              <w:outlineLvl w:val="0"/>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rPr>
              <w:t>验收</w:t>
            </w:r>
            <w:r>
              <w:rPr>
                <w:rFonts w:hint="eastAsia" w:ascii="宋体" w:hAnsi="宋体" w:eastAsia="宋体" w:cs="宋体"/>
                <w:bCs/>
                <w:color w:val="auto"/>
                <w:kern w:val="0"/>
                <w:sz w:val="21"/>
                <w:szCs w:val="21"/>
                <w:highlight w:val="none"/>
                <w:lang w:eastAsia="zh-CN"/>
              </w:rPr>
              <w:t>依据、标准、验收程序</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168CDC06">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验收主体：采购</w:t>
            </w:r>
            <w:r>
              <w:rPr>
                <w:rFonts w:hint="eastAsia" w:ascii="宋体" w:hAnsi="宋体" w:eastAsia="宋体" w:cs="宋体"/>
                <w:color w:val="auto"/>
                <w:sz w:val="21"/>
                <w:szCs w:val="21"/>
                <w:highlight w:val="none"/>
                <w:lang w:eastAsia="zh-CN"/>
              </w:rPr>
              <w:t>人</w:t>
            </w:r>
            <w:r>
              <w:rPr>
                <w:rFonts w:hint="eastAsia" w:ascii="宋体" w:hAnsi="宋体" w:eastAsia="宋体" w:cs="宋体"/>
                <w:color w:val="auto"/>
                <w:sz w:val="21"/>
                <w:szCs w:val="21"/>
                <w:highlight w:val="none"/>
              </w:rPr>
              <w:t>。</w:t>
            </w:r>
          </w:p>
          <w:p w14:paraId="2ADBD837">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验收时间</w:t>
            </w:r>
            <w:r>
              <w:rPr>
                <w:rFonts w:hint="eastAsia" w:ascii="宋体" w:hAnsi="宋体" w:eastAsia="宋体" w:cs="宋体"/>
                <w:color w:val="auto"/>
                <w:sz w:val="21"/>
                <w:szCs w:val="21"/>
                <w:highlight w:val="none"/>
                <w:lang w:eastAsia="zh-CN"/>
              </w:rPr>
              <w:t>：</w:t>
            </w:r>
            <w:r>
              <w:rPr>
                <w:rFonts w:hint="eastAsia"/>
                <w:color w:val="auto"/>
                <w:szCs w:val="21"/>
                <w:highlight w:val="none"/>
                <w:lang w:val="en-US" w:eastAsia="zh-CN"/>
              </w:rPr>
              <w:t>中标人</w:t>
            </w:r>
            <w:r>
              <w:rPr>
                <w:color w:val="auto"/>
                <w:szCs w:val="21"/>
                <w:highlight w:val="none"/>
              </w:rPr>
              <w:t>提交项目成果后，采购人自行组织项目验收</w:t>
            </w:r>
            <w:r>
              <w:rPr>
                <w:rFonts w:hint="eastAsia" w:ascii="宋体" w:hAnsi="宋体" w:eastAsia="宋体" w:cs="宋体"/>
                <w:color w:val="auto"/>
                <w:sz w:val="21"/>
                <w:szCs w:val="21"/>
                <w:highlight w:val="none"/>
              </w:rPr>
              <w:t>。</w:t>
            </w:r>
          </w:p>
          <w:p w14:paraId="37561AB0">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验收</w:t>
            </w:r>
            <w:r>
              <w:rPr>
                <w:rFonts w:hint="eastAsia" w:ascii="宋体" w:hAnsi="宋体" w:eastAsia="宋体" w:cs="宋体"/>
                <w:color w:val="auto"/>
                <w:sz w:val="21"/>
                <w:szCs w:val="21"/>
                <w:highlight w:val="none"/>
                <w:lang w:eastAsia="zh-CN"/>
              </w:rPr>
              <w:t>依据</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国家、行业标准、招标文件采购需求、投标文件承诺。</w:t>
            </w:r>
          </w:p>
          <w:p w14:paraId="38B30EF9">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4.验收</w:t>
            </w:r>
            <w:r>
              <w:rPr>
                <w:rFonts w:hint="eastAsia" w:ascii="宋体" w:hAnsi="宋体" w:eastAsia="宋体" w:cs="宋体"/>
                <w:color w:val="auto"/>
                <w:sz w:val="21"/>
                <w:szCs w:val="21"/>
                <w:highlight w:val="none"/>
                <w:lang w:eastAsia="zh-CN"/>
              </w:rPr>
              <w:t>标准：</w:t>
            </w:r>
            <w:r>
              <w:rPr>
                <w:rStyle w:val="55"/>
                <w:rFonts w:hint="eastAsia" w:ascii="宋体" w:hAnsi="宋体" w:cs="宋体"/>
                <w:color w:val="auto"/>
                <w:sz w:val="21"/>
                <w:szCs w:val="21"/>
                <w:highlight w:val="none"/>
                <w:lang w:val="en-US" w:eastAsia="zh-CN"/>
              </w:rPr>
              <w:t>整套系统</w:t>
            </w:r>
            <w:r>
              <w:rPr>
                <w:rStyle w:val="55"/>
                <w:rFonts w:hint="eastAsia" w:ascii="宋体" w:hAnsi="宋体" w:eastAsia="宋体" w:cs="宋体"/>
                <w:color w:val="auto"/>
                <w:sz w:val="21"/>
                <w:szCs w:val="21"/>
                <w:highlight w:val="none"/>
              </w:rPr>
              <w:t>符合国家相关标准、行业标准、地方标准或者其他标准、规范。如具体采购需求与标准、规范不一致的，高于标准、规范的按具体采购需求执行；低于标准、规范的按标准、规范执行</w:t>
            </w:r>
            <w:r>
              <w:rPr>
                <w:rFonts w:hint="eastAsia" w:ascii="宋体" w:hAnsi="宋体" w:eastAsia="宋体" w:cs="宋体"/>
                <w:color w:val="auto"/>
                <w:sz w:val="21"/>
                <w:szCs w:val="21"/>
                <w:highlight w:val="none"/>
              </w:rPr>
              <w:t>。</w:t>
            </w:r>
          </w:p>
          <w:p w14:paraId="304D5F96">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履约验收程序</w:t>
            </w:r>
            <w:r>
              <w:rPr>
                <w:rFonts w:hint="eastAsia" w:ascii="宋体" w:hAnsi="宋体" w:eastAsia="宋体" w:cs="宋体"/>
                <w:color w:val="auto"/>
                <w:sz w:val="21"/>
                <w:szCs w:val="21"/>
                <w:highlight w:val="none"/>
                <w:lang w:eastAsia="zh-CN"/>
              </w:rPr>
              <w:t>：</w:t>
            </w:r>
          </w:p>
          <w:p w14:paraId="4B67BD3B">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A.成立验收小组：采购</w:t>
            </w:r>
            <w:r>
              <w:rPr>
                <w:rFonts w:hint="eastAsia" w:ascii="宋体" w:hAnsi="宋体" w:eastAsia="宋体" w:cs="宋体"/>
                <w:color w:val="auto"/>
                <w:sz w:val="21"/>
                <w:szCs w:val="21"/>
                <w:highlight w:val="none"/>
                <w:lang w:eastAsia="zh-CN"/>
              </w:rPr>
              <w:t>人</w:t>
            </w:r>
            <w:r>
              <w:rPr>
                <w:rFonts w:hint="eastAsia" w:ascii="宋体" w:hAnsi="宋体" w:eastAsia="宋体" w:cs="宋体"/>
                <w:color w:val="auto"/>
                <w:sz w:val="21"/>
                <w:szCs w:val="21"/>
                <w:highlight w:val="none"/>
              </w:rPr>
              <w:t>代表成立验收小组。</w:t>
            </w:r>
          </w:p>
          <w:p w14:paraId="065112D6">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B.</w:t>
            </w:r>
            <w:r>
              <w:rPr>
                <w:rFonts w:hint="eastAsia" w:ascii="宋体" w:hAnsi="宋体" w:cs="宋体"/>
                <w:color w:val="auto"/>
                <w:sz w:val="21"/>
                <w:szCs w:val="21"/>
                <w:highlight w:val="none"/>
                <w:lang w:val="en-US" w:eastAsia="zh-CN"/>
              </w:rPr>
              <w:t>系统</w:t>
            </w:r>
            <w:r>
              <w:rPr>
                <w:rFonts w:hint="eastAsia" w:ascii="宋体" w:hAnsi="宋体" w:eastAsia="宋体" w:cs="宋体"/>
                <w:color w:val="auto"/>
                <w:sz w:val="21"/>
                <w:szCs w:val="21"/>
                <w:highlight w:val="none"/>
              </w:rPr>
              <w:t>安装、调试</w:t>
            </w:r>
          </w:p>
          <w:p w14:paraId="7DD1C844">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)由</w:t>
            </w:r>
            <w:r>
              <w:rPr>
                <w:rFonts w:hint="eastAsia" w:ascii="宋体" w:hAnsi="宋体" w:eastAsia="宋体" w:cs="宋体"/>
                <w:color w:val="auto"/>
                <w:sz w:val="21"/>
                <w:szCs w:val="21"/>
                <w:highlight w:val="none"/>
                <w:lang w:eastAsia="zh-CN"/>
              </w:rPr>
              <w:t>中标人代表</w:t>
            </w:r>
            <w:r>
              <w:rPr>
                <w:rFonts w:hint="eastAsia" w:ascii="宋体" w:hAnsi="宋体" w:eastAsia="宋体" w:cs="宋体"/>
                <w:color w:val="auto"/>
                <w:sz w:val="21"/>
                <w:szCs w:val="21"/>
                <w:highlight w:val="none"/>
              </w:rPr>
              <w:t>进行</w:t>
            </w:r>
            <w:r>
              <w:rPr>
                <w:rFonts w:hint="eastAsia" w:ascii="宋体" w:hAnsi="宋体" w:eastAsia="宋体" w:cs="宋体"/>
                <w:color w:val="auto"/>
                <w:sz w:val="21"/>
                <w:szCs w:val="21"/>
                <w:highlight w:val="none"/>
                <w:lang w:val="en-US" w:eastAsia="zh-CN"/>
              </w:rPr>
              <w:t>系统</w:t>
            </w:r>
            <w:r>
              <w:rPr>
                <w:rFonts w:hint="eastAsia" w:ascii="宋体" w:hAnsi="宋体" w:eastAsia="宋体" w:cs="宋体"/>
                <w:color w:val="auto"/>
                <w:sz w:val="21"/>
                <w:szCs w:val="21"/>
                <w:highlight w:val="none"/>
              </w:rPr>
              <w:t>的安装、调试。</w:t>
            </w:r>
          </w:p>
          <w:p w14:paraId="6AF4F064">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)由采购</w:t>
            </w:r>
            <w:r>
              <w:rPr>
                <w:rFonts w:hint="eastAsia" w:ascii="宋体" w:hAnsi="宋体" w:eastAsia="宋体" w:cs="宋体"/>
                <w:color w:val="auto"/>
                <w:sz w:val="21"/>
                <w:szCs w:val="21"/>
                <w:highlight w:val="none"/>
                <w:lang w:eastAsia="zh-CN"/>
              </w:rPr>
              <w:t>人</w:t>
            </w:r>
            <w:r>
              <w:rPr>
                <w:rFonts w:hint="eastAsia" w:ascii="宋体" w:hAnsi="宋体" w:eastAsia="宋体" w:cs="宋体"/>
                <w:color w:val="auto"/>
                <w:sz w:val="21"/>
                <w:szCs w:val="21"/>
                <w:highlight w:val="none"/>
              </w:rPr>
              <w:t>代表</w:t>
            </w:r>
            <w:r>
              <w:rPr>
                <w:rFonts w:hint="eastAsia" w:ascii="宋体" w:hAnsi="宋体" w:eastAsia="宋体" w:cs="宋体"/>
                <w:color w:val="auto"/>
                <w:sz w:val="21"/>
                <w:szCs w:val="21"/>
                <w:highlight w:val="none"/>
                <w:lang w:eastAsia="zh-CN"/>
              </w:rPr>
              <w:t>、中标人代表进行</w:t>
            </w:r>
            <w:r>
              <w:rPr>
                <w:rFonts w:hint="eastAsia" w:ascii="宋体" w:hAnsi="宋体" w:eastAsia="宋体" w:cs="宋体"/>
                <w:color w:val="auto"/>
                <w:sz w:val="21"/>
                <w:szCs w:val="21"/>
                <w:highlight w:val="none"/>
                <w:lang w:val="en-US" w:eastAsia="zh-CN"/>
              </w:rPr>
              <w:t>系统</w:t>
            </w:r>
            <w:r>
              <w:rPr>
                <w:rFonts w:hint="eastAsia" w:ascii="宋体" w:hAnsi="宋体" w:eastAsia="宋体" w:cs="宋体"/>
                <w:color w:val="auto"/>
                <w:sz w:val="21"/>
                <w:szCs w:val="21"/>
                <w:highlight w:val="none"/>
                <w:lang w:eastAsia="zh-CN"/>
              </w:rPr>
              <w:t>试运行</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并</w:t>
            </w:r>
            <w:r>
              <w:rPr>
                <w:rFonts w:hint="eastAsia" w:ascii="宋体" w:hAnsi="宋体" w:eastAsia="宋体" w:cs="宋体"/>
                <w:color w:val="auto"/>
                <w:sz w:val="21"/>
                <w:szCs w:val="21"/>
                <w:highlight w:val="none"/>
              </w:rPr>
              <w:t>对</w:t>
            </w:r>
            <w:r>
              <w:rPr>
                <w:rFonts w:hint="eastAsia" w:ascii="宋体" w:hAnsi="宋体" w:eastAsia="宋体" w:cs="宋体"/>
                <w:color w:val="auto"/>
                <w:sz w:val="21"/>
                <w:szCs w:val="21"/>
                <w:highlight w:val="none"/>
                <w:lang w:eastAsia="zh-CN"/>
              </w:rPr>
              <w:t>试运行情况</w:t>
            </w:r>
            <w:r>
              <w:rPr>
                <w:rFonts w:hint="eastAsia" w:ascii="宋体" w:hAnsi="宋体" w:eastAsia="宋体" w:cs="宋体"/>
                <w:color w:val="auto"/>
                <w:sz w:val="21"/>
                <w:szCs w:val="21"/>
                <w:highlight w:val="none"/>
              </w:rPr>
              <w:t>进行评价。</w:t>
            </w:r>
          </w:p>
          <w:p w14:paraId="5E4564E3">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)验收时现场测试</w:t>
            </w:r>
            <w:r>
              <w:rPr>
                <w:rFonts w:hint="eastAsia" w:ascii="宋体" w:hAnsi="宋体" w:eastAsia="宋体" w:cs="宋体"/>
                <w:color w:val="auto"/>
                <w:sz w:val="21"/>
                <w:szCs w:val="21"/>
                <w:highlight w:val="none"/>
                <w:lang w:val="en-US" w:eastAsia="zh-CN"/>
              </w:rPr>
              <w:t>系统</w:t>
            </w:r>
            <w:r>
              <w:rPr>
                <w:rFonts w:hint="eastAsia" w:ascii="宋体" w:hAnsi="宋体" w:eastAsia="宋体" w:cs="宋体"/>
                <w:color w:val="auto"/>
                <w:sz w:val="21"/>
                <w:szCs w:val="21"/>
                <w:highlight w:val="none"/>
              </w:rPr>
              <w:t>的技术性能指标，确认各项功能正常运行，同时检查随机文件应齐整。</w:t>
            </w:r>
            <w:r>
              <w:rPr>
                <w:rFonts w:hint="eastAsia" w:ascii="宋体" w:hAnsi="宋体" w:eastAsia="宋体" w:cs="宋体"/>
                <w:color w:val="auto"/>
                <w:sz w:val="21"/>
                <w:szCs w:val="21"/>
                <w:highlight w:val="none"/>
                <w:lang w:eastAsia="zh-CN"/>
              </w:rPr>
              <w:t>试运行时由采购人对照招标文件的功能目标及技术指标要求、投标文件响应的功能、参数全面核对检验，所提供</w:t>
            </w:r>
            <w:r>
              <w:rPr>
                <w:rFonts w:hint="eastAsia" w:ascii="宋体" w:hAnsi="宋体" w:eastAsia="宋体" w:cs="宋体"/>
                <w:color w:val="auto"/>
                <w:sz w:val="21"/>
                <w:szCs w:val="21"/>
                <w:highlight w:val="none"/>
                <w:lang w:val="en-US" w:eastAsia="zh-CN"/>
              </w:rPr>
              <w:t>系统</w:t>
            </w:r>
            <w:r>
              <w:rPr>
                <w:rFonts w:hint="eastAsia" w:ascii="宋体" w:hAnsi="宋体" w:eastAsia="宋体" w:cs="宋体"/>
                <w:color w:val="auto"/>
                <w:sz w:val="21"/>
                <w:szCs w:val="21"/>
                <w:highlight w:val="none"/>
                <w:lang w:eastAsia="zh-CN"/>
              </w:rPr>
              <w:t>的性能应与投标时响应的</w:t>
            </w:r>
            <w:r>
              <w:rPr>
                <w:rFonts w:hint="eastAsia" w:ascii="宋体" w:hAnsi="宋体" w:eastAsia="宋体" w:cs="宋体"/>
                <w:color w:val="auto"/>
                <w:sz w:val="21"/>
                <w:szCs w:val="21"/>
                <w:highlight w:val="none"/>
                <w:lang w:val="en-US" w:eastAsia="zh-CN"/>
              </w:rPr>
              <w:t>技术性能</w:t>
            </w:r>
            <w:r>
              <w:rPr>
                <w:rFonts w:hint="eastAsia" w:ascii="宋体" w:hAnsi="宋体" w:eastAsia="宋体" w:cs="宋体"/>
                <w:color w:val="auto"/>
                <w:sz w:val="21"/>
                <w:szCs w:val="21"/>
                <w:highlight w:val="none"/>
                <w:lang w:eastAsia="zh-CN"/>
              </w:rPr>
              <w:t>、参数完全一致，</w:t>
            </w:r>
            <w:r>
              <w:rPr>
                <w:rFonts w:hint="eastAsia" w:ascii="宋体" w:hAnsi="宋体" w:eastAsia="宋体" w:cs="宋体"/>
                <w:color w:val="auto"/>
                <w:sz w:val="21"/>
                <w:szCs w:val="21"/>
                <w:highlight w:val="none"/>
              </w:rPr>
              <w:t>视为</w:t>
            </w:r>
            <w:r>
              <w:rPr>
                <w:rFonts w:hint="eastAsia" w:ascii="宋体" w:hAnsi="宋体" w:eastAsia="宋体" w:cs="宋体"/>
                <w:color w:val="auto"/>
                <w:sz w:val="21"/>
                <w:szCs w:val="21"/>
                <w:highlight w:val="none"/>
                <w:lang w:eastAsia="zh-CN"/>
              </w:rPr>
              <w:t>验收合格</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采购人有权要求中标人在验收时提供检测报告或生产厂家官方技术说明书、官方产品宣传页等证明材料原件，有权将系统送第三方检测机构进行检测，以核验系统各功能参数与中标人投标时响应的技术性能、参数完全一致，否则视为验收不合格。）</w:t>
            </w:r>
            <w:r>
              <w:rPr>
                <w:rFonts w:hint="eastAsia" w:ascii="宋体" w:hAnsi="宋体" w:eastAsia="宋体" w:cs="宋体"/>
                <w:color w:val="auto"/>
                <w:sz w:val="21"/>
                <w:szCs w:val="21"/>
                <w:highlight w:val="none"/>
              </w:rPr>
              <w:t>，由采购</w:t>
            </w:r>
            <w:r>
              <w:rPr>
                <w:rFonts w:hint="eastAsia" w:ascii="宋体" w:hAnsi="宋体" w:eastAsia="宋体" w:cs="宋体"/>
                <w:color w:val="auto"/>
                <w:sz w:val="21"/>
                <w:szCs w:val="21"/>
                <w:highlight w:val="none"/>
                <w:lang w:eastAsia="zh-CN"/>
              </w:rPr>
              <w:t>人</w:t>
            </w:r>
            <w:r>
              <w:rPr>
                <w:rFonts w:hint="eastAsia" w:ascii="宋体" w:hAnsi="宋体" w:eastAsia="宋体" w:cs="宋体"/>
                <w:color w:val="auto"/>
                <w:sz w:val="21"/>
                <w:szCs w:val="21"/>
                <w:highlight w:val="none"/>
              </w:rPr>
              <w:t>代表及</w:t>
            </w:r>
            <w:r>
              <w:rPr>
                <w:rFonts w:hint="eastAsia" w:ascii="宋体" w:hAnsi="宋体" w:eastAsia="宋体" w:cs="宋体"/>
                <w:color w:val="auto"/>
                <w:sz w:val="21"/>
                <w:szCs w:val="21"/>
                <w:highlight w:val="none"/>
                <w:lang w:eastAsia="zh-CN"/>
              </w:rPr>
              <w:t>中标人代表</w:t>
            </w:r>
            <w:r>
              <w:rPr>
                <w:rFonts w:hint="eastAsia" w:ascii="宋体" w:hAnsi="宋体" w:eastAsia="宋体" w:cs="宋体"/>
                <w:color w:val="auto"/>
                <w:sz w:val="21"/>
                <w:szCs w:val="21"/>
                <w:highlight w:val="none"/>
              </w:rPr>
              <w:t>共同对安装、调试情况进行记录。本项目所有系统功能模块，试运行测评完成后，对测评不通过的部分，</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rPr>
              <w:t>须无条件整改，直至整改通过，否则项目将不予整体验收。因</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rPr>
              <w:t>原因导致的测评不通过，将导致项目无法整体验收，此视为</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rPr>
              <w:t>严重违约，</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rPr>
              <w:t>须退回采购人已经支付的所有款项，并须承担无法验收给采购人造成的损失</w:t>
            </w:r>
            <w:r>
              <w:rPr>
                <w:rFonts w:hint="eastAsia" w:ascii="宋体" w:hAnsi="宋体" w:eastAsia="宋体" w:cs="宋体"/>
                <w:color w:val="auto"/>
                <w:sz w:val="21"/>
                <w:szCs w:val="21"/>
                <w:highlight w:val="none"/>
                <w:lang w:eastAsia="zh-CN"/>
              </w:rPr>
              <w:t>。</w:t>
            </w:r>
          </w:p>
          <w:p w14:paraId="24F727FB">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采购项目进行验收时，采购人可以邀请参加本项目的其他投标人、技术专家或者第三方机构参与验收。参与验收的投标人、技术专家或者第三方机构的意见作为验收书的参考资料一并存档。验收所产生的一切费用由中标人承担。</w:t>
            </w:r>
          </w:p>
          <w:p w14:paraId="26AA657E">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C</w:t>
            </w:r>
            <w:r>
              <w:rPr>
                <w:rFonts w:hint="eastAsia" w:ascii="宋体" w:hAnsi="宋体" w:eastAsia="宋体" w:cs="宋体"/>
                <w:color w:val="auto"/>
                <w:sz w:val="21"/>
                <w:szCs w:val="21"/>
                <w:highlight w:val="none"/>
                <w:lang w:eastAsia="zh-CN"/>
              </w:rPr>
              <w:t>.履约验收其他事项：</w:t>
            </w:r>
          </w:p>
          <w:p w14:paraId="64CFBCFB">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 验收资料归档，采购合同项目完成验收后，将验收原始记录、验收书等资料作为该采购项目档案妥善保管，不得伪造、变造、隐匿或者销毁，验收资料保存期为采购结束之日起至少保存15年。</w:t>
            </w:r>
          </w:p>
          <w:p w14:paraId="4630E663">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)由于中标人原因造成不按时完成验收、造成逾期供货事实的，由中标人承担相关合同责任。</w:t>
            </w:r>
          </w:p>
          <w:p w14:paraId="30DBE37C">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r>
              <w:rPr>
                <w:color w:val="auto"/>
                <w:szCs w:val="21"/>
                <w:highlight w:val="none"/>
              </w:rPr>
              <w:t>采购人对</w:t>
            </w:r>
            <w:r>
              <w:rPr>
                <w:rFonts w:hint="eastAsia"/>
                <w:color w:val="auto"/>
                <w:szCs w:val="21"/>
                <w:highlight w:val="none"/>
                <w:lang w:val="en-US" w:eastAsia="zh-CN"/>
              </w:rPr>
              <w:t>中标人</w:t>
            </w:r>
            <w:r>
              <w:rPr>
                <w:color w:val="auto"/>
                <w:szCs w:val="21"/>
                <w:highlight w:val="none"/>
              </w:rPr>
              <w:t>提供的</w:t>
            </w:r>
            <w:r>
              <w:rPr>
                <w:rFonts w:hint="eastAsia"/>
                <w:color w:val="auto"/>
                <w:szCs w:val="21"/>
                <w:highlight w:val="none"/>
                <w:lang w:val="en-US" w:eastAsia="zh-CN"/>
              </w:rPr>
              <w:t>项目</w:t>
            </w:r>
            <w:r>
              <w:rPr>
                <w:rFonts w:hint="eastAsia"/>
                <w:color w:val="auto"/>
                <w:szCs w:val="21"/>
                <w:highlight w:val="none"/>
              </w:rPr>
              <w:t>成果</w:t>
            </w:r>
            <w:r>
              <w:rPr>
                <w:color w:val="auto"/>
                <w:szCs w:val="21"/>
                <w:highlight w:val="none"/>
              </w:rPr>
              <w:t>在</w:t>
            </w:r>
            <w:r>
              <w:rPr>
                <w:rFonts w:hint="eastAsia"/>
                <w:color w:val="auto"/>
                <w:szCs w:val="21"/>
                <w:highlight w:val="none"/>
              </w:rPr>
              <w:t>验收</w:t>
            </w:r>
            <w:r>
              <w:rPr>
                <w:color w:val="auto"/>
                <w:szCs w:val="21"/>
                <w:highlight w:val="none"/>
              </w:rPr>
              <w:t>时，</w:t>
            </w:r>
            <w:r>
              <w:rPr>
                <w:rFonts w:hint="eastAsia"/>
                <w:color w:val="auto"/>
                <w:szCs w:val="21"/>
                <w:highlight w:val="none"/>
                <w:lang w:val="en-US" w:eastAsia="zh-CN"/>
              </w:rPr>
              <w:t>中标人</w:t>
            </w:r>
            <w:r>
              <w:rPr>
                <w:color w:val="auto"/>
                <w:szCs w:val="21"/>
                <w:highlight w:val="none"/>
              </w:rPr>
              <w:t>须负责安装</w:t>
            </w:r>
            <w:r>
              <w:rPr>
                <w:rFonts w:hint="eastAsia"/>
                <w:color w:val="auto"/>
                <w:szCs w:val="21"/>
                <w:highlight w:val="none"/>
              </w:rPr>
              <w:t>调试</w:t>
            </w:r>
            <w:r>
              <w:rPr>
                <w:color w:val="auto"/>
                <w:szCs w:val="21"/>
                <w:highlight w:val="none"/>
              </w:rPr>
              <w:t>并培训采购人的操作使用人员，符合所有技术要求的，采购人才作最终验收</w:t>
            </w:r>
            <w:r>
              <w:rPr>
                <w:rFonts w:hint="eastAsia" w:ascii="宋体" w:hAnsi="宋体" w:eastAsia="宋体" w:cs="宋体"/>
                <w:color w:val="auto"/>
                <w:sz w:val="21"/>
                <w:szCs w:val="21"/>
                <w:highlight w:val="none"/>
                <w:lang w:eastAsia="zh-CN"/>
              </w:rPr>
              <w:t>。</w:t>
            </w:r>
          </w:p>
          <w:p w14:paraId="07BC1DDF">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6.验收内容：包括每个采购标的每一项技术参数和商务要求全部内容的履约情况。</w:t>
            </w:r>
          </w:p>
          <w:p w14:paraId="3C6A8CE9">
            <w:pPr>
              <w:keepNext w:val="0"/>
              <w:keepLines w:val="0"/>
              <w:suppressLineNumbers w:val="0"/>
              <w:spacing w:before="0" w:beforeAutospacing="0" w:after="0" w:afterAutospacing="0" w:line="360" w:lineRule="auto"/>
              <w:ind w:left="0" w:leftChars="0" w:right="0" w:right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lang w:eastAsia="zh-CN"/>
              </w:rPr>
              <w:t>其他未尽事宜应严格参照《关于印发广西壮族自治区政府采购项目履约验收管理办法的通知》[桂财采〔2015〕22号]以及《财政部关于进一步加强政府采购需求和履约验收管理的指导意见》[财库〔2016〕205 号]规定执行。</w:t>
            </w:r>
          </w:p>
        </w:tc>
      </w:tr>
      <w:tr w14:paraId="449280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0" w:hRule="atLeast"/>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2F8F0C4C">
            <w:pPr>
              <w:keepNext w:val="0"/>
              <w:keepLines w:val="0"/>
              <w:suppressLineNumbers w:val="0"/>
              <w:bidi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7</w:t>
            </w:r>
          </w:p>
        </w:tc>
        <w:tc>
          <w:tcPr>
            <w:tcW w:w="1119" w:type="dxa"/>
            <w:tcBorders>
              <w:left w:val="nil"/>
              <w:right w:val="single" w:color="000000" w:sz="4" w:space="0"/>
            </w:tcBorders>
            <w:shd w:val="clear" w:color="auto" w:fill="auto"/>
            <w:vAlign w:val="center"/>
          </w:tcPr>
          <w:p w14:paraId="5D27F708">
            <w:pPr>
              <w:keepNext w:val="0"/>
              <w:keepLines w:val="0"/>
              <w:suppressLineNumbers w:val="0"/>
              <w:snapToGrid w:val="0"/>
              <w:spacing w:before="0" w:beforeAutospacing="0" w:after="0" w:afterAutospacing="0" w:line="400" w:lineRule="exact"/>
              <w:ind w:left="0" w:right="0"/>
              <w:jc w:val="center"/>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rPr>
              <w:t>付款条件</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5C6A1F2D">
            <w:pPr>
              <w:keepNext w:val="0"/>
              <w:keepLines w:val="0"/>
              <w:suppressLineNumbers w:val="0"/>
              <w:spacing w:before="0" w:beforeAutospacing="0" w:after="0" w:afterAutospacing="0" w:line="360" w:lineRule="exact"/>
              <w:ind w:left="0" w:right="0"/>
              <w:jc w:val="left"/>
              <w:rPr>
                <w:rFonts w:hint="eastAsia" w:ascii="宋体" w:hAnsi="宋体"/>
                <w:color w:val="auto"/>
                <w:sz w:val="21"/>
                <w:szCs w:val="21"/>
                <w:highlight w:val="none"/>
              </w:rPr>
            </w:pPr>
            <w:r>
              <w:rPr>
                <w:rFonts w:hint="eastAsia" w:ascii="宋体" w:hAnsi="宋体"/>
                <w:color w:val="auto"/>
                <w:sz w:val="21"/>
                <w:szCs w:val="21"/>
                <w:highlight w:val="none"/>
              </w:rPr>
              <w:t>1.</w:t>
            </w:r>
            <w:r>
              <w:rPr>
                <w:rFonts w:hint="eastAsia" w:ascii="宋体" w:hAnsi="宋体"/>
                <w:color w:val="auto"/>
                <w:sz w:val="21"/>
                <w:szCs w:val="21"/>
                <w:highlight w:val="none"/>
                <w:lang w:val="en-US" w:eastAsia="zh-CN"/>
              </w:rPr>
              <w:t>系统</w:t>
            </w:r>
            <w:r>
              <w:rPr>
                <w:rFonts w:hint="eastAsia" w:ascii="宋体" w:hAnsi="宋体"/>
                <w:color w:val="auto"/>
                <w:sz w:val="21"/>
                <w:szCs w:val="21"/>
                <w:highlight w:val="none"/>
              </w:rPr>
              <w:t>验收合格后，</w:t>
            </w:r>
            <w:r>
              <w:rPr>
                <w:rFonts w:hint="eastAsia" w:ascii="宋体" w:hAnsi="宋体"/>
                <w:color w:val="auto"/>
                <w:sz w:val="21"/>
                <w:szCs w:val="21"/>
                <w:highlight w:val="none"/>
                <w:lang w:val="en-US" w:eastAsia="zh-CN"/>
              </w:rPr>
              <w:t>中标人</w:t>
            </w:r>
            <w:r>
              <w:rPr>
                <w:rFonts w:hint="eastAsia" w:ascii="宋体" w:hAnsi="宋体"/>
                <w:color w:val="auto"/>
                <w:sz w:val="21"/>
                <w:szCs w:val="21"/>
                <w:highlight w:val="none"/>
              </w:rPr>
              <w:t>应向</w:t>
            </w:r>
            <w:r>
              <w:rPr>
                <w:rFonts w:hint="eastAsia" w:ascii="宋体" w:hAnsi="宋体"/>
                <w:color w:val="auto"/>
                <w:sz w:val="21"/>
                <w:szCs w:val="21"/>
                <w:highlight w:val="none"/>
                <w:lang w:val="en-US" w:eastAsia="zh-CN"/>
              </w:rPr>
              <w:t>采购人</w:t>
            </w:r>
            <w:r>
              <w:rPr>
                <w:rFonts w:hint="eastAsia" w:ascii="宋体" w:hAnsi="宋体"/>
                <w:color w:val="auto"/>
                <w:sz w:val="21"/>
                <w:szCs w:val="21"/>
                <w:highlight w:val="none"/>
              </w:rPr>
              <w:t>开具合法增值税专用发票，</w:t>
            </w:r>
            <w:r>
              <w:rPr>
                <w:rFonts w:hint="eastAsia" w:ascii="宋体" w:hAnsi="宋体"/>
                <w:color w:val="auto"/>
                <w:sz w:val="21"/>
                <w:szCs w:val="21"/>
                <w:highlight w:val="none"/>
                <w:lang w:val="en-US" w:eastAsia="zh-CN"/>
              </w:rPr>
              <w:t>采购人</w:t>
            </w:r>
            <w:r>
              <w:rPr>
                <w:rFonts w:hint="eastAsia" w:ascii="宋体" w:hAnsi="宋体"/>
                <w:color w:val="auto"/>
                <w:sz w:val="21"/>
                <w:szCs w:val="21"/>
                <w:highlight w:val="none"/>
              </w:rPr>
              <w:t>在30日内支付合同价款。</w:t>
            </w:r>
          </w:p>
          <w:p w14:paraId="2E9A429A">
            <w:pPr>
              <w:keepNext w:val="0"/>
              <w:keepLines w:val="0"/>
              <w:suppressLineNumbers w:val="0"/>
              <w:spacing w:before="0" w:beforeAutospacing="0" w:after="0" w:afterAutospacing="0" w:line="400" w:lineRule="exact"/>
              <w:ind w:left="0" w:right="0"/>
              <w:jc w:val="left"/>
              <w:rPr>
                <w:rFonts w:hint="eastAsia" w:ascii="宋体" w:hAnsi="宋体" w:eastAsia="宋体" w:cs="宋体"/>
                <w:color w:val="auto"/>
                <w:kern w:val="2"/>
                <w:sz w:val="21"/>
                <w:szCs w:val="21"/>
                <w:highlight w:val="none"/>
                <w:lang w:val="en-US" w:eastAsia="zh-CN" w:bidi="ar-SA"/>
              </w:rPr>
            </w:pPr>
            <w:r>
              <w:rPr>
                <w:rFonts w:hint="eastAsia" w:ascii="宋体" w:hAnsi="宋体"/>
                <w:color w:val="auto"/>
                <w:sz w:val="21"/>
                <w:szCs w:val="21"/>
                <w:highlight w:val="none"/>
              </w:rPr>
              <w:t>2.</w:t>
            </w:r>
            <w:r>
              <w:rPr>
                <w:rFonts w:hint="eastAsia" w:ascii="宋体" w:hAnsi="宋体"/>
                <w:color w:val="auto"/>
                <w:sz w:val="21"/>
                <w:szCs w:val="21"/>
                <w:highlight w:val="none"/>
                <w:lang w:val="en-US" w:eastAsia="zh-CN"/>
              </w:rPr>
              <w:t>中标人</w:t>
            </w:r>
            <w:r>
              <w:rPr>
                <w:rFonts w:hint="eastAsia" w:ascii="宋体" w:hAnsi="宋体"/>
                <w:color w:val="auto"/>
                <w:sz w:val="21"/>
                <w:szCs w:val="21"/>
                <w:highlight w:val="none"/>
              </w:rPr>
              <w:t>必须按照采购人要求提供真实、有效、合法的正式发票。一旦发现</w:t>
            </w:r>
            <w:r>
              <w:rPr>
                <w:rFonts w:hint="eastAsia" w:ascii="宋体" w:hAnsi="宋体"/>
                <w:color w:val="auto"/>
                <w:sz w:val="21"/>
                <w:szCs w:val="21"/>
                <w:highlight w:val="none"/>
                <w:lang w:val="en-US" w:eastAsia="zh-CN"/>
              </w:rPr>
              <w:t>中标人</w:t>
            </w:r>
            <w:r>
              <w:rPr>
                <w:rFonts w:hint="eastAsia" w:ascii="宋体" w:hAnsi="宋体"/>
                <w:color w:val="auto"/>
                <w:sz w:val="21"/>
                <w:szCs w:val="21"/>
                <w:highlight w:val="none"/>
              </w:rPr>
              <w:t>提供虚假发票，除须向采购人补开合法发票外，采购人有权向税务机关投诉，并扣除全部履约保证金。</w:t>
            </w:r>
          </w:p>
        </w:tc>
      </w:tr>
      <w:tr w14:paraId="6A220C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97" w:hRule="atLeast"/>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18235C56">
            <w:pPr>
              <w:keepNext w:val="0"/>
              <w:keepLines w:val="0"/>
              <w:suppressLineNumbers w:val="0"/>
              <w:bidi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8</w:t>
            </w:r>
          </w:p>
        </w:tc>
        <w:tc>
          <w:tcPr>
            <w:tcW w:w="1119" w:type="dxa"/>
            <w:tcBorders>
              <w:left w:val="nil"/>
              <w:right w:val="single" w:color="000000" w:sz="4" w:space="0"/>
            </w:tcBorders>
            <w:shd w:val="clear" w:color="auto" w:fill="auto"/>
            <w:vAlign w:val="center"/>
          </w:tcPr>
          <w:p w14:paraId="5A7B3986">
            <w:pPr>
              <w:keepNext w:val="0"/>
              <w:keepLines w:val="0"/>
              <w:suppressLineNumbers w:val="0"/>
              <w:snapToGrid w:val="0"/>
              <w:spacing w:before="0" w:beforeAutospacing="0" w:after="0" w:afterAutospacing="0" w:line="360" w:lineRule="exact"/>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售后服务要求</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56A96DF9">
            <w:pPr>
              <w:keepNext w:val="0"/>
              <w:keepLines w:val="0"/>
              <w:suppressLineNumbers w:val="0"/>
              <w:spacing w:before="0" w:beforeAutospacing="0" w:after="0" w:afterAutospacing="0" w:line="340" w:lineRule="exact"/>
              <w:ind w:left="0" w:right="0"/>
              <w:jc w:val="left"/>
              <w:rPr>
                <w:rFonts w:hint="eastAsia" w:ascii="宋体" w:hAnsi="宋体"/>
                <w:color w:val="auto"/>
                <w:sz w:val="21"/>
                <w:szCs w:val="21"/>
                <w:highlight w:val="none"/>
              </w:rPr>
            </w:pPr>
            <w:r>
              <w:rPr>
                <w:rFonts w:hint="eastAsia" w:ascii="宋体" w:hAnsi="宋体"/>
                <w:color w:val="auto"/>
                <w:sz w:val="21"/>
                <w:szCs w:val="21"/>
                <w:highlight w:val="none"/>
                <w:lang w:val="en-US" w:eastAsia="zh-CN"/>
              </w:rPr>
              <w:t>1</w:t>
            </w:r>
            <w:r>
              <w:rPr>
                <w:rFonts w:hint="eastAsia" w:ascii="宋体" w:hAnsi="宋体"/>
                <w:color w:val="auto"/>
                <w:sz w:val="21"/>
                <w:szCs w:val="21"/>
                <w:highlight w:val="none"/>
              </w:rPr>
              <w:t>.</w:t>
            </w:r>
            <w:r>
              <w:rPr>
                <w:rFonts w:hint="eastAsia" w:ascii="宋体" w:hAnsi="宋体"/>
                <w:color w:val="auto"/>
                <w:sz w:val="21"/>
                <w:szCs w:val="21"/>
                <w:highlight w:val="none"/>
                <w:lang w:val="en-US" w:eastAsia="zh-CN"/>
              </w:rPr>
              <w:t>中标人</w:t>
            </w:r>
            <w:r>
              <w:rPr>
                <w:rFonts w:hint="eastAsia" w:ascii="宋体" w:hAnsi="宋体"/>
                <w:color w:val="auto"/>
                <w:sz w:val="21"/>
                <w:szCs w:val="21"/>
                <w:highlight w:val="none"/>
              </w:rPr>
              <w:t>必须保证提供的</w:t>
            </w:r>
            <w:r>
              <w:rPr>
                <w:rFonts w:hint="eastAsia" w:ascii="宋体" w:hAnsi="宋体"/>
                <w:color w:val="auto"/>
                <w:sz w:val="21"/>
                <w:szCs w:val="21"/>
                <w:highlight w:val="none"/>
                <w:lang w:val="en-US" w:eastAsia="zh-CN"/>
              </w:rPr>
              <w:t>整套系统</w:t>
            </w:r>
            <w:r>
              <w:rPr>
                <w:rFonts w:hint="eastAsia" w:ascii="宋体" w:hAnsi="宋体"/>
                <w:color w:val="auto"/>
                <w:sz w:val="21"/>
                <w:szCs w:val="21"/>
                <w:highlight w:val="none"/>
              </w:rPr>
              <w:t>是全新正品、未使用过的。</w:t>
            </w:r>
          </w:p>
          <w:p w14:paraId="377CBFBC">
            <w:pPr>
              <w:keepNext w:val="0"/>
              <w:keepLines w:val="0"/>
              <w:suppressLineNumbers w:val="0"/>
              <w:spacing w:before="0" w:beforeAutospacing="0" w:after="0" w:afterAutospacing="0" w:line="340" w:lineRule="exact"/>
              <w:ind w:left="0" w:right="0"/>
              <w:jc w:val="left"/>
              <w:rPr>
                <w:rFonts w:ascii="宋体" w:hAnsi="宋体"/>
                <w:color w:val="auto"/>
                <w:sz w:val="21"/>
                <w:szCs w:val="21"/>
                <w:highlight w:val="none"/>
              </w:rPr>
            </w:pPr>
            <w:r>
              <w:rPr>
                <w:rFonts w:hint="eastAsia" w:ascii="宋体" w:hAnsi="宋体"/>
                <w:color w:val="auto"/>
                <w:sz w:val="21"/>
                <w:szCs w:val="21"/>
                <w:highlight w:val="none"/>
                <w:lang w:val="en-US" w:eastAsia="zh-CN"/>
              </w:rPr>
              <w:t>2</w:t>
            </w:r>
            <w:r>
              <w:rPr>
                <w:rFonts w:hint="eastAsia" w:ascii="宋体" w:hAnsi="宋体"/>
                <w:color w:val="auto"/>
                <w:sz w:val="21"/>
                <w:szCs w:val="21"/>
                <w:highlight w:val="none"/>
              </w:rPr>
              <w:t>.中标</w:t>
            </w:r>
            <w:r>
              <w:rPr>
                <w:rFonts w:hint="eastAsia" w:ascii="宋体" w:hAnsi="宋体"/>
                <w:color w:val="auto"/>
                <w:sz w:val="21"/>
                <w:szCs w:val="21"/>
                <w:highlight w:val="none"/>
                <w:lang w:val="en-US" w:eastAsia="zh-CN"/>
              </w:rPr>
              <w:t>人</w:t>
            </w:r>
            <w:r>
              <w:rPr>
                <w:rFonts w:hint="eastAsia" w:ascii="宋体" w:hAnsi="宋体"/>
                <w:color w:val="auto"/>
                <w:sz w:val="21"/>
                <w:szCs w:val="21"/>
                <w:highlight w:val="none"/>
              </w:rPr>
              <w:t>须安排厂家工程师对所供产品进行安装、调试和操作培训，并免费对采购人操作人员进行常规设备操作、故障排除、设备维护保养培训，培训时间根据采购人要求，根据本项目制定培训实施方案，不限制培训时长及培训次数直至采购人掌握为止。</w:t>
            </w:r>
          </w:p>
          <w:p w14:paraId="09E3767D">
            <w:pPr>
              <w:keepNext w:val="0"/>
              <w:keepLines w:val="0"/>
              <w:suppressLineNumbers w:val="0"/>
              <w:spacing w:before="0" w:beforeAutospacing="0" w:after="0" w:afterAutospacing="0" w:line="340" w:lineRule="exact"/>
              <w:ind w:left="0" w:right="0"/>
              <w:jc w:val="left"/>
              <w:rPr>
                <w:rFonts w:ascii="宋体" w:hAnsi="宋体"/>
                <w:color w:val="auto"/>
                <w:sz w:val="21"/>
                <w:szCs w:val="21"/>
                <w:highlight w:val="none"/>
              </w:rPr>
            </w:pPr>
            <w:r>
              <w:rPr>
                <w:rFonts w:hint="eastAsia" w:ascii="宋体" w:hAnsi="宋体"/>
                <w:color w:val="auto"/>
                <w:sz w:val="21"/>
                <w:szCs w:val="21"/>
                <w:highlight w:val="none"/>
                <w:lang w:val="en-US" w:eastAsia="zh-CN"/>
              </w:rPr>
              <w:t>3</w:t>
            </w:r>
            <w:r>
              <w:rPr>
                <w:rFonts w:hint="eastAsia" w:ascii="宋体" w:hAnsi="宋体"/>
                <w:color w:val="auto"/>
                <w:sz w:val="21"/>
                <w:szCs w:val="21"/>
                <w:highlight w:val="none"/>
              </w:rPr>
              <w:t>.</w:t>
            </w:r>
            <w:r>
              <w:rPr>
                <w:rFonts w:hint="eastAsia" w:ascii="宋体" w:hAnsi="宋体" w:cs="宋体"/>
                <w:color w:val="auto"/>
                <w:sz w:val="21"/>
                <w:szCs w:val="21"/>
                <w:highlight w:val="none"/>
              </w:rPr>
              <w:t>故障响应时间：售后服务时间为7</w:t>
            </w:r>
            <w:r>
              <w:rPr>
                <w:rFonts w:ascii="Arial" w:hAnsi="Arial" w:cs="Arial"/>
                <w:color w:val="auto"/>
                <w:sz w:val="21"/>
                <w:szCs w:val="21"/>
                <w:highlight w:val="none"/>
              </w:rPr>
              <w:t>×</w:t>
            </w:r>
            <w:r>
              <w:rPr>
                <w:rFonts w:hint="eastAsia" w:ascii="宋体" w:hAnsi="宋体" w:cs="宋体"/>
                <w:color w:val="auto"/>
                <w:sz w:val="21"/>
                <w:szCs w:val="21"/>
                <w:highlight w:val="none"/>
              </w:rPr>
              <w:t>24小时，提供服务热线电话。</w:t>
            </w:r>
            <w:r>
              <w:rPr>
                <w:rFonts w:hint="eastAsia" w:ascii="宋体" w:hAnsi="宋体"/>
                <w:color w:val="auto"/>
                <w:sz w:val="21"/>
                <w:szCs w:val="21"/>
                <w:highlight w:val="none"/>
                <w:lang w:val="en-US" w:eastAsia="zh-CN"/>
              </w:rPr>
              <w:t>中标人</w:t>
            </w:r>
            <w:r>
              <w:rPr>
                <w:rFonts w:hint="eastAsia" w:ascii="宋体" w:hAnsi="宋体" w:cs="宋体"/>
                <w:color w:val="auto"/>
                <w:sz w:val="21"/>
                <w:szCs w:val="21"/>
                <w:highlight w:val="none"/>
              </w:rPr>
              <w:t>接到采购人</w:t>
            </w:r>
            <w:r>
              <w:rPr>
                <w:rFonts w:hint="eastAsia" w:ascii="宋体" w:hAnsi="宋体" w:cs="宋体"/>
                <w:color w:val="auto"/>
                <w:sz w:val="21"/>
                <w:szCs w:val="21"/>
                <w:highlight w:val="none"/>
                <w:lang w:val="en-US" w:eastAsia="zh-CN"/>
              </w:rPr>
              <w:t>故障</w:t>
            </w:r>
            <w:r>
              <w:rPr>
                <w:rFonts w:hint="eastAsia" w:ascii="宋体" w:hAnsi="宋体" w:cs="宋体"/>
                <w:color w:val="auto"/>
                <w:sz w:val="21"/>
                <w:szCs w:val="21"/>
                <w:highlight w:val="none"/>
              </w:rPr>
              <w:t>通知2小时内做出响应，</w:t>
            </w:r>
            <w:r>
              <w:rPr>
                <w:rFonts w:hint="eastAsia" w:ascii="宋体" w:hAnsi="宋体" w:eastAsia="宋体" w:cs="宋体"/>
                <w:color w:val="auto"/>
                <w:sz w:val="21"/>
                <w:szCs w:val="21"/>
                <w:highlight w:val="none"/>
              </w:rPr>
              <w:t>8小时内远程排查处理故障；远程无法处理的，应在接到通知后24小时内到达现场维修。其中，一般故障应在48小时内修复，重大故障或其他无法迅速解决的故障应在7日内修复。</w:t>
            </w:r>
            <w:r>
              <w:rPr>
                <w:color w:val="auto"/>
                <w:szCs w:val="21"/>
                <w:highlight w:val="none"/>
              </w:rPr>
              <w:t>向采购单位受训人员提供技术资料、参考材料、培训手册</w:t>
            </w:r>
            <w:r>
              <w:rPr>
                <w:rFonts w:hint="eastAsia"/>
                <w:color w:val="auto"/>
                <w:szCs w:val="21"/>
                <w:highlight w:val="none"/>
              </w:rPr>
              <w:t>、培训服务</w:t>
            </w:r>
            <w:r>
              <w:rPr>
                <w:color w:val="auto"/>
                <w:szCs w:val="21"/>
                <w:highlight w:val="none"/>
              </w:rPr>
              <w:t>等</w:t>
            </w:r>
            <w:r>
              <w:rPr>
                <w:rFonts w:hint="eastAsia" w:ascii="宋体" w:hAnsi="宋体"/>
                <w:color w:val="auto"/>
                <w:sz w:val="21"/>
                <w:szCs w:val="21"/>
                <w:highlight w:val="none"/>
              </w:rPr>
              <w:t>。</w:t>
            </w:r>
          </w:p>
          <w:p w14:paraId="76C72ECA">
            <w:pPr>
              <w:keepNext w:val="0"/>
              <w:keepLines w:val="0"/>
              <w:suppressLineNumbers w:val="0"/>
              <w:snapToGrid w:val="0"/>
              <w:spacing w:before="0" w:beforeAutospacing="0" w:after="0" w:afterAutospacing="0" w:line="360" w:lineRule="exact"/>
              <w:ind w:left="0" w:right="0"/>
              <w:outlineLvl w:val="0"/>
              <w:rPr>
                <w:rFonts w:hint="default" w:ascii="宋体" w:hAnsi="宋体" w:eastAsia="宋体" w:cs="宋体"/>
                <w:color w:val="auto"/>
                <w:sz w:val="21"/>
                <w:szCs w:val="21"/>
                <w:highlight w:val="none"/>
                <w:lang w:val="en-US" w:eastAsia="zh-CN"/>
              </w:rPr>
            </w:pPr>
            <w:r>
              <w:rPr>
                <w:rFonts w:hint="eastAsia" w:ascii="宋体" w:hAnsi="宋体"/>
                <w:color w:val="auto"/>
                <w:sz w:val="21"/>
                <w:szCs w:val="21"/>
                <w:highlight w:val="none"/>
                <w:lang w:val="en-US" w:eastAsia="zh-CN"/>
              </w:rPr>
              <w:t>4</w:t>
            </w:r>
            <w:r>
              <w:rPr>
                <w:rFonts w:hint="eastAsia" w:ascii="宋体" w:hAnsi="宋体" w:cs="宋体"/>
                <w:color w:val="auto"/>
                <w:sz w:val="21"/>
                <w:szCs w:val="21"/>
                <w:highlight w:val="none"/>
              </w:rPr>
              <w:t>.提供维护服务和技术咨询服务，</w:t>
            </w:r>
            <w:r>
              <w:rPr>
                <w:rFonts w:hint="eastAsia" w:ascii="宋体" w:hAnsi="宋体" w:eastAsia="宋体" w:cs="宋体"/>
                <w:color w:val="auto"/>
                <w:sz w:val="21"/>
                <w:szCs w:val="21"/>
                <w:highlight w:val="none"/>
                <w:lang w:val="en-US" w:eastAsia="zh-CN"/>
              </w:rPr>
              <w:t>负责</w:t>
            </w:r>
            <w:r>
              <w:rPr>
                <w:rFonts w:hint="eastAsia" w:ascii="宋体" w:hAnsi="宋体" w:eastAsia="宋体" w:cs="宋体"/>
                <w:color w:val="auto"/>
                <w:sz w:val="21"/>
                <w:szCs w:val="21"/>
                <w:highlight w:val="none"/>
              </w:rPr>
              <w:t>配置软件的维护。</w:t>
            </w:r>
            <w:r>
              <w:rPr>
                <w:rFonts w:hint="eastAsia" w:ascii="宋体" w:hAnsi="宋体" w:cs="宋体"/>
                <w:color w:val="auto"/>
                <w:sz w:val="21"/>
                <w:szCs w:val="21"/>
                <w:highlight w:val="none"/>
                <w:lang w:val="en-US" w:eastAsia="zh-CN"/>
              </w:rPr>
              <w:t>系统免费运维期满后</w:t>
            </w:r>
            <w:r>
              <w:rPr>
                <w:rFonts w:hint="eastAsia" w:ascii="宋体" w:hAnsi="宋体" w:eastAsia="宋体" w:cs="宋体"/>
                <w:color w:val="auto"/>
                <w:sz w:val="21"/>
                <w:szCs w:val="21"/>
                <w:highlight w:val="none"/>
              </w:rPr>
              <w:t>，软件不升级不影响原有软件功能正常使用，若需升级,</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rPr>
              <w:t>负责升级,不另外收取费用</w:t>
            </w:r>
            <w:r>
              <w:rPr>
                <w:rFonts w:hint="eastAsia" w:ascii="仿宋_GB2312" w:hAnsi="仿宋_GB2312" w:eastAsia="仿宋_GB2312" w:cs="仿宋_GB2312"/>
                <w:color w:val="auto"/>
                <w:sz w:val="21"/>
                <w:szCs w:val="21"/>
                <w:highlight w:val="none"/>
                <w:lang w:eastAsia="zh-CN"/>
              </w:rPr>
              <w:t>（</w:t>
            </w:r>
            <w:r>
              <w:rPr>
                <w:rFonts w:hint="eastAsia" w:ascii="宋体" w:hAnsi="宋体" w:eastAsia="宋体" w:cs="宋体"/>
                <w:color w:val="auto"/>
                <w:sz w:val="21"/>
                <w:szCs w:val="21"/>
                <w:highlight w:val="none"/>
                <w:lang w:val="en-US" w:eastAsia="zh-CN"/>
              </w:rPr>
              <w:t>投标文件中须提供承诺函并加盖投标人公章</w:t>
            </w:r>
            <w:r>
              <w:rPr>
                <w:rFonts w:hint="eastAsia" w:ascii="仿宋_GB2312" w:hAnsi="仿宋_GB2312" w:eastAsia="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rPr>
              <w:t>。</w:t>
            </w:r>
          </w:p>
        </w:tc>
      </w:tr>
      <w:tr w14:paraId="410BE2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12" w:hRule="atLeast"/>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24376EF3">
            <w:pPr>
              <w:keepNext w:val="0"/>
              <w:keepLines w:val="0"/>
              <w:suppressLineNumbers w:val="0"/>
              <w:bidi w:val="0"/>
              <w:spacing w:before="0" w:beforeAutospacing="0" w:after="0" w:afterAutospacing="0"/>
              <w:ind w:left="0" w:leftChars="0" w:right="0" w:rightChars="0"/>
              <w:jc w:val="center"/>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9</w:t>
            </w:r>
          </w:p>
        </w:tc>
        <w:tc>
          <w:tcPr>
            <w:tcW w:w="1119" w:type="dxa"/>
            <w:tcBorders>
              <w:left w:val="nil"/>
              <w:right w:val="single" w:color="000000" w:sz="4" w:space="0"/>
            </w:tcBorders>
            <w:shd w:val="clear" w:color="auto" w:fill="auto"/>
            <w:vAlign w:val="center"/>
          </w:tcPr>
          <w:p w14:paraId="2CBD318D">
            <w:pPr>
              <w:keepNext w:val="0"/>
              <w:keepLines w:val="0"/>
              <w:suppressLineNumbers w:val="0"/>
              <w:snapToGrid w:val="0"/>
              <w:spacing w:before="0" w:beforeAutospacing="0" w:after="0" w:afterAutospacing="0" w:line="400" w:lineRule="exact"/>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核心产品</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6688DFE1">
            <w:pPr>
              <w:pStyle w:val="14"/>
              <w:keepNext w:val="0"/>
              <w:keepLines w:val="0"/>
              <w:suppressLineNumbers w:val="0"/>
              <w:snapToGrid w:val="0"/>
              <w:spacing w:before="0" w:beforeAutospacing="0" w:after="0" w:afterAutospacing="0" w:line="360" w:lineRule="auto"/>
              <w:ind w:left="0" w:leftChars="0" w:right="0" w:rightChars="0"/>
              <w:outlineLvl w:val="0"/>
              <w:rPr>
                <w:rFonts w:hint="eastAsia" w:ascii="宋体" w:hAnsi="宋体" w:eastAsia="宋体" w:cs="宋体"/>
                <w:b/>
                <w:bCs/>
                <w:color w:val="auto"/>
                <w:kern w:val="2"/>
                <w:sz w:val="21"/>
                <w:szCs w:val="21"/>
                <w:highlight w:val="none"/>
                <w:lang w:val="en-US" w:eastAsia="zh-CN" w:bidi="ar"/>
              </w:rPr>
            </w:pPr>
            <w:r>
              <w:rPr>
                <w:rFonts w:hint="eastAsia" w:ascii="宋体" w:hAnsi="宋体" w:eastAsia="宋体" w:cs="宋体"/>
                <w:b/>
                <w:bCs/>
                <w:color w:val="auto"/>
                <w:kern w:val="2"/>
                <w:sz w:val="21"/>
                <w:szCs w:val="21"/>
                <w:highlight w:val="none"/>
                <w:lang w:val="en-US" w:eastAsia="zh-CN" w:bidi="ar"/>
              </w:rPr>
              <w:t>提供相同品牌产品且通过资格审查、符合性审查的不同投标人参加同一合同项下投标的，按一家投标人计算，采用最低评标价法则以报价最低者参与评标，采用综合评分法则以评审得分最高者获得中标人推荐资格，采用最低评标价法报价相同的或者采用综合评分法评审得分相同的，按“投标人须知前附表”规定方式确定，确定后其他同品牌投标人投标无效或不作为中标候选人。</w:t>
            </w:r>
          </w:p>
        </w:tc>
      </w:tr>
      <w:tr w14:paraId="7F73EB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atLeast"/>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1619E11F">
            <w:pPr>
              <w:keepNext w:val="0"/>
              <w:keepLines w:val="0"/>
              <w:suppressLineNumbers w:val="0"/>
              <w:bidi w:val="0"/>
              <w:spacing w:before="0" w:beforeAutospacing="0" w:after="0" w:afterAutospacing="0"/>
              <w:ind w:left="0" w:leftChars="0" w:right="0" w:rightChars="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10</w:t>
            </w:r>
          </w:p>
        </w:tc>
        <w:tc>
          <w:tcPr>
            <w:tcW w:w="1119" w:type="dxa"/>
            <w:tcBorders>
              <w:left w:val="nil"/>
              <w:right w:val="single" w:color="000000" w:sz="4" w:space="0"/>
            </w:tcBorders>
            <w:shd w:val="clear" w:color="auto" w:fill="auto"/>
            <w:vAlign w:val="center"/>
          </w:tcPr>
          <w:p w14:paraId="3FAC90DA">
            <w:pPr>
              <w:keepNext w:val="0"/>
              <w:keepLines w:val="0"/>
              <w:suppressLineNumbers w:val="0"/>
              <w:snapToGrid w:val="0"/>
              <w:spacing w:before="0" w:beforeAutospacing="0" w:after="0" w:afterAutospacing="0" w:line="400" w:lineRule="exact"/>
              <w:ind w:left="0" w:leftChars="0" w:right="0" w:rightChars="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进品产品</w:t>
            </w:r>
          </w:p>
        </w:tc>
        <w:tc>
          <w:tcPr>
            <w:tcW w:w="7772" w:type="dxa"/>
            <w:gridSpan w:val="4"/>
            <w:tcBorders>
              <w:top w:val="single" w:color="000000" w:sz="4" w:space="0"/>
              <w:left w:val="nil"/>
              <w:bottom w:val="single" w:color="000000" w:sz="4" w:space="0"/>
              <w:right w:val="single" w:color="000000" w:sz="4" w:space="0"/>
            </w:tcBorders>
            <w:shd w:val="clear" w:color="auto" w:fill="auto"/>
            <w:vAlign w:val="center"/>
          </w:tcPr>
          <w:p w14:paraId="26FBE460">
            <w:pPr>
              <w:pStyle w:val="14"/>
              <w:keepNext w:val="0"/>
              <w:keepLines w:val="0"/>
              <w:suppressLineNumbers w:val="0"/>
              <w:snapToGrid w:val="0"/>
              <w:spacing w:before="0" w:beforeAutospacing="0" w:after="0" w:afterAutospacing="0" w:line="360" w:lineRule="auto"/>
              <w:ind w:left="0" w:leftChars="0" w:right="0" w:rightChars="0"/>
              <w:jc w:val="left"/>
              <w:outlineLvl w:val="0"/>
              <w:rPr>
                <w:rFonts w:hint="eastAsia"/>
                <w:color w:val="auto"/>
                <w:sz w:val="21"/>
                <w:szCs w:val="21"/>
                <w:highlight w:val="none"/>
                <w:lang w:val="en-US" w:eastAsia="zh-CN"/>
              </w:rPr>
            </w:pPr>
            <w:r>
              <w:rPr>
                <w:rFonts w:hint="eastAsia" w:ascii="宋体" w:hAnsi="宋体" w:cs="宋体"/>
                <w:color w:val="auto"/>
                <w:sz w:val="21"/>
                <w:szCs w:val="21"/>
                <w:highlight w:val="none"/>
                <w:lang w:val="en-US" w:eastAsia="zh-CN"/>
              </w:rPr>
              <w:t xml:space="preserve">是否接受进口产品: </w:t>
            </w:r>
            <w:r>
              <w:rPr>
                <w:rFonts w:hint="eastAsia" w:hAnsi="宋体" w:cs="宋体"/>
                <w:color w:val="auto"/>
                <w:sz w:val="21"/>
                <w:szCs w:val="21"/>
                <w:highlight w:val="none"/>
                <w:lang w:val="en-US" w:eastAsia="zh-CN"/>
              </w:rPr>
              <w:t>不</w:t>
            </w:r>
            <w:r>
              <w:rPr>
                <w:rFonts w:hint="eastAsia" w:hAnsi="宋体" w:cs="宋体"/>
                <w:b/>
                <w:bCs/>
                <w:color w:val="auto"/>
                <w:kern w:val="2"/>
                <w:sz w:val="21"/>
                <w:szCs w:val="21"/>
                <w:highlight w:val="none"/>
                <w:lang w:val="en-US" w:eastAsia="zh-CN" w:bidi="ar"/>
              </w:rPr>
              <w:t>接受。</w:t>
            </w:r>
          </w:p>
        </w:tc>
      </w:tr>
      <w:tr w14:paraId="5B4E9E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414A7F6C">
            <w:pPr>
              <w:keepNext w:val="0"/>
              <w:keepLines w:val="0"/>
              <w:suppressLineNumbers w:val="0"/>
              <w:bidi w:val="0"/>
              <w:spacing w:before="0" w:beforeAutospacing="0" w:after="0" w:afterAutospacing="0"/>
              <w:ind w:left="0" w:leftChars="0" w:right="0" w:rightChars="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119" w:type="dxa"/>
            <w:tcBorders>
              <w:left w:val="nil"/>
              <w:right w:val="single" w:color="000000" w:sz="4" w:space="0"/>
            </w:tcBorders>
            <w:shd w:val="clear" w:color="auto" w:fill="auto"/>
            <w:vAlign w:val="center"/>
          </w:tcPr>
          <w:p w14:paraId="6C9E41A1">
            <w:pPr>
              <w:keepNext w:val="0"/>
              <w:keepLines w:val="0"/>
              <w:suppressLineNumbers w:val="0"/>
              <w:snapToGrid w:val="0"/>
              <w:spacing w:before="0" w:beforeAutospacing="0" w:after="0" w:afterAutospacing="0" w:line="400" w:lineRule="exact"/>
              <w:ind w:left="0" w:leftChars="0" w:right="0" w:rightChars="0"/>
              <w:jc w:val="center"/>
              <w:rPr>
                <w:rFonts w:hint="eastAsia" w:ascii="宋体" w:hAnsi="宋体" w:cs="宋体"/>
                <w:color w:val="auto"/>
                <w:sz w:val="21"/>
                <w:szCs w:val="21"/>
                <w:highlight w:val="none"/>
                <w:lang w:val="en-US" w:eastAsia="zh-CN"/>
              </w:rPr>
            </w:pPr>
            <w:r>
              <w:rPr>
                <w:rFonts w:hint="eastAsia" w:ascii="宋体" w:hAnsi="宋体"/>
                <w:color w:val="auto"/>
                <w:sz w:val="21"/>
                <w:szCs w:val="21"/>
                <w:highlight w:val="none"/>
              </w:rPr>
              <w:t>其他</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7D3B096C">
            <w:pPr>
              <w:keepNext w:val="0"/>
              <w:keepLines w:val="0"/>
              <w:suppressLineNumbers w:val="0"/>
              <w:spacing w:before="0" w:beforeAutospacing="0" w:after="0" w:afterAutospacing="0" w:line="360" w:lineRule="exact"/>
              <w:ind w:left="0" w:right="0"/>
              <w:rPr>
                <w:rFonts w:hint="eastAsia" w:ascii="宋体" w:hAnsi="宋体"/>
                <w:color w:val="auto"/>
                <w:sz w:val="21"/>
                <w:szCs w:val="21"/>
                <w:highlight w:val="none"/>
              </w:rPr>
            </w:pPr>
            <w:r>
              <w:rPr>
                <w:rFonts w:hint="eastAsia" w:ascii="宋体" w:hAnsi="宋体"/>
                <w:color w:val="auto"/>
                <w:sz w:val="21"/>
                <w:szCs w:val="21"/>
                <w:highlight w:val="none"/>
                <w:lang w:val="en-US" w:eastAsia="zh-CN"/>
              </w:rPr>
              <w:t>1</w:t>
            </w:r>
            <w:r>
              <w:rPr>
                <w:rFonts w:hint="eastAsia" w:ascii="宋体" w:hAnsi="宋体"/>
                <w:color w:val="auto"/>
                <w:sz w:val="21"/>
                <w:szCs w:val="21"/>
                <w:highlight w:val="none"/>
              </w:rPr>
              <w:t>.样品递交：否</w:t>
            </w:r>
          </w:p>
          <w:p w14:paraId="69BE1AAB">
            <w:pPr>
              <w:keepNext w:val="0"/>
              <w:keepLines w:val="0"/>
              <w:suppressLineNumbers w:val="0"/>
              <w:spacing w:before="0" w:beforeAutospacing="0" w:after="0" w:afterAutospacing="0" w:line="360" w:lineRule="exact"/>
              <w:ind w:left="0" w:right="0"/>
              <w:rPr>
                <w:rFonts w:hint="eastAsia" w:ascii="宋体" w:hAnsi="宋体" w:eastAsia="宋体" w:cs="Times New Roman"/>
                <w:color w:val="auto"/>
                <w:sz w:val="21"/>
                <w:szCs w:val="21"/>
                <w:highlight w:val="none"/>
              </w:rPr>
            </w:pPr>
            <w:r>
              <w:rPr>
                <w:rFonts w:hint="eastAsia" w:ascii="宋体" w:hAnsi="宋体"/>
                <w:color w:val="auto"/>
                <w:sz w:val="21"/>
                <w:szCs w:val="21"/>
                <w:highlight w:val="none"/>
                <w:lang w:val="en-US" w:eastAsia="zh-CN"/>
              </w:rPr>
              <w:t>2</w:t>
            </w:r>
            <w:r>
              <w:rPr>
                <w:rFonts w:hint="eastAsia" w:ascii="宋体" w:hAnsi="宋体"/>
                <w:color w:val="auto"/>
                <w:sz w:val="21"/>
                <w:szCs w:val="21"/>
                <w:highlight w:val="none"/>
              </w:rPr>
              <w:t>.是</w:t>
            </w:r>
            <w:r>
              <w:rPr>
                <w:rFonts w:hint="eastAsia" w:ascii="宋体" w:hAnsi="宋体" w:eastAsia="宋体" w:cs="Times New Roman"/>
                <w:color w:val="auto"/>
                <w:sz w:val="21"/>
                <w:szCs w:val="21"/>
                <w:highlight w:val="none"/>
              </w:rPr>
              <w:t>否组织现场踏勘：否</w:t>
            </w:r>
          </w:p>
          <w:p w14:paraId="222B6FE6">
            <w:pPr>
              <w:keepNext w:val="0"/>
              <w:keepLines w:val="0"/>
              <w:suppressLineNumbers w:val="0"/>
              <w:spacing w:before="0" w:beforeAutospacing="0" w:after="0" w:afterAutospacing="0" w:line="360" w:lineRule="exact"/>
              <w:ind w:left="0" w:right="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3</w:t>
            </w:r>
            <w:r>
              <w:rPr>
                <w:rFonts w:hint="eastAsia" w:ascii="宋体" w:hAnsi="宋体" w:eastAsia="宋体" w:cs="Times New Roman"/>
                <w:color w:val="auto"/>
                <w:sz w:val="21"/>
                <w:szCs w:val="21"/>
                <w:highlight w:val="none"/>
              </w:rPr>
              <w:t>.现场演示：否</w:t>
            </w:r>
          </w:p>
          <w:p w14:paraId="629E6D83">
            <w:pPr>
              <w:keepNext w:val="0"/>
              <w:keepLines w:val="0"/>
              <w:suppressLineNumbers w:val="0"/>
              <w:spacing w:before="0" w:beforeAutospacing="0" w:after="0" w:afterAutospacing="0" w:line="360" w:lineRule="exact"/>
              <w:ind w:left="0" w:right="0"/>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4.知识产权归属：中标人提供的采购标的应符合国家知识产权法律法规的规定且非假冒伪劣品；中标人还应保证采购人不受到第三方关于侵犯知识产权及专利权、商标权或工业设计权等知识产权方面的指控，若任何第三方提出此方面指控均与采购人无关，中标人应与第三方交涉，并承担可能发生的一切法律责任、费用和后果；若采购人因此而遭致损失（包括但不限于律师费、诉讼费、鉴定费、诉讼过程采购人所产生的交通费等），则中标人应赔偿该损失。</w:t>
            </w:r>
          </w:p>
          <w:p w14:paraId="6D3FC325">
            <w:pPr>
              <w:keepNext w:val="0"/>
              <w:keepLines w:val="0"/>
              <w:suppressLineNumbers w:val="0"/>
              <w:spacing w:before="0" w:beforeAutospacing="0" w:after="0" w:afterAutospacing="0" w:line="360" w:lineRule="exact"/>
              <w:ind w:left="0" w:right="0"/>
              <w:rPr>
                <w:rFonts w:hint="eastAsia"/>
                <w:color w:val="auto"/>
                <w:highlight w:val="none"/>
                <w:lang w:val="en-US" w:eastAsia="zh-CN"/>
              </w:rPr>
            </w:pPr>
            <w:r>
              <w:rPr>
                <w:rFonts w:hint="eastAsia" w:ascii="宋体" w:hAnsi="宋体" w:eastAsia="宋体" w:cs="Times New Roman"/>
                <w:color w:val="auto"/>
                <w:sz w:val="21"/>
                <w:szCs w:val="21"/>
                <w:highlight w:val="none"/>
                <w:lang w:val="en-US" w:eastAsia="zh-CN"/>
              </w:rPr>
              <w:t>5.保密要求：中标人对履约合同有关内容、资料、信息以及全部项目成果文件，负有保管和保守秘密的义务，除已公开之外，未经采购人许可不得向第三方泄露，如有发生泄露，中标人承担全部相关法律责任。</w:t>
            </w:r>
          </w:p>
        </w:tc>
      </w:tr>
    </w:tbl>
    <w:p w14:paraId="572BC0F5">
      <w:pPr>
        <w:rPr>
          <w:rFonts w:hint="eastAsia" w:ascii="宋体" w:hAnsi="宋体" w:cs="宋体"/>
          <w:color w:val="auto"/>
          <w:sz w:val="32"/>
          <w:szCs w:val="32"/>
          <w:highlight w:val="none"/>
        </w:rPr>
      </w:pPr>
    </w:p>
    <w:p w14:paraId="5BB4AB68">
      <w:pPr>
        <w:rPr>
          <w:rFonts w:hint="eastAsia" w:ascii="宋体" w:hAnsi="宋体" w:cs="宋体"/>
          <w:color w:val="auto"/>
          <w:sz w:val="32"/>
          <w:szCs w:val="32"/>
          <w:highlight w:val="none"/>
        </w:rPr>
      </w:pPr>
    </w:p>
    <w:p w14:paraId="47278140">
      <w:pPr>
        <w:pStyle w:val="2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20"/>
        <w:rPr>
          <w:rFonts w:hint="eastAsia" w:cs="宋体"/>
          <w:b/>
          <w:bCs/>
          <w:color w:val="auto"/>
          <w:sz w:val="21"/>
          <w:szCs w:val="21"/>
          <w:highlight w:val="none"/>
          <w:lang w:val="en-US" w:eastAsia="zh-CN"/>
        </w:rPr>
      </w:pPr>
    </w:p>
    <w:p w14:paraId="04AB958E">
      <w:pPr>
        <w:rPr>
          <w:rFonts w:hint="eastAsia" w:cs="宋体"/>
          <w:b/>
          <w:bCs/>
          <w:color w:val="auto"/>
          <w:sz w:val="21"/>
          <w:szCs w:val="21"/>
          <w:highlight w:val="none"/>
          <w:lang w:val="en-US" w:eastAsia="zh-CN"/>
        </w:rPr>
      </w:pPr>
      <w:r>
        <w:rPr>
          <w:rFonts w:hint="eastAsia" w:cs="宋体"/>
          <w:b/>
          <w:bCs/>
          <w:color w:val="auto"/>
          <w:sz w:val="21"/>
          <w:szCs w:val="21"/>
          <w:highlight w:val="none"/>
          <w:lang w:val="en-US" w:eastAsia="zh-CN"/>
        </w:rPr>
        <w:br w:type="page"/>
      </w:r>
    </w:p>
    <w:p w14:paraId="0403F367">
      <w:pPr>
        <w:pStyle w:val="2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20"/>
        <w:rPr>
          <w:rFonts w:hint="default" w:ascii="宋体" w:hAnsi="宋体" w:eastAsia="宋体" w:cs="宋体"/>
          <w:b/>
          <w:bCs/>
          <w:color w:val="auto"/>
          <w:sz w:val="21"/>
          <w:szCs w:val="21"/>
          <w:highlight w:val="none"/>
          <w:lang w:val="en-US" w:eastAsia="zh-CN"/>
        </w:rPr>
      </w:pPr>
      <w:r>
        <w:rPr>
          <w:rFonts w:hint="eastAsia" w:cs="宋体"/>
          <w:b/>
          <w:bCs/>
          <w:color w:val="auto"/>
          <w:sz w:val="21"/>
          <w:szCs w:val="21"/>
          <w:highlight w:val="none"/>
          <w:lang w:val="en-US" w:eastAsia="zh-CN"/>
        </w:rPr>
        <w:t>分标5：</w:t>
      </w:r>
    </w:p>
    <w:tbl>
      <w:tblPr>
        <w:tblStyle w:val="28"/>
        <w:tblW w:w="945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62"/>
        <w:gridCol w:w="1119"/>
        <w:gridCol w:w="562"/>
        <w:gridCol w:w="519"/>
        <w:gridCol w:w="5194"/>
        <w:gridCol w:w="1497"/>
      </w:tblGrid>
      <w:tr w14:paraId="3DAFA4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5" w:hRule="atLeast"/>
          <w:jc w:val="center"/>
        </w:trPr>
        <w:tc>
          <w:tcPr>
            <w:tcW w:w="9453" w:type="dxa"/>
            <w:gridSpan w:val="6"/>
            <w:tcBorders>
              <w:top w:val="single" w:color="000000" w:sz="4" w:space="0"/>
              <w:left w:val="single" w:color="auto" w:sz="4" w:space="0"/>
              <w:bottom w:val="single" w:color="000000" w:sz="4" w:space="0"/>
              <w:right w:val="single" w:color="000000" w:sz="4" w:space="0"/>
            </w:tcBorders>
            <w:vAlign w:val="center"/>
          </w:tcPr>
          <w:p w14:paraId="7F07B16B">
            <w:pPr>
              <w:keepNext w:val="0"/>
              <w:keepLines w:val="0"/>
              <w:widowControl w:val="0"/>
              <w:suppressLineNumbers w:val="0"/>
              <w:wordWrap/>
              <w:adjustRightInd/>
              <w:snapToGrid/>
              <w:spacing w:before="0" w:beforeAutospacing="0" w:after="0" w:afterAutospacing="0" w:line="320" w:lineRule="exact"/>
              <w:ind w:left="0" w:leftChars="0" w:right="0" w:firstLine="0" w:firstLineChars="0"/>
              <w:jc w:val="center"/>
              <w:textAlignment w:val="auto"/>
              <w:outlineLvl w:val="9"/>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一、技术要求</w:t>
            </w:r>
          </w:p>
        </w:tc>
      </w:tr>
      <w:tr w14:paraId="119EF4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387B2A13">
            <w:pPr>
              <w:keepNext w:val="0"/>
              <w:keepLines w:val="0"/>
              <w:widowControl w:val="0"/>
              <w:suppressLineNumbers w:val="0"/>
              <w:wordWrap/>
              <w:adjustRightInd/>
              <w:snapToGrid/>
              <w:spacing w:before="0" w:beforeAutospacing="0" w:after="0" w:afterAutospacing="0" w:line="320" w:lineRule="exact"/>
              <w:ind w:left="0" w:leftChars="0" w:right="0" w:rightChars="0" w:firstLine="0" w:firstLineChars="0"/>
              <w:jc w:val="center"/>
              <w:textAlignment w:val="auto"/>
              <w:outlineLvl w:val="9"/>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sz w:val="21"/>
                <w:szCs w:val="21"/>
                <w:highlight w:val="none"/>
              </w:rPr>
              <w:t>序号</w:t>
            </w:r>
          </w:p>
        </w:tc>
        <w:tc>
          <w:tcPr>
            <w:tcW w:w="1119" w:type="dxa"/>
            <w:tcBorders>
              <w:top w:val="single" w:color="000000" w:sz="4" w:space="0"/>
              <w:left w:val="nil"/>
              <w:bottom w:val="single" w:color="000000" w:sz="4" w:space="0"/>
              <w:right w:val="single" w:color="000000" w:sz="4" w:space="0"/>
            </w:tcBorders>
            <w:shd w:val="clear" w:color="auto" w:fill="auto"/>
            <w:vAlign w:val="center"/>
          </w:tcPr>
          <w:p w14:paraId="299CA80F">
            <w:pPr>
              <w:keepNext w:val="0"/>
              <w:keepLines w:val="0"/>
              <w:widowControl w:val="0"/>
              <w:suppressLineNumbers w:val="0"/>
              <w:wordWrap/>
              <w:adjustRightInd/>
              <w:snapToGrid/>
              <w:spacing w:before="0" w:beforeAutospacing="0" w:after="0" w:afterAutospacing="0" w:line="320" w:lineRule="exact"/>
              <w:ind w:left="0" w:leftChars="0" w:right="0" w:rightChars="0" w:firstLine="0" w:firstLineChars="0"/>
              <w:jc w:val="center"/>
              <w:textAlignment w:val="auto"/>
              <w:outlineLvl w:val="9"/>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0"/>
                <w:sz w:val="21"/>
                <w:szCs w:val="21"/>
                <w:highlight w:val="none"/>
                <w:lang w:eastAsia="zh-CN"/>
              </w:rPr>
              <w:t>标的</w:t>
            </w:r>
            <w:r>
              <w:rPr>
                <w:rFonts w:hint="eastAsia" w:ascii="宋体" w:hAnsi="宋体" w:eastAsia="宋体" w:cs="宋体"/>
                <w:b/>
                <w:bCs/>
                <w:color w:val="auto"/>
                <w:sz w:val="21"/>
                <w:szCs w:val="21"/>
                <w:highlight w:val="none"/>
              </w:rPr>
              <w:t>名称</w:t>
            </w:r>
          </w:p>
        </w:tc>
        <w:tc>
          <w:tcPr>
            <w:tcW w:w="562" w:type="dxa"/>
            <w:tcBorders>
              <w:top w:val="single" w:color="000000" w:sz="4" w:space="0"/>
              <w:left w:val="nil"/>
              <w:bottom w:val="single" w:color="000000" w:sz="4" w:space="0"/>
              <w:right w:val="single" w:color="000000" w:sz="4" w:space="0"/>
            </w:tcBorders>
            <w:shd w:val="clear" w:color="auto" w:fill="auto"/>
            <w:vAlign w:val="center"/>
          </w:tcPr>
          <w:p w14:paraId="5E4C4197">
            <w:pPr>
              <w:keepNext w:val="0"/>
              <w:keepLines w:val="0"/>
              <w:widowControl w:val="0"/>
              <w:suppressLineNumbers w:val="0"/>
              <w:wordWrap/>
              <w:adjustRightInd/>
              <w:snapToGrid/>
              <w:spacing w:before="0" w:beforeAutospacing="0" w:after="0" w:afterAutospacing="0" w:line="320" w:lineRule="exact"/>
              <w:ind w:left="0" w:leftChars="0" w:right="0" w:rightChars="0" w:firstLine="0" w:firstLineChars="0"/>
              <w:jc w:val="center"/>
              <w:textAlignment w:val="auto"/>
              <w:outlineLvl w:val="9"/>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sz w:val="21"/>
                <w:szCs w:val="21"/>
                <w:highlight w:val="none"/>
              </w:rPr>
              <w:t>数量</w:t>
            </w:r>
          </w:p>
        </w:tc>
        <w:tc>
          <w:tcPr>
            <w:tcW w:w="519" w:type="dxa"/>
            <w:tcBorders>
              <w:top w:val="single" w:color="000000" w:sz="4" w:space="0"/>
              <w:left w:val="nil"/>
              <w:bottom w:val="single" w:color="000000" w:sz="4" w:space="0"/>
              <w:right w:val="single" w:color="000000" w:sz="4" w:space="0"/>
            </w:tcBorders>
            <w:shd w:val="clear" w:color="auto" w:fill="auto"/>
            <w:vAlign w:val="center"/>
          </w:tcPr>
          <w:p w14:paraId="5C447B3C">
            <w:pPr>
              <w:keepNext w:val="0"/>
              <w:keepLines w:val="0"/>
              <w:widowControl w:val="0"/>
              <w:suppressLineNumbers w:val="0"/>
              <w:wordWrap/>
              <w:adjustRightInd/>
              <w:snapToGrid/>
              <w:spacing w:before="0" w:beforeAutospacing="0" w:after="0" w:afterAutospacing="0" w:line="320" w:lineRule="exact"/>
              <w:ind w:left="0" w:leftChars="0" w:right="0" w:rightChars="0" w:firstLine="0" w:firstLineChars="0"/>
              <w:jc w:val="center"/>
              <w:textAlignment w:val="auto"/>
              <w:outlineLvl w:val="9"/>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sz w:val="21"/>
                <w:szCs w:val="21"/>
                <w:highlight w:val="none"/>
              </w:rPr>
              <w:t>单位</w:t>
            </w:r>
          </w:p>
        </w:tc>
        <w:tc>
          <w:tcPr>
            <w:tcW w:w="5194" w:type="dxa"/>
            <w:tcBorders>
              <w:top w:val="single" w:color="000000" w:sz="4" w:space="0"/>
              <w:left w:val="nil"/>
              <w:bottom w:val="single" w:color="000000" w:sz="4" w:space="0"/>
              <w:right w:val="single" w:color="auto" w:sz="4" w:space="0"/>
            </w:tcBorders>
            <w:shd w:val="clear" w:color="auto" w:fill="auto"/>
            <w:vAlign w:val="center"/>
          </w:tcPr>
          <w:p w14:paraId="629B32E7">
            <w:pPr>
              <w:keepNext w:val="0"/>
              <w:keepLines w:val="0"/>
              <w:widowControl w:val="0"/>
              <w:suppressLineNumbers w:val="0"/>
              <w:wordWrap/>
              <w:adjustRightInd/>
              <w:snapToGrid/>
              <w:spacing w:before="0" w:beforeAutospacing="0" w:after="0" w:afterAutospacing="0" w:line="320" w:lineRule="exact"/>
              <w:ind w:left="0" w:leftChars="0" w:right="0" w:rightChars="0" w:firstLine="0" w:firstLineChars="0"/>
              <w:jc w:val="center"/>
              <w:textAlignment w:val="auto"/>
              <w:outlineLvl w:val="9"/>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技术参数及性能（配置）要求</w:t>
            </w:r>
          </w:p>
        </w:tc>
        <w:tc>
          <w:tcPr>
            <w:tcW w:w="1497" w:type="dxa"/>
            <w:tcBorders>
              <w:top w:val="single" w:color="000000" w:sz="4" w:space="0"/>
              <w:left w:val="single" w:color="auto" w:sz="4" w:space="0"/>
              <w:bottom w:val="single" w:color="000000" w:sz="4" w:space="0"/>
              <w:right w:val="single" w:color="000000" w:sz="4" w:space="0"/>
            </w:tcBorders>
            <w:shd w:val="clear" w:color="auto" w:fill="auto"/>
            <w:vAlign w:val="center"/>
          </w:tcPr>
          <w:p w14:paraId="762E96FD">
            <w:pPr>
              <w:keepNext w:val="0"/>
              <w:keepLines w:val="0"/>
              <w:widowControl w:val="0"/>
              <w:suppressLineNumbers w:val="0"/>
              <w:wordWrap/>
              <w:adjustRightInd/>
              <w:snapToGrid/>
              <w:spacing w:before="0" w:beforeAutospacing="0" w:after="0" w:afterAutospacing="0" w:line="320" w:lineRule="exact"/>
              <w:ind w:left="0" w:leftChars="0" w:right="0" w:rightChars="0" w:firstLine="0" w:firstLineChars="0"/>
              <w:jc w:val="center"/>
              <w:textAlignment w:val="auto"/>
              <w:outlineLvl w:val="9"/>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采购标的对应中小企业划分所属行业</w:t>
            </w:r>
          </w:p>
        </w:tc>
      </w:tr>
      <w:tr w14:paraId="360022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7A98D081">
            <w:pPr>
              <w:keepNext w:val="0"/>
              <w:keepLines w:val="0"/>
              <w:suppressLineNumbers w:val="0"/>
              <w:wordWrap w:val="0"/>
              <w:spacing w:before="0" w:beforeAutospacing="0" w:after="0" w:afterAutospacing="0" w:line="240" w:lineRule="auto"/>
              <w:ind w:left="0" w:right="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1</w:t>
            </w:r>
          </w:p>
        </w:tc>
        <w:tc>
          <w:tcPr>
            <w:tcW w:w="1119" w:type="dxa"/>
            <w:tcBorders>
              <w:top w:val="single" w:color="000000" w:sz="4" w:space="0"/>
              <w:left w:val="nil"/>
              <w:bottom w:val="single" w:color="000000" w:sz="4" w:space="0"/>
              <w:right w:val="single" w:color="000000" w:sz="4" w:space="0"/>
            </w:tcBorders>
            <w:shd w:val="clear" w:color="auto" w:fill="auto"/>
            <w:vAlign w:val="center"/>
          </w:tcPr>
          <w:p w14:paraId="426AEFB2">
            <w:pPr>
              <w:keepNext w:val="0"/>
              <w:keepLines w:val="0"/>
              <w:suppressLineNumbers w:val="0"/>
              <w:wordWrap w:val="0"/>
              <w:spacing w:before="0" w:beforeAutospacing="0" w:after="0" w:afterAutospacing="0" w:line="240" w:lineRule="auto"/>
              <w:ind w:left="0" w:right="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vertAlign w:val="baseline"/>
                <w:lang w:val="en-US" w:eastAsia="zh-CN" w:bidi="ar-SA"/>
              </w:rPr>
              <w:t>医学图像处理教学系统</w:t>
            </w:r>
          </w:p>
        </w:tc>
        <w:tc>
          <w:tcPr>
            <w:tcW w:w="562" w:type="dxa"/>
            <w:tcBorders>
              <w:top w:val="single" w:color="000000" w:sz="4" w:space="0"/>
              <w:left w:val="nil"/>
              <w:bottom w:val="single" w:color="000000" w:sz="4" w:space="0"/>
              <w:right w:val="single" w:color="000000" w:sz="4" w:space="0"/>
            </w:tcBorders>
            <w:shd w:val="clear" w:color="auto" w:fill="auto"/>
            <w:vAlign w:val="center"/>
          </w:tcPr>
          <w:p w14:paraId="436C8C65">
            <w:pPr>
              <w:keepNext w:val="0"/>
              <w:keepLines w:val="0"/>
              <w:suppressLineNumbers w:val="0"/>
              <w:wordWrap w:val="0"/>
              <w:spacing w:before="0" w:beforeAutospacing="0" w:after="0" w:afterAutospacing="0" w:line="240" w:lineRule="auto"/>
              <w:ind w:left="0" w:right="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1</w:t>
            </w:r>
          </w:p>
        </w:tc>
        <w:tc>
          <w:tcPr>
            <w:tcW w:w="519" w:type="dxa"/>
            <w:tcBorders>
              <w:top w:val="single" w:color="000000" w:sz="4" w:space="0"/>
              <w:left w:val="nil"/>
              <w:bottom w:val="single" w:color="000000" w:sz="4" w:space="0"/>
              <w:right w:val="single" w:color="000000" w:sz="4" w:space="0"/>
            </w:tcBorders>
            <w:shd w:val="clear" w:color="auto" w:fill="auto"/>
            <w:vAlign w:val="center"/>
          </w:tcPr>
          <w:p w14:paraId="41DB78DB">
            <w:pPr>
              <w:keepNext w:val="0"/>
              <w:keepLines w:val="0"/>
              <w:suppressLineNumbers w:val="0"/>
              <w:wordWrap w:val="0"/>
              <w:spacing w:before="0" w:beforeAutospacing="0" w:after="0" w:afterAutospacing="0" w:line="240" w:lineRule="auto"/>
              <w:ind w:left="0" w:right="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套</w:t>
            </w:r>
          </w:p>
        </w:tc>
        <w:tc>
          <w:tcPr>
            <w:tcW w:w="5194" w:type="dxa"/>
            <w:tcBorders>
              <w:top w:val="single" w:color="000000" w:sz="4" w:space="0"/>
              <w:left w:val="nil"/>
              <w:bottom w:val="single" w:color="000000" w:sz="4" w:space="0"/>
              <w:right w:val="single" w:color="auto" w:sz="4" w:space="0"/>
            </w:tcBorders>
            <w:shd w:val="clear" w:color="auto" w:fill="auto"/>
            <w:vAlign w:val="center"/>
          </w:tcPr>
          <w:p w14:paraId="6BEE1101">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一、技术要求 </w:t>
            </w:r>
          </w:p>
          <w:p w14:paraId="6A9FA6E2">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1. 平台集医学影像图像处理实践教学过程中的教学、训练、实验报告等功能为一体，复合实际教学的需求。 </w:t>
            </w:r>
          </w:p>
          <w:p w14:paraId="31680710">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2. 产品开发采用 B/S 结构。 </w:t>
            </w:r>
          </w:p>
          <w:p w14:paraId="68A245AC">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3. 软件基于 Unity3D 进行开发。 </w:t>
            </w:r>
          </w:p>
          <w:p w14:paraId="204895DC">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4. 医学影像图像处理实践教学系统的学生端主要包括学习功能和个人中心，其中学习功能包括医学图像格式基础、基本医学图像处理模块，医学图像处理进阶，层次化递进式学习，每个模块包括一定数量的实验，实验内容包括实验名称、实验目的、实验原理、实验操作、示例数据、示例程序、实验报告等；个人中心用于修改账号密码等。 </w:t>
            </w:r>
          </w:p>
          <w:p w14:paraId="0F9B9257">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二、技术参数 </w:t>
            </w:r>
          </w:p>
          <w:p w14:paraId="1467C30B">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1.医学图像格式基础模块 </w:t>
            </w:r>
          </w:p>
          <w:p w14:paraId="4FDF1949">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(1) DICOM 格式和基本处理 </w:t>
            </w:r>
          </w:p>
          <w:p w14:paraId="49F1B594">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① 支持打开 DICOM 和 NIFTI 等格式在内的本地图像数据。 </w:t>
            </w:r>
          </w:p>
          <w:p w14:paraId="7B978B39">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② 具有选择 1x1 或 2x2 设置医学图像显示布局的功能。 </w:t>
            </w:r>
          </w:p>
          <w:p w14:paraId="134F0085">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③ 具备显示横轴位、矢状位和冠状位的示例坐标空间的功能。 </w:t>
            </w:r>
          </w:p>
          <w:p w14:paraId="2374BD8B">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④ 具有滚动鼠标滑轮翻阅图像、点击进度条翻阅图像的功能。 </w:t>
            </w:r>
          </w:p>
          <w:p w14:paraId="27F74443">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⑤ 具有展示头文件信息的名称和参数的功能，在翻阅图像过程中，能高亮显示前后医学图像中变化的头文件信息。 </w:t>
            </w:r>
          </w:p>
          <w:p w14:paraId="47BD67C2">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⑥ 具有滚动鼠标滑轮翻阅图像，滑动鼠标观察坐标以及灰度值的变化的功能，鼠标所在位置的图像灰度和坐标信息能实时显示。 </w:t>
            </w:r>
          </w:p>
          <w:p w14:paraId="757BDC78">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⑦ 具有显示灰度色阶的功能。 </w:t>
            </w:r>
          </w:p>
          <w:p w14:paraId="49A82145">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⑧ 医学图像按 PNG 或 JPG 格式保存到本地电脑。 </w:t>
            </w:r>
          </w:p>
          <w:p w14:paraId="20F42270">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⑨ 具有选择圆形、矩形等任意形状，在医学图像显示区域画 ROI 的功能，并自动计算并显示 ROI区域的均值、方差、最大值和最小值 </w:t>
            </w:r>
          </w:p>
          <w:p w14:paraId="2DB69FED">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⑩ 提供相关示例程序和示例数据，供学生下载练习。 </w:t>
            </w:r>
          </w:p>
          <w:p w14:paraId="09F068AA">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2.基本医学图像处理模块 </w:t>
            </w:r>
          </w:p>
          <w:p w14:paraId="7D9D84A7">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2.1 医学图像计算 </w:t>
            </w:r>
          </w:p>
          <w:p w14:paraId="16B2754C">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(1) 医学图像灰度运算： </w:t>
            </w:r>
          </w:p>
          <w:p w14:paraId="6FDCAC26">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① 支持打开包括 DICOM、PNG、JPG 等格式在内的本地图像数据，。 </w:t>
            </w:r>
          </w:p>
          <w:p w14:paraId="13EE23D1">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② 具有选择 1x1 或 2x2 设置医学图像显示布局的功能。 </w:t>
            </w:r>
          </w:p>
          <w:p w14:paraId="0E1C2519">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③ 灰度拉伸模块：具有实时显示原图像直方图、能够对比显示特定坐标下灰度拉伸前和灰度拉伸后的灰度值的功能。 </w:t>
            </w:r>
          </w:p>
          <w:p w14:paraId="1EB6FFAB">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④ 线性变换模块：具有显示线性变换公式 kx+b 的功能。对比显示特定坐标下灰度变换前和灰度变换后的灰度值，实时显示灰度变换曲线。 </w:t>
            </w:r>
          </w:p>
          <w:p w14:paraId="5D02AE81">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⑤ 非线性变换模块：具有非线性变换包括对数变换 log(x+c)、指数变换 e^cx-1、幂次变换 x^c三个子模块。具有对比显示特定坐标下灰度变换前和灰度变换后的灰度值和实时显示灰度变换曲线的功能。 </w:t>
            </w:r>
          </w:p>
          <w:p w14:paraId="0034E09E">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⑥ 灰度翻转模块：具有显示灰度范围和直方图的功能。具有对比显示特定坐标下灰度翻转前和翻转后的灰度值，同一个像素点在灰度翻转前和翻转后的灰度值加和为图像灰度范围的最大值、实时显示灰度变换前后的直方图用于对比学习的功能。 </w:t>
            </w:r>
          </w:p>
          <w:p w14:paraId="5D9F3C51">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⑦ 在对图像进行处理后，能切换回原始图像显示。 </w:t>
            </w:r>
          </w:p>
          <w:p w14:paraId="61777CB6">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⑧ 能将处理后图像按 PNG 或 JPG 格式保存到本地。 </w:t>
            </w:r>
          </w:p>
          <w:p w14:paraId="1BC10BA9">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⑨ 提供相关示例程序和示例数据，供学生下载练习。 </w:t>
            </w:r>
          </w:p>
          <w:p w14:paraId="6718C0AA">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(2) 医学图像代数运算（供应商提供以下功能的软件截图和承诺函并盖章） </w:t>
            </w:r>
          </w:p>
          <w:p w14:paraId="103EEA24">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① 支持打开包括 DICOM、PNG、JPG 等格式在内的本地图像数据。 </w:t>
            </w:r>
          </w:p>
          <w:p w14:paraId="7E137829">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② 具有选择 1x1 或 2x2 设置医学图像显示布局的功能。 </w:t>
            </w:r>
          </w:p>
          <w:p w14:paraId="3C991AAF">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③ 加法运算模块：具有加法运算主要通过多幅噪声图像加和取平均，并通过去噪效果对比来展示的功能。具有显示高斯噪声图像、显示高斯噪声曲线，通过调节方差参数σ，实时调节噪声图像和噪声曲线的显示的功能。 </w:t>
            </w:r>
          </w:p>
          <w:p w14:paraId="738F802C">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④ 减法运算模块：可以一次性加载两幅图像 A 和 B，并分别显示图像 A 和图像 B 的大小。运算后具有显示颅脑正位和侧位的动态 DSA 显像图的功能。 </w:t>
            </w:r>
          </w:p>
          <w:p w14:paraId="4FA0D8A8">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⑤ 逻辑运算模块：可以一次性加载两幅图像。对于每幅图像，具有通过阈值分割的滑动条分别获得二值图像的功能。 </w:t>
            </w:r>
          </w:p>
          <w:p w14:paraId="679B7142">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⑥ 在对图像进行处理后，能切换回原始图像显示。 </w:t>
            </w:r>
          </w:p>
          <w:p w14:paraId="1347A0E7">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⑦ 能将处理后图像按 PNG 或 JPG 格式保存到本地。 </w:t>
            </w:r>
          </w:p>
          <w:p w14:paraId="19959AA1">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⑧ 提供相关示例程序和示例数据，供学生下载练习。 </w:t>
            </w:r>
          </w:p>
          <w:p w14:paraId="33B97E18">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(3) 医学图像几何运算 </w:t>
            </w:r>
          </w:p>
          <w:p w14:paraId="149C5AB9">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① 支持打开包括 DICOM、PNG、JPG 等格式在内的本地图像数据，。 </w:t>
            </w:r>
          </w:p>
          <w:p w14:paraId="17B1F28F">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② 具有选择 1x1 或 2x2 设置医学图像显示布局的功能。 </w:t>
            </w:r>
          </w:p>
          <w:p w14:paraId="38525DB9">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③ 缩放模块：具有显示医学图像几何变换矩阵以及计算原理的功能，在变换矩阵中将控制图像缩放的因子设置为可调节的参数。加载图像后，具有设置几何变换矩阵中的 S_x 和 S_y 参数实现图像缩放的功能。 </w:t>
            </w:r>
          </w:p>
          <w:p w14:paraId="4D21B66A">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④ 旋转模块：能够显示医学图像几何变换矩阵以及计算原理，在变换矩阵中将控制图像旋转的因子设置为可调节的参数。加载图像后，具有设置几何变换矩阵中的θ参数实现图像旋转的功能。 </w:t>
            </w:r>
          </w:p>
          <w:p w14:paraId="2122F302">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⑤ 水平剪切模块：能够显示医学图像几何变换矩阵以及计算原理，在变换矩阵中将控制图像水平剪切的因子设置为可调节的参数。加载图像后，具有设置几何变换矩阵中的α参数实现图像水平剪切的功能。 </w:t>
            </w:r>
          </w:p>
          <w:p w14:paraId="1382DB2A">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⑥ 垂直剪切模块：能够显示医学图像几何变换矩阵以及计算原理，在变换矩阵中将控制图像垂 </w:t>
            </w:r>
          </w:p>
          <w:p w14:paraId="0CF22AF2">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直剪切的因子设置为可调节的参数。加载图像后，具有设置几何变换矩阵中的β参数实现图像垂直剪切的功能。 </w:t>
            </w:r>
          </w:p>
          <w:p w14:paraId="6D802BB4">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⑦ 平移模块：能够显示医学图像几何变换矩阵以及计算原理，在变换矩阵中将控制图像平移的因子设置为可调节的参数。加载图像后，具有设置几何变换矩阵中的δ_x 和δ_y 参数实现图像平移的功能。 </w:t>
            </w:r>
          </w:p>
          <w:p w14:paraId="2AB62EF2">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⑧ 原点翻转模块：能够显示医学图像几何变换矩阵以及计算原理，原点翻转不需要输入参数，实现图像沿着原点翻转。 </w:t>
            </w:r>
          </w:p>
          <w:p w14:paraId="5108CB51">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⑨ X 轴翻转模块：能够显示医学图像几何变换矩阵以及计算原理，沿 X 轴翻转不需要输入参数，实现图像沿着 X 轴翻转。 </w:t>
            </w:r>
          </w:p>
          <w:p w14:paraId="7950E2C0">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⑩ Y 轴翻转模块：能够显示医学图像几何变换矩阵以及计算原理，沿 Y 轴翻转不需要输入参数，实现图像沿着 Y 轴翻转。 </w:t>
            </w:r>
          </w:p>
          <w:p w14:paraId="26D94AFA">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⑪ 在对图像进行处理后，能切换回原始图像显示。 </w:t>
            </w:r>
          </w:p>
          <w:p w14:paraId="30A5C046">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⑫ 能将处理后图像按 PNG 或 JPG 格式保存到本地。 </w:t>
            </w:r>
          </w:p>
          <w:p w14:paraId="6F43594B">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⑬ 提供相关示例程序和示例数据，供学生下载练习。 </w:t>
            </w:r>
          </w:p>
          <w:p w14:paraId="6747FA70">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▲2.2 医学图像增强</w:t>
            </w:r>
          </w:p>
          <w:p w14:paraId="28563361">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（1）医学图像空域滤波增强 </w:t>
            </w:r>
          </w:p>
          <w:p w14:paraId="038FC67C">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① 支持打开包括 DICOM、PNG、JPG 等格式在内的本地图像数据。 </w:t>
            </w:r>
          </w:p>
          <w:p w14:paraId="01E1700E">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② 具有选择 1x1 或 2x2 设置医学图像显示布局的功能。 </w:t>
            </w:r>
          </w:p>
          <w:p w14:paraId="0CD514B4">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③ 直方图均衡模块：能实时显示原图像的直方图，能显示鼠标所在位置的坐标及灰度值。点击直方图均衡后，图像直方图实时变化为均衡后图像的直方图，并显示鼠标位置像素点均衡后的灰度值。给定一个 4x4 的矩阵，具备计算并显示均衡化计算后的矩阵，并显示直方图均衡计算原理的功能。 </w:t>
            </w:r>
          </w:p>
          <w:p w14:paraId="0768C247">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④ 图像卷积模块：具备动态显示图像卷积原理的功能，并能用鼠标拖动卷积核不断滑动，卷积计算结果实时更新，并显示计算公式。在动态展示卷积过程中，可以选择补零填充或者边界复制对示例矩阵边界进行处理，可以选用均值平滑、垂直梯度、水平梯度、高斯平滑四个卷积核进行卷积操作。 </w:t>
            </w:r>
          </w:p>
          <w:p w14:paraId="5503D76C">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⑤ 空域滤波模块：分为噪声、噪声图像、概率密度分割、空域滤波四个模块，四个模块可以任意组合，支持在原图像上添加不同类型的噪声，选定噪声类型后，显示噪声的计算公式，显示噪声的概率密度分布，最后选择一种卷积核进行滤波，四个模块选定好之后，该模块能显示原图像、噪声图像、加噪声之后的图像以及空域滤波之后的图像。随后可得到空域滤波图像。 </w:t>
            </w:r>
          </w:p>
          <w:p w14:paraId="2025C471">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⑥ 噪声子模块包括 Gaussian、Poisson、Salt&amp;Pepper 以及 Speckle 噪声，在噪声图像子模块中显示噪声函数公式后，可以手动调节各种噪声参数，噪声参数的调节能够实时反馈到噪声图像显示中，并根据该参数实时更新概率密度分布的显示。（</w:t>
            </w:r>
            <w:r>
              <w:rPr>
                <w:rFonts w:hint="eastAsia" w:ascii="宋体" w:hAnsi="宋体" w:cs="宋体"/>
                <w:color w:val="auto"/>
                <w:kern w:val="0"/>
                <w:sz w:val="21"/>
                <w:szCs w:val="21"/>
                <w:highlight w:val="none"/>
                <w:lang w:val="en-US" w:eastAsia="zh-CN" w:bidi="ar"/>
              </w:rPr>
              <w:t>投标人需提供软件功能截图并加盖投标人公章</w:t>
            </w:r>
            <w:r>
              <w:rPr>
                <w:rFonts w:hint="eastAsia" w:ascii="宋体" w:hAnsi="宋体" w:eastAsia="宋体" w:cs="宋体"/>
                <w:color w:val="auto"/>
                <w:kern w:val="0"/>
                <w:sz w:val="21"/>
                <w:szCs w:val="21"/>
                <w:highlight w:val="none"/>
                <w:lang w:val="en-US" w:eastAsia="zh-CN" w:bidi="ar"/>
              </w:rPr>
              <w:t xml:space="preserve">）   </w:t>
            </w:r>
          </w:p>
          <w:p w14:paraId="62626D0B">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⑦ 图像锐化模块： 该模块涵盖 Sobel 算子、Prewitt 算子、Robert 算子、Laplace 算子、LOG 算子、Canny 算子。 </w:t>
            </w:r>
          </w:p>
          <w:p w14:paraId="6B36CD85">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Sobel 算子：具备选择水平 Sobel 算子和垂直 Sobel 算子，显示 Sobel 算子的计算公式，显示图像锐化结果的功能。 </w:t>
            </w:r>
          </w:p>
          <w:p w14:paraId="747CBC89">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Prewitt 算子：具备选择水平 Prewitt 算子和垂直 Prewitt 算子，显示 Prewitt 算子的计算公式，显示图像锐化结果的功能。 </w:t>
            </w:r>
          </w:p>
          <w:p w14:paraId="409C368F">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Robert 算子：具备选择 45 度 Robert 算子和 135 度 Robert 算子，显示 Robert 算子的计算公式，点击运行，显示图像锐化结果的功能。 </w:t>
            </w:r>
          </w:p>
          <w:p w14:paraId="1E4E648A">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Laplace 算子：具备选择以-4 为中心的 Laplace 算子和以-8 为中心的 Laplace 算子，显示 Laplace 算子的计算公式，点击运行，显示图像锐化结果的功能。 </w:t>
            </w:r>
          </w:p>
          <w:p w14:paraId="168978EE">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LOG 算子：可以显示 LOG 算子的思路及实现方式，能够显示 LOG 算子的计算公式，并能够实时调节参数，加载图像并设置好 LOG 算子的参数后，点击运行，显示图像锐化结果。 </w:t>
            </w:r>
          </w:p>
          <w:p w14:paraId="6E3B7AA2">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Canny 算子：Canny 算子的实现拆解为高斯平滑、梯度计算、非最大值抑制、双阈值设置、边缘选择五个步骤。 </w:t>
            </w:r>
          </w:p>
          <w:p w14:paraId="54307722">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⑧ 在对图像进行处理后，能切换回原始图像显示。 </w:t>
            </w:r>
          </w:p>
          <w:p w14:paraId="3EF218DD">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⑨ 能将处理后图像按 PNG 或 JPG 格式保存到本地。 </w:t>
            </w:r>
          </w:p>
          <w:p w14:paraId="062C1471">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⑩ 提供相关示例程序和示例数据，供学生下载练习。 </w:t>
            </w:r>
          </w:p>
          <w:p w14:paraId="4A681FA7">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2.3 医学图像形态学分析 </w:t>
            </w:r>
          </w:p>
          <w:p w14:paraId="785EF591">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① 支持打开包括 DICOM、PNG、JPG 等格式在内的本地图像数据。 </w:t>
            </w:r>
          </w:p>
          <w:p w14:paraId="1FA9340E">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② 具有选择 1x1 或 2x2 设置医学图像显示布局的功能。 </w:t>
            </w:r>
          </w:p>
          <w:p w14:paraId="2775A046">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③ 膨胀腐蚀模块：具有显示形态学膨胀和腐蚀的计算原理图，对灰度图像和二值图像进行运算的功能。 </w:t>
            </w:r>
          </w:p>
          <w:p w14:paraId="5BC0E082">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④ 开闭运算模块：具有显示形态学开运算和闭运算的效果图，对灰度图像和二值图像进行运算的功能。 </w:t>
            </w:r>
          </w:p>
          <w:p w14:paraId="15AAAB99">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⑤ 孔洞填充模块：孔洞填充模块只适用于二值图像，具有填充白色孔洞和填充黑色孔洞的示意</w:t>
            </w:r>
            <w:r>
              <w:rPr>
                <w:rFonts w:hint="eastAsia" w:ascii="宋体" w:hAnsi="宋体" w:cs="宋体"/>
                <w:color w:val="auto"/>
                <w:sz w:val="21"/>
                <w:szCs w:val="21"/>
                <w:highlight w:val="none"/>
                <w:lang w:val="en-US" w:eastAsia="zh-CN"/>
              </w:rPr>
              <w:t>图。</w:t>
            </w:r>
            <w:r>
              <w:rPr>
                <w:rFonts w:hint="eastAsia" w:ascii="宋体" w:hAnsi="宋体" w:eastAsia="宋体" w:cs="宋体"/>
                <w:color w:val="auto"/>
                <w:kern w:val="0"/>
                <w:sz w:val="21"/>
                <w:szCs w:val="21"/>
                <w:highlight w:val="none"/>
                <w:lang w:val="en-US" w:eastAsia="zh-CN" w:bidi="ar"/>
              </w:rPr>
              <w:t xml:space="preserve"> </w:t>
            </w:r>
          </w:p>
          <w:p w14:paraId="755C151F">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⑥ 连通域模块：连通域模块只适用于二值图像，具有四连通和八连通的示意原理图。 </w:t>
            </w:r>
          </w:p>
          <w:p w14:paraId="1402711A">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⑦ 在对图像进行处理后，能切换回原始图像显示。 </w:t>
            </w:r>
          </w:p>
          <w:p w14:paraId="2EAAAF72">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⑧ 能将处理后图像按 PNG 或 JPG 格式保存到本地。 </w:t>
            </w:r>
          </w:p>
          <w:p w14:paraId="2CCB770A">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⑨ 提供相关示例程序和示例数据，供学生下载练习。 </w:t>
            </w:r>
          </w:p>
          <w:p w14:paraId="3C2ABFEF">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2.4 医学图像变换模块 </w:t>
            </w:r>
          </w:p>
          <w:p w14:paraId="278F5070">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bidi="ar"/>
              </w:rPr>
              <w:t>(1) 医学图像傅里叶变换（</w:t>
            </w:r>
            <w:r>
              <w:rPr>
                <w:rFonts w:hint="eastAsia" w:ascii="宋体" w:hAnsi="宋体" w:cs="宋体"/>
                <w:color w:val="auto"/>
                <w:kern w:val="0"/>
                <w:sz w:val="21"/>
                <w:szCs w:val="21"/>
                <w:highlight w:val="none"/>
                <w:lang w:val="en-US" w:eastAsia="zh-CN" w:bidi="ar"/>
              </w:rPr>
              <w:t>投标人</w:t>
            </w:r>
            <w:r>
              <w:rPr>
                <w:rFonts w:hint="eastAsia" w:ascii="宋体" w:hAnsi="宋体" w:eastAsia="宋体" w:cs="宋体"/>
                <w:color w:val="auto"/>
                <w:kern w:val="0"/>
                <w:sz w:val="21"/>
                <w:szCs w:val="21"/>
                <w:highlight w:val="none"/>
                <w:lang w:val="en-US" w:eastAsia="zh-CN" w:bidi="ar"/>
              </w:rPr>
              <w:t>提供产品界面</w:t>
            </w:r>
            <w:r>
              <w:rPr>
                <w:rFonts w:hint="eastAsia" w:ascii="宋体" w:hAnsi="宋体" w:cs="宋体"/>
                <w:color w:val="auto"/>
                <w:kern w:val="0"/>
                <w:sz w:val="21"/>
                <w:szCs w:val="21"/>
                <w:highlight w:val="none"/>
                <w:lang w:val="en-US" w:eastAsia="zh-CN" w:bidi="ar"/>
              </w:rPr>
              <w:t>以下功能</w:t>
            </w:r>
            <w:r>
              <w:rPr>
                <w:rFonts w:hint="eastAsia" w:ascii="宋体" w:hAnsi="宋体" w:eastAsia="宋体" w:cs="宋体"/>
                <w:color w:val="auto"/>
                <w:kern w:val="0"/>
                <w:sz w:val="21"/>
                <w:szCs w:val="21"/>
                <w:highlight w:val="none"/>
                <w:lang w:val="en-US" w:eastAsia="zh-CN" w:bidi="ar"/>
              </w:rPr>
              <w:t>截图并加盖</w:t>
            </w:r>
            <w:r>
              <w:rPr>
                <w:rFonts w:hint="eastAsia" w:ascii="宋体" w:hAnsi="宋体" w:cs="宋体"/>
                <w:color w:val="auto"/>
                <w:kern w:val="0"/>
                <w:sz w:val="21"/>
                <w:szCs w:val="21"/>
                <w:highlight w:val="none"/>
                <w:lang w:val="en-US" w:eastAsia="zh-CN" w:bidi="ar"/>
              </w:rPr>
              <w:t>投标人</w:t>
            </w:r>
            <w:r>
              <w:rPr>
                <w:rFonts w:hint="eastAsia" w:ascii="宋体" w:hAnsi="宋体" w:eastAsia="宋体" w:cs="宋体"/>
                <w:color w:val="auto"/>
                <w:kern w:val="0"/>
                <w:sz w:val="21"/>
                <w:szCs w:val="21"/>
                <w:highlight w:val="none"/>
                <w:lang w:val="en-US" w:eastAsia="zh-CN" w:bidi="ar"/>
              </w:rPr>
              <w:t xml:space="preserve">公章） </w:t>
            </w:r>
          </w:p>
          <w:p w14:paraId="26164DD9">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① 支持打开包括 DICOM、PNG、JPG 等格式在内的本地图像数据。 </w:t>
            </w:r>
          </w:p>
          <w:p w14:paraId="56957768">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② 可以选择 1x1 或 2x2 按钮，设置医学图像显示布局。 </w:t>
            </w:r>
          </w:p>
          <w:p w14:paraId="3BCD15A0">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③ 傅里叶变换模块：具有 2D 连续傅里叶变换和 2D 离散傅里叶变换的计算公式。Fourier 正变换具有对原图像进行傅里叶变换的功能，Fourier 逆变换具有对频域图像进行傅里叶逆变换的功能。 </w:t>
            </w:r>
          </w:p>
          <w:p w14:paraId="6EBB2C42">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④ 傅里叶变换模块中的低频和高频滤波：在傅里叶变换域，傅里叶逆变换功能可以对原图像进行平滑处理并显示滤波图像；傅里叶逆变换，具有对原图像进行增强处理并显示增强图像的功能。 </w:t>
            </w:r>
          </w:p>
          <w:p w14:paraId="2A6DD5D5">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⑤ 基函数原理模块：具有 2D 连续傅里叶变换和 2D 离散傅里叶变换的计算公式。具有一维和二维的傅里叶变换的基函数原理图。 </w:t>
            </w:r>
          </w:p>
          <w:p w14:paraId="45D9A72F">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⑥ 基函数进阶模块：具有频域图像不同位置的示例基函数。具有实时显示不同频率下的基函数以及该频率值能够实时显示在功能区的功能。 </w:t>
            </w:r>
          </w:p>
          <w:p w14:paraId="1243D3FD">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⑦ 在对图像进行处理后，能切换回原始图像显示。 </w:t>
            </w:r>
          </w:p>
          <w:p w14:paraId="6D50AECF">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⑧ 能将处理后图像按 PNG 或 JPG 格式保存到本地。 </w:t>
            </w:r>
          </w:p>
          <w:p w14:paraId="72DEAF3E">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⑨ 提供相关示例程序和示例数据，供学生下载练习。 </w:t>
            </w:r>
          </w:p>
          <w:p w14:paraId="72203779">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(2) 小波变换 </w:t>
            </w:r>
          </w:p>
          <w:p w14:paraId="50110D85">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① 点击读入图像按钮，图像显示之后，点击下拉框选择小波变换。 </w:t>
            </w:r>
          </w:p>
          <w:p w14:paraId="5A427A73">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② 点击显示图像基函数，可以在显示区域出现基函数与原图像对比。 </w:t>
            </w:r>
          </w:p>
          <w:p w14:paraId="07B97C01">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③ 点击高频滤波按钮，对小波变换之后的图像进行高频滤波。点击小波反变换按钮，实现对图像的平滑并显示效果。 </w:t>
            </w:r>
          </w:p>
          <w:p w14:paraId="46584154">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④ 点击低频滤波按钮，对小波变换的图像进行低频滤波。点击小波反变换按钮，实现对图像的增强并显示效果。 </w:t>
            </w:r>
          </w:p>
          <w:p w14:paraId="4290E9D3">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⑤ 以上每一步处理之后的图像能按 PNG 或 JPG 格式保存到本地。 </w:t>
            </w:r>
          </w:p>
          <w:p w14:paraId="6702DAD6">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⑥ 在对图像进行处理后，能切换回原始图像显示。 </w:t>
            </w:r>
          </w:p>
          <w:p w14:paraId="501C3376">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⑦ 能将处理后图像按 PNG 或 JPG 格式保存到本地。 </w:t>
            </w:r>
          </w:p>
          <w:p w14:paraId="2618C89C">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cs="宋体"/>
                <w:color w:val="auto"/>
                <w:kern w:val="0"/>
                <w:sz w:val="21"/>
                <w:szCs w:val="21"/>
                <w:highlight w:val="none"/>
                <w:lang w:val="en-US" w:eastAsia="zh-CN" w:bidi="ar"/>
              </w:rPr>
              <w:t>2.5</w:t>
            </w:r>
            <w:r>
              <w:rPr>
                <w:rFonts w:hint="eastAsia" w:ascii="宋体" w:hAnsi="宋体" w:eastAsia="宋体" w:cs="宋体"/>
                <w:color w:val="auto"/>
                <w:kern w:val="0"/>
                <w:sz w:val="21"/>
                <w:szCs w:val="21"/>
                <w:highlight w:val="none"/>
                <w:lang w:val="en-US" w:eastAsia="zh-CN" w:bidi="ar"/>
              </w:rPr>
              <w:t xml:space="preserve"> 医学图像分割模块 </w:t>
            </w:r>
          </w:p>
          <w:p w14:paraId="75DA3FF7">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（1）阈值分割与边缘检测 </w:t>
            </w:r>
          </w:p>
          <w:p w14:paraId="25494123">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① 支持打开包括 DICOM、PNG、JPG 等格式在内的本地图像数据。 </w:t>
            </w:r>
          </w:p>
          <w:p w14:paraId="1A9F2CC1">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② 可以选择 1x1 或 2x2 按钮，设置医学图像显示布局。 </w:t>
            </w:r>
          </w:p>
          <w:p w14:paraId="0A010989">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③ 阈值分割模块：能显示阈值分割的原理示意图，能实时显示直方图。阈值分割模块包括阈值分割子模块和迭代阈值</w:t>
            </w:r>
            <w:r>
              <w:rPr>
                <w:rFonts w:hint="eastAsia" w:ascii="宋体" w:hAnsi="宋体" w:cs="宋体"/>
                <w:color w:val="auto"/>
                <w:kern w:val="0"/>
                <w:sz w:val="21"/>
                <w:szCs w:val="21"/>
                <w:highlight w:val="none"/>
                <w:lang w:val="en-US" w:eastAsia="zh-CN" w:bidi="ar"/>
              </w:rPr>
              <w:t>子</w:t>
            </w:r>
            <w:r>
              <w:rPr>
                <w:rFonts w:hint="eastAsia" w:ascii="宋体" w:hAnsi="宋体" w:eastAsia="宋体" w:cs="宋体"/>
                <w:color w:val="auto"/>
                <w:kern w:val="0"/>
                <w:sz w:val="21"/>
                <w:szCs w:val="21"/>
                <w:highlight w:val="none"/>
                <w:lang w:val="en-US" w:eastAsia="zh-CN" w:bidi="ar"/>
              </w:rPr>
              <w:t xml:space="preserve">模块且能展示其具体的功能。 </w:t>
            </w:r>
          </w:p>
          <w:p w14:paraId="0E6C2683">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④ 大津法模块：能显示大津法的原理示意图。加载示例图像后，能实时显示直方图。阈值分割模块包括自动运行和分步运行两个子模块且能展示其具体功能。 </w:t>
            </w:r>
          </w:p>
          <w:p w14:paraId="1E19CF0C">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⑤ 能将处理后图像按 PNG 或 JPG 格式保存到本地。 </w:t>
            </w:r>
          </w:p>
          <w:p w14:paraId="4C61500F">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⑥ 提供相关示例程序和示例数据，供学生下载练习。 </w:t>
            </w:r>
          </w:p>
          <w:p w14:paraId="620B5953">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(2) 区域生长与分水岭分割 </w:t>
            </w:r>
          </w:p>
          <w:p w14:paraId="216DB5B2">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① 支持打开包括 DICOM、PNG、JPG 等格式在内的本地图像数据，。 </w:t>
            </w:r>
          </w:p>
          <w:p w14:paraId="646924D8">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② 可以选择 1x1 或 2x2 按钮，设置医学图像显示布局。 </w:t>
            </w:r>
          </w:p>
          <w:p w14:paraId="65AF4090">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③ 区域生长模块：具备显示区域生长的原理示意图，并通过 4x4 的矩阵显示种子点以及生长过程的功能。 </w:t>
            </w:r>
          </w:p>
          <w:p w14:paraId="26E18195">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④ K 均值聚类模块：具备显示 K 均值聚类的原理示意图，并通过坐标空间下的三类数据划分展示其原理的功能。 </w:t>
            </w:r>
          </w:p>
          <w:p w14:paraId="40B812CC">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自动运行模块：可以实时显示 K 均值聚类的分割结果图，并且实时显示聚类中心的灰度值。分步运行模块：可以实时显示 K 均值聚类的分割结果图，并且实时显示聚类中心的灰度值，直至聚类中心或分割结果不再改变。 </w:t>
            </w:r>
          </w:p>
          <w:p w14:paraId="71FBC58B">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⑤ 在对图像进行处理后，能切换回原始图像显示。 </w:t>
            </w:r>
          </w:p>
          <w:p w14:paraId="0FEC5911">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⑥ 能将处理后图像按 PNG 或 JPG 格式保存到本地。 </w:t>
            </w:r>
          </w:p>
          <w:p w14:paraId="453BC0DC">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⑦ 提供相关示例程序和示例数据，供学生下载练习。 </w:t>
            </w:r>
          </w:p>
          <w:p w14:paraId="79D1CE67">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cs="宋体"/>
                <w:color w:val="auto"/>
                <w:kern w:val="0"/>
                <w:sz w:val="21"/>
                <w:szCs w:val="21"/>
                <w:highlight w:val="none"/>
                <w:lang w:val="en-US" w:eastAsia="zh-CN" w:bidi="ar"/>
              </w:rPr>
              <w:t>2.6</w:t>
            </w:r>
            <w:r>
              <w:rPr>
                <w:rFonts w:hint="eastAsia" w:ascii="宋体" w:hAnsi="宋体" w:eastAsia="宋体" w:cs="宋体"/>
                <w:color w:val="auto"/>
                <w:kern w:val="0"/>
                <w:sz w:val="21"/>
                <w:szCs w:val="21"/>
                <w:highlight w:val="none"/>
                <w:lang w:val="en-US" w:eastAsia="zh-CN" w:bidi="ar"/>
              </w:rPr>
              <w:t xml:space="preserve"> 医学图像三维重建 </w:t>
            </w:r>
          </w:p>
          <w:p w14:paraId="1C799FAF">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（1）MRI 的 K 空间重建 </w:t>
            </w:r>
          </w:p>
          <w:p w14:paraId="2D65EB38">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① K 空间重建原理展示模块：通过加载自旋回波序列，展示自旋回波序列的过程，采集 K 空间成像的回波信号；生成 K 空间数据，K 空间位置信息，K 空间点的信息，分步展示 K 空间重建的原理方法。 </w:t>
            </w:r>
          </w:p>
          <w:p w14:paraId="3AB71E92">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② 虚拟 K 空间重建模块：通过加载图像、生成虚拟 K 空间数据、进行 K 空间数据展示的功能，最后实现 K 空间数据的重建。 </w:t>
            </w:r>
          </w:p>
          <w:p w14:paraId="326EBEBA">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（2）面绘制与体绘制 </w:t>
            </w:r>
          </w:p>
          <w:p w14:paraId="5D895408">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① 面绘制模块：通过图示的方法，分步展示了面绘制中移动立方体法的原理，通过构建体素网格、体素构建、设置阈值、构建顶点坐标、计算与等值面的交点、构建三角面片等步骤最终绘制重建出图像。 </w:t>
            </w:r>
          </w:p>
          <w:p w14:paraId="4DAB1275">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② 体绘制模块：提供等值面模型、最大密度投影、光线投影三种体绘制的方法，可以调节相关参数进行改变绘制的最终结果。 </w:t>
            </w:r>
          </w:p>
          <w:p w14:paraId="1E402C40">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r>
              <w:rPr>
                <w:rFonts w:hint="eastAsia" w:ascii="宋体" w:hAnsi="宋体" w:cs="宋体"/>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 xml:space="preserve">.开发一套医学技术虚拟实验平台，把所有资源统一放到医学技术虚拟实验平台上。实现实验操作考核后的操作人、操作时间、操作次数、操作过程、操作记录、实验数据、实验成绩、步骤成绩等数据能被医学技术虚拟实验平台监控、统计、记录。 </w:t>
            </w:r>
          </w:p>
          <w:p w14:paraId="764EA5F7">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0" w:firstLineChars="0"/>
              <w:jc w:val="left"/>
              <w:textAlignment w:val="auto"/>
              <w:rPr>
                <w:rFonts w:hint="eastAsia" w:ascii="宋体" w:hAnsi="宋体" w:eastAsia="宋体" w:cs="宋体"/>
                <w:color w:val="auto"/>
                <w:kern w:val="2"/>
                <w:sz w:val="21"/>
                <w:szCs w:val="21"/>
                <w:highlight w:val="none"/>
                <w:vertAlign w:val="baseline"/>
                <w:lang w:val="en-US" w:eastAsia="zh-CN" w:bidi="ar-SA"/>
              </w:rPr>
            </w:pPr>
          </w:p>
        </w:tc>
        <w:tc>
          <w:tcPr>
            <w:tcW w:w="1497" w:type="dxa"/>
            <w:tcBorders>
              <w:top w:val="single" w:color="000000" w:sz="4" w:space="0"/>
              <w:left w:val="single" w:color="auto" w:sz="4" w:space="0"/>
              <w:bottom w:val="single" w:color="000000" w:sz="4" w:space="0"/>
              <w:right w:val="single" w:color="000000" w:sz="4" w:space="0"/>
            </w:tcBorders>
            <w:shd w:val="clear" w:color="auto" w:fill="auto"/>
            <w:vAlign w:val="center"/>
          </w:tcPr>
          <w:p w14:paraId="061A71E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kern w:val="0"/>
                <w:sz w:val="21"/>
                <w:szCs w:val="21"/>
                <w:highlight w:val="none"/>
                <w:lang w:val="en-US" w:eastAsia="zh-CN" w:bidi="ar-SA"/>
              </w:rPr>
            </w:pPr>
            <w:r>
              <w:rPr>
                <w:rFonts w:hint="eastAsia"/>
                <w:color w:val="auto"/>
                <w:sz w:val="21"/>
                <w:szCs w:val="21"/>
                <w:highlight w:val="none"/>
              </w:rPr>
              <w:t>软件和信息技术服务业</w:t>
            </w:r>
          </w:p>
        </w:tc>
      </w:tr>
      <w:tr w14:paraId="258C39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2" w:hRule="atLeast"/>
          <w:jc w:val="center"/>
        </w:trPr>
        <w:tc>
          <w:tcPr>
            <w:tcW w:w="9453" w:type="dxa"/>
            <w:gridSpan w:val="6"/>
            <w:tcBorders>
              <w:top w:val="single" w:color="000000" w:sz="4" w:space="0"/>
              <w:left w:val="single" w:color="auto" w:sz="4" w:space="0"/>
              <w:bottom w:val="single" w:color="000000" w:sz="4" w:space="0"/>
              <w:right w:val="single" w:color="000000" w:sz="4" w:space="0"/>
            </w:tcBorders>
            <w:vAlign w:val="center"/>
          </w:tcPr>
          <w:p w14:paraId="72DE33FA">
            <w:pPr>
              <w:keepNext w:val="0"/>
              <w:keepLines w:val="0"/>
              <w:widowControl w:val="0"/>
              <w:suppressLineNumbers w:val="0"/>
              <w:wordWrap/>
              <w:adjustRightInd/>
              <w:snapToGrid/>
              <w:spacing w:before="0" w:beforeAutospacing="0" w:after="0" w:afterAutospacing="0" w:line="320" w:lineRule="exact"/>
              <w:ind w:left="0" w:leftChars="0" w:right="0" w:firstLine="0" w:firstLineChars="0"/>
              <w:jc w:val="center"/>
              <w:textAlignment w:val="auto"/>
              <w:outlineLvl w:val="9"/>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二、商务要求</w:t>
            </w:r>
          </w:p>
        </w:tc>
      </w:tr>
      <w:tr w14:paraId="646842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2AE3A1CB">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1</w:t>
            </w:r>
          </w:p>
        </w:tc>
        <w:tc>
          <w:tcPr>
            <w:tcW w:w="1119" w:type="dxa"/>
            <w:tcBorders>
              <w:left w:val="nil"/>
              <w:right w:val="single" w:color="000000" w:sz="4" w:space="0"/>
            </w:tcBorders>
            <w:shd w:val="clear" w:color="auto" w:fill="auto"/>
            <w:vAlign w:val="center"/>
          </w:tcPr>
          <w:p w14:paraId="55ECD28B">
            <w:pPr>
              <w:keepNext w:val="0"/>
              <w:keepLines w:val="0"/>
              <w:suppressLineNumbers w:val="0"/>
              <w:snapToGrid w:val="0"/>
              <w:spacing w:before="0" w:beforeAutospacing="0" w:after="0" w:afterAutospacing="0" w:line="400" w:lineRule="exact"/>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w:t>
            </w:r>
            <w:r>
              <w:rPr>
                <w:rFonts w:hint="eastAsia" w:ascii="宋体" w:hAnsi="宋体" w:eastAsia="宋体" w:cs="宋体"/>
                <w:color w:val="auto"/>
                <w:kern w:val="2"/>
                <w:sz w:val="21"/>
                <w:szCs w:val="21"/>
                <w:highlight w:val="none"/>
                <w:lang w:val="en-US" w:eastAsia="zh-CN" w:bidi="ar-SA"/>
              </w:rPr>
              <w:t>合同签订时间</w:t>
            </w:r>
          </w:p>
        </w:tc>
        <w:tc>
          <w:tcPr>
            <w:tcW w:w="7772" w:type="dxa"/>
            <w:gridSpan w:val="4"/>
            <w:tcBorders>
              <w:top w:val="single" w:color="000000" w:sz="4" w:space="0"/>
              <w:left w:val="nil"/>
              <w:bottom w:val="single" w:color="000000" w:sz="4" w:space="0"/>
              <w:right w:val="single" w:color="000000" w:sz="4" w:space="0"/>
            </w:tcBorders>
            <w:shd w:val="clear" w:color="auto" w:fill="auto"/>
            <w:vAlign w:val="center"/>
          </w:tcPr>
          <w:p w14:paraId="2C1391C6">
            <w:pPr>
              <w:pStyle w:val="14"/>
              <w:keepNext w:val="0"/>
              <w:keepLines w:val="0"/>
              <w:suppressLineNumbers w:val="0"/>
              <w:snapToGrid w:val="0"/>
              <w:spacing w:before="0" w:beforeAutospacing="0" w:after="0" w:afterAutospacing="0" w:line="400" w:lineRule="exact"/>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自</w:t>
            </w:r>
            <w:r>
              <w:rPr>
                <w:rFonts w:hint="eastAsia" w:ascii="宋体" w:hAnsi="宋体" w:eastAsia="宋体" w:cs="宋体"/>
                <w:color w:val="auto"/>
                <w:sz w:val="21"/>
                <w:szCs w:val="21"/>
                <w:highlight w:val="none"/>
                <w:lang w:val="en-US" w:eastAsia="zh-CN"/>
              </w:rPr>
              <w:t>中标</w:t>
            </w:r>
            <w:r>
              <w:rPr>
                <w:rFonts w:hint="eastAsia" w:ascii="宋体" w:hAnsi="宋体" w:eastAsia="宋体" w:cs="宋体"/>
                <w:color w:val="auto"/>
                <w:sz w:val="21"/>
                <w:szCs w:val="21"/>
                <w:highlight w:val="none"/>
              </w:rPr>
              <w:t>通知书发出之日起</w:t>
            </w:r>
            <w:r>
              <w:rPr>
                <w:rFonts w:hint="eastAsia" w:ascii="宋体" w:hAnsi="宋体" w:eastAsia="宋体" w:cs="宋体"/>
                <w:color w:val="auto"/>
                <w:sz w:val="21"/>
                <w:szCs w:val="21"/>
                <w:highlight w:val="none"/>
                <w:u w:val="single"/>
              </w:rPr>
              <w:t xml:space="preserve"> 25 </w:t>
            </w:r>
            <w:r>
              <w:rPr>
                <w:rFonts w:hint="eastAsia" w:ascii="宋体" w:hAnsi="宋体" w:eastAsia="宋体" w:cs="宋体"/>
                <w:color w:val="auto"/>
                <w:sz w:val="21"/>
                <w:szCs w:val="21"/>
                <w:highlight w:val="none"/>
              </w:rPr>
              <w:t>日内。</w:t>
            </w:r>
          </w:p>
        </w:tc>
      </w:tr>
      <w:tr w14:paraId="5738BA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1058A3F1">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2</w:t>
            </w:r>
          </w:p>
        </w:tc>
        <w:tc>
          <w:tcPr>
            <w:tcW w:w="1119" w:type="dxa"/>
            <w:tcBorders>
              <w:left w:val="nil"/>
              <w:right w:val="single" w:color="000000" w:sz="4" w:space="0"/>
            </w:tcBorders>
            <w:shd w:val="clear" w:color="auto" w:fill="auto"/>
            <w:vAlign w:val="center"/>
          </w:tcPr>
          <w:p w14:paraId="62A7E385">
            <w:pPr>
              <w:keepNext w:val="0"/>
              <w:keepLines w:val="0"/>
              <w:suppressLineNumbers w:val="0"/>
              <w:snapToGrid w:val="0"/>
              <w:spacing w:before="0" w:beforeAutospacing="0" w:after="0" w:afterAutospacing="0" w:line="400" w:lineRule="exact"/>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rPr>
              <w:t>质保期</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29AADF4A">
            <w:pPr>
              <w:pStyle w:val="14"/>
              <w:keepNext w:val="0"/>
              <w:keepLines w:val="0"/>
              <w:suppressLineNumbers w:val="0"/>
              <w:snapToGrid w:val="0"/>
              <w:spacing w:before="0" w:beforeAutospacing="0" w:after="0" w:afterAutospacing="0" w:line="400" w:lineRule="exact"/>
              <w:ind w:left="0" w:leftChars="0" w:right="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质保期：自验收合格之日起3年，</w:t>
            </w:r>
            <w:r>
              <w:rPr>
                <w:rFonts w:hint="eastAsia" w:ascii="宋体" w:hAnsi="宋体" w:eastAsia="宋体" w:cs="宋体"/>
                <w:color w:val="auto"/>
                <w:sz w:val="21"/>
                <w:szCs w:val="21"/>
                <w:highlight w:val="none"/>
              </w:rPr>
              <w:t>（若</w:t>
            </w:r>
            <w:r>
              <w:rPr>
                <w:rFonts w:hint="eastAsia" w:ascii="宋体" w:hAnsi="宋体" w:cs="宋体"/>
                <w:color w:val="auto"/>
                <w:sz w:val="21"/>
                <w:szCs w:val="21"/>
                <w:highlight w:val="none"/>
                <w:lang w:val="en-US" w:eastAsia="zh-CN"/>
              </w:rPr>
              <w:t>系统</w:t>
            </w:r>
            <w:r>
              <w:rPr>
                <w:rFonts w:hint="eastAsia" w:ascii="宋体" w:hAnsi="宋体" w:eastAsia="宋体" w:cs="宋体"/>
                <w:color w:val="auto"/>
                <w:sz w:val="21"/>
                <w:szCs w:val="21"/>
                <w:highlight w:val="none"/>
              </w:rPr>
              <w:t>生产厂家质保期超过此年限的，合同履行过程中按厂家质保执行；若</w:t>
            </w:r>
            <w:r>
              <w:rPr>
                <w:rFonts w:hint="eastAsia" w:hAnsi="宋体" w:cs="宋体"/>
                <w:color w:val="auto"/>
                <w:sz w:val="21"/>
                <w:szCs w:val="21"/>
                <w:highlight w:val="none"/>
                <w:lang w:val="en-US" w:eastAsia="zh-CN"/>
              </w:rPr>
              <w:t>中</w:t>
            </w:r>
            <w:r>
              <w:rPr>
                <w:rFonts w:hint="eastAsia" w:ascii="宋体" w:hAnsi="宋体" w:eastAsia="宋体" w:cs="宋体"/>
                <w:color w:val="auto"/>
                <w:sz w:val="21"/>
                <w:szCs w:val="21"/>
                <w:highlight w:val="none"/>
                <w:lang w:val="en-US" w:eastAsia="zh-CN"/>
              </w:rPr>
              <w:t>标人</w:t>
            </w:r>
            <w:r>
              <w:rPr>
                <w:rFonts w:hint="eastAsia" w:ascii="宋体" w:hAnsi="宋体" w:eastAsia="宋体" w:cs="宋体"/>
                <w:color w:val="auto"/>
                <w:sz w:val="21"/>
                <w:szCs w:val="21"/>
                <w:highlight w:val="none"/>
              </w:rPr>
              <w:t>质保期承诺优于产品生产厂家质保年限的，以</w:t>
            </w:r>
            <w:r>
              <w:rPr>
                <w:rFonts w:hint="eastAsia" w:hAnsi="宋体" w:cs="宋体"/>
                <w:color w:val="auto"/>
                <w:sz w:val="21"/>
                <w:szCs w:val="21"/>
                <w:highlight w:val="none"/>
                <w:lang w:val="en-US" w:eastAsia="zh-CN"/>
              </w:rPr>
              <w:t>中</w:t>
            </w:r>
            <w:r>
              <w:rPr>
                <w:rFonts w:hint="eastAsia" w:ascii="宋体" w:hAnsi="宋体" w:eastAsia="宋体" w:cs="宋体"/>
                <w:color w:val="auto"/>
                <w:sz w:val="21"/>
                <w:szCs w:val="21"/>
                <w:highlight w:val="none"/>
                <w:lang w:val="en-US" w:eastAsia="zh-CN"/>
              </w:rPr>
              <w:t>标人</w:t>
            </w:r>
            <w:r>
              <w:rPr>
                <w:rFonts w:hint="eastAsia" w:ascii="宋体" w:hAnsi="宋体" w:eastAsia="宋体" w:cs="宋体"/>
                <w:color w:val="auto"/>
                <w:sz w:val="21"/>
                <w:szCs w:val="21"/>
                <w:highlight w:val="none"/>
              </w:rPr>
              <w:t>承诺执行）</w:t>
            </w:r>
            <w:r>
              <w:rPr>
                <w:rFonts w:hint="eastAsia" w:hAnsi="宋体" w:cs="宋体"/>
                <w:color w:val="auto"/>
                <w:sz w:val="21"/>
                <w:szCs w:val="21"/>
                <w:highlight w:val="none"/>
                <w:lang w:val="en-US" w:eastAsia="zh-CN"/>
              </w:rPr>
              <w:t>。质保期内</w:t>
            </w:r>
            <w:r>
              <w:rPr>
                <w:rFonts w:hint="eastAsia"/>
                <w:color w:val="auto"/>
                <w:szCs w:val="21"/>
                <w:highlight w:val="none"/>
                <w:lang w:val="en-US" w:eastAsia="zh-CN"/>
              </w:rPr>
              <w:t>中标人</w:t>
            </w:r>
            <w:r>
              <w:rPr>
                <w:rFonts w:hint="eastAsia"/>
                <w:color w:val="auto"/>
                <w:szCs w:val="21"/>
                <w:highlight w:val="none"/>
              </w:rPr>
              <w:t>提供升级与技术支持服务，提供7</w:t>
            </w:r>
            <w:r>
              <w:rPr>
                <w:rFonts w:hint="default" w:ascii="Arial" w:hAnsi="Arial" w:cs="Arial"/>
                <w:color w:val="auto"/>
                <w:szCs w:val="21"/>
                <w:highlight w:val="none"/>
              </w:rPr>
              <w:t>×</w:t>
            </w:r>
            <w:r>
              <w:rPr>
                <w:rFonts w:hint="eastAsia"/>
                <w:color w:val="auto"/>
                <w:szCs w:val="21"/>
                <w:highlight w:val="none"/>
              </w:rPr>
              <w:t>24小时服务体系，所有服务费用包含在本次报价中</w:t>
            </w:r>
            <w:r>
              <w:rPr>
                <w:rFonts w:hint="eastAsia" w:ascii="宋体" w:hAnsi="宋体" w:eastAsia="宋体" w:cs="宋体"/>
                <w:color w:val="auto"/>
                <w:sz w:val="21"/>
                <w:szCs w:val="21"/>
                <w:highlight w:val="none"/>
                <w:lang w:val="en-US" w:eastAsia="zh-CN"/>
              </w:rPr>
              <w:t>。</w:t>
            </w:r>
          </w:p>
        </w:tc>
      </w:tr>
      <w:tr w14:paraId="3867E4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2E4397D9">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3</w:t>
            </w:r>
          </w:p>
        </w:tc>
        <w:tc>
          <w:tcPr>
            <w:tcW w:w="1119" w:type="dxa"/>
            <w:tcBorders>
              <w:left w:val="nil"/>
              <w:right w:val="single" w:color="000000" w:sz="4" w:space="0"/>
            </w:tcBorders>
            <w:shd w:val="clear" w:color="auto" w:fill="auto"/>
            <w:vAlign w:val="center"/>
          </w:tcPr>
          <w:p w14:paraId="03989F01">
            <w:pPr>
              <w:keepNext w:val="0"/>
              <w:keepLines w:val="0"/>
              <w:suppressLineNumbers w:val="0"/>
              <w:snapToGrid w:val="0"/>
              <w:spacing w:before="0" w:beforeAutospacing="0" w:after="0" w:afterAutospacing="0" w:line="400" w:lineRule="exact"/>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投标</w:t>
            </w:r>
            <w:r>
              <w:rPr>
                <w:rFonts w:hint="eastAsia" w:ascii="宋体" w:hAnsi="宋体" w:eastAsia="宋体" w:cs="宋体"/>
                <w:color w:val="auto"/>
                <w:sz w:val="21"/>
                <w:szCs w:val="21"/>
                <w:highlight w:val="none"/>
              </w:rPr>
              <w:t>报价</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787FA191">
            <w:pPr>
              <w:pStyle w:val="14"/>
              <w:keepNext w:val="0"/>
              <w:keepLines w:val="0"/>
              <w:suppressLineNumbers w:val="0"/>
              <w:snapToGrid w:val="0"/>
              <w:spacing w:before="0" w:beforeAutospacing="0" w:after="0" w:afterAutospacing="0" w:line="400" w:lineRule="exact"/>
              <w:ind w:left="0" w:leftChars="0" w:right="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投标报价包括货款、</w:t>
            </w:r>
            <w:r>
              <w:rPr>
                <w:color w:val="auto"/>
                <w:szCs w:val="21"/>
                <w:highlight w:val="none"/>
              </w:rPr>
              <w:t>技术服务费、交通、运输、</w:t>
            </w:r>
            <w:r>
              <w:rPr>
                <w:rFonts w:hint="eastAsia"/>
                <w:color w:val="auto"/>
                <w:szCs w:val="21"/>
                <w:highlight w:val="none"/>
              </w:rPr>
              <w:t>检测</w:t>
            </w:r>
            <w:r>
              <w:rPr>
                <w:color w:val="auto"/>
                <w:szCs w:val="21"/>
                <w:highlight w:val="none"/>
              </w:rPr>
              <w:t>、管理费、税费、安装调试费、软硬件升级、售后服务、利润、验收、政策性文件规定及合同包含的所有风险、责任等</w:t>
            </w:r>
            <w:r>
              <w:rPr>
                <w:rFonts w:hint="eastAsia"/>
                <w:color w:val="auto"/>
                <w:szCs w:val="21"/>
                <w:highlight w:val="none"/>
                <w:lang w:val="en-US" w:eastAsia="zh-CN"/>
              </w:rPr>
              <w:t>直至运行交付使用的一切</w:t>
            </w:r>
            <w:r>
              <w:rPr>
                <w:color w:val="auto"/>
                <w:szCs w:val="21"/>
                <w:highlight w:val="none"/>
              </w:rPr>
              <w:t>费用</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投标人</w:t>
            </w:r>
            <w:r>
              <w:rPr>
                <w:rFonts w:hint="eastAsia" w:ascii="宋体" w:hAnsi="宋体" w:eastAsia="宋体" w:cs="宋体"/>
                <w:color w:val="auto"/>
                <w:sz w:val="21"/>
                <w:szCs w:val="21"/>
                <w:highlight w:val="none"/>
              </w:rPr>
              <w:t>不得以任何理由要求采购人另行支付其他任何费用</w:t>
            </w:r>
            <w:r>
              <w:rPr>
                <w:rFonts w:hint="eastAsia" w:ascii="宋体" w:hAnsi="宋体" w:eastAsia="宋体" w:cs="宋体"/>
                <w:color w:val="auto"/>
                <w:sz w:val="21"/>
                <w:szCs w:val="21"/>
                <w:highlight w:val="none"/>
                <w:lang w:val="en-US" w:eastAsia="zh-CN"/>
              </w:rPr>
              <w:t xml:space="preserve">。 </w:t>
            </w:r>
          </w:p>
        </w:tc>
      </w:tr>
      <w:tr w14:paraId="1BE7FA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1C73D23C">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4</w:t>
            </w:r>
          </w:p>
        </w:tc>
        <w:tc>
          <w:tcPr>
            <w:tcW w:w="1119" w:type="dxa"/>
            <w:tcBorders>
              <w:left w:val="nil"/>
              <w:right w:val="single" w:color="000000" w:sz="4" w:space="0"/>
            </w:tcBorders>
            <w:shd w:val="clear" w:color="auto" w:fill="auto"/>
            <w:vAlign w:val="center"/>
          </w:tcPr>
          <w:p w14:paraId="5CE41AE6">
            <w:pPr>
              <w:keepNext w:val="0"/>
              <w:keepLines w:val="0"/>
              <w:suppressLineNumbers w:val="0"/>
              <w:snapToGrid w:val="0"/>
              <w:spacing w:before="0" w:beforeAutospacing="0" w:after="0" w:afterAutospacing="0" w:line="400" w:lineRule="exact"/>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▲交</w:t>
            </w:r>
            <w:r>
              <w:rPr>
                <w:rFonts w:hint="eastAsia" w:hAnsi="宋体" w:cs="宋体"/>
                <w:color w:val="auto"/>
                <w:sz w:val="21"/>
                <w:szCs w:val="21"/>
                <w:highlight w:val="none"/>
                <w:lang w:val="en-US" w:eastAsia="zh-CN"/>
              </w:rPr>
              <w:t>付</w:t>
            </w:r>
            <w:r>
              <w:rPr>
                <w:rFonts w:hint="eastAsia" w:ascii="宋体" w:hAnsi="宋体" w:eastAsia="宋体" w:cs="宋体"/>
                <w:color w:val="auto"/>
                <w:sz w:val="21"/>
                <w:szCs w:val="21"/>
                <w:highlight w:val="none"/>
              </w:rPr>
              <w:t>时间及地点</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38460A30">
            <w:pPr>
              <w:pStyle w:val="14"/>
              <w:keepNext w:val="0"/>
              <w:keepLines w:val="0"/>
              <w:suppressLineNumbers w:val="0"/>
              <w:snapToGrid w:val="0"/>
              <w:spacing w:before="0" w:beforeAutospacing="0" w:after="0" w:afterAutospacing="0" w:line="400" w:lineRule="exact"/>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1.交</w:t>
            </w:r>
            <w:r>
              <w:rPr>
                <w:rFonts w:hint="eastAsia" w:hAnsi="宋体" w:cs="宋体"/>
                <w:color w:val="auto"/>
                <w:sz w:val="21"/>
                <w:szCs w:val="21"/>
                <w:highlight w:val="none"/>
                <w:lang w:val="en-US" w:eastAsia="zh-CN"/>
              </w:rPr>
              <w:t>付</w:t>
            </w:r>
            <w:r>
              <w:rPr>
                <w:rFonts w:hint="eastAsia" w:ascii="宋体" w:hAnsi="宋体" w:eastAsia="宋体" w:cs="宋体"/>
                <w:color w:val="auto"/>
                <w:sz w:val="21"/>
                <w:szCs w:val="21"/>
                <w:highlight w:val="none"/>
                <w:lang w:val="en-US" w:eastAsia="zh-CN"/>
              </w:rPr>
              <w:t>时间：自签订合同之日</w:t>
            </w:r>
            <w:r>
              <w:rPr>
                <w:rFonts w:hint="eastAsia" w:hAnsi="宋体" w:cs="宋体"/>
                <w:color w:val="auto"/>
                <w:sz w:val="21"/>
                <w:szCs w:val="21"/>
                <w:highlight w:val="none"/>
                <w:lang w:val="en-US" w:eastAsia="zh-CN"/>
              </w:rPr>
              <w:t>起</w:t>
            </w:r>
            <w:r>
              <w:rPr>
                <w:rFonts w:hint="eastAsia" w:ascii="宋体" w:hAnsi="宋体" w:eastAsia="宋体" w:cs="宋体"/>
                <w:color w:val="auto"/>
                <w:sz w:val="21"/>
                <w:szCs w:val="21"/>
                <w:highlight w:val="none"/>
                <w:lang w:val="en-US" w:eastAsia="zh-CN"/>
              </w:rPr>
              <w:t>并接到采购人交货通知后起30个日历日内按采购人要求安装完毕并交付使用。</w:t>
            </w:r>
          </w:p>
          <w:p w14:paraId="5ADDFFB9">
            <w:pPr>
              <w:pStyle w:val="14"/>
              <w:keepNext w:val="0"/>
              <w:keepLines w:val="0"/>
              <w:suppressLineNumbers w:val="0"/>
              <w:snapToGrid w:val="0"/>
              <w:spacing w:before="0" w:beforeAutospacing="0" w:after="0" w:afterAutospacing="0" w:line="400" w:lineRule="exact"/>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2.交</w:t>
            </w:r>
            <w:r>
              <w:rPr>
                <w:rFonts w:hint="eastAsia" w:hAnsi="宋体" w:cs="宋体"/>
                <w:color w:val="auto"/>
                <w:sz w:val="21"/>
                <w:szCs w:val="21"/>
                <w:highlight w:val="none"/>
                <w:lang w:val="en-US" w:eastAsia="zh-CN"/>
              </w:rPr>
              <w:t>付</w:t>
            </w:r>
            <w:r>
              <w:rPr>
                <w:rFonts w:hint="eastAsia" w:ascii="宋体" w:hAnsi="宋体" w:eastAsia="宋体" w:cs="宋体"/>
                <w:color w:val="auto"/>
                <w:sz w:val="21"/>
                <w:szCs w:val="21"/>
                <w:highlight w:val="none"/>
                <w:lang w:val="en-US" w:eastAsia="zh-CN"/>
              </w:rPr>
              <w:t>地点：百色市内（采购人指定地点）。</w:t>
            </w:r>
          </w:p>
          <w:p w14:paraId="11FA5458">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3.交</w:t>
            </w:r>
            <w:r>
              <w:rPr>
                <w:rFonts w:hint="eastAsia" w:hAnsi="宋体" w:cs="宋体"/>
                <w:color w:val="auto"/>
                <w:sz w:val="21"/>
                <w:szCs w:val="21"/>
                <w:highlight w:val="none"/>
                <w:lang w:val="en-US" w:eastAsia="zh-CN"/>
              </w:rPr>
              <w:t>付</w:t>
            </w:r>
            <w:r>
              <w:rPr>
                <w:rFonts w:hint="eastAsia" w:ascii="宋体" w:hAnsi="宋体" w:eastAsia="宋体" w:cs="宋体"/>
                <w:color w:val="auto"/>
                <w:sz w:val="21"/>
                <w:szCs w:val="21"/>
                <w:highlight w:val="none"/>
                <w:lang w:val="en-US" w:eastAsia="zh-CN"/>
              </w:rPr>
              <w:t>内容包括：</w:t>
            </w:r>
            <w:r>
              <w:rPr>
                <w:rFonts w:hint="eastAsia" w:ascii="宋体" w:hAnsi="宋体" w:cs="宋体"/>
                <w:color w:val="auto"/>
                <w:sz w:val="21"/>
                <w:szCs w:val="21"/>
                <w:highlight w:val="none"/>
                <w:lang w:val="en-US" w:eastAsia="zh-CN"/>
              </w:rPr>
              <w:t>系统、技术文档、用户操作手册、培训手册、源代码（如有）</w:t>
            </w:r>
            <w:r>
              <w:rPr>
                <w:rFonts w:hint="eastAsia" w:ascii="宋体" w:hAnsi="宋体" w:eastAsia="宋体" w:cs="宋体"/>
                <w:color w:val="auto"/>
                <w:sz w:val="21"/>
                <w:szCs w:val="21"/>
                <w:highlight w:val="none"/>
                <w:lang w:val="en-US" w:eastAsia="zh-CN"/>
              </w:rPr>
              <w:t>等。</w:t>
            </w:r>
          </w:p>
        </w:tc>
      </w:tr>
      <w:tr w14:paraId="45DDE8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6EB1B3FE">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5</w:t>
            </w:r>
          </w:p>
        </w:tc>
        <w:tc>
          <w:tcPr>
            <w:tcW w:w="1119" w:type="dxa"/>
            <w:tcBorders>
              <w:left w:val="nil"/>
              <w:right w:val="single" w:color="000000" w:sz="4" w:space="0"/>
            </w:tcBorders>
            <w:shd w:val="clear" w:color="auto" w:fill="auto"/>
            <w:vAlign w:val="center"/>
          </w:tcPr>
          <w:p w14:paraId="7AB16F28">
            <w:pPr>
              <w:keepNext w:val="0"/>
              <w:keepLines w:val="0"/>
              <w:suppressLineNumbers w:val="0"/>
              <w:spacing w:before="0" w:beforeAutospacing="0" w:after="0" w:afterAutospacing="0" w:line="360" w:lineRule="exact"/>
              <w:ind w:left="0" w:leftChars="0" w:right="0" w:rightChars="0"/>
              <w:jc w:val="center"/>
              <w:rPr>
                <w:rFonts w:hint="eastAsia" w:ascii="宋体" w:hAnsi="宋体" w:eastAsia="宋体" w:cs="宋体"/>
                <w:b/>
                <w:color w:val="auto"/>
                <w:kern w:val="2"/>
                <w:sz w:val="21"/>
                <w:szCs w:val="21"/>
                <w:highlight w:val="none"/>
                <w:lang w:val="en-US" w:eastAsia="zh-CN" w:bidi="ar-SA"/>
              </w:rPr>
            </w:pPr>
            <w:r>
              <w:rPr>
                <w:rFonts w:hint="eastAsia" w:ascii="宋体" w:hAnsi="宋体" w:cs="宋体"/>
                <w:b w:val="0"/>
                <w:bCs/>
                <w:color w:val="auto"/>
                <w:kern w:val="2"/>
                <w:sz w:val="21"/>
                <w:szCs w:val="21"/>
                <w:highlight w:val="none"/>
                <w:lang w:val="en-US" w:eastAsia="zh-CN" w:bidi="ar-SA"/>
              </w:rPr>
              <w:t>软件部署要求</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18F77444">
            <w:pPr>
              <w:keepNext w:val="0"/>
              <w:keepLines w:val="0"/>
              <w:suppressLineNumbers w:val="0"/>
              <w:spacing w:before="0" w:beforeAutospacing="0" w:after="0" w:afterAutospacing="0" w:line="360" w:lineRule="exact"/>
              <w:ind w:left="0" w:leftChars="0" w:right="0" w:rightChars="0"/>
              <w:rPr>
                <w:rFonts w:hint="eastAsia" w:ascii="宋体" w:hAnsi="宋体" w:eastAsia="宋体" w:cs="Times New Roman"/>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中</w:t>
            </w:r>
            <w:r>
              <w:rPr>
                <w:rFonts w:hint="eastAsia" w:ascii="宋体" w:hAnsi="宋体" w:eastAsia="宋体" w:cs="宋体"/>
                <w:color w:val="auto"/>
                <w:kern w:val="2"/>
                <w:sz w:val="21"/>
                <w:szCs w:val="21"/>
                <w:highlight w:val="none"/>
                <w:lang w:val="en-US" w:eastAsia="zh-CN" w:bidi="ar-SA"/>
              </w:rPr>
              <w:t>标人应负责软件系统在采购人指定环境中的部署实施，确保系统稳定运行。部署前应完成环境检测并出具符合性报告；部署实施应依据经采购人确认的部署方案执行，关键步骤记录留存；涉及数据迁移的应编制迁移方案并校验数据完整性；部署完成后应配合完成联调测试，各项功能及性能指标应满足技术规格书要求。部署完成后提交部署完成报告并经采购人签字确认。</w:t>
            </w:r>
          </w:p>
        </w:tc>
      </w:tr>
      <w:tr w14:paraId="431793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7E702A09">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6</w:t>
            </w:r>
          </w:p>
        </w:tc>
        <w:tc>
          <w:tcPr>
            <w:tcW w:w="1119" w:type="dxa"/>
            <w:tcBorders>
              <w:left w:val="nil"/>
              <w:right w:val="single" w:color="000000" w:sz="4" w:space="0"/>
            </w:tcBorders>
            <w:shd w:val="clear" w:color="auto" w:fill="auto"/>
            <w:vAlign w:val="center"/>
          </w:tcPr>
          <w:p w14:paraId="655D908B">
            <w:pPr>
              <w:keepNext w:val="0"/>
              <w:keepLines w:val="0"/>
              <w:suppressLineNumbers w:val="0"/>
              <w:snapToGrid w:val="0"/>
              <w:spacing w:before="0" w:beforeAutospacing="0" w:after="0" w:afterAutospacing="0" w:line="360" w:lineRule="auto"/>
              <w:ind w:left="0" w:leftChars="0" w:right="0" w:rightChars="0"/>
              <w:jc w:val="center"/>
              <w:outlineLvl w:val="0"/>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rPr>
              <w:t>验收</w:t>
            </w:r>
            <w:r>
              <w:rPr>
                <w:rFonts w:hint="eastAsia" w:ascii="宋体" w:hAnsi="宋体" w:eastAsia="宋体" w:cs="宋体"/>
                <w:bCs/>
                <w:color w:val="auto"/>
                <w:kern w:val="0"/>
                <w:sz w:val="21"/>
                <w:szCs w:val="21"/>
                <w:highlight w:val="none"/>
                <w:lang w:eastAsia="zh-CN"/>
              </w:rPr>
              <w:t>依据、标准、验收程序</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331F4A40">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验收主体：采购</w:t>
            </w:r>
            <w:r>
              <w:rPr>
                <w:rFonts w:hint="eastAsia" w:ascii="宋体" w:hAnsi="宋体" w:eastAsia="宋体" w:cs="宋体"/>
                <w:color w:val="auto"/>
                <w:sz w:val="21"/>
                <w:szCs w:val="21"/>
                <w:highlight w:val="none"/>
                <w:lang w:eastAsia="zh-CN"/>
              </w:rPr>
              <w:t>人</w:t>
            </w:r>
            <w:r>
              <w:rPr>
                <w:rFonts w:hint="eastAsia" w:ascii="宋体" w:hAnsi="宋体" w:eastAsia="宋体" w:cs="宋体"/>
                <w:color w:val="auto"/>
                <w:sz w:val="21"/>
                <w:szCs w:val="21"/>
                <w:highlight w:val="none"/>
              </w:rPr>
              <w:t>。</w:t>
            </w:r>
          </w:p>
          <w:p w14:paraId="402EBC8D">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验收时间</w:t>
            </w:r>
            <w:r>
              <w:rPr>
                <w:rFonts w:hint="eastAsia" w:ascii="宋体" w:hAnsi="宋体" w:eastAsia="宋体" w:cs="宋体"/>
                <w:color w:val="auto"/>
                <w:sz w:val="21"/>
                <w:szCs w:val="21"/>
                <w:highlight w:val="none"/>
                <w:lang w:eastAsia="zh-CN"/>
              </w:rPr>
              <w:t>：</w:t>
            </w:r>
            <w:r>
              <w:rPr>
                <w:rFonts w:hint="eastAsia"/>
                <w:color w:val="auto"/>
                <w:szCs w:val="21"/>
                <w:highlight w:val="none"/>
                <w:lang w:val="en-US" w:eastAsia="zh-CN"/>
              </w:rPr>
              <w:t>中标人</w:t>
            </w:r>
            <w:r>
              <w:rPr>
                <w:color w:val="auto"/>
                <w:szCs w:val="21"/>
                <w:highlight w:val="none"/>
              </w:rPr>
              <w:t>提交项目成果后，采购人自行组织项目验收</w:t>
            </w:r>
            <w:r>
              <w:rPr>
                <w:rFonts w:hint="eastAsia" w:ascii="宋体" w:hAnsi="宋体" w:eastAsia="宋体" w:cs="宋体"/>
                <w:color w:val="auto"/>
                <w:sz w:val="21"/>
                <w:szCs w:val="21"/>
                <w:highlight w:val="none"/>
              </w:rPr>
              <w:t>。</w:t>
            </w:r>
          </w:p>
          <w:p w14:paraId="10E8413E">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验收</w:t>
            </w:r>
            <w:r>
              <w:rPr>
                <w:rFonts w:hint="eastAsia" w:ascii="宋体" w:hAnsi="宋体" w:eastAsia="宋体" w:cs="宋体"/>
                <w:color w:val="auto"/>
                <w:sz w:val="21"/>
                <w:szCs w:val="21"/>
                <w:highlight w:val="none"/>
                <w:lang w:eastAsia="zh-CN"/>
              </w:rPr>
              <w:t>依据</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国家、行业标准、招标文件采购需求、投标文件承诺。</w:t>
            </w:r>
          </w:p>
          <w:p w14:paraId="20AD0A76">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4.验收</w:t>
            </w:r>
            <w:r>
              <w:rPr>
                <w:rFonts w:hint="eastAsia" w:ascii="宋体" w:hAnsi="宋体" w:eastAsia="宋体" w:cs="宋体"/>
                <w:color w:val="auto"/>
                <w:sz w:val="21"/>
                <w:szCs w:val="21"/>
                <w:highlight w:val="none"/>
                <w:lang w:eastAsia="zh-CN"/>
              </w:rPr>
              <w:t>标准：</w:t>
            </w:r>
            <w:r>
              <w:rPr>
                <w:rStyle w:val="55"/>
                <w:rFonts w:hint="eastAsia" w:ascii="宋体" w:hAnsi="宋体" w:cs="宋体"/>
                <w:color w:val="auto"/>
                <w:sz w:val="21"/>
                <w:szCs w:val="21"/>
                <w:highlight w:val="none"/>
                <w:lang w:val="en-US" w:eastAsia="zh-CN"/>
              </w:rPr>
              <w:t>整套系统</w:t>
            </w:r>
            <w:r>
              <w:rPr>
                <w:rStyle w:val="55"/>
                <w:rFonts w:hint="eastAsia" w:ascii="宋体" w:hAnsi="宋体" w:eastAsia="宋体" w:cs="宋体"/>
                <w:color w:val="auto"/>
                <w:sz w:val="21"/>
                <w:szCs w:val="21"/>
                <w:highlight w:val="none"/>
              </w:rPr>
              <w:t>符合国家相关标准、行业标准、地方标准或者其他标准、规范。如具体采购需求与标准、规范不一致的，高于标准、规范的按具体采购需求执行；低于标准、规范的按标准、规范执行</w:t>
            </w:r>
            <w:r>
              <w:rPr>
                <w:rFonts w:hint="eastAsia" w:ascii="宋体" w:hAnsi="宋体" w:eastAsia="宋体" w:cs="宋体"/>
                <w:color w:val="auto"/>
                <w:sz w:val="21"/>
                <w:szCs w:val="21"/>
                <w:highlight w:val="none"/>
              </w:rPr>
              <w:t>。</w:t>
            </w:r>
          </w:p>
          <w:p w14:paraId="12382646">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履约验收程序</w:t>
            </w:r>
            <w:r>
              <w:rPr>
                <w:rFonts w:hint="eastAsia" w:ascii="宋体" w:hAnsi="宋体" w:eastAsia="宋体" w:cs="宋体"/>
                <w:color w:val="auto"/>
                <w:sz w:val="21"/>
                <w:szCs w:val="21"/>
                <w:highlight w:val="none"/>
                <w:lang w:eastAsia="zh-CN"/>
              </w:rPr>
              <w:t>：</w:t>
            </w:r>
          </w:p>
          <w:p w14:paraId="004A8F9F">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A.成立验收小组：采购</w:t>
            </w:r>
            <w:r>
              <w:rPr>
                <w:rFonts w:hint="eastAsia" w:ascii="宋体" w:hAnsi="宋体" w:eastAsia="宋体" w:cs="宋体"/>
                <w:color w:val="auto"/>
                <w:sz w:val="21"/>
                <w:szCs w:val="21"/>
                <w:highlight w:val="none"/>
                <w:lang w:eastAsia="zh-CN"/>
              </w:rPr>
              <w:t>人</w:t>
            </w:r>
            <w:r>
              <w:rPr>
                <w:rFonts w:hint="eastAsia" w:ascii="宋体" w:hAnsi="宋体" w:eastAsia="宋体" w:cs="宋体"/>
                <w:color w:val="auto"/>
                <w:sz w:val="21"/>
                <w:szCs w:val="21"/>
                <w:highlight w:val="none"/>
              </w:rPr>
              <w:t>代表成立验收小组。</w:t>
            </w:r>
          </w:p>
          <w:p w14:paraId="1D02D897">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B.</w:t>
            </w:r>
            <w:r>
              <w:rPr>
                <w:rFonts w:hint="eastAsia" w:ascii="宋体" w:hAnsi="宋体" w:cs="宋体"/>
                <w:color w:val="auto"/>
                <w:sz w:val="21"/>
                <w:szCs w:val="21"/>
                <w:highlight w:val="none"/>
                <w:lang w:val="en-US" w:eastAsia="zh-CN"/>
              </w:rPr>
              <w:t>系统</w:t>
            </w:r>
            <w:r>
              <w:rPr>
                <w:rFonts w:hint="eastAsia" w:ascii="宋体" w:hAnsi="宋体" w:eastAsia="宋体" w:cs="宋体"/>
                <w:color w:val="auto"/>
                <w:sz w:val="21"/>
                <w:szCs w:val="21"/>
                <w:highlight w:val="none"/>
              </w:rPr>
              <w:t>安装、调试</w:t>
            </w:r>
          </w:p>
          <w:p w14:paraId="72DB8241">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)由</w:t>
            </w:r>
            <w:r>
              <w:rPr>
                <w:rFonts w:hint="eastAsia" w:ascii="宋体" w:hAnsi="宋体" w:eastAsia="宋体" w:cs="宋体"/>
                <w:color w:val="auto"/>
                <w:sz w:val="21"/>
                <w:szCs w:val="21"/>
                <w:highlight w:val="none"/>
                <w:lang w:eastAsia="zh-CN"/>
              </w:rPr>
              <w:t>中标人代表</w:t>
            </w:r>
            <w:r>
              <w:rPr>
                <w:rFonts w:hint="eastAsia" w:ascii="宋体" w:hAnsi="宋体" w:eastAsia="宋体" w:cs="宋体"/>
                <w:color w:val="auto"/>
                <w:sz w:val="21"/>
                <w:szCs w:val="21"/>
                <w:highlight w:val="none"/>
              </w:rPr>
              <w:t>进行</w:t>
            </w:r>
            <w:r>
              <w:rPr>
                <w:rFonts w:hint="eastAsia" w:ascii="宋体" w:hAnsi="宋体" w:eastAsia="宋体" w:cs="宋体"/>
                <w:color w:val="auto"/>
                <w:sz w:val="21"/>
                <w:szCs w:val="21"/>
                <w:highlight w:val="none"/>
                <w:lang w:val="en-US" w:eastAsia="zh-CN"/>
              </w:rPr>
              <w:t>系统</w:t>
            </w:r>
            <w:r>
              <w:rPr>
                <w:rFonts w:hint="eastAsia" w:ascii="宋体" w:hAnsi="宋体" w:eastAsia="宋体" w:cs="宋体"/>
                <w:color w:val="auto"/>
                <w:sz w:val="21"/>
                <w:szCs w:val="21"/>
                <w:highlight w:val="none"/>
              </w:rPr>
              <w:t>的安装、调试。</w:t>
            </w:r>
          </w:p>
          <w:p w14:paraId="30DD8200">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)由采购</w:t>
            </w:r>
            <w:r>
              <w:rPr>
                <w:rFonts w:hint="eastAsia" w:ascii="宋体" w:hAnsi="宋体" w:eastAsia="宋体" w:cs="宋体"/>
                <w:color w:val="auto"/>
                <w:sz w:val="21"/>
                <w:szCs w:val="21"/>
                <w:highlight w:val="none"/>
                <w:lang w:eastAsia="zh-CN"/>
              </w:rPr>
              <w:t>人</w:t>
            </w:r>
            <w:r>
              <w:rPr>
                <w:rFonts w:hint="eastAsia" w:ascii="宋体" w:hAnsi="宋体" w:eastAsia="宋体" w:cs="宋体"/>
                <w:color w:val="auto"/>
                <w:sz w:val="21"/>
                <w:szCs w:val="21"/>
                <w:highlight w:val="none"/>
              </w:rPr>
              <w:t>代表</w:t>
            </w:r>
            <w:r>
              <w:rPr>
                <w:rFonts w:hint="eastAsia" w:ascii="宋体" w:hAnsi="宋体" w:eastAsia="宋体" w:cs="宋体"/>
                <w:color w:val="auto"/>
                <w:sz w:val="21"/>
                <w:szCs w:val="21"/>
                <w:highlight w:val="none"/>
                <w:lang w:eastAsia="zh-CN"/>
              </w:rPr>
              <w:t>、中标人代表进行</w:t>
            </w:r>
            <w:r>
              <w:rPr>
                <w:rFonts w:hint="eastAsia" w:ascii="宋体" w:hAnsi="宋体" w:eastAsia="宋体" w:cs="宋体"/>
                <w:color w:val="auto"/>
                <w:sz w:val="21"/>
                <w:szCs w:val="21"/>
                <w:highlight w:val="none"/>
                <w:lang w:val="en-US" w:eastAsia="zh-CN"/>
              </w:rPr>
              <w:t>系统</w:t>
            </w:r>
            <w:r>
              <w:rPr>
                <w:rFonts w:hint="eastAsia" w:ascii="宋体" w:hAnsi="宋体" w:eastAsia="宋体" w:cs="宋体"/>
                <w:color w:val="auto"/>
                <w:sz w:val="21"/>
                <w:szCs w:val="21"/>
                <w:highlight w:val="none"/>
                <w:lang w:eastAsia="zh-CN"/>
              </w:rPr>
              <w:t>试运行</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并</w:t>
            </w:r>
            <w:r>
              <w:rPr>
                <w:rFonts w:hint="eastAsia" w:ascii="宋体" w:hAnsi="宋体" w:eastAsia="宋体" w:cs="宋体"/>
                <w:color w:val="auto"/>
                <w:sz w:val="21"/>
                <w:szCs w:val="21"/>
                <w:highlight w:val="none"/>
              </w:rPr>
              <w:t>对</w:t>
            </w:r>
            <w:r>
              <w:rPr>
                <w:rFonts w:hint="eastAsia" w:ascii="宋体" w:hAnsi="宋体" w:eastAsia="宋体" w:cs="宋体"/>
                <w:color w:val="auto"/>
                <w:sz w:val="21"/>
                <w:szCs w:val="21"/>
                <w:highlight w:val="none"/>
                <w:lang w:eastAsia="zh-CN"/>
              </w:rPr>
              <w:t>试运行情况</w:t>
            </w:r>
            <w:r>
              <w:rPr>
                <w:rFonts w:hint="eastAsia" w:ascii="宋体" w:hAnsi="宋体" w:eastAsia="宋体" w:cs="宋体"/>
                <w:color w:val="auto"/>
                <w:sz w:val="21"/>
                <w:szCs w:val="21"/>
                <w:highlight w:val="none"/>
              </w:rPr>
              <w:t>进行评价。</w:t>
            </w:r>
          </w:p>
          <w:p w14:paraId="5C551599">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)验收时现场测试</w:t>
            </w:r>
            <w:r>
              <w:rPr>
                <w:rFonts w:hint="eastAsia" w:ascii="宋体" w:hAnsi="宋体" w:eastAsia="宋体" w:cs="宋体"/>
                <w:color w:val="auto"/>
                <w:sz w:val="21"/>
                <w:szCs w:val="21"/>
                <w:highlight w:val="none"/>
                <w:lang w:val="en-US" w:eastAsia="zh-CN"/>
              </w:rPr>
              <w:t>系统</w:t>
            </w:r>
            <w:r>
              <w:rPr>
                <w:rFonts w:hint="eastAsia" w:ascii="宋体" w:hAnsi="宋体" w:eastAsia="宋体" w:cs="宋体"/>
                <w:color w:val="auto"/>
                <w:sz w:val="21"/>
                <w:szCs w:val="21"/>
                <w:highlight w:val="none"/>
              </w:rPr>
              <w:t>的技术性能指标，确认各项功能正常运行，同时检查随机文件应齐整。</w:t>
            </w:r>
            <w:r>
              <w:rPr>
                <w:rFonts w:hint="eastAsia" w:ascii="宋体" w:hAnsi="宋体" w:eastAsia="宋体" w:cs="宋体"/>
                <w:color w:val="auto"/>
                <w:sz w:val="21"/>
                <w:szCs w:val="21"/>
                <w:highlight w:val="none"/>
                <w:lang w:eastAsia="zh-CN"/>
              </w:rPr>
              <w:t>试运行时由采购人对照招标文件的功能目标及技术指标要求、投标文件响应的功能、参数全面核对检验，所提供</w:t>
            </w:r>
            <w:r>
              <w:rPr>
                <w:rFonts w:hint="eastAsia" w:ascii="宋体" w:hAnsi="宋体" w:eastAsia="宋体" w:cs="宋体"/>
                <w:color w:val="auto"/>
                <w:sz w:val="21"/>
                <w:szCs w:val="21"/>
                <w:highlight w:val="none"/>
                <w:lang w:val="en-US" w:eastAsia="zh-CN"/>
              </w:rPr>
              <w:t>系统</w:t>
            </w:r>
            <w:r>
              <w:rPr>
                <w:rFonts w:hint="eastAsia" w:ascii="宋体" w:hAnsi="宋体" w:eastAsia="宋体" w:cs="宋体"/>
                <w:color w:val="auto"/>
                <w:sz w:val="21"/>
                <w:szCs w:val="21"/>
                <w:highlight w:val="none"/>
                <w:lang w:eastAsia="zh-CN"/>
              </w:rPr>
              <w:t>的性能应与投标时响应的</w:t>
            </w:r>
            <w:r>
              <w:rPr>
                <w:rFonts w:hint="eastAsia" w:ascii="宋体" w:hAnsi="宋体" w:eastAsia="宋体" w:cs="宋体"/>
                <w:color w:val="auto"/>
                <w:sz w:val="21"/>
                <w:szCs w:val="21"/>
                <w:highlight w:val="none"/>
                <w:lang w:val="en-US" w:eastAsia="zh-CN"/>
              </w:rPr>
              <w:t>技术性能</w:t>
            </w:r>
            <w:r>
              <w:rPr>
                <w:rFonts w:hint="eastAsia" w:ascii="宋体" w:hAnsi="宋体" w:eastAsia="宋体" w:cs="宋体"/>
                <w:color w:val="auto"/>
                <w:sz w:val="21"/>
                <w:szCs w:val="21"/>
                <w:highlight w:val="none"/>
                <w:lang w:eastAsia="zh-CN"/>
              </w:rPr>
              <w:t>、参数完全一致，</w:t>
            </w:r>
            <w:r>
              <w:rPr>
                <w:rFonts w:hint="eastAsia" w:ascii="宋体" w:hAnsi="宋体" w:eastAsia="宋体" w:cs="宋体"/>
                <w:color w:val="auto"/>
                <w:sz w:val="21"/>
                <w:szCs w:val="21"/>
                <w:highlight w:val="none"/>
              </w:rPr>
              <w:t>视为</w:t>
            </w:r>
            <w:r>
              <w:rPr>
                <w:rFonts w:hint="eastAsia" w:ascii="宋体" w:hAnsi="宋体" w:eastAsia="宋体" w:cs="宋体"/>
                <w:color w:val="auto"/>
                <w:sz w:val="21"/>
                <w:szCs w:val="21"/>
                <w:highlight w:val="none"/>
                <w:lang w:eastAsia="zh-CN"/>
              </w:rPr>
              <w:t>验收合格</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采购人有权要求中标人在验收时提供检测报告或生产厂家官方技术说明书、官方产品宣传页等证明材料原件，有权将系统送第三方检测机构进行检测，以核验系统各功能参数与中标人投标时响应的技术性能、参数完全一致，否则视为验收不合格。）</w:t>
            </w:r>
            <w:r>
              <w:rPr>
                <w:rFonts w:hint="eastAsia" w:ascii="宋体" w:hAnsi="宋体" w:eastAsia="宋体" w:cs="宋体"/>
                <w:color w:val="auto"/>
                <w:sz w:val="21"/>
                <w:szCs w:val="21"/>
                <w:highlight w:val="none"/>
              </w:rPr>
              <w:t>，由采购</w:t>
            </w:r>
            <w:r>
              <w:rPr>
                <w:rFonts w:hint="eastAsia" w:ascii="宋体" w:hAnsi="宋体" w:eastAsia="宋体" w:cs="宋体"/>
                <w:color w:val="auto"/>
                <w:sz w:val="21"/>
                <w:szCs w:val="21"/>
                <w:highlight w:val="none"/>
                <w:lang w:eastAsia="zh-CN"/>
              </w:rPr>
              <w:t>人</w:t>
            </w:r>
            <w:r>
              <w:rPr>
                <w:rFonts w:hint="eastAsia" w:ascii="宋体" w:hAnsi="宋体" w:eastAsia="宋体" w:cs="宋体"/>
                <w:color w:val="auto"/>
                <w:sz w:val="21"/>
                <w:szCs w:val="21"/>
                <w:highlight w:val="none"/>
              </w:rPr>
              <w:t>代表及</w:t>
            </w:r>
            <w:r>
              <w:rPr>
                <w:rFonts w:hint="eastAsia" w:ascii="宋体" w:hAnsi="宋体" w:eastAsia="宋体" w:cs="宋体"/>
                <w:color w:val="auto"/>
                <w:sz w:val="21"/>
                <w:szCs w:val="21"/>
                <w:highlight w:val="none"/>
                <w:lang w:eastAsia="zh-CN"/>
              </w:rPr>
              <w:t>中标人代表</w:t>
            </w:r>
            <w:r>
              <w:rPr>
                <w:rFonts w:hint="eastAsia" w:ascii="宋体" w:hAnsi="宋体" w:eastAsia="宋体" w:cs="宋体"/>
                <w:color w:val="auto"/>
                <w:sz w:val="21"/>
                <w:szCs w:val="21"/>
                <w:highlight w:val="none"/>
              </w:rPr>
              <w:t>共同对安装、调试情况进行记录。本项目所有系统功能模块，试运行测评完成后，对测评不通过的部分，</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rPr>
              <w:t>须无条件整改，直至整改通过，否则项目将不予整体验收。因</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rPr>
              <w:t>原因导致的测评不通过，将导致项目无法整体验收，此视为</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rPr>
              <w:t>严重违约，</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rPr>
              <w:t>须退回采购人已经支付的所有款项，并须承担无法验收给采购人造成的损失</w:t>
            </w:r>
            <w:r>
              <w:rPr>
                <w:rFonts w:hint="eastAsia" w:ascii="宋体" w:hAnsi="宋体" w:eastAsia="宋体" w:cs="宋体"/>
                <w:color w:val="auto"/>
                <w:sz w:val="21"/>
                <w:szCs w:val="21"/>
                <w:highlight w:val="none"/>
                <w:lang w:eastAsia="zh-CN"/>
              </w:rPr>
              <w:t>。</w:t>
            </w:r>
          </w:p>
          <w:p w14:paraId="2C236ED9">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采购项目进行验收时，采购人可以邀请参加本项目的其他投标人、技术专家或者第三方机构参与验收。参与验收的投标人、技术专家或者第三方机构的意见作为验收书的参考资料一并存档。验收所产生的一切费用由中标人承担。</w:t>
            </w:r>
          </w:p>
          <w:p w14:paraId="5C06D556">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C</w:t>
            </w:r>
            <w:r>
              <w:rPr>
                <w:rFonts w:hint="eastAsia" w:ascii="宋体" w:hAnsi="宋体" w:eastAsia="宋体" w:cs="宋体"/>
                <w:color w:val="auto"/>
                <w:sz w:val="21"/>
                <w:szCs w:val="21"/>
                <w:highlight w:val="none"/>
                <w:lang w:eastAsia="zh-CN"/>
              </w:rPr>
              <w:t>.履约验收其他事项：</w:t>
            </w:r>
          </w:p>
          <w:p w14:paraId="7A34D9D5">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 验收资料归档，采购合同项目完成验收后，将验收原始记录、验收书等资料作为该采购项目档案妥善保管，不得伪造、变造、隐匿或者销毁，验收资料保存期为采购结束之日起至少保存15年。</w:t>
            </w:r>
          </w:p>
          <w:p w14:paraId="0B4714F3">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)由于中标人原因造成不按时完成验收、造成逾期供货事实的，由中标人承担相关合同责任。</w:t>
            </w:r>
          </w:p>
          <w:p w14:paraId="22C3F575">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r>
              <w:rPr>
                <w:color w:val="auto"/>
                <w:szCs w:val="21"/>
                <w:highlight w:val="none"/>
              </w:rPr>
              <w:t>采购人对</w:t>
            </w:r>
            <w:r>
              <w:rPr>
                <w:rFonts w:hint="eastAsia"/>
                <w:color w:val="auto"/>
                <w:szCs w:val="21"/>
                <w:highlight w:val="none"/>
                <w:lang w:val="en-US" w:eastAsia="zh-CN"/>
              </w:rPr>
              <w:t>中标人</w:t>
            </w:r>
            <w:r>
              <w:rPr>
                <w:color w:val="auto"/>
                <w:szCs w:val="21"/>
                <w:highlight w:val="none"/>
              </w:rPr>
              <w:t>提供的</w:t>
            </w:r>
            <w:r>
              <w:rPr>
                <w:rFonts w:hint="eastAsia"/>
                <w:color w:val="auto"/>
                <w:szCs w:val="21"/>
                <w:highlight w:val="none"/>
                <w:lang w:val="en-US" w:eastAsia="zh-CN"/>
              </w:rPr>
              <w:t>项目</w:t>
            </w:r>
            <w:r>
              <w:rPr>
                <w:rFonts w:hint="eastAsia"/>
                <w:color w:val="auto"/>
                <w:szCs w:val="21"/>
                <w:highlight w:val="none"/>
              </w:rPr>
              <w:t>成果</w:t>
            </w:r>
            <w:r>
              <w:rPr>
                <w:color w:val="auto"/>
                <w:szCs w:val="21"/>
                <w:highlight w:val="none"/>
              </w:rPr>
              <w:t>在</w:t>
            </w:r>
            <w:r>
              <w:rPr>
                <w:rFonts w:hint="eastAsia"/>
                <w:color w:val="auto"/>
                <w:szCs w:val="21"/>
                <w:highlight w:val="none"/>
              </w:rPr>
              <w:t>验收</w:t>
            </w:r>
            <w:r>
              <w:rPr>
                <w:color w:val="auto"/>
                <w:szCs w:val="21"/>
                <w:highlight w:val="none"/>
              </w:rPr>
              <w:t>时，</w:t>
            </w:r>
            <w:r>
              <w:rPr>
                <w:rFonts w:hint="eastAsia"/>
                <w:color w:val="auto"/>
                <w:szCs w:val="21"/>
                <w:highlight w:val="none"/>
                <w:lang w:val="en-US" w:eastAsia="zh-CN"/>
              </w:rPr>
              <w:t>中标人</w:t>
            </w:r>
            <w:r>
              <w:rPr>
                <w:color w:val="auto"/>
                <w:szCs w:val="21"/>
                <w:highlight w:val="none"/>
              </w:rPr>
              <w:t>须负责安装</w:t>
            </w:r>
            <w:r>
              <w:rPr>
                <w:rFonts w:hint="eastAsia"/>
                <w:color w:val="auto"/>
                <w:szCs w:val="21"/>
                <w:highlight w:val="none"/>
              </w:rPr>
              <w:t>调试</w:t>
            </w:r>
            <w:r>
              <w:rPr>
                <w:color w:val="auto"/>
                <w:szCs w:val="21"/>
                <w:highlight w:val="none"/>
              </w:rPr>
              <w:t>并培训采购人的操作使用人员，符合所有技术要求的，采购人才作最终验收</w:t>
            </w:r>
            <w:r>
              <w:rPr>
                <w:rFonts w:hint="eastAsia" w:ascii="宋体" w:hAnsi="宋体" w:eastAsia="宋体" w:cs="宋体"/>
                <w:color w:val="auto"/>
                <w:sz w:val="21"/>
                <w:szCs w:val="21"/>
                <w:highlight w:val="none"/>
                <w:lang w:eastAsia="zh-CN"/>
              </w:rPr>
              <w:t>。</w:t>
            </w:r>
          </w:p>
          <w:p w14:paraId="625971F9">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6.验收内容：包括每个采购标的每一项技术参数和商务要求全部内容的履约情况。</w:t>
            </w:r>
          </w:p>
          <w:p w14:paraId="5BBA54DB">
            <w:pPr>
              <w:keepNext w:val="0"/>
              <w:keepLines w:val="0"/>
              <w:suppressLineNumbers w:val="0"/>
              <w:spacing w:before="0" w:beforeAutospacing="0" w:after="0" w:afterAutospacing="0" w:line="360" w:lineRule="auto"/>
              <w:ind w:left="0" w:leftChars="0" w:right="0" w:right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lang w:eastAsia="zh-CN"/>
              </w:rPr>
              <w:t>其他未尽事宜应严格参照《关于印发广西壮族自治区政府采购项目履约验收管理办法的通知》[桂财采〔2015〕22号]以及《财政部关于进一步加强政府采购需求和履约验收管理的指导意见》[财库〔2016〕205 号]规定执行。</w:t>
            </w:r>
          </w:p>
        </w:tc>
      </w:tr>
      <w:tr w14:paraId="0A1CE5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9" w:hRule="atLeast"/>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0AB6A596">
            <w:pPr>
              <w:keepNext w:val="0"/>
              <w:keepLines w:val="0"/>
              <w:suppressLineNumbers w:val="0"/>
              <w:bidi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7</w:t>
            </w:r>
          </w:p>
        </w:tc>
        <w:tc>
          <w:tcPr>
            <w:tcW w:w="1119" w:type="dxa"/>
            <w:tcBorders>
              <w:left w:val="nil"/>
              <w:right w:val="single" w:color="000000" w:sz="4" w:space="0"/>
            </w:tcBorders>
            <w:shd w:val="clear" w:color="auto" w:fill="auto"/>
            <w:vAlign w:val="center"/>
          </w:tcPr>
          <w:p w14:paraId="102938E5">
            <w:pPr>
              <w:keepNext w:val="0"/>
              <w:keepLines w:val="0"/>
              <w:suppressLineNumbers w:val="0"/>
              <w:snapToGrid w:val="0"/>
              <w:spacing w:before="0" w:beforeAutospacing="0" w:after="0" w:afterAutospacing="0" w:line="400" w:lineRule="exact"/>
              <w:ind w:left="0" w:right="0"/>
              <w:jc w:val="center"/>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rPr>
              <w:t>付款条件</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7F05F43B">
            <w:pPr>
              <w:keepNext w:val="0"/>
              <w:keepLines w:val="0"/>
              <w:suppressLineNumbers w:val="0"/>
              <w:spacing w:before="0" w:beforeAutospacing="0" w:after="0" w:afterAutospacing="0" w:line="360" w:lineRule="exact"/>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1.验收合格后，</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rPr>
              <w:t>应向</w:t>
            </w:r>
            <w:r>
              <w:rPr>
                <w:rFonts w:hint="eastAsia" w:ascii="宋体" w:hAnsi="宋体" w:eastAsia="宋体" w:cs="宋体"/>
                <w:color w:val="auto"/>
                <w:sz w:val="21"/>
                <w:szCs w:val="21"/>
                <w:highlight w:val="none"/>
                <w:lang w:val="en-US" w:eastAsia="zh-CN"/>
              </w:rPr>
              <w:t>采购人</w:t>
            </w:r>
            <w:r>
              <w:rPr>
                <w:rFonts w:hint="eastAsia" w:ascii="宋体" w:hAnsi="宋体" w:eastAsia="宋体" w:cs="宋体"/>
                <w:color w:val="auto"/>
                <w:sz w:val="21"/>
                <w:szCs w:val="21"/>
                <w:highlight w:val="none"/>
              </w:rPr>
              <w:t>开具合法增值税专用发票，</w:t>
            </w:r>
            <w:r>
              <w:rPr>
                <w:rFonts w:hint="eastAsia" w:ascii="宋体" w:hAnsi="宋体" w:eastAsia="宋体" w:cs="宋体"/>
                <w:color w:val="auto"/>
                <w:sz w:val="21"/>
                <w:szCs w:val="21"/>
                <w:highlight w:val="none"/>
                <w:lang w:val="en-US" w:eastAsia="zh-CN"/>
              </w:rPr>
              <w:t>采购人</w:t>
            </w:r>
            <w:r>
              <w:rPr>
                <w:rFonts w:hint="eastAsia" w:ascii="宋体" w:hAnsi="宋体" w:eastAsia="宋体" w:cs="宋体"/>
                <w:color w:val="auto"/>
                <w:sz w:val="21"/>
                <w:szCs w:val="21"/>
                <w:highlight w:val="none"/>
              </w:rPr>
              <w:t>在30日内支付合同价款。</w:t>
            </w:r>
          </w:p>
          <w:p w14:paraId="6DC022F1">
            <w:pPr>
              <w:keepNext w:val="0"/>
              <w:keepLines w:val="0"/>
              <w:suppressLineNumbers w:val="0"/>
              <w:spacing w:before="0" w:beforeAutospacing="0" w:after="0" w:afterAutospacing="0" w:line="400" w:lineRule="exact"/>
              <w:ind w:left="0" w:right="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rPr>
              <w:t>必须按照采购人要求提供真实、有效、合法的正式发票。一旦发现</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rPr>
              <w:t>提供虚假发票，除须向采购人补开合法发票外，采购人有权向税务机关投诉，并扣除全部履约保证金。</w:t>
            </w:r>
          </w:p>
        </w:tc>
      </w:tr>
      <w:tr w14:paraId="025CD1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61A883C8">
            <w:pPr>
              <w:keepNext w:val="0"/>
              <w:keepLines w:val="0"/>
              <w:suppressLineNumbers w:val="0"/>
              <w:bidi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8</w:t>
            </w:r>
          </w:p>
        </w:tc>
        <w:tc>
          <w:tcPr>
            <w:tcW w:w="1119" w:type="dxa"/>
            <w:tcBorders>
              <w:left w:val="nil"/>
              <w:right w:val="single" w:color="000000" w:sz="4" w:space="0"/>
            </w:tcBorders>
            <w:shd w:val="clear" w:color="auto" w:fill="auto"/>
            <w:vAlign w:val="center"/>
          </w:tcPr>
          <w:p w14:paraId="624B93F1">
            <w:pPr>
              <w:keepNext w:val="0"/>
              <w:keepLines w:val="0"/>
              <w:suppressLineNumbers w:val="0"/>
              <w:snapToGrid w:val="0"/>
              <w:spacing w:before="0" w:beforeAutospacing="0" w:after="0" w:afterAutospacing="0" w:line="360" w:lineRule="exact"/>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售后服务要求</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6C7FB745">
            <w:pPr>
              <w:keepNext w:val="0"/>
              <w:keepLines w:val="0"/>
              <w:suppressLineNumbers w:val="0"/>
              <w:spacing w:before="0" w:beforeAutospacing="0" w:after="0" w:afterAutospacing="0" w:line="340" w:lineRule="exact"/>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rPr>
              <w:t>必须保证提供的</w:t>
            </w:r>
            <w:r>
              <w:rPr>
                <w:rFonts w:hint="eastAsia" w:ascii="宋体" w:hAnsi="宋体" w:cs="宋体"/>
                <w:color w:val="auto"/>
                <w:sz w:val="21"/>
                <w:szCs w:val="21"/>
                <w:highlight w:val="none"/>
                <w:lang w:val="en-US" w:eastAsia="zh-CN"/>
              </w:rPr>
              <w:t>整套系统</w:t>
            </w:r>
            <w:r>
              <w:rPr>
                <w:rFonts w:hint="eastAsia" w:ascii="宋体" w:hAnsi="宋体" w:eastAsia="宋体" w:cs="宋体"/>
                <w:color w:val="auto"/>
                <w:sz w:val="21"/>
                <w:szCs w:val="21"/>
                <w:highlight w:val="none"/>
              </w:rPr>
              <w:t>是全新正品的、未使用过的。</w:t>
            </w:r>
          </w:p>
          <w:p w14:paraId="408D9428">
            <w:pPr>
              <w:keepNext w:val="0"/>
              <w:keepLines w:val="0"/>
              <w:suppressLineNumbers w:val="0"/>
              <w:spacing w:before="0" w:beforeAutospacing="0" w:after="0" w:afterAutospacing="0" w:line="340" w:lineRule="exact"/>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.中标</w:t>
            </w:r>
            <w:r>
              <w:rPr>
                <w:rFonts w:hint="eastAsia" w:ascii="宋体" w:hAnsi="宋体" w:eastAsia="宋体" w:cs="宋体"/>
                <w:color w:val="auto"/>
                <w:sz w:val="21"/>
                <w:szCs w:val="21"/>
                <w:highlight w:val="none"/>
                <w:lang w:val="en-US" w:eastAsia="zh-CN"/>
              </w:rPr>
              <w:t>人</w:t>
            </w:r>
            <w:r>
              <w:rPr>
                <w:rFonts w:hint="eastAsia" w:ascii="宋体" w:hAnsi="宋体" w:eastAsia="宋体" w:cs="宋体"/>
                <w:color w:val="auto"/>
                <w:sz w:val="21"/>
                <w:szCs w:val="21"/>
                <w:highlight w:val="none"/>
              </w:rPr>
              <w:t>须安排厂家工程师对所供</w:t>
            </w:r>
            <w:r>
              <w:rPr>
                <w:rFonts w:hint="eastAsia" w:ascii="宋体" w:hAnsi="宋体" w:cs="宋体"/>
                <w:color w:val="auto"/>
                <w:sz w:val="21"/>
                <w:szCs w:val="21"/>
                <w:highlight w:val="none"/>
                <w:lang w:val="en-US" w:eastAsia="zh-CN"/>
              </w:rPr>
              <w:t>软件</w:t>
            </w:r>
            <w:r>
              <w:rPr>
                <w:rFonts w:hint="eastAsia" w:ascii="宋体" w:hAnsi="宋体" w:eastAsia="宋体" w:cs="宋体"/>
                <w:color w:val="auto"/>
                <w:sz w:val="21"/>
                <w:szCs w:val="21"/>
                <w:highlight w:val="none"/>
              </w:rPr>
              <w:t>产品进行安装、调试和操作培训，并免费对采购人操作人员进行常规</w:t>
            </w:r>
            <w:r>
              <w:rPr>
                <w:rFonts w:hint="eastAsia" w:ascii="宋体" w:hAnsi="宋体" w:cs="宋体"/>
                <w:color w:val="auto"/>
                <w:sz w:val="21"/>
                <w:szCs w:val="21"/>
                <w:highlight w:val="none"/>
                <w:lang w:val="en-US" w:eastAsia="zh-CN"/>
              </w:rPr>
              <w:t>软件</w:t>
            </w:r>
            <w:r>
              <w:rPr>
                <w:rFonts w:hint="eastAsia" w:ascii="宋体" w:hAnsi="宋体" w:eastAsia="宋体" w:cs="宋体"/>
                <w:color w:val="auto"/>
                <w:sz w:val="21"/>
                <w:szCs w:val="21"/>
                <w:highlight w:val="none"/>
              </w:rPr>
              <w:t>操作、故障排除、</w:t>
            </w:r>
            <w:r>
              <w:rPr>
                <w:rFonts w:hint="eastAsia" w:ascii="宋体" w:hAnsi="宋体" w:cs="宋体"/>
                <w:color w:val="auto"/>
                <w:sz w:val="21"/>
                <w:szCs w:val="21"/>
                <w:highlight w:val="none"/>
                <w:lang w:val="en-US" w:eastAsia="zh-CN"/>
              </w:rPr>
              <w:t>软件</w:t>
            </w:r>
            <w:r>
              <w:rPr>
                <w:rFonts w:hint="eastAsia" w:ascii="宋体" w:hAnsi="宋体" w:eastAsia="宋体" w:cs="宋体"/>
                <w:color w:val="auto"/>
                <w:sz w:val="21"/>
                <w:szCs w:val="21"/>
                <w:highlight w:val="none"/>
              </w:rPr>
              <w:t>维护培训，培训时间根据采购人要求，根据本次项目制定培训实施方案，不限制培训时长及培训次数直至采购人掌握为止。</w:t>
            </w:r>
          </w:p>
          <w:p w14:paraId="5D7E4D57">
            <w:pPr>
              <w:keepNext w:val="0"/>
              <w:keepLines w:val="0"/>
              <w:suppressLineNumbers w:val="0"/>
              <w:spacing w:before="0" w:beforeAutospacing="0" w:after="0" w:afterAutospacing="0" w:line="340" w:lineRule="exact"/>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.故障响应时间：售后服务时间为7×24小时，提供服务热线电话。</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rPr>
              <w:t>接到采购人</w:t>
            </w:r>
            <w:r>
              <w:rPr>
                <w:rFonts w:hint="eastAsia" w:ascii="宋体" w:hAnsi="宋体" w:eastAsia="宋体" w:cs="宋体"/>
                <w:color w:val="auto"/>
                <w:sz w:val="21"/>
                <w:szCs w:val="21"/>
                <w:highlight w:val="none"/>
                <w:lang w:val="en-US" w:eastAsia="zh-CN"/>
              </w:rPr>
              <w:t>故障</w:t>
            </w:r>
            <w:r>
              <w:rPr>
                <w:rFonts w:hint="eastAsia" w:ascii="宋体" w:hAnsi="宋体" w:eastAsia="宋体" w:cs="宋体"/>
                <w:color w:val="auto"/>
                <w:sz w:val="21"/>
                <w:szCs w:val="21"/>
                <w:highlight w:val="none"/>
              </w:rPr>
              <w:t>通知2小时内做出响应，8小时内远程排查处理故障；远程无法处理的，应在接到通知后24小时内到达现场维修。其中，一般故障应在48小时内修复，重大故障或其他无法迅速解决的故障应在7日内修复。</w:t>
            </w:r>
          </w:p>
          <w:p w14:paraId="020E88A5">
            <w:pPr>
              <w:keepNext w:val="0"/>
              <w:keepLines w:val="0"/>
              <w:suppressLineNumbers w:val="0"/>
              <w:snapToGrid w:val="0"/>
              <w:spacing w:before="0" w:beforeAutospacing="0" w:after="0" w:afterAutospacing="0" w:line="360" w:lineRule="exact"/>
              <w:ind w:left="0" w:right="0"/>
              <w:outlineLvl w:val="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.提供维护服务和技术咨询服务，项目含</w:t>
            </w:r>
            <w:r>
              <w:rPr>
                <w:rFonts w:hint="eastAsia" w:ascii="宋体" w:hAnsi="宋体" w:eastAsia="宋体" w:cs="宋体"/>
                <w:color w:val="auto"/>
                <w:sz w:val="21"/>
                <w:szCs w:val="21"/>
                <w:highlight w:val="none"/>
                <w:lang w:val="en-US" w:eastAsia="zh-CN"/>
              </w:rPr>
              <w:t>三</w:t>
            </w:r>
            <w:r>
              <w:rPr>
                <w:rFonts w:hint="eastAsia" w:ascii="宋体" w:hAnsi="宋体" w:eastAsia="宋体" w:cs="宋体"/>
                <w:color w:val="auto"/>
                <w:sz w:val="21"/>
                <w:szCs w:val="21"/>
                <w:highlight w:val="none"/>
              </w:rPr>
              <w:t>年的质保。</w:t>
            </w:r>
            <w:r>
              <w:rPr>
                <w:rFonts w:hint="eastAsia" w:ascii="宋体" w:hAnsi="宋体" w:eastAsia="宋体" w:cs="宋体"/>
                <w:color w:val="auto"/>
                <w:sz w:val="21"/>
                <w:szCs w:val="21"/>
                <w:highlight w:val="none"/>
                <w:lang w:val="en-US" w:eastAsia="zh-CN"/>
              </w:rPr>
              <w:t>系统免费运维期满后</w:t>
            </w:r>
            <w:r>
              <w:rPr>
                <w:rFonts w:hint="eastAsia" w:ascii="宋体" w:hAnsi="宋体" w:eastAsia="宋体" w:cs="宋体"/>
                <w:color w:val="auto"/>
                <w:sz w:val="21"/>
                <w:szCs w:val="21"/>
                <w:highlight w:val="none"/>
              </w:rPr>
              <w:t>，软件不升级不影响原有软件功能正常使用，若需升级，后期维保金额不超过项目总金额的10%。具体服务费用由双方根据服务内容、服务范围、服务时长及市场公允行情另行协商确定，签订书面补充协议后执行。</w:t>
            </w:r>
          </w:p>
        </w:tc>
      </w:tr>
      <w:tr w14:paraId="11B9C3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63" w:hRule="atLeast"/>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3FFD80F5">
            <w:pPr>
              <w:keepNext w:val="0"/>
              <w:keepLines w:val="0"/>
              <w:suppressLineNumbers w:val="0"/>
              <w:bidi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w:t>
            </w:r>
          </w:p>
        </w:tc>
        <w:tc>
          <w:tcPr>
            <w:tcW w:w="1119" w:type="dxa"/>
            <w:tcBorders>
              <w:left w:val="nil"/>
              <w:right w:val="single" w:color="000000" w:sz="4" w:space="0"/>
            </w:tcBorders>
            <w:shd w:val="clear" w:color="auto" w:fill="auto"/>
            <w:vAlign w:val="center"/>
          </w:tcPr>
          <w:p w14:paraId="0DAFFCB6">
            <w:pPr>
              <w:keepNext w:val="0"/>
              <w:keepLines w:val="0"/>
              <w:suppressLineNumbers w:val="0"/>
              <w:snapToGrid w:val="0"/>
              <w:spacing w:before="0" w:beforeAutospacing="0" w:after="0" w:afterAutospacing="0" w:line="400" w:lineRule="exact"/>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核心产品</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5D5FAD67">
            <w:pPr>
              <w:pStyle w:val="14"/>
              <w:keepNext w:val="0"/>
              <w:keepLines w:val="0"/>
              <w:suppressLineNumbers w:val="0"/>
              <w:snapToGrid w:val="0"/>
              <w:spacing w:before="0" w:beforeAutospacing="0" w:after="0" w:afterAutospacing="0" w:line="360" w:lineRule="auto"/>
              <w:ind w:left="0" w:leftChars="0" w:right="0" w:rightChars="0"/>
              <w:outlineLvl w:val="0"/>
              <w:rPr>
                <w:rFonts w:hint="eastAsia" w:ascii="宋体" w:hAnsi="宋体" w:eastAsia="宋体" w:cs="宋体"/>
                <w:b/>
                <w:bCs/>
                <w:color w:val="auto"/>
                <w:kern w:val="2"/>
                <w:sz w:val="21"/>
                <w:szCs w:val="21"/>
                <w:highlight w:val="none"/>
                <w:lang w:val="en-US" w:eastAsia="zh-CN" w:bidi="ar"/>
              </w:rPr>
            </w:pPr>
            <w:r>
              <w:rPr>
                <w:rFonts w:hint="eastAsia" w:ascii="宋体" w:hAnsi="宋体" w:eastAsia="宋体" w:cs="宋体"/>
                <w:b/>
                <w:bCs/>
                <w:color w:val="auto"/>
                <w:kern w:val="2"/>
                <w:sz w:val="21"/>
                <w:szCs w:val="21"/>
                <w:highlight w:val="none"/>
                <w:lang w:val="en-US" w:eastAsia="zh-CN" w:bidi="ar"/>
              </w:rPr>
              <w:t>提供相同品牌产品且通过资格审查、符合性审查的不同投标人参加同一合同项下投标的，按一家投标人计算，采用最低评标价法则以报价最低者参与评标，采用综合评分法则以评审得分最高者获得中标人推荐资格，采用最低评标价法报价相同的或者采用综合评分法评审得分相同的，按“投标人须知前附表”规定方式确定，确定后其他同品牌投标人投标无效或不作为中标候选人。</w:t>
            </w:r>
          </w:p>
        </w:tc>
      </w:tr>
      <w:tr w14:paraId="65ED51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atLeast"/>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50EE3A00">
            <w:pPr>
              <w:keepNext w:val="0"/>
              <w:keepLines w:val="0"/>
              <w:suppressLineNumbers w:val="0"/>
              <w:bidi w:val="0"/>
              <w:spacing w:before="0" w:beforeAutospacing="0" w:after="0" w:afterAutospacing="0"/>
              <w:ind w:left="0" w:leftChars="0"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119" w:type="dxa"/>
            <w:tcBorders>
              <w:left w:val="nil"/>
              <w:right w:val="single" w:color="000000" w:sz="4" w:space="0"/>
            </w:tcBorders>
            <w:shd w:val="clear" w:color="auto" w:fill="auto"/>
            <w:vAlign w:val="center"/>
          </w:tcPr>
          <w:p w14:paraId="6EF1F7EC">
            <w:pPr>
              <w:keepNext w:val="0"/>
              <w:keepLines w:val="0"/>
              <w:suppressLineNumbers w:val="0"/>
              <w:snapToGrid w:val="0"/>
              <w:spacing w:before="0" w:beforeAutospacing="0" w:after="0" w:afterAutospacing="0" w:line="400" w:lineRule="exact"/>
              <w:ind w:left="0" w:leftChars="0"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进品产品</w:t>
            </w:r>
          </w:p>
        </w:tc>
        <w:tc>
          <w:tcPr>
            <w:tcW w:w="7772" w:type="dxa"/>
            <w:gridSpan w:val="4"/>
            <w:tcBorders>
              <w:top w:val="single" w:color="000000" w:sz="4" w:space="0"/>
              <w:left w:val="nil"/>
              <w:bottom w:val="single" w:color="000000" w:sz="4" w:space="0"/>
              <w:right w:val="single" w:color="000000" w:sz="4" w:space="0"/>
            </w:tcBorders>
            <w:shd w:val="clear" w:color="auto" w:fill="auto"/>
            <w:vAlign w:val="center"/>
          </w:tcPr>
          <w:p w14:paraId="48AB25EF">
            <w:pPr>
              <w:pStyle w:val="14"/>
              <w:keepNext w:val="0"/>
              <w:keepLines w:val="0"/>
              <w:suppressLineNumbers w:val="0"/>
              <w:snapToGrid w:val="0"/>
              <w:spacing w:before="0" w:beforeAutospacing="0" w:after="0" w:afterAutospacing="0" w:line="360" w:lineRule="auto"/>
              <w:ind w:left="0" w:leftChars="0" w:right="0" w:rightChars="0"/>
              <w:jc w:val="left"/>
              <w:outlineLvl w:val="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是否接受进口产品: 不</w:t>
            </w:r>
            <w:r>
              <w:rPr>
                <w:rFonts w:hint="eastAsia" w:ascii="宋体" w:hAnsi="宋体" w:eastAsia="宋体" w:cs="宋体"/>
                <w:b/>
                <w:bCs/>
                <w:color w:val="auto"/>
                <w:kern w:val="2"/>
                <w:sz w:val="21"/>
                <w:szCs w:val="21"/>
                <w:highlight w:val="none"/>
                <w:lang w:val="en-US" w:eastAsia="zh-CN" w:bidi="ar"/>
              </w:rPr>
              <w:t>接受。</w:t>
            </w:r>
          </w:p>
        </w:tc>
      </w:tr>
      <w:tr w14:paraId="23D12D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17F04AB1">
            <w:pPr>
              <w:keepNext w:val="0"/>
              <w:keepLines w:val="0"/>
              <w:suppressLineNumbers w:val="0"/>
              <w:bidi w:val="0"/>
              <w:spacing w:before="0" w:beforeAutospacing="0" w:after="0" w:afterAutospacing="0"/>
              <w:ind w:left="0" w:leftChars="0"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w:t>
            </w:r>
          </w:p>
        </w:tc>
        <w:tc>
          <w:tcPr>
            <w:tcW w:w="1119" w:type="dxa"/>
            <w:tcBorders>
              <w:left w:val="nil"/>
              <w:right w:val="single" w:color="000000" w:sz="4" w:space="0"/>
            </w:tcBorders>
            <w:shd w:val="clear" w:color="auto" w:fill="auto"/>
            <w:vAlign w:val="center"/>
          </w:tcPr>
          <w:p w14:paraId="570C3990">
            <w:pPr>
              <w:keepNext w:val="0"/>
              <w:keepLines w:val="0"/>
              <w:suppressLineNumbers w:val="0"/>
              <w:snapToGrid w:val="0"/>
              <w:spacing w:before="0" w:beforeAutospacing="0" w:after="0" w:afterAutospacing="0" w:line="400" w:lineRule="exact"/>
              <w:ind w:left="0" w:leftChars="0"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其他</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2B391272">
            <w:pPr>
              <w:keepNext w:val="0"/>
              <w:keepLines w:val="0"/>
              <w:suppressLineNumbers w:val="0"/>
              <w:spacing w:before="0" w:beforeAutospacing="0" w:after="0" w:afterAutospacing="0" w:line="360" w:lineRule="exact"/>
              <w:ind w:left="0" w:righ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1.样品递交：否</w:t>
            </w:r>
          </w:p>
          <w:p w14:paraId="36D28772">
            <w:pPr>
              <w:keepNext w:val="0"/>
              <w:keepLines w:val="0"/>
              <w:suppressLineNumbers w:val="0"/>
              <w:spacing w:before="0" w:beforeAutospacing="0" w:after="0" w:afterAutospacing="0" w:line="360" w:lineRule="exact"/>
              <w:ind w:left="0" w:righ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2.是否组织现场踏勘：否</w:t>
            </w:r>
          </w:p>
          <w:p w14:paraId="3643D3EB">
            <w:pPr>
              <w:keepNext w:val="0"/>
              <w:keepLines w:val="0"/>
              <w:suppressLineNumbers w:val="0"/>
              <w:spacing w:before="0" w:beforeAutospacing="0" w:after="0" w:afterAutospacing="0" w:line="360" w:lineRule="exact"/>
              <w:ind w:left="0" w:righ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3.现场演示：否</w:t>
            </w:r>
          </w:p>
          <w:p w14:paraId="515DA348">
            <w:pPr>
              <w:keepNext w:val="0"/>
              <w:keepLines w:val="0"/>
              <w:suppressLineNumbers w:val="0"/>
              <w:spacing w:before="0" w:beforeAutospacing="0" w:after="0" w:afterAutospacing="0" w:line="360" w:lineRule="exact"/>
              <w:ind w:left="0" w:righ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知识产权归属：中标人提供的采购标的应符合国家知识产权法律法规的规定且非假冒伪劣品；中标人还应保证采购人不受到第三方关于侵犯知识产权及专利权、商标权或工业设计权等知识产权方面的指控，若任何第三方提出此方面指控均与采购人无关，中标人应与第三方交涉，并承担可能发生的一切法律责任、费用和后果；若采购人因此而遭致损失（包括但不限于律师费、诉讼费、鉴定费、诉讼过程采购人所产生的交通费等），则中标人应赔偿该损失。</w:t>
            </w:r>
          </w:p>
          <w:p w14:paraId="58045F28">
            <w:pPr>
              <w:keepNext w:val="0"/>
              <w:keepLines w:val="0"/>
              <w:suppressLineNumbers w:val="0"/>
              <w:spacing w:before="0" w:beforeAutospacing="0" w:after="0" w:afterAutospacing="0" w:line="360" w:lineRule="exact"/>
              <w:ind w:left="0" w:right="0"/>
              <w:rPr>
                <w:rFonts w:hint="eastAsia"/>
                <w:color w:val="auto"/>
                <w:highlight w:val="none"/>
                <w:lang w:val="en-US" w:eastAsia="zh-CN"/>
              </w:rPr>
            </w:pPr>
            <w:r>
              <w:rPr>
                <w:rFonts w:hint="eastAsia" w:ascii="宋体" w:hAnsi="宋体" w:eastAsia="宋体" w:cs="宋体"/>
                <w:color w:val="auto"/>
                <w:sz w:val="21"/>
                <w:szCs w:val="21"/>
                <w:highlight w:val="none"/>
                <w:lang w:val="en-US" w:eastAsia="zh-CN"/>
              </w:rPr>
              <w:t>5.保密要求：中标人对履约合同有关内容、资料、信息以及全部项目成果文件，负有保管和保守秘密的义务，除已公开之外，未经采购人许可不得向第三方泄露，如有发生泄露，中标人承担全部相关法律责任。</w:t>
            </w:r>
          </w:p>
        </w:tc>
      </w:tr>
    </w:tbl>
    <w:p w14:paraId="2D033069">
      <w:pPr>
        <w:rPr>
          <w:rFonts w:hint="eastAsia" w:ascii="宋体" w:hAnsi="宋体" w:cs="宋体"/>
          <w:color w:val="auto"/>
          <w:sz w:val="32"/>
          <w:szCs w:val="32"/>
          <w:highlight w:val="none"/>
        </w:rPr>
      </w:pPr>
    </w:p>
    <w:p w14:paraId="0491A3B1">
      <w:pPr>
        <w:rPr>
          <w:rFonts w:hint="eastAsia" w:ascii="宋体" w:hAnsi="宋体" w:cs="宋体"/>
          <w:color w:val="auto"/>
          <w:sz w:val="32"/>
          <w:szCs w:val="32"/>
          <w:highlight w:val="none"/>
        </w:rPr>
      </w:pPr>
    </w:p>
    <w:p w14:paraId="1A986EEB">
      <w:pPr>
        <w:rPr>
          <w:rFonts w:hint="eastAsia" w:ascii="宋体" w:hAnsi="宋体" w:cs="宋体"/>
          <w:color w:val="auto"/>
          <w:sz w:val="32"/>
          <w:szCs w:val="32"/>
          <w:highlight w:val="none"/>
        </w:rPr>
      </w:pPr>
    </w:p>
    <w:p w14:paraId="37E78736">
      <w:pPr>
        <w:rPr>
          <w:rFonts w:hint="eastAsia" w:cs="宋体"/>
          <w:b/>
          <w:bCs/>
          <w:color w:val="auto"/>
          <w:sz w:val="21"/>
          <w:szCs w:val="21"/>
          <w:highlight w:val="none"/>
          <w:lang w:val="en-US" w:eastAsia="zh-CN"/>
        </w:rPr>
      </w:pPr>
      <w:r>
        <w:rPr>
          <w:rFonts w:hint="eastAsia" w:cs="宋体"/>
          <w:b/>
          <w:bCs/>
          <w:color w:val="auto"/>
          <w:sz w:val="21"/>
          <w:szCs w:val="21"/>
          <w:highlight w:val="none"/>
          <w:lang w:val="en-US" w:eastAsia="zh-CN"/>
        </w:rPr>
        <w:br w:type="page"/>
      </w:r>
    </w:p>
    <w:p w14:paraId="599B84EA">
      <w:pPr>
        <w:pStyle w:val="2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20"/>
        <w:rPr>
          <w:rFonts w:hint="default" w:ascii="宋体" w:hAnsi="宋体" w:eastAsia="宋体" w:cs="宋体"/>
          <w:b/>
          <w:bCs/>
          <w:color w:val="auto"/>
          <w:sz w:val="21"/>
          <w:szCs w:val="21"/>
          <w:highlight w:val="none"/>
          <w:lang w:val="en-US" w:eastAsia="zh-CN"/>
        </w:rPr>
      </w:pPr>
      <w:r>
        <w:rPr>
          <w:rFonts w:hint="eastAsia" w:cs="宋体"/>
          <w:b/>
          <w:bCs/>
          <w:color w:val="auto"/>
          <w:sz w:val="21"/>
          <w:szCs w:val="21"/>
          <w:highlight w:val="none"/>
          <w:lang w:val="en-US" w:eastAsia="zh-CN"/>
        </w:rPr>
        <w:t>分标6：</w:t>
      </w:r>
    </w:p>
    <w:tbl>
      <w:tblPr>
        <w:tblStyle w:val="28"/>
        <w:tblW w:w="945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62"/>
        <w:gridCol w:w="1119"/>
        <w:gridCol w:w="562"/>
        <w:gridCol w:w="519"/>
        <w:gridCol w:w="5194"/>
        <w:gridCol w:w="1497"/>
      </w:tblGrid>
      <w:tr w14:paraId="1B6496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5" w:hRule="atLeast"/>
          <w:jc w:val="center"/>
        </w:trPr>
        <w:tc>
          <w:tcPr>
            <w:tcW w:w="9453" w:type="dxa"/>
            <w:gridSpan w:val="6"/>
            <w:tcBorders>
              <w:top w:val="single" w:color="000000" w:sz="4" w:space="0"/>
              <w:left w:val="single" w:color="auto" w:sz="4" w:space="0"/>
              <w:bottom w:val="single" w:color="000000" w:sz="4" w:space="0"/>
              <w:right w:val="single" w:color="000000" w:sz="4" w:space="0"/>
            </w:tcBorders>
            <w:vAlign w:val="center"/>
          </w:tcPr>
          <w:p w14:paraId="3046440C">
            <w:pPr>
              <w:keepNext w:val="0"/>
              <w:keepLines w:val="0"/>
              <w:widowControl w:val="0"/>
              <w:suppressLineNumbers w:val="0"/>
              <w:wordWrap/>
              <w:adjustRightInd/>
              <w:snapToGrid/>
              <w:spacing w:before="0" w:beforeAutospacing="0" w:after="0" w:afterAutospacing="0" w:line="320" w:lineRule="exact"/>
              <w:ind w:left="0" w:leftChars="0" w:right="0" w:firstLine="0" w:firstLineChars="0"/>
              <w:jc w:val="center"/>
              <w:textAlignment w:val="auto"/>
              <w:outlineLvl w:val="9"/>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一、技术要求</w:t>
            </w:r>
          </w:p>
        </w:tc>
      </w:tr>
      <w:tr w14:paraId="57CD7D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50F1403B">
            <w:pPr>
              <w:keepNext w:val="0"/>
              <w:keepLines w:val="0"/>
              <w:widowControl w:val="0"/>
              <w:suppressLineNumbers w:val="0"/>
              <w:wordWrap/>
              <w:adjustRightInd/>
              <w:snapToGrid/>
              <w:spacing w:before="0" w:beforeAutospacing="0" w:after="0" w:afterAutospacing="0" w:line="320" w:lineRule="exact"/>
              <w:ind w:left="0" w:leftChars="0" w:right="0" w:rightChars="0" w:firstLine="0" w:firstLineChars="0"/>
              <w:jc w:val="center"/>
              <w:textAlignment w:val="auto"/>
              <w:outlineLvl w:val="9"/>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sz w:val="21"/>
                <w:szCs w:val="21"/>
                <w:highlight w:val="none"/>
              </w:rPr>
              <w:t>序号</w:t>
            </w:r>
          </w:p>
        </w:tc>
        <w:tc>
          <w:tcPr>
            <w:tcW w:w="1119" w:type="dxa"/>
            <w:tcBorders>
              <w:top w:val="single" w:color="000000" w:sz="4" w:space="0"/>
              <w:left w:val="nil"/>
              <w:bottom w:val="single" w:color="000000" w:sz="4" w:space="0"/>
              <w:right w:val="single" w:color="000000" w:sz="4" w:space="0"/>
            </w:tcBorders>
            <w:shd w:val="clear" w:color="auto" w:fill="auto"/>
            <w:vAlign w:val="center"/>
          </w:tcPr>
          <w:p w14:paraId="0B9DEAE3">
            <w:pPr>
              <w:keepNext w:val="0"/>
              <w:keepLines w:val="0"/>
              <w:widowControl w:val="0"/>
              <w:suppressLineNumbers w:val="0"/>
              <w:wordWrap/>
              <w:adjustRightInd/>
              <w:snapToGrid/>
              <w:spacing w:before="0" w:beforeAutospacing="0" w:after="0" w:afterAutospacing="0" w:line="320" w:lineRule="exact"/>
              <w:ind w:left="0" w:leftChars="0" w:right="0" w:rightChars="0" w:firstLine="0" w:firstLineChars="0"/>
              <w:jc w:val="center"/>
              <w:textAlignment w:val="auto"/>
              <w:outlineLvl w:val="9"/>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0"/>
                <w:sz w:val="21"/>
                <w:szCs w:val="21"/>
                <w:highlight w:val="none"/>
                <w:lang w:eastAsia="zh-CN"/>
              </w:rPr>
              <w:t>标的</w:t>
            </w:r>
            <w:r>
              <w:rPr>
                <w:rFonts w:hint="eastAsia" w:ascii="宋体" w:hAnsi="宋体" w:eastAsia="宋体" w:cs="宋体"/>
                <w:b/>
                <w:bCs/>
                <w:color w:val="auto"/>
                <w:sz w:val="21"/>
                <w:szCs w:val="21"/>
                <w:highlight w:val="none"/>
              </w:rPr>
              <w:t>名称</w:t>
            </w:r>
          </w:p>
        </w:tc>
        <w:tc>
          <w:tcPr>
            <w:tcW w:w="562" w:type="dxa"/>
            <w:tcBorders>
              <w:top w:val="single" w:color="000000" w:sz="4" w:space="0"/>
              <w:left w:val="nil"/>
              <w:bottom w:val="single" w:color="000000" w:sz="4" w:space="0"/>
              <w:right w:val="single" w:color="000000" w:sz="4" w:space="0"/>
            </w:tcBorders>
            <w:shd w:val="clear" w:color="auto" w:fill="auto"/>
            <w:vAlign w:val="center"/>
          </w:tcPr>
          <w:p w14:paraId="042F0463">
            <w:pPr>
              <w:keepNext w:val="0"/>
              <w:keepLines w:val="0"/>
              <w:widowControl w:val="0"/>
              <w:suppressLineNumbers w:val="0"/>
              <w:wordWrap/>
              <w:adjustRightInd/>
              <w:snapToGrid/>
              <w:spacing w:before="0" w:beforeAutospacing="0" w:after="0" w:afterAutospacing="0" w:line="320" w:lineRule="exact"/>
              <w:ind w:left="0" w:leftChars="0" w:right="0" w:rightChars="0" w:firstLine="0" w:firstLineChars="0"/>
              <w:jc w:val="center"/>
              <w:textAlignment w:val="auto"/>
              <w:outlineLvl w:val="9"/>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sz w:val="21"/>
                <w:szCs w:val="21"/>
                <w:highlight w:val="none"/>
              </w:rPr>
              <w:t>数量</w:t>
            </w:r>
          </w:p>
        </w:tc>
        <w:tc>
          <w:tcPr>
            <w:tcW w:w="519" w:type="dxa"/>
            <w:tcBorders>
              <w:top w:val="single" w:color="000000" w:sz="4" w:space="0"/>
              <w:left w:val="nil"/>
              <w:bottom w:val="single" w:color="000000" w:sz="4" w:space="0"/>
              <w:right w:val="single" w:color="000000" w:sz="4" w:space="0"/>
            </w:tcBorders>
            <w:shd w:val="clear" w:color="auto" w:fill="auto"/>
            <w:vAlign w:val="center"/>
          </w:tcPr>
          <w:p w14:paraId="63B5DD99">
            <w:pPr>
              <w:keepNext w:val="0"/>
              <w:keepLines w:val="0"/>
              <w:widowControl w:val="0"/>
              <w:suppressLineNumbers w:val="0"/>
              <w:wordWrap/>
              <w:adjustRightInd/>
              <w:snapToGrid/>
              <w:spacing w:before="0" w:beforeAutospacing="0" w:after="0" w:afterAutospacing="0" w:line="320" w:lineRule="exact"/>
              <w:ind w:left="0" w:leftChars="0" w:right="0" w:rightChars="0" w:firstLine="0" w:firstLineChars="0"/>
              <w:jc w:val="center"/>
              <w:textAlignment w:val="auto"/>
              <w:outlineLvl w:val="9"/>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sz w:val="21"/>
                <w:szCs w:val="21"/>
                <w:highlight w:val="none"/>
              </w:rPr>
              <w:t>单位</w:t>
            </w:r>
          </w:p>
        </w:tc>
        <w:tc>
          <w:tcPr>
            <w:tcW w:w="5194" w:type="dxa"/>
            <w:tcBorders>
              <w:top w:val="single" w:color="000000" w:sz="4" w:space="0"/>
              <w:left w:val="nil"/>
              <w:bottom w:val="single" w:color="000000" w:sz="4" w:space="0"/>
              <w:right w:val="single" w:color="auto" w:sz="4" w:space="0"/>
            </w:tcBorders>
            <w:shd w:val="clear" w:color="auto" w:fill="auto"/>
            <w:vAlign w:val="center"/>
          </w:tcPr>
          <w:p w14:paraId="79DB0217">
            <w:pPr>
              <w:keepNext w:val="0"/>
              <w:keepLines w:val="0"/>
              <w:widowControl w:val="0"/>
              <w:suppressLineNumbers w:val="0"/>
              <w:wordWrap/>
              <w:adjustRightInd/>
              <w:snapToGrid/>
              <w:spacing w:before="0" w:beforeAutospacing="0" w:after="0" w:afterAutospacing="0" w:line="320" w:lineRule="exact"/>
              <w:ind w:left="0" w:leftChars="0" w:right="0" w:rightChars="0" w:firstLine="0" w:firstLineChars="0"/>
              <w:jc w:val="center"/>
              <w:textAlignment w:val="auto"/>
              <w:outlineLvl w:val="9"/>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技术参数及性能（配置）要求</w:t>
            </w:r>
          </w:p>
        </w:tc>
        <w:tc>
          <w:tcPr>
            <w:tcW w:w="1497" w:type="dxa"/>
            <w:tcBorders>
              <w:top w:val="single" w:color="000000" w:sz="4" w:space="0"/>
              <w:left w:val="single" w:color="auto" w:sz="4" w:space="0"/>
              <w:bottom w:val="single" w:color="000000" w:sz="4" w:space="0"/>
              <w:right w:val="single" w:color="000000" w:sz="4" w:space="0"/>
            </w:tcBorders>
            <w:shd w:val="clear" w:color="auto" w:fill="auto"/>
            <w:vAlign w:val="center"/>
          </w:tcPr>
          <w:p w14:paraId="713F54D8">
            <w:pPr>
              <w:keepNext w:val="0"/>
              <w:keepLines w:val="0"/>
              <w:widowControl w:val="0"/>
              <w:suppressLineNumbers w:val="0"/>
              <w:wordWrap/>
              <w:adjustRightInd/>
              <w:snapToGrid/>
              <w:spacing w:before="0" w:beforeAutospacing="0" w:after="0" w:afterAutospacing="0" w:line="320" w:lineRule="exact"/>
              <w:ind w:left="0" w:leftChars="0" w:right="0" w:rightChars="0" w:firstLine="0" w:firstLineChars="0"/>
              <w:jc w:val="center"/>
              <w:textAlignment w:val="auto"/>
              <w:outlineLvl w:val="9"/>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采购标的对应中小企业划分所属行业</w:t>
            </w:r>
          </w:p>
        </w:tc>
      </w:tr>
      <w:tr w14:paraId="1DA1BB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3AEF8878">
            <w:pPr>
              <w:keepNext w:val="0"/>
              <w:keepLines w:val="0"/>
              <w:suppressLineNumbers w:val="0"/>
              <w:wordWrap w:val="0"/>
              <w:spacing w:before="0" w:beforeAutospacing="0" w:after="0" w:afterAutospacing="0"/>
              <w:ind w:left="0" w:right="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w:t>
            </w:r>
          </w:p>
          <w:p w14:paraId="6C24BDD2">
            <w:pPr>
              <w:keepNext w:val="0"/>
              <w:keepLines w:val="0"/>
              <w:suppressLineNumbers w:val="0"/>
              <w:wordWrap w:val="0"/>
              <w:spacing w:before="0" w:beforeAutospacing="0" w:after="0" w:afterAutospacing="0"/>
              <w:ind w:left="0" w:right="0"/>
              <w:jc w:val="center"/>
              <w:rPr>
                <w:rFonts w:hint="eastAsia" w:ascii="宋体" w:hAnsi="宋体" w:eastAsia="宋体" w:cs="宋体"/>
                <w:b/>
                <w:bCs/>
                <w:color w:val="auto"/>
                <w:kern w:val="2"/>
                <w:sz w:val="21"/>
                <w:szCs w:val="21"/>
                <w:highlight w:val="none"/>
                <w:lang w:val="en-US" w:eastAsia="zh-CN" w:bidi="ar-SA"/>
              </w:rPr>
            </w:pPr>
          </w:p>
        </w:tc>
        <w:tc>
          <w:tcPr>
            <w:tcW w:w="1119" w:type="dxa"/>
            <w:tcBorders>
              <w:top w:val="single" w:color="000000" w:sz="4" w:space="0"/>
              <w:left w:val="nil"/>
              <w:bottom w:val="single" w:color="000000" w:sz="4" w:space="0"/>
              <w:right w:val="single" w:color="000000" w:sz="4" w:space="0"/>
            </w:tcBorders>
            <w:shd w:val="clear" w:color="auto" w:fill="auto"/>
            <w:vAlign w:val="center"/>
          </w:tcPr>
          <w:p w14:paraId="040EC0B1">
            <w:pPr>
              <w:keepNext w:val="0"/>
              <w:keepLines w:val="0"/>
              <w:suppressLineNumbers w:val="0"/>
              <w:wordWrap w:val="0"/>
              <w:spacing w:before="0" w:beforeAutospacing="0" w:after="0" w:afterAutospacing="0"/>
              <w:ind w:left="0" w:right="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数字人解剖学系统（服务器端）</w:t>
            </w:r>
          </w:p>
          <w:p w14:paraId="1FC9EFD2">
            <w:pPr>
              <w:keepNext w:val="0"/>
              <w:keepLines w:val="0"/>
              <w:suppressLineNumbers w:val="0"/>
              <w:wordWrap w:val="0"/>
              <w:spacing w:before="0" w:beforeAutospacing="0" w:after="0" w:afterAutospacing="0"/>
              <w:ind w:left="0" w:right="0"/>
              <w:jc w:val="center"/>
              <w:rPr>
                <w:rFonts w:hint="eastAsia" w:ascii="宋体" w:hAnsi="宋体" w:eastAsia="宋体" w:cs="宋体"/>
                <w:b/>
                <w:bCs/>
                <w:color w:val="auto"/>
                <w:kern w:val="2"/>
                <w:sz w:val="21"/>
                <w:szCs w:val="21"/>
                <w:highlight w:val="none"/>
                <w:lang w:val="en-US" w:eastAsia="zh-CN" w:bidi="ar-SA"/>
              </w:rPr>
            </w:pPr>
          </w:p>
        </w:tc>
        <w:tc>
          <w:tcPr>
            <w:tcW w:w="562" w:type="dxa"/>
            <w:tcBorders>
              <w:top w:val="single" w:color="000000" w:sz="4" w:space="0"/>
              <w:left w:val="nil"/>
              <w:bottom w:val="single" w:color="000000" w:sz="4" w:space="0"/>
              <w:right w:val="single" w:color="000000" w:sz="4" w:space="0"/>
            </w:tcBorders>
            <w:shd w:val="clear" w:color="auto" w:fill="auto"/>
            <w:vAlign w:val="center"/>
          </w:tcPr>
          <w:p w14:paraId="590D5E40">
            <w:pPr>
              <w:keepNext w:val="0"/>
              <w:keepLines w:val="0"/>
              <w:suppressLineNumbers w:val="0"/>
              <w:wordWrap w:val="0"/>
              <w:spacing w:before="0" w:beforeAutospacing="0" w:after="0" w:afterAutospacing="0" w:line="240" w:lineRule="auto"/>
              <w:ind w:left="0" w:right="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1</w:t>
            </w:r>
          </w:p>
        </w:tc>
        <w:tc>
          <w:tcPr>
            <w:tcW w:w="519" w:type="dxa"/>
            <w:tcBorders>
              <w:top w:val="single" w:color="000000" w:sz="4" w:space="0"/>
              <w:left w:val="nil"/>
              <w:bottom w:val="single" w:color="000000" w:sz="4" w:space="0"/>
              <w:right w:val="single" w:color="000000" w:sz="4" w:space="0"/>
            </w:tcBorders>
            <w:shd w:val="clear" w:color="auto" w:fill="auto"/>
            <w:vAlign w:val="center"/>
          </w:tcPr>
          <w:p w14:paraId="171C0D05">
            <w:pPr>
              <w:keepNext w:val="0"/>
              <w:keepLines w:val="0"/>
              <w:suppressLineNumbers w:val="0"/>
              <w:wordWrap w:val="0"/>
              <w:spacing w:before="0" w:beforeAutospacing="0" w:after="0" w:afterAutospacing="0" w:line="240" w:lineRule="auto"/>
              <w:ind w:left="0" w:right="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套</w:t>
            </w:r>
          </w:p>
        </w:tc>
        <w:tc>
          <w:tcPr>
            <w:tcW w:w="5194" w:type="dxa"/>
            <w:tcBorders>
              <w:top w:val="single" w:color="000000" w:sz="4" w:space="0"/>
              <w:left w:val="nil"/>
              <w:bottom w:val="single" w:color="000000" w:sz="4" w:space="0"/>
              <w:right w:val="single" w:color="auto" w:sz="4" w:space="0"/>
            </w:tcBorders>
            <w:shd w:val="clear" w:color="auto" w:fill="auto"/>
            <w:vAlign w:val="center"/>
          </w:tcPr>
          <w:p w14:paraId="25EB7045">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该系统是用于解剖学教学学习，以“学、教、练、考、管、评”设计理念为依托，是将课前、课中、课后教、学全流程有机串联的教、学终端。</w:t>
            </w:r>
          </w:p>
          <w:p w14:paraId="62275C55">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color w:val="auto"/>
                <w:highlight w:val="none"/>
              </w:rPr>
              <w:t>▲</w:t>
            </w:r>
            <w:r>
              <w:rPr>
                <w:rFonts w:hint="eastAsia" w:ascii="宋体" w:hAnsi="宋体" w:eastAsia="宋体" w:cs="宋体"/>
                <w:color w:val="auto"/>
                <w:sz w:val="21"/>
                <w:szCs w:val="21"/>
                <w:highlight w:val="none"/>
              </w:rPr>
              <w:t>2</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该系统内容模块包括：至少包括系统解剖模块、局部解剖学、断层解剖学、临床病例，3D标本、课程中心、练习、视频微课模块以满足学习需求。</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投标时提供软件功能截图并加盖</w:t>
            </w:r>
            <w:r>
              <w:rPr>
                <w:rFonts w:hint="eastAsia" w:ascii="宋体" w:hAnsi="宋体" w:cs="宋体"/>
                <w:b/>
                <w:bCs/>
                <w:color w:val="auto"/>
                <w:sz w:val="21"/>
                <w:szCs w:val="21"/>
                <w:highlight w:val="none"/>
                <w:lang w:val="en-US" w:eastAsia="zh-CN"/>
              </w:rPr>
              <w:t>投标人</w:t>
            </w:r>
            <w:r>
              <w:rPr>
                <w:rFonts w:hint="eastAsia" w:ascii="宋体" w:hAnsi="宋体" w:eastAsia="宋体" w:cs="宋体"/>
                <w:b/>
                <w:bCs/>
                <w:color w:val="auto"/>
                <w:sz w:val="21"/>
                <w:szCs w:val="21"/>
                <w:highlight w:val="none"/>
                <w:lang w:val="en-US" w:eastAsia="zh-CN"/>
              </w:rPr>
              <w:t>公章</w:t>
            </w:r>
            <w:r>
              <w:rPr>
                <w:rFonts w:hint="eastAsia" w:ascii="宋体" w:hAnsi="宋体" w:eastAsia="宋体" w:cs="宋体"/>
                <w:b/>
                <w:bCs/>
                <w:color w:val="auto"/>
                <w:sz w:val="21"/>
                <w:szCs w:val="21"/>
                <w:highlight w:val="none"/>
              </w:rPr>
              <w:t>）</w:t>
            </w:r>
            <w:r>
              <w:rPr>
                <w:rFonts w:hint="eastAsia" w:ascii="宋体" w:hAnsi="宋体" w:eastAsia="宋体" w:cs="宋体"/>
                <w:color w:val="auto"/>
                <w:sz w:val="21"/>
                <w:szCs w:val="21"/>
                <w:highlight w:val="none"/>
              </w:rPr>
              <w:t>。</w:t>
            </w:r>
          </w:p>
          <w:p w14:paraId="7B64236D">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color w:val="auto"/>
                <w:highlight w:val="none"/>
              </w:rPr>
              <w:t>▲</w:t>
            </w:r>
            <w:r>
              <w:rPr>
                <w:rFonts w:hint="eastAsia" w:ascii="宋体" w:hAnsi="宋体" w:eastAsia="宋体" w:cs="宋体"/>
                <w:color w:val="auto"/>
                <w:sz w:val="21"/>
                <w:szCs w:val="21"/>
                <w:highlight w:val="none"/>
              </w:rPr>
              <w:t>3</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 xml:space="preserve"> 该系统要通过中国解剖学会的鉴定，以鉴定报告为依据。该软件系统具有中国计算机软件著作权登记证书（</w:t>
            </w:r>
            <w:r>
              <w:rPr>
                <w:rFonts w:hint="eastAsia" w:ascii="宋体" w:hAnsi="宋体" w:eastAsia="宋体" w:cs="宋体"/>
                <w:b/>
                <w:bCs/>
                <w:color w:val="auto"/>
                <w:sz w:val="21"/>
                <w:szCs w:val="21"/>
                <w:highlight w:val="none"/>
                <w:lang w:val="en-US" w:eastAsia="zh-CN"/>
              </w:rPr>
              <w:t>投标时</w:t>
            </w:r>
            <w:r>
              <w:rPr>
                <w:rFonts w:hint="eastAsia" w:ascii="宋体" w:hAnsi="宋体" w:eastAsia="宋体" w:cs="宋体"/>
                <w:b/>
                <w:bCs/>
                <w:color w:val="auto"/>
                <w:sz w:val="21"/>
                <w:szCs w:val="21"/>
                <w:highlight w:val="none"/>
              </w:rPr>
              <w:t>提供鉴定报告</w:t>
            </w:r>
            <w:r>
              <w:rPr>
                <w:rFonts w:hint="eastAsia" w:ascii="宋体" w:hAnsi="宋体" w:cs="宋体"/>
                <w:b/>
                <w:bCs/>
                <w:color w:val="auto"/>
                <w:sz w:val="21"/>
                <w:szCs w:val="21"/>
                <w:highlight w:val="none"/>
                <w:lang w:eastAsia="zh-CN"/>
              </w:rPr>
              <w:t>、</w:t>
            </w:r>
            <w:r>
              <w:rPr>
                <w:rFonts w:hint="eastAsia" w:ascii="宋体" w:hAnsi="宋体" w:eastAsia="宋体" w:cs="宋体"/>
                <w:b/>
                <w:bCs/>
                <w:color w:val="auto"/>
                <w:sz w:val="21"/>
                <w:szCs w:val="21"/>
                <w:highlight w:val="none"/>
              </w:rPr>
              <w:t>计算机软件著作权登记证书复印件</w:t>
            </w:r>
            <w:r>
              <w:rPr>
                <w:rFonts w:hint="eastAsia" w:ascii="宋体" w:hAnsi="宋体" w:eastAsia="宋体" w:cs="宋体"/>
                <w:b/>
                <w:bCs/>
                <w:color w:val="auto"/>
                <w:sz w:val="21"/>
                <w:szCs w:val="21"/>
                <w:highlight w:val="none"/>
                <w:lang w:val="en-US" w:eastAsia="zh-CN"/>
              </w:rPr>
              <w:t>并加盖</w:t>
            </w:r>
            <w:r>
              <w:rPr>
                <w:rFonts w:hint="eastAsia" w:ascii="宋体" w:hAnsi="宋体" w:cs="宋体"/>
                <w:b/>
                <w:bCs/>
                <w:color w:val="auto"/>
                <w:sz w:val="21"/>
                <w:szCs w:val="21"/>
                <w:highlight w:val="none"/>
                <w:lang w:val="en-US" w:eastAsia="zh-CN"/>
              </w:rPr>
              <w:t>投标人</w:t>
            </w:r>
            <w:r>
              <w:rPr>
                <w:rFonts w:hint="eastAsia" w:ascii="宋体" w:hAnsi="宋体" w:eastAsia="宋体" w:cs="宋体"/>
                <w:b/>
                <w:bCs/>
                <w:color w:val="auto"/>
                <w:sz w:val="21"/>
                <w:szCs w:val="21"/>
                <w:highlight w:val="none"/>
                <w:lang w:val="en-US" w:eastAsia="zh-CN"/>
              </w:rPr>
              <w:t>公章</w:t>
            </w:r>
            <w:r>
              <w:rPr>
                <w:rFonts w:hint="eastAsia" w:ascii="宋体" w:hAnsi="宋体" w:eastAsia="宋体" w:cs="宋体"/>
                <w:color w:val="auto"/>
                <w:sz w:val="21"/>
                <w:szCs w:val="21"/>
                <w:highlight w:val="none"/>
              </w:rPr>
              <w:t>）。</w:t>
            </w:r>
          </w:p>
          <w:p w14:paraId="1B9D5592">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该系统必须包含学校课程中心模块、练习模块，支持授课。</w:t>
            </w:r>
          </w:p>
          <w:p w14:paraId="7C78FECE">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系统具备一定的兼容性，不与其他软件发生冲突，支持窗口化、最大化显示，设置操作灵敏度，可以与其它数字化教具衔接切换，如PPT等。</w:t>
            </w:r>
          </w:p>
          <w:p w14:paraId="033EBA4D">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系统采用服务器端、客户端架构，系统具备管理员、教师、学生身份账号，不同身份账号权限不同。</w:t>
            </w:r>
          </w:p>
          <w:p w14:paraId="20001A26">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采用中国人体连续断层真实数据重建三维解剖模型，模型结构完整无缺失。解剖器官结构形态符合人体解剖学标准形态，满足系统解剖、断层解剖教学精度要求。</w:t>
            </w:r>
          </w:p>
          <w:p w14:paraId="51F49DFD">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color w:val="auto"/>
                <w:highlight w:val="none"/>
              </w:rPr>
              <w:t>▲</w:t>
            </w:r>
            <w:r>
              <w:rPr>
                <w:rFonts w:hint="eastAsia" w:ascii="宋体" w:hAnsi="宋体" w:eastAsia="宋体" w:cs="宋体"/>
                <w:color w:val="auto"/>
                <w:sz w:val="21"/>
                <w:szCs w:val="21"/>
                <w:highlight w:val="none"/>
              </w:rPr>
              <w:t>8</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可以显示横、矢、冠三个断面及各断层内解剖结构并做好圈画标注，方便查看各解剖结构在断层中的位置和范围，且与三维人体相互关联，点击三维或断层任意结构位置，其他各区域均有同步响应。（</w:t>
            </w:r>
            <w:r>
              <w:rPr>
                <w:rFonts w:hint="eastAsia" w:ascii="宋体" w:hAnsi="宋体" w:eastAsia="宋体" w:cs="宋体"/>
                <w:b/>
                <w:bCs/>
                <w:color w:val="auto"/>
                <w:sz w:val="21"/>
                <w:szCs w:val="21"/>
                <w:highlight w:val="none"/>
              </w:rPr>
              <w:t>投标时提供软件功能截图并加盖</w:t>
            </w:r>
            <w:r>
              <w:rPr>
                <w:rFonts w:hint="eastAsia" w:ascii="宋体" w:hAnsi="宋体" w:cs="宋体"/>
                <w:b/>
                <w:bCs/>
                <w:color w:val="auto"/>
                <w:sz w:val="21"/>
                <w:szCs w:val="21"/>
                <w:highlight w:val="none"/>
                <w:lang w:val="en-US" w:eastAsia="zh-CN"/>
              </w:rPr>
              <w:t>投标人</w:t>
            </w:r>
            <w:r>
              <w:rPr>
                <w:rFonts w:hint="eastAsia" w:ascii="宋体" w:hAnsi="宋体" w:eastAsia="宋体" w:cs="宋体"/>
                <w:b/>
                <w:bCs/>
                <w:color w:val="auto"/>
                <w:sz w:val="21"/>
                <w:szCs w:val="21"/>
                <w:highlight w:val="none"/>
              </w:rPr>
              <w:t>公章</w:t>
            </w:r>
            <w:r>
              <w:rPr>
                <w:rFonts w:hint="eastAsia" w:ascii="宋体" w:hAnsi="宋体" w:eastAsia="宋体" w:cs="宋体"/>
                <w:color w:val="auto"/>
                <w:sz w:val="21"/>
                <w:szCs w:val="21"/>
                <w:highlight w:val="none"/>
              </w:rPr>
              <w:t>）</w:t>
            </w:r>
          </w:p>
          <w:p w14:paraId="3E7A9AF5">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必须结合真实医学数据精确</w:t>
            </w:r>
            <w:r>
              <w:rPr>
                <w:rFonts w:hint="eastAsia" w:ascii="宋体" w:hAnsi="宋体" w:cs="宋体"/>
                <w:color w:val="auto"/>
                <w:sz w:val="21"/>
                <w:szCs w:val="21"/>
                <w:highlight w:val="none"/>
                <w:lang w:val="en-US" w:eastAsia="zh-CN"/>
              </w:rPr>
              <w:t>地</w:t>
            </w:r>
            <w:r>
              <w:rPr>
                <w:rFonts w:hint="eastAsia" w:ascii="宋体" w:hAnsi="宋体" w:eastAsia="宋体" w:cs="宋体"/>
                <w:color w:val="auto"/>
                <w:sz w:val="21"/>
                <w:szCs w:val="21"/>
                <w:highlight w:val="none"/>
              </w:rPr>
              <w:t>重建人体。每个解剖结构都必须加注文字说明并且字体大小可调，有关键结构标注，并带有英文名称及英文发音，以满足英语教学的需求。</w:t>
            </w:r>
          </w:p>
          <w:p w14:paraId="2C465178">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系统支持切换三维场景的背景颜色，以清晰观察不同结构。</w:t>
            </w:r>
          </w:p>
          <w:p w14:paraId="2931C25A">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系统可点击查看结构并立即高亮、显示注释，可放大、缩小、拖动、一键观察解剖三维结构正面观、后面观、侧面观、上面观、下面观以及360度任意角度观察结构。</w:t>
            </w:r>
          </w:p>
          <w:p w14:paraId="4419D882">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系统目录是从医学角度，对人体的所有已知的组织器官进行科学分类，形成的一个完整的目录体系。目录结构是整个数字化教具的索引可以自由选择性的立即添加、删除某一个系统的组织结构或者精确地选择某些组织结构。</w:t>
            </w:r>
          </w:p>
          <w:p w14:paraId="506EFDB4">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color w:val="auto"/>
                <w:highlight w:val="none"/>
              </w:rPr>
              <w:t>▲</w:t>
            </w:r>
            <w:r>
              <w:rPr>
                <w:rFonts w:hint="eastAsia" w:ascii="宋体" w:hAnsi="宋体" w:eastAsia="宋体" w:cs="宋体"/>
                <w:color w:val="auto"/>
                <w:sz w:val="21"/>
                <w:szCs w:val="21"/>
                <w:highlight w:val="none"/>
              </w:rPr>
              <w:t>13</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知识点拓展：预置好的磁贴资源种类有切片、视频、断层与真实标本结构，进行同屏对照教学、学习。如消化系统模式图磁贴中包含有肝、肝（血管）、结肠、平滑肌（空肠）的切片，肌的起止点、颞肌咬肌的作用、胆汁的分泌与排出的视频，完整断层（横、冠、矢）数据，标本包含食管、胆囊和输胆管道、胃的外形、直肠和肛管等。</w:t>
            </w:r>
          </w:p>
          <w:p w14:paraId="519ED50F">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收藏保存磁贴：系统支持自定义预置位磁贴，可通过软件内置解剖结构或者自由组合结构 ，自定义标注教学互动提问点，上传本地图片或视频，可调整大小的知识文本，录制操作及讲解视频并保存在磁贴内。</w:t>
            </w:r>
          </w:p>
          <w:p w14:paraId="3C2D2E43">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支持中文拼音首字母、英文检索添加、选择指定人体结构，并进一步操作观察。</w:t>
            </w:r>
          </w:p>
          <w:p w14:paraId="0738E291">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模拟解剖动手模式：可显示当前选中的器官，支持多个选择或直接框选,隐藏掉其它未选中的人体器官，突出查看重点结构。也可以删除当前选中的结构，查看毗邻结构位置关系，也可全部清除所有结构。同时可以在当前结构下随意移动结构，查看相关结构信息，并且可以一键恢复初始结构或上一步操作。</w:t>
            </w:r>
          </w:p>
          <w:p w14:paraId="37F1D9F3">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模拟解剖自动模式：一键操作可以将数字化人体结构模型以场景中心向四周进行拆分扩散，自动解剖拆分，仔细观察解剖结构毗邻关系。在分离状态下还能将讲解的单一或多个结构单独取出或者隐藏，进一步讲解观察，也可以全部清除所有结构。最后可一键恢复初始状态。</w:t>
            </w:r>
          </w:p>
          <w:p w14:paraId="74849F5E">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染色模式：将当前场景中显示的模型进行随机染色。通过多次点击染色按键，可以显示多种染色方案，方便观察结构边界、快速区分解剖结构及丰富教学互动方式。</w:t>
            </w:r>
          </w:p>
          <w:p w14:paraId="5EB86091">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透明模式：可以将当前立体解剖结构的体表投影反映出来，并且进一步调节清晰度，反映结构轮廓。</w:t>
            </w:r>
          </w:p>
          <w:p w14:paraId="3390BEE8">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立体显示：系统支持立体显示功能，支持连接立体显示设备、佩戴3D眼镜观察立体的方式呈现结构与周围组织的关系。</w:t>
            </w:r>
          </w:p>
          <w:p w14:paraId="3442396C">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具有教学课程中心功能。</w:t>
            </w:r>
          </w:p>
          <w:p w14:paraId="0840D4FD">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该系统提供教学功能,根据用户角色不同分为我的教学和我的学习。</w:t>
            </w:r>
          </w:p>
          <w:p w14:paraId="74C5C1F1">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该系统教学功能提供教师自建课程的功能，供加入该课程的学生学习。</w:t>
            </w:r>
          </w:p>
          <w:p w14:paraId="3207EFC4">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该系统提供班级管理的功能，可对班内的成员进行增删改查，并可对班内成员发放作业，上课等功能。</w:t>
            </w:r>
          </w:p>
          <w:p w14:paraId="7605D556">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该系统提供课中智慧教学功能，可将教师授课内容同步至学生端，并可进行互动答题、签到等课中互动功能。</w:t>
            </w:r>
          </w:p>
          <w:p w14:paraId="70717707">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该系统为教师提供资源库功能以方便教师备课和上课，包括课件、习题等资源库供教师对资源库进行自主上传和维护。</w:t>
            </w:r>
          </w:p>
          <w:p w14:paraId="6ECF7949">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该系统提供学情统计功能，数据如开课次数、学习次数、作业完成率等以便进行过程化考核，并可导出留档。</w:t>
            </w:r>
          </w:p>
          <w:p w14:paraId="573E2FF1">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color w:val="auto"/>
                <w:highlight w:val="none"/>
              </w:rPr>
              <w:t>▲</w:t>
            </w:r>
            <w:r>
              <w:rPr>
                <w:rFonts w:hint="eastAsia" w:ascii="宋体" w:hAnsi="宋体" w:eastAsia="宋体" w:cs="宋体"/>
                <w:color w:val="auto"/>
                <w:sz w:val="21"/>
                <w:szCs w:val="21"/>
                <w:highlight w:val="none"/>
              </w:rPr>
              <w:t>28</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课件工具功能：该系统支持PPT内调取数字人教学资源，包括但不限于模型、断层、临床病例、习题、视频等，PPT播放支持以实际大小、半屏形式进行与资源互动。</w:t>
            </w:r>
          </w:p>
          <w:p w14:paraId="23AA657E">
            <w:pPr>
              <w:keepNext w:val="0"/>
              <w:keepLines w:val="0"/>
              <w:suppressLineNumbers w:val="0"/>
              <w:wordWrap w:val="0"/>
              <w:spacing w:before="0" w:beforeAutospacing="0" w:after="0" w:afterAutospacing="0"/>
              <w:ind w:left="0" w:right="0"/>
              <w:rPr>
                <w:rFonts w:hint="eastAsia" w:ascii="宋体" w:hAnsi="宋体" w:eastAsia="宋体" w:cs="宋体"/>
                <w:color w:val="auto"/>
                <w:kern w:val="2"/>
                <w:sz w:val="21"/>
                <w:szCs w:val="21"/>
                <w:highlight w:val="none"/>
                <w:lang w:val="en-US" w:eastAsia="zh-CN" w:bidi="ar-SA"/>
              </w:rPr>
            </w:pPr>
            <w:r>
              <w:rPr>
                <w:color w:val="auto"/>
                <w:highlight w:val="none"/>
              </w:rPr>
              <w:t>▲</w:t>
            </w:r>
            <w:r>
              <w:rPr>
                <w:rFonts w:hint="eastAsia" w:ascii="宋体" w:hAnsi="宋体" w:eastAsia="宋体" w:cs="宋体"/>
                <w:color w:val="auto"/>
                <w:sz w:val="21"/>
                <w:szCs w:val="21"/>
                <w:highlight w:val="none"/>
              </w:rPr>
              <w:t>29</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系统需满足原有数字人解剖学系统的扩容续点，使学生使用数量增加。可与学校现有教学管理平台兼容、原有数字人系统做数据对接；中标供应商需配合校方完成对接调试，不改变现有授课流程。</w:t>
            </w:r>
          </w:p>
        </w:tc>
        <w:tc>
          <w:tcPr>
            <w:tcW w:w="1497" w:type="dxa"/>
            <w:tcBorders>
              <w:top w:val="single" w:color="000000" w:sz="4" w:space="0"/>
              <w:left w:val="single" w:color="auto" w:sz="4" w:space="0"/>
              <w:bottom w:val="single" w:color="000000" w:sz="4" w:space="0"/>
              <w:right w:val="single" w:color="000000" w:sz="4" w:space="0"/>
            </w:tcBorders>
            <w:shd w:val="clear" w:color="auto" w:fill="auto"/>
            <w:vAlign w:val="center"/>
          </w:tcPr>
          <w:p w14:paraId="5BF76D5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kern w:val="0"/>
                <w:sz w:val="21"/>
                <w:szCs w:val="21"/>
                <w:highlight w:val="none"/>
                <w:lang w:val="en-US" w:eastAsia="zh-CN" w:bidi="ar-SA"/>
              </w:rPr>
            </w:pPr>
            <w:r>
              <w:rPr>
                <w:rFonts w:hint="eastAsia"/>
                <w:color w:val="auto"/>
                <w:sz w:val="21"/>
                <w:szCs w:val="21"/>
                <w:highlight w:val="none"/>
              </w:rPr>
              <w:t>软件和信息技术服务业</w:t>
            </w:r>
          </w:p>
        </w:tc>
      </w:tr>
      <w:tr w14:paraId="2943AD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43884383">
            <w:pPr>
              <w:keepNext w:val="0"/>
              <w:keepLines w:val="0"/>
              <w:suppressLineNumbers w:val="0"/>
              <w:wordWrap w:val="0"/>
              <w:spacing w:before="0" w:beforeAutospacing="0" w:after="0" w:afterAutospacing="0"/>
              <w:ind w:left="0" w:right="0"/>
              <w:jc w:val="center"/>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sz w:val="21"/>
                <w:szCs w:val="21"/>
                <w:highlight w:val="none"/>
              </w:rPr>
              <w:t>2</w:t>
            </w:r>
          </w:p>
        </w:tc>
        <w:tc>
          <w:tcPr>
            <w:tcW w:w="1119" w:type="dxa"/>
            <w:tcBorders>
              <w:top w:val="single" w:color="000000" w:sz="4" w:space="0"/>
              <w:left w:val="nil"/>
              <w:bottom w:val="single" w:color="000000" w:sz="4" w:space="0"/>
              <w:right w:val="single" w:color="000000" w:sz="4" w:space="0"/>
            </w:tcBorders>
            <w:shd w:val="clear" w:color="auto" w:fill="auto"/>
            <w:vAlign w:val="center"/>
          </w:tcPr>
          <w:p w14:paraId="2E4B58EA">
            <w:pPr>
              <w:keepNext w:val="0"/>
              <w:keepLines w:val="0"/>
              <w:suppressLineNumbers w:val="0"/>
              <w:wordWrap w:val="0"/>
              <w:spacing w:before="0" w:beforeAutospacing="0" w:after="0" w:afterAutospacing="0"/>
              <w:ind w:left="0" w:right="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数字人解剖学系统（学生端）</w:t>
            </w:r>
          </w:p>
          <w:p w14:paraId="2C2C4E52">
            <w:pPr>
              <w:keepNext w:val="0"/>
              <w:keepLines w:val="0"/>
              <w:suppressLineNumbers w:val="0"/>
              <w:wordWrap w:val="0"/>
              <w:spacing w:before="0" w:beforeAutospacing="0" w:after="0" w:afterAutospacing="0"/>
              <w:ind w:left="0" w:right="0"/>
              <w:rPr>
                <w:rFonts w:hint="eastAsia" w:ascii="宋体" w:hAnsi="宋体" w:eastAsia="宋体" w:cs="宋体"/>
                <w:b/>
                <w:bCs/>
                <w:color w:val="auto"/>
                <w:kern w:val="2"/>
                <w:sz w:val="21"/>
                <w:szCs w:val="21"/>
                <w:highlight w:val="none"/>
                <w:lang w:val="en-US" w:eastAsia="zh-CN" w:bidi="ar-SA"/>
              </w:rPr>
            </w:pPr>
          </w:p>
        </w:tc>
        <w:tc>
          <w:tcPr>
            <w:tcW w:w="562" w:type="dxa"/>
            <w:tcBorders>
              <w:top w:val="single" w:color="000000" w:sz="4" w:space="0"/>
              <w:left w:val="nil"/>
              <w:bottom w:val="single" w:color="000000" w:sz="4" w:space="0"/>
              <w:right w:val="single" w:color="000000" w:sz="4" w:space="0"/>
            </w:tcBorders>
            <w:shd w:val="clear" w:color="auto" w:fill="auto"/>
            <w:vAlign w:val="center"/>
          </w:tcPr>
          <w:p w14:paraId="61B11BA2">
            <w:pPr>
              <w:keepNext w:val="0"/>
              <w:keepLines w:val="0"/>
              <w:suppressLineNumbers w:val="0"/>
              <w:wordWrap w:val="0"/>
              <w:spacing w:before="0" w:beforeAutospacing="0" w:after="0" w:afterAutospacing="0" w:line="240" w:lineRule="auto"/>
              <w:ind w:left="0" w:right="0"/>
              <w:jc w:val="both"/>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p>
        </w:tc>
        <w:tc>
          <w:tcPr>
            <w:tcW w:w="519" w:type="dxa"/>
            <w:tcBorders>
              <w:top w:val="single" w:color="000000" w:sz="4" w:space="0"/>
              <w:left w:val="nil"/>
              <w:bottom w:val="single" w:color="000000" w:sz="4" w:space="0"/>
              <w:right w:val="single" w:color="000000" w:sz="4" w:space="0"/>
            </w:tcBorders>
            <w:shd w:val="clear" w:color="auto" w:fill="auto"/>
            <w:vAlign w:val="center"/>
          </w:tcPr>
          <w:p w14:paraId="415E0169">
            <w:pPr>
              <w:keepNext w:val="0"/>
              <w:keepLines w:val="0"/>
              <w:suppressLineNumbers w:val="0"/>
              <w:wordWrap w:val="0"/>
              <w:spacing w:before="0" w:beforeAutospacing="0" w:after="0" w:afterAutospacing="0" w:line="240" w:lineRule="auto"/>
              <w:ind w:left="0" w:right="0"/>
              <w:jc w:val="both"/>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点</w:t>
            </w:r>
          </w:p>
        </w:tc>
        <w:tc>
          <w:tcPr>
            <w:tcW w:w="5194" w:type="dxa"/>
            <w:tcBorders>
              <w:top w:val="single" w:color="000000" w:sz="4" w:space="0"/>
              <w:left w:val="nil"/>
              <w:bottom w:val="single" w:color="000000" w:sz="4" w:space="0"/>
              <w:right w:val="single" w:color="auto" w:sz="4" w:space="0"/>
            </w:tcBorders>
            <w:shd w:val="clear" w:color="auto" w:fill="auto"/>
            <w:vAlign w:val="center"/>
          </w:tcPr>
          <w:p w14:paraId="7E734B45">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系统解剖模块</w:t>
            </w:r>
          </w:p>
          <w:p w14:paraId="377B4A69">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 系统内包括一套男性完整数据和女性盆部相关结构和皮肤数据。</w:t>
            </w:r>
          </w:p>
          <w:p w14:paraId="048D55E2">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系统内根据教学大纲，预置磁贴不少于520个。</w:t>
            </w:r>
          </w:p>
          <w:p w14:paraId="460A7F21">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 系统内各解剖结构关联相关的知识内容，便于系统学习结构相关知识。包括组织学切片、视频、运动解剖动作、骨性标志、形态分部、肌肉起止点、差异化、结构注释及结构的英文及英文发音。</w:t>
            </w:r>
          </w:p>
          <w:p w14:paraId="6D8A6ABF">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color w:val="auto"/>
                <w:highlight w:val="none"/>
              </w:rPr>
              <w:t>▲</w:t>
            </w:r>
            <w:r>
              <w:rPr>
                <w:rFonts w:hint="eastAsia" w:ascii="宋体" w:hAnsi="宋体" w:eastAsia="宋体" w:cs="宋体"/>
                <w:color w:val="auto"/>
                <w:sz w:val="21"/>
                <w:szCs w:val="21"/>
                <w:highlight w:val="none"/>
              </w:rPr>
              <w:t>1.3系统提供将当前场景的模型嵌入到PPT中的功能。</w:t>
            </w:r>
          </w:p>
          <w:p w14:paraId="236459FA">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 系统具备2D画笔、3D画笔、截图、录屏、背景设置、操作盘等功能以方便教师授课。</w:t>
            </w:r>
          </w:p>
          <w:p w14:paraId="74B9879D">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color w:val="auto"/>
                <w:highlight w:val="none"/>
              </w:rPr>
              <w:t>▲</w:t>
            </w:r>
            <w:r>
              <w:rPr>
                <w:rFonts w:hint="eastAsia" w:ascii="宋体" w:hAnsi="宋体" w:eastAsia="宋体" w:cs="宋体"/>
                <w:color w:val="auto"/>
                <w:sz w:val="21"/>
                <w:szCs w:val="21"/>
                <w:highlight w:val="none"/>
              </w:rPr>
              <w:t>1.5 生理心脏解剖：可360度全方位观察生理性心脏跳动过程，可显示动脉、静脉血液流动过程，并且可以分离各心室、心房等结构，在跳动状态下观察瓣膜、乳头肌、腱索等结构的动态过程。</w:t>
            </w:r>
          </w:p>
          <w:p w14:paraId="46E32A0B">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局部解剖学模块</w:t>
            </w:r>
          </w:p>
          <w:p w14:paraId="13EDA48C">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 系统中磁贴数量：不少于220个。按照人体部位分为：头部、颈部、胸部、腹部、盆部、脊柱区、上肢、下肢。</w:t>
            </w:r>
          </w:p>
          <w:p w14:paraId="2926C5E1">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color w:val="auto"/>
                <w:highlight w:val="none"/>
              </w:rPr>
              <w:t>▲</w:t>
            </w:r>
            <w:r>
              <w:rPr>
                <w:rFonts w:hint="eastAsia" w:ascii="宋体" w:hAnsi="宋体" w:eastAsia="宋体" w:cs="宋体"/>
                <w:color w:val="auto"/>
                <w:sz w:val="21"/>
                <w:szCs w:val="21"/>
                <w:highlight w:val="none"/>
              </w:rPr>
              <w:t>2.2 系统内局部解剖学内容需按照局部解剖学教材设定，可按层次逐层剥离,并标识解剖切口，且保持浅筋膜、深筋膜完整，方便学生了解各部位层次和毗邻关系。(</w:t>
            </w:r>
            <w:r>
              <w:rPr>
                <w:rFonts w:hint="eastAsia" w:ascii="宋体" w:hAnsi="宋体" w:eastAsia="宋体" w:cs="宋体"/>
                <w:b/>
                <w:bCs/>
                <w:color w:val="auto"/>
                <w:sz w:val="21"/>
                <w:szCs w:val="21"/>
                <w:highlight w:val="none"/>
              </w:rPr>
              <w:t>投标时提供软件功能截图并加盖</w:t>
            </w:r>
            <w:r>
              <w:rPr>
                <w:rFonts w:hint="eastAsia" w:ascii="宋体" w:hAnsi="宋体" w:cs="宋体"/>
                <w:b/>
                <w:bCs/>
                <w:color w:val="auto"/>
                <w:sz w:val="21"/>
                <w:szCs w:val="21"/>
                <w:highlight w:val="none"/>
                <w:lang w:val="en-US" w:eastAsia="zh-CN"/>
              </w:rPr>
              <w:t>投标人</w:t>
            </w:r>
            <w:r>
              <w:rPr>
                <w:rFonts w:hint="eastAsia" w:ascii="宋体" w:hAnsi="宋体" w:eastAsia="宋体" w:cs="宋体"/>
                <w:b/>
                <w:bCs/>
                <w:color w:val="auto"/>
                <w:sz w:val="21"/>
                <w:szCs w:val="21"/>
                <w:highlight w:val="none"/>
              </w:rPr>
              <w:t>公章</w:t>
            </w:r>
            <w:r>
              <w:rPr>
                <w:rFonts w:hint="eastAsia" w:ascii="宋体" w:hAnsi="宋体" w:eastAsia="宋体" w:cs="宋体"/>
                <w:color w:val="auto"/>
                <w:sz w:val="21"/>
                <w:szCs w:val="21"/>
                <w:highlight w:val="none"/>
              </w:rPr>
              <w:t>)。</w:t>
            </w:r>
          </w:p>
          <w:p w14:paraId="43A3DF81">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断层解剖学模块</w:t>
            </w:r>
          </w:p>
          <w:p w14:paraId="205F93EF">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 系统中磁贴数量：不少于70个。按照人体部位分为：头部、颈部、胸部、腹部、盆部、脊柱区、上肢、下肢。</w:t>
            </w:r>
          </w:p>
          <w:p w14:paraId="4B5B2204">
            <w:pPr>
              <w:keepNext w:val="0"/>
              <w:keepLines w:val="0"/>
              <w:suppressLineNumbers w:val="0"/>
              <w:wordWrap w:val="0"/>
              <w:spacing w:before="0" w:beforeAutospacing="0" w:after="0" w:afterAutospacing="0"/>
              <w:ind w:left="0" w:right="0"/>
              <w:rPr>
                <w:rFonts w:hint="eastAsia" w:ascii="宋体" w:hAnsi="宋体" w:eastAsia="宋体" w:cs="宋体"/>
                <w:b/>
                <w:bCs/>
                <w:color w:val="auto"/>
                <w:sz w:val="21"/>
                <w:szCs w:val="21"/>
                <w:highlight w:val="none"/>
              </w:rPr>
            </w:pPr>
            <w:r>
              <w:rPr>
                <w:color w:val="auto"/>
                <w:highlight w:val="none"/>
              </w:rPr>
              <w:t>▲</w:t>
            </w:r>
            <w:r>
              <w:rPr>
                <w:rFonts w:hint="eastAsia" w:ascii="宋体" w:hAnsi="宋体" w:eastAsia="宋体" w:cs="宋体"/>
                <w:color w:val="auto"/>
                <w:sz w:val="21"/>
                <w:szCs w:val="21"/>
                <w:highlight w:val="none"/>
              </w:rPr>
              <w:t>3.2 断层解剖模块内容需包含真实人体断层、CT/MR影像以及三维结构三个部分，并做好结构标注，且三部分能够相互对应，方便学生由三维解剖结构过渡到断层解剖，再由断层解剖过渡到CT/MR影像，为以后临床影像诊断打好基础。CT/MR影像数量不少于1500张。</w:t>
            </w:r>
            <w:r>
              <w:rPr>
                <w:rFonts w:hint="eastAsia" w:ascii="宋体" w:hAnsi="宋体" w:eastAsia="宋体" w:cs="宋体"/>
                <w:b/>
                <w:bCs/>
                <w:color w:val="auto"/>
                <w:sz w:val="21"/>
                <w:szCs w:val="21"/>
                <w:highlight w:val="none"/>
              </w:rPr>
              <w:t>(投标时提供软件功能截图并加盖</w:t>
            </w:r>
            <w:r>
              <w:rPr>
                <w:rFonts w:hint="eastAsia" w:ascii="宋体" w:hAnsi="宋体" w:cs="宋体"/>
                <w:b/>
                <w:bCs/>
                <w:color w:val="auto"/>
                <w:sz w:val="21"/>
                <w:szCs w:val="21"/>
                <w:highlight w:val="none"/>
                <w:lang w:val="en-US" w:eastAsia="zh-CN"/>
              </w:rPr>
              <w:t>投标人</w:t>
            </w:r>
            <w:r>
              <w:rPr>
                <w:rFonts w:hint="eastAsia" w:ascii="宋体" w:hAnsi="宋体" w:eastAsia="宋体" w:cs="宋体"/>
                <w:b/>
                <w:bCs/>
                <w:color w:val="auto"/>
                <w:sz w:val="21"/>
                <w:szCs w:val="21"/>
                <w:highlight w:val="none"/>
              </w:rPr>
              <w:t>公章)</w:t>
            </w:r>
          </w:p>
          <w:p w14:paraId="2E230B5A">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 断层相关三维结构可根据结构目录快速选择，方便结构的快速查看，支持断层图像、CT影像、三维人体结构三部分进行任意对比学习。</w:t>
            </w:r>
          </w:p>
          <w:p w14:paraId="3AEA3757">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 断层解剖学模块的图像标注点不少于560个。</w:t>
            </w:r>
          </w:p>
          <w:p w14:paraId="565AE070">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color w:val="auto"/>
                <w:highlight w:val="none"/>
              </w:rPr>
              <w:t>▲</w:t>
            </w:r>
            <w:r>
              <w:rPr>
                <w:rFonts w:hint="eastAsia" w:ascii="宋体" w:hAnsi="宋体" w:eastAsia="宋体" w:cs="宋体"/>
                <w:color w:val="auto"/>
                <w:sz w:val="21"/>
                <w:szCs w:val="21"/>
                <w:highlight w:val="none"/>
              </w:rPr>
              <w:t>4 临床病例模块</w:t>
            </w:r>
          </w:p>
          <w:p w14:paraId="3CA6F065">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 系统内包含真实案例数量不少于200个。其中临床病例包含有：神经系统、五官、胸部、腹部、骨肌、消化道、盆腔、颈部。</w:t>
            </w:r>
          </w:p>
          <w:p w14:paraId="78A11D38">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 各真实临床案例需包含病例描述：临床表现、影像表现、影像诊断等信息，便于老师、学生了解该病例相关情况。</w:t>
            </w:r>
          </w:p>
          <w:p w14:paraId="1A542AF3">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 各真实临床案例各案例均配备对应的临床影像关键图像，临床病例模块内置关键图像不少于850张。</w:t>
            </w:r>
          </w:p>
          <w:p w14:paraId="4886F734">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4.4 各真实临床案例均配备根据真实临床影像重建的三维结构，并标注病灶位置，方便老师、学生直观了解病灶所在区域以及病灶大小。</w:t>
            </w:r>
          </w:p>
          <w:p w14:paraId="5FF01C84">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4.5 数字人对比:病例模型与对应部位数字人解剖结构模型对照显示功能。个体化影像重建模型同数字人解剖结构模型对比及联动，方便对比观察正常、异常人体组织器官；数字人解剖结构模型为查看病灶及周围结构提供参考。系统自动加载对应病例部位的数字人解剖结构模型，也可通过目录加载数字人相应部位解剖结构模型。对照功能提供同步、结构一键对应功能进行联动处理。同时，提供影像病例病灶显示功能着重显示病灶，数字人场景提供视频、书签、逐层剥离等功能，可多资源学习观察数字人空间解剖结构。</w:t>
            </w:r>
          </w:p>
          <w:p w14:paraId="141D48B8">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4.6 模拟解剖层次模式：可以显示当前结构目录层级结构树，可以按层次目录层级逐层添加或者隐藏结构。可以仔细观察解剖结构毗邻关系。在此状态下还能将讲解的单一或多个结构单独取出或者隐藏，进一步讲解观察，也可以全部清除所有结构。最后可一键恢复初始状态。</w:t>
            </w:r>
          </w:p>
          <w:p w14:paraId="687FD1D4">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 3D标本模块</w:t>
            </w:r>
          </w:p>
          <w:p w14:paraId="219DDEEF">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 3D标本模块根据学科进行分类，分别提供系统解剖学标本和局部解剖学标本两个学科模块的标本。其中，局部解剖学中标本数量不少于170个：包</w:t>
            </w:r>
            <w:r>
              <w:rPr>
                <w:rFonts w:hint="eastAsia" w:ascii="宋体" w:hAnsi="宋体" w:cs="宋体"/>
                <w:color w:val="auto"/>
                <w:sz w:val="21"/>
                <w:szCs w:val="21"/>
                <w:highlight w:val="none"/>
                <w:lang w:val="en-US" w:eastAsia="zh-CN"/>
              </w:rPr>
              <w:t>含</w:t>
            </w:r>
            <w:r>
              <w:rPr>
                <w:rFonts w:hint="eastAsia" w:ascii="宋体" w:hAnsi="宋体" w:eastAsia="宋体" w:cs="宋体"/>
                <w:color w:val="auto"/>
                <w:sz w:val="21"/>
                <w:szCs w:val="21"/>
                <w:highlight w:val="none"/>
              </w:rPr>
              <w:t>有头部、颈部、胸部、腹部、盆部和会阴、脊柱区、上肢、下肢；系统解剖学中标本数量不少于360个，包含有运动系统、消化系统、呼吸系统、泌尿系统、生殖系统、心血管系统、淋巴系统、感觉器、神经系统、内分泌系统。</w:t>
            </w:r>
          </w:p>
          <w:p w14:paraId="1ED000A1">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 模块内解剖标本标注需附带区域轮廓标识及配套讲解视频，标注边界清晰可辨识，满足标本辨识教学要求。</w:t>
            </w:r>
          </w:p>
          <w:p w14:paraId="4B44CC3A">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color w:val="auto"/>
                <w:highlight w:val="none"/>
              </w:rPr>
              <w:t>▲</w:t>
            </w:r>
            <w:r>
              <w:rPr>
                <w:rFonts w:hint="eastAsia" w:ascii="宋体" w:hAnsi="宋体" w:eastAsia="宋体" w:cs="宋体"/>
                <w:color w:val="auto"/>
                <w:sz w:val="21"/>
                <w:szCs w:val="21"/>
                <w:highlight w:val="none"/>
              </w:rPr>
              <w:t>5.3 系统提供将当前场景的模型嵌入到PPT中的功能。</w:t>
            </w:r>
          </w:p>
          <w:p w14:paraId="5DFD082A">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 视频微课模块</w:t>
            </w:r>
          </w:p>
          <w:p w14:paraId="3DA1E8A5">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color w:val="auto"/>
                <w:highlight w:val="none"/>
              </w:rPr>
              <w:t>▲</w:t>
            </w:r>
            <w:r>
              <w:rPr>
                <w:rFonts w:hint="eastAsia" w:ascii="宋体" w:hAnsi="宋体" w:eastAsia="宋体" w:cs="宋体"/>
                <w:color w:val="auto"/>
                <w:sz w:val="21"/>
                <w:szCs w:val="21"/>
                <w:highlight w:val="none"/>
              </w:rPr>
              <w:t>6.1 内容涵盖正常人体解剖学数字化教学视频数量不少于340个。</w:t>
            </w:r>
          </w:p>
          <w:p w14:paraId="0127337A">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 系统解剖学九大系统微课数量不少于68个，内容包含绪论视频、运动系统视频、消化系统视频、呼吸系统视频、泌尿系统视频、男性生殖系统视频、女性生殖系统视频、心血管系统视频、淋巴系统视频、视器视频、前庭蜗器视频、中枢神经系统视频、周围神经系统视频、神经系统的传导通路视频、脑膜、脑血管以及脑脊髓液循环视频等内容。</w:t>
            </w:r>
          </w:p>
          <w:p w14:paraId="02EC6223">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6.3 局部解剖学微课数量不少于34个，与局部解剖学教材设定局部解剖部位对应且为真实局部解剖操作，内容包括：绪论视频，头部视频、颈部视频、胸部视频、腹部视频、盆部视频、上肢视频、下肢视频等。</w:t>
            </w:r>
          </w:p>
          <w:p w14:paraId="197539D7">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6.4 断层解剖学微课数量不少于39个，需将断层与CT/MR影像对照讲解以方便学生学习，内容包括：颅脑视频，纵膈视频，肺部视频，腹部视频，男性盆部与会阴，女性盆部与会阴，脊柱区视频，四肢视频等。</w:t>
            </w:r>
          </w:p>
          <w:p w14:paraId="6E752547">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6.5 护理解剖学相关操作视频数量9个，内容包括：臀肌注射、股动脉采血术、胃管插管术、不保留灌肠术等。</w:t>
            </w:r>
          </w:p>
          <w:p w14:paraId="1712A37B">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 练习模块</w:t>
            </w:r>
          </w:p>
          <w:p w14:paraId="0001C17C">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7.1 该系统练习模块提供练习和测验两种模式，并提供收藏和错题功能。</w:t>
            </w:r>
          </w:p>
          <w:p w14:paraId="03BD3702">
            <w:pPr>
              <w:keepNext w:val="0"/>
              <w:keepLines w:val="0"/>
              <w:suppressLineNumbers w:val="0"/>
              <w:wordWrap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7.2 该系统依据不同学科对习题进行分类编排，涵盖了系统解剖学、局部解剖学、断层解剖学至少三个学科领域。</w:t>
            </w:r>
          </w:p>
          <w:p w14:paraId="40D34389">
            <w:pPr>
              <w:keepNext w:val="0"/>
              <w:keepLines w:val="0"/>
              <w:suppressLineNumbers w:val="0"/>
              <w:wordWrap w:val="0"/>
              <w:spacing w:before="0" w:beforeAutospacing="0" w:after="0" w:afterAutospacing="0"/>
              <w:ind w:left="0" w:right="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 xml:space="preserve">7.3 该系统按照教学章节配有相应练习题，练习题包含理论练习和标本练习，以达到标本考试的目的。练习题数量不少于9000道，且提供中英文两种语言。 </w:t>
            </w:r>
          </w:p>
        </w:tc>
        <w:tc>
          <w:tcPr>
            <w:tcW w:w="1497" w:type="dxa"/>
            <w:tcBorders>
              <w:top w:val="single" w:color="000000" w:sz="4" w:space="0"/>
              <w:left w:val="single" w:color="auto" w:sz="4" w:space="0"/>
              <w:bottom w:val="single" w:color="000000" w:sz="4" w:space="0"/>
              <w:right w:val="single" w:color="000000" w:sz="4" w:space="0"/>
            </w:tcBorders>
            <w:shd w:val="clear" w:color="auto" w:fill="auto"/>
            <w:vAlign w:val="center"/>
          </w:tcPr>
          <w:p w14:paraId="7339E43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b w:val="0"/>
                <w:bCs w:val="0"/>
                <w:color w:val="auto"/>
                <w:sz w:val="21"/>
                <w:szCs w:val="21"/>
                <w:highlight w:val="none"/>
                <w:u w:val="none"/>
              </w:rPr>
            </w:pPr>
            <w:r>
              <w:rPr>
                <w:rFonts w:hint="eastAsia"/>
                <w:color w:val="auto"/>
                <w:sz w:val="21"/>
                <w:szCs w:val="21"/>
                <w:highlight w:val="none"/>
              </w:rPr>
              <w:t>软件和信息技术服务业</w:t>
            </w:r>
          </w:p>
        </w:tc>
      </w:tr>
      <w:tr w14:paraId="0E2481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2" w:hRule="atLeast"/>
          <w:jc w:val="center"/>
        </w:trPr>
        <w:tc>
          <w:tcPr>
            <w:tcW w:w="9453" w:type="dxa"/>
            <w:gridSpan w:val="6"/>
            <w:tcBorders>
              <w:top w:val="single" w:color="000000" w:sz="4" w:space="0"/>
              <w:left w:val="single" w:color="auto" w:sz="4" w:space="0"/>
              <w:bottom w:val="single" w:color="000000" w:sz="4" w:space="0"/>
              <w:right w:val="single" w:color="000000" w:sz="4" w:space="0"/>
            </w:tcBorders>
            <w:vAlign w:val="center"/>
          </w:tcPr>
          <w:p w14:paraId="70FD8B70">
            <w:pPr>
              <w:keepNext w:val="0"/>
              <w:keepLines w:val="0"/>
              <w:widowControl w:val="0"/>
              <w:suppressLineNumbers w:val="0"/>
              <w:wordWrap/>
              <w:adjustRightInd/>
              <w:snapToGrid/>
              <w:spacing w:before="0" w:beforeAutospacing="0" w:after="0" w:afterAutospacing="0" w:line="320" w:lineRule="exact"/>
              <w:ind w:left="0" w:leftChars="0" w:right="0" w:firstLine="0" w:firstLineChars="0"/>
              <w:jc w:val="center"/>
              <w:textAlignment w:val="auto"/>
              <w:outlineLvl w:val="9"/>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二、商务要求</w:t>
            </w:r>
          </w:p>
        </w:tc>
      </w:tr>
      <w:tr w14:paraId="4365A1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0B09C05F">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1</w:t>
            </w:r>
          </w:p>
        </w:tc>
        <w:tc>
          <w:tcPr>
            <w:tcW w:w="1119" w:type="dxa"/>
            <w:tcBorders>
              <w:left w:val="nil"/>
              <w:right w:val="single" w:color="000000" w:sz="4" w:space="0"/>
            </w:tcBorders>
            <w:shd w:val="clear" w:color="auto" w:fill="auto"/>
            <w:vAlign w:val="center"/>
          </w:tcPr>
          <w:p w14:paraId="48862EFC">
            <w:pPr>
              <w:keepNext w:val="0"/>
              <w:keepLines w:val="0"/>
              <w:suppressLineNumbers w:val="0"/>
              <w:snapToGrid w:val="0"/>
              <w:spacing w:before="0" w:beforeAutospacing="0" w:after="0" w:afterAutospacing="0" w:line="400" w:lineRule="exact"/>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w:t>
            </w:r>
            <w:r>
              <w:rPr>
                <w:rFonts w:hint="eastAsia" w:ascii="宋体" w:hAnsi="宋体" w:eastAsia="宋体" w:cs="宋体"/>
                <w:color w:val="auto"/>
                <w:kern w:val="2"/>
                <w:sz w:val="21"/>
                <w:szCs w:val="21"/>
                <w:highlight w:val="none"/>
                <w:lang w:val="en-US" w:eastAsia="zh-CN" w:bidi="ar-SA"/>
              </w:rPr>
              <w:t>合同签订时间</w:t>
            </w:r>
          </w:p>
        </w:tc>
        <w:tc>
          <w:tcPr>
            <w:tcW w:w="7772" w:type="dxa"/>
            <w:gridSpan w:val="4"/>
            <w:tcBorders>
              <w:top w:val="single" w:color="000000" w:sz="4" w:space="0"/>
              <w:left w:val="nil"/>
              <w:bottom w:val="single" w:color="000000" w:sz="4" w:space="0"/>
              <w:right w:val="single" w:color="000000" w:sz="4" w:space="0"/>
            </w:tcBorders>
            <w:shd w:val="clear" w:color="auto" w:fill="auto"/>
            <w:vAlign w:val="center"/>
          </w:tcPr>
          <w:p w14:paraId="6353BB4E">
            <w:pPr>
              <w:pStyle w:val="14"/>
              <w:keepNext w:val="0"/>
              <w:keepLines w:val="0"/>
              <w:suppressLineNumbers w:val="0"/>
              <w:snapToGrid w:val="0"/>
              <w:spacing w:before="0" w:beforeAutospacing="0" w:after="0" w:afterAutospacing="0" w:line="400" w:lineRule="exact"/>
              <w:ind w:left="0"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自</w:t>
            </w:r>
            <w:r>
              <w:rPr>
                <w:rFonts w:hint="eastAsia" w:ascii="宋体" w:hAnsi="宋体" w:eastAsia="宋体" w:cs="宋体"/>
                <w:color w:val="auto"/>
                <w:sz w:val="21"/>
                <w:szCs w:val="21"/>
                <w:highlight w:val="none"/>
                <w:lang w:val="en-US" w:eastAsia="zh-CN"/>
              </w:rPr>
              <w:t>中标</w:t>
            </w:r>
            <w:r>
              <w:rPr>
                <w:rFonts w:hint="eastAsia" w:ascii="宋体" w:hAnsi="宋体" w:eastAsia="宋体" w:cs="宋体"/>
                <w:color w:val="auto"/>
                <w:sz w:val="21"/>
                <w:szCs w:val="21"/>
                <w:highlight w:val="none"/>
              </w:rPr>
              <w:t>通知书发出之日起</w:t>
            </w:r>
            <w:r>
              <w:rPr>
                <w:rFonts w:hint="eastAsia" w:ascii="宋体" w:hAnsi="宋体" w:eastAsia="宋体" w:cs="宋体"/>
                <w:color w:val="auto"/>
                <w:sz w:val="21"/>
                <w:szCs w:val="21"/>
                <w:highlight w:val="none"/>
                <w:u w:val="single"/>
              </w:rPr>
              <w:t xml:space="preserve"> 25 </w:t>
            </w:r>
            <w:r>
              <w:rPr>
                <w:rFonts w:hint="eastAsia" w:ascii="宋体" w:hAnsi="宋体" w:eastAsia="宋体" w:cs="宋体"/>
                <w:color w:val="auto"/>
                <w:sz w:val="21"/>
                <w:szCs w:val="21"/>
                <w:highlight w:val="none"/>
              </w:rPr>
              <w:t>日内。</w:t>
            </w:r>
          </w:p>
        </w:tc>
      </w:tr>
      <w:tr w14:paraId="7B1C71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7476583B">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119" w:type="dxa"/>
            <w:tcBorders>
              <w:left w:val="nil"/>
              <w:right w:val="single" w:color="000000" w:sz="4" w:space="0"/>
            </w:tcBorders>
            <w:shd w:val="clear" w:color="auto" w:fill="auto"/>
            <w:vAlign w:val="center"/>
          </w:tcPr>
          <w:p w14:paraId="4BDA6560">
            <w:pPr>
              <w:keepNext w:val="0"/>
              <w:keepLines w:val="0"/>
              <w:suppressLineNumbers w:val="0"/>
              <w:snapToGrid w:val="0"/>
              <w:spacing w:before="0" w:beforeAutospacing="0" w:after="0" w:afterAutospacing="0" w:line="400" w:lineRule="exact"/>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质量要求</w:t>
            </w:r>
          </w:p>
        </w:tc>
        <w:tc>
          <w:tcPr>
            <w:tcW w:w="7772" w:type="dxa"/>
            <w:gridSpan w:val="4"/>
            <w:tcBorders>
              <w:top w:val="single" w:color="000000" w:sz="4" w:space="0"/>
              <w:left w:val="nil"/>
              <w:bottom w:val="single" w:color="000000" w:sz="4" w:space="0"/>
              <w:right w:val="single" w:color="000000" w:sz="4" w:space="0"/>
            </w:tcBorders>
            <w:shd w:val="clear" w:color="auto" w:fill="auto"/>
            <w:vAlign w:val="center"/>
          </w:tcPr>
          <w:p w14:paraId="5297FB0C">
            <w:pPr>
              <w:pStyle w:val="14"/>
              <w:keepNext w:val="0"/>
              <w:keepLines w:val="0"/>
              <w:suppressLineNumbers w:val="0"/>
              <w:snapToGrid w:val="0"/>
              <w:spacing w:before="0" w:beforeAutospacing="0" w:after="0" w:afterAutospacing="0" w:line="400" w:lineRule="exact"/>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1.投标人</w:t>
            </w:r>
            <w:r>
              <w:rPr>
                <w:rFonts w:hint="eastAsia" w:ascii="宋体" w:hAnsi="宋体" w:eastAsia="宋体" w:cs="宋体"/>
                <w:color w:val="auto"/>
                <w:sz w:val="21"/>
                <w:szCs w:val="21"/>
                <w:highlight w:val="none"/>
              </w:rPr>
              <w:t>保证</w:t>
            </w:r>
            <w:r>
              <w:rPr>
                <w:rFonts w:hint="eastAsia" w:hAnsi="宋体" w:cs="宋体"/>
                <w:color w:val="auto"/>
                <w:sz w:val="21"/>
                <w:szCs w:val="21"/>
                <w:highlight w:val="none"/>
                <w:lang w:val="en-US" w:eastAsia="zh-CN"/>
              </w:rPr>
              <w:t>所采购软件系统</w:t>
            </w:r>
            <w:r>
              <w:rPr>
                <w:rFonts w:hint="eastAsia" w:ascii="宋体" w:hAnsi="宋体" w:eastAsia="宋体" w:cs="宋体"/>
                <w:color w:val="auto"/>
                <w:sz w:val="21"/>
                <w:szCs w:val="21"/>
                <w:highlight w:val="none"/>
              </w:rPr>
              <w:t>其质量、规格及技术性能特征符合采购</w:t>
            </w:r>
            <w:r>
              <w:rPr>
                <w:rFonts w:hint="eastAsia" w:hAnsi="宋体" w:cs="宋体"/>
                <w:color w:val="auto"/>
                <w:sz w:val="21"/>
                <w:szCs w:val="21"/>
                <w:highlight w:val="none"/>
                <w:lang w:val="en-US" w:eastAsia="zh-CN"/>
              </w:rPr>
              <w:t>人</w:t>
            </w:r>
            <w:r>
              <w:rPr>
                <w:rFonts w:hint="eastAsia" w:ascii="宋体" w:hAnsi="宋体" w:eastAsia="宋体" w:cs="宋体"/>
                <w:color w:val="auto"/>
                <w:sz w:val="21"/>
                <w:szCs w:val="21"/>
                <w:highlight w:val="none"/>
              </w:rPr>
              <w:t>的要求。</w:t>
            </w:r>
          </w:p>
          <w:p w14:paraId="3FF287C6">
            <w:pPr>
              <w:pStyle w:val="14"/>
              <w:keepNext w:val="0"/>
              <w:keepLines w:val="0"/>
              <w:suppressLineNumbers w:val="0"/>
              <w:snapToGrid w:val="0"/>
              <w:spacing w:before="0" w:beforeAutospacing="0" w:after="0" w:afterAutospacing="0" w:line="400" w:lineRule="exact"/>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2.投标人</w:t>
            </w:r>
            <w:r>
              <w:rPr>
                <w:rFonts w:hint="eastAsia" w:ascii="宋体" w:hAnsi="宋体" w:eastAsia="宋体" w:cs="宋体"/>
                <w:color w:val="auto"/>
                <w:sz w:val="21"/>
                <w:szCs w:val="21"/>
                <w:highlight w:val="none"/>
              </w:rPr>
              <w:t>保证所提供的</w:t>
            </w:r>
            <w:r>
              <w:rPr>
                <w:rFonts w:hint="eastAsia" w:hAnsi="宋体" w:cs="宋体"/>
                <w:color w:val="auto"/>
                <w:sz w:val="21"/>
                <w:szCs w:val="21"/>
                <w:highlight w:val="none"/>
                <w:lang w:val="en-US" w:eastAsia="zh-CN"/>
              </w:rPr>
              <w:t>软件系统</w:t>
            </w:r>
            <w:r>
              <w:rPr>
                <w:rFonts w:hint="eastAsia" w:ascii="宋体" w:hAnsi="宋体" w:eastAsia="宋体" w:cs="宋体"/>
                <w:color w:val="auto"/>
                <w:sz w:val="21"/>
                <w:szCs w:val="21"/>
                <w:highlight w:val="none"/>
              </w:rPr>
              <w:t>在正确安装</w:t>
            </w:r>
            <w:r>
              <w:rPr>
                <w:rFonts w:hint="eastAsia" w:hAnsi="宋体" w:cs="宋体"/>
                <w:color w:val="auto"/>
                <w:sz w:val="21"/>
                <w:szCs w:val="21"/>
                <w:highlight w:val="none"/>
                <w:lang w:val="en-US" w:eastAsia="zh-CN"/>
              </w:rPr>
              <w:t>部署</w:t>
            </w:r>
            <w:r>
              <w:rPr>
                <w:rFonts w:hint="eastAsia" w:ascii="宋体" w:hAnsi="宋体" w:eastAsia="宋体" w:cs="宋体"/>
                <w:color w:val="auto"/>
                <w:sz w:val="21"/>
                <w:szCs w:val="21"/>
                <w:highlight w:val="none"/>
              </w:rPr>
              <w:t>和正常使用、维护条件下</w:t>
            </w: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于合同约定的使用期限内具有稳定、可靠的性能，且符合技术规格书规定的各项性能指标。</w:t>
            </w:r>
          </w:p>
          <w:p w14:paraId="1706E5A3">
            <w:pPr>
              <w:pStyle w:val="14"/>
              <w:keepNext w:val="0"/>
              <w:keepLines w:val="0"/>
              <w:suppressLineNumbers w:val="0"/>
              <w:snapToGrid w:val="0"/>
              <w:spacing w:before="0" w:beforeAutospacing="0" w:after="0" w:afterAutospacing="0" w:line="400" w:lineRule="exact"/>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3.投标人应保证所提供的软件</w:t>
            </w:r>
            <w:r>
              <w:rPr>
                <w:rFonts w:hint="eastAsia" w:hAnsi="宋体" w:cs="宋体"/>
                <w:color w:val="auto"/>
                <w:sz w:val="21"/>
                <w:szCs w:val="21"/>
                <w:highlight w:val="none"/>
                <w:lang w:val="en-US" w:eastAsia="zh-CN"/>
              </w:rPr>
              <w:t>系统</w:t>
            </w:r>
            <w:r>
              <w:rPr>
                <w:rFonts w:hint="eastAsia" w:ascii="宋体" w:hAnsi="宋体" w:eastAsia="宋体" w:cs="宋体"/>
                <w:color w:val="auto"/>
                <w:sz w:val="21"/>
                <w:szCs w:val="21"/>
                <w:highlight w:val="none"/>
                <w:lang w:val="en-US" w:eastAsia="zh-CN"/>
              </w:rPr>
              <w:t>符合国家标准、行业标准及产品标准，多项标准并存的，以要求较高者为准。因软件设计、开发或软件自身缺陷导致存在质量问题或故障的，投标人应承担修复、更换及相应赔偿责任，由此产生的全部费用由投标人承担</w:t>
            </w:r>
            <w:r>
              <w:rPr>
                <w:rFonts w:hint="eastAsia" w:ascii="宋体" w:hAnsi="宋体" w:eastAsia="宋体" w:cs="宋体"/>
                <w:color w:val="auto"/>
                <w:sz w:val="21"/>
                <w:szCs w:val="21"/>
                <w:highlight w:val="none"/>
              </w:rPr>
              <w:t>。</w:t>
            </w:r>
          </w:p>
        </w:tc>
      </w:tr>
      <w:tr w14:paraId="0A472D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2E9A4F98">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3</w:t>
            </w:r>
          </w:p>
        </w:tc>
        <w:tc>
          <w:tcPr>
            <w:tcW w:w="1119" w:type="dxa"/>
            <w:tcBorders>
              <w:left w:val="nil"/>
              <w:right w:val="single" w:color="000000" w:sz="4" w:space="0"/>
            </w:tcBorders>
            <w:shd w:val="clear" w:color="auto" w:fill="auto"/>
            <w:vAlign w:val="center"/>
          </w:tcPr>
          <w:p w14:paraId="187CEE2C">
            <w:pPr>
              <w:keepNext w:val="0"/>
              <w:keepLines w:val="0"/>
              <w:suppressLineNumbers w:val="0"/>
              <w:snapToGrid w:val="0"/>
              <w:spacing w:before="0" w:beforeAutospacing="0" w:after="0" w:afterAutospacing="0" w:line="400" w:lineRule="exact"/>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rPr>
              <w:t>质保期</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0FBADD46">
            <w:pPr>
              <w:pStyle w:val="14"/>
              <w:keepNext w:val="0"/>
              <w:keepLines w:val="0"/>
              <w:suppressLineNumbers w:val="0"/>
              <w:snapToGrid w:val="0"/>
              <w:spacing w:before="0" w:beforeAutospacing="0" w:after="0" w:afterAutospacing="0" w:line="400" w:lineRule="exact"/>
              <w:ind w:left="0" w:leftChars="0" w:right="0" w:right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1.质保期：本合同项下</w:t>
            </w:r>
            <w:r>
              <w:rPr>
                <w:rFonts w:hint="eastAsia" w:hAnsi="宋体" w:cs="宋体"/>
                <w:color w:val="auto"/>
                <w:sz w:val="21"/>
                <w:szCs w:val="21"/>
                <w:highlight w:val="none"/>
                <w:lang w:val="en-US" w:eastAsia="zh-CN"/>
              </w:rPr>
              <w:t>软件系统</w:t>
            </w:r>
            <w:r>
              <w:rPr>
                <w:rFonts w:hint="eastAsia" w:ascii="宋体" w:hAnsi="宋体" w:eastAsia="宋体" w:cs="宋体"/>
                <w:color w:val="auto"/>
                <w:sz w:val="21"/>
                <w:szCs w:val="21"/>
                <w:highlight w:val="none"/>
                <w:lang w:val="en-US" w:eastAsia="zh-CN"/>
              </w:rPr>
              <w:t>的质量保证期为 36个月，自</w:t>
            </w:r>
            <w:r>
              <w:rPr>
                <w:rFonts w:hint="eastAsia" w:hAnsi="宋体" w:cs="宋体"/>
                <w:color w:val="auto"/>
                <w:sz w:val="21"/>
                <w:szCs w:val="21"/>
                <w:highlight w:val="none"/>
                <w:lang w:val="en-US" w:eastAsia="zh-CN"/>
              </w:rPr>
              <w:t>软件系统</w:t>
            </w:r>
            <w:r>
              <w:rPr>
                <w:rFonts w:hint="eastAsia" w:ascii="宋体" w:hAnsi="宋体" w:eastAsia="宋体" w:cs="宋体"/>
                <w:color w:val="auto"/>
                <w:sz w:val="21"/>
                <w:szCs w:val="21"/>
                <w:highlight w:val="none"/>
                <w:lang w:val="en-US" w:eastAsia="zh-CN"/>
              </w:rPr>
              <w:t>验收合格之日起计算；质保期内，中标人应对</w:t>
            </w:r>
            <w:r>
              <w:rPr>
                <w:rFonts w:hint="eastAsia" w:hAnsi="宋体" w:cs="宋体"/>
                <w:color w:val="auto"/>
                <w:sz w:val="21"/>
                <w:szCs w:val="21"/>
                <w:highlight w:val="none"/>
                <w:lang w:val="en-US" w:eastAsia="zh-CN"/>
              </w:rPr>
              <w:t>软件系统</w:t>
            </w:r>
            <w:r>
              <w:rPr>
                <w:rFonts w:hint="eastAsia" w:ascii="宋体" w:hAnsi="宋体" w:eastAsia="宋体" w:cs="宋体"/>
                <w:color w:val="auto"/>
                <w:sz w:val="21"/>
                <w:szCs w:val="21"/>
                <w:highlight w:val="none"/>
                <w:lang w:val="en-US" w:eastAsia="zh-CN"/>
              </w:rPr>
              <w:t>出现的质量及安全问题负责处理解决并承担一切费用。如</w:t>
            </w:r>
            <w:r>
              <w:rPr>
                <w:rFonts w:hint="eastAsia" w:hAnsi="宋体" w:cs="宋体"/>
                <w:color w:val="auto"/>
                <w:sz w:val="21"/>
                <w:szCs w:val="21"/>
                <w:highlight w:val="none"/>
                <w:lang w:val="en-US" w:eastAsia="zh-CN"/>
              </w:rPr>
              <w:t>系统</w:t>
            </w:r>
            <w:r>
              <w:rPr>
                <w:rFonts w:hint="eastAsia" w:ascii="宋体" w:hAnsi="宋体" w:eastAsia="宋体" w:cs="宋体"/>
                <w:color w:val="auto"/>
                <w:sz w:val="21"/>
                <w:szCs w:val="21"/>
                <w:highlight w:val="none"/>
                <w:lang w:val="en-US" w:eastAsia="zh-CN"/>
              </w:rPr>
              <w:t>因非人为因素出现故障而造成短期停用时，则质保期相应顺延。如停用时间累积60天则质保期重新计算。</w:t>
            </w:r>
          </w:p>
          <w:p w14:paraId="08415D1F">
            <w:pPr>
              <w:pStyle w:val="14"/>
              <w:keepNext w:val="0"/>
              <w:keepLines w:val="0"/>
              <w:suppressLineNumbers w:val="0"/>
              <w:snapToGrid w:val="0"/>
              <w:spacing w:before="0" w:beforeAutospacing="0" w:after="0" w:afterAutospacing="0" w:line="400" w:lineRule="exact"/>
              <w:ind w:left="0" w:leftChars="0" w:right="0" w:right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2.售后服务：在质量保证期之内，中标人须在接到采购</w:t>
            </w:r>
            <w:r>
              <w:rPr>
                <w:rFonts w:hint="eastAsia" w:hAnsi="宋体" w:cs="宋体"/>
                <w:color w:val="auto"/>
                <w:sz w:val="21"/>
                <w:szCs w:val="21"/>
                <w:highlight w:val="none"/>
                <w:lang w:val="en-US" w:eastAsia="zh-CN"/>
              </w:rPr>
              <w:t>人</w:t>
            </w:r>
            <w:r>
              <w:rPr>
                <w:rFonts w:hint="eastAsia" w:ascii="宋体" w:hAnsi="宋体" w:eastAsia="宋体" w:cs="宋体"/>
                <w:color w:val="auto"/>
                <w:sz w:val="21"/>
                <w:szCs w:val="21"/>
                <w:highlight w:val="none"/>
                <w:lang w:val="en-US" w:eastAsia="zh-CN"/>
              </w:rPr>
              <w:t>故障通知2小时内</w:t>
            </w:r>
            <w:r>
              <w:rPr>
                <w:rFonts w:hint="eastAsia"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，8小时内远程排查处理故障；远程无法处理的，应在接到通知后在48小时内到达现场完成修复。若故障无法修复，中标人保证5天内更换全新</w:t>
            </w:r>
            <w:r>
              <w:rPr>
                <w:rFonts w:hint="eastAsia" w:hAnsi="宋体" w:cs="宋体"/>
                <w:color w:val="auto"/>
                <w:sz w:val="21"/>
                <w:szCs w:val="21"/>
                <w:highlight w:val="none"/>
                <w:lang w:val="en-US" w:eastAsia="zh-CN"/>
              </w:rPr>
              <w:t>产品</w:t>
            </w:r>
            <w:r>
              <w:rPr>
                <w:rFonts w:hint="eastAsia" w:ascii="宋体" w:hAnsi="宋体"/>
                <w:color w:val="auto"/>
                <w:szCs w:val="21"/>
                <w:highlight w:val="none"/>
              </w:rPr>
              <w:t>给采购人使用</w:t>
            </w:r>
            <w:r>
              <w:rPr>
                <w:rFonts w:hint="eastAsia" w:ascii="宋体" w:hAnsi="宋体" w:eastAsia="宋体" w:cs="宋体"/>
                <w:color w:val="auto"/>
                <w:sz w:val="21"/>
                <w:szCs w:val="21"/>
                <w:highlight w:val="none"/>
                <w:lang w:val="en-US" w:eastAsia="zh-CN"/>
              </w:rPr>
              <w:t>。</w:t>
            </w:r>
          </w:p>
          <w:p w14:paraId="0D063B46">
            <w:pPr>
              <w:pStyle w:val="14"/>
              <w:keepNext w:val="0"/>
              <w:keepLines w:val="0"/>
              <w:suppressLineNumbers w:val="0"/>
              <w:snapToGrid w:val="0"/>
              <w:spacing w:before="0" w:beforeAutospacing="0" w:after="0" w:afterAutospacing="0" w:line="400" w:lineRule="exact"/>
              <w:ind w:left="0" w:leftChars="0" w:right="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3.质量保证期内，因修复、更换故障</w:t>
            </w:r>
            <w:r>
              <w:rPr>
                <w:rFonts w:hint="eastAsia" w:hAnsi="宋体" w:cs="宋体"/>
                <w:color w:val="auto"/>
                <w:sz w:val="21"/>
                <w:szCs w:val="21"/>
                <w:highlight w:val="none"/>
                <w:lang w:val="en-US" w:eastAsia="zh-CN"/>
              </w:rPr>
              <w:t>软件系统</w:t>
            </w:r>
            <w:r>
              <w:rPr>
                <w:rFonts w:hint="eastAsia" w:ascii="宋体" w:hAnsi="宋体" w:eastAsia="宋体" w:cs="宋体"/>
                <w:color w:val="auto"/>
                <w:sz w:val="21"/>
                <w:szCs w:val="21"/>
                <w:highlight w:val="none"/>
                <w:lang w:val="en-US" w:eastAsia="zh-CN"/>
              </w:rPr>
              <w:t>而产生的费用，由中标人承担。</w:t>
            </w:r>
            <w:r>
              <w:rPr>
                <w:rFonts w:hint="eastAsia" w:hAnsi="宋体" w:cs="宋体"/>
                <w:color w:val="auto"/>
                <w:sz w:val="21"/>
                <w:szCs w:val="21"/>
                <w:highlight w:val="none"/>
                <w:lang w:val="en-US" w:eastAsia="zh-CN"/>
              </w:rPr>
              <w:t>对</w:t>
            </w:r>
            <w:r>
              <w:rPr>
                <w:rFonts w:hint="eastAsia" w:ascii="宋体" w:hAnsi="宋体" w:eastAsia="宋体" w:cs="宋体"/>
                <w:color w:val="auto"/>
                <w:sz w:val="21"/>
                <w:szCs w:val="21"/>
                <w:highlight w:val="none"/>
                <w:lang w:val="en-US" w:eastAsia="zh-CN"/>
              </w:rPr>
              <w:t>超过质保期的</w:t>
            </w:r>
            <w:r>
              <w:rPr>
                <w:rFonts w:hint="eastAsia" w:hAnsi="宋体" w:cs="宋体"/>
                <w:color w:val="auto"/>
                <w:sz w:val="21"/>
                <w:szCs w:val="21"/>
                <w:highlight w:val="none"/>
                <w:lang w:val="en-US" w:eastAsia="zh-CN"/>
              </w:rPr>
              <w:t>软件系统提供</w:t>
            </w:r>
            <w:r>
              <w:rPr>
                <w:rFonts w:hint="eastAsia" w:ascii="宋体" w:hAnsi="宋体" w:eastAsia="宋体" w:cs="宋体"/>
                <w:color w:val="auto"/>
                <w:sz w:val="21"/>
                <w:szCs w:val="21"/>
                <w:highlight w:val="none"/>
                <w:lang w:val="en-US" w:eastAsia="zh-CN"/>
              </w:rPr>
              <w:t>终</w:t>
            </w:r>
            <w:r>
              <w:rPr>
                <w:rFonts w:hint="eastAsia" w:hAnsi="宋体" w:cs="宋体"/>
                <w:color w:val="auto"/>
                <w:sz w:val="21"/>
                <w:szCs w:val="21"/>
                <w:highlight w:val="none"/>
                <w:lang w:val="en-US" w:eastAsia="zh-CN"/>
              </w:rPr>
              <w:t>身</w:t>
            </w:r>
            <w:r>
              <w:rPr>
                <w:rFonts w:hint="eastAsia" w:ascii="宋体" w:hAnsi="宋体" w:eastAsia="宋体" w:cs="宋体"/>
                <w:color w:val="auto"/>
                <w:sz w:val="21"/>
                <w:szCs w:val="21"/>
                <w:highlight w:val="none"/>
                <w:lang w:val="en-US" w:eastAsia="zh-CN"/>
              </w:rPr>
              <w:t>维</w:t>
            </w:r>
            <w:r>
              <w:rPr>
                <w:rFonts w:hint="eastAsia" w:hAnsi="宋体" w:cs="宋体"/>
                <w:color w:val="auto"/>
                <w:sz w:val="21"/>
                <w:szCs w:val="21"/>
                <w:highlight w:val="none"/>
                <w:lang w:val="en-US" w:eastAsia="zh-CN"/>
              </w:rPr>
              <w:t>护</w:t>
            </w:r>
            <w:r>
              <w:rPr>
                <w:rFonts w:hint="eastAsia" w:ascii="宋体" w:hAnsi="宋体" w:eastAsia="宋体" w:cs="宋体"/>
                <w:color w:val="auto"/>
                <w:sz w:val="21"/>
                <w:szCs w:val="21"/>
                <w:highlight w:val="none"/>
                <w:lang w:val="en-US" w:eastAsia="zh-CN"/>
              </w:rPr>
              <w:t>，维</w:t>
            </w:r>
            <w:r>
              <w:rPr>
                <w:rFonts w:hint="eastAsia" w:hAnsi="宋体" w:cs="宋体"/>
                <w:color w:val="auto"/>
                <w:sz w:val="21"/>
                <w:szCs w:val="21"/>
                <w:highlight w:val="none"/>
                <w:lang w:val="en-US" w:eastAsia="zh-CN"/>
              </w:rPr>
              <w:t>护</w:t>
            </w:r>
            <w:r>
              <w:rPr>
                <w:rFonts w:hint="eastAsia" w:ascii="宋体" w:hAnsi="宋体" w:eastAsia="宋体" w:cs="宋体"/>
                <w:color w:val="auto"/>
                <w:sz w:val="21"/>
                <w:szCs w:val="21"/>
                <w:highlight w:val="none"/>
                <w:lang w:val="en-US" w:eastAsia="zh-CN"/>
              </w:rPr>
              <w:t>时只收</w:t>
            </w:r>
            <w:r>
              <w:rPr>
                <w:rFonts w:hint="eastAsia" w:hAnsi="宋体" w:cs="宋体"/>
                <w:color w:val="auto"/>
                <w:sz w:val="21"/>
                <w:szCs w:val="21"/>
                <w:highlight w:val="none"/>
                <w:lang w:val="en-US" w:eastAsia="zh-CN"/>
              </w:rPr>
              <w:t>取软件维护</w:t>
            </w:r>
            <w:r>
              <w:rPr>
                <w:rFonts w:hint="eastAsia" w:ascii="宋体" w:hAnsi="宋体" w:eastAsia="宋体" w:cs="宋体"/>
                <w:color w:val="auto"/>
                <w:sz w:val="21"/>
                <w:szCs w:val="21"/>
                <w:highlight w:val="none"/>
                <w:lang w:val="en-US" w:eastAsia="zh-CN"/>
              </w:rPr>
              <w:t>费</w:t>
            </w:r>
            <w:r>
              <w:rPr>
                <w:rFonts w:hint="eastAsia" w:hAnsi="宋体" w:cs="宋体"/>
                <w:color w:val="auto"/>
                <w:sz w:val="21"/>
                <w:szCs w:val="21"/>
                <w:highlight w:val="none"/>
                <w:lang w:val="en-US" w:eastAsia="zh-CN"/>
              </w:rPr>
              <w:t>，且应以优惠价格（由采购人与中标人进行协商）提供售后服务</w:t>
            </w:r>
            <w:r>
              <w:rPr>
                <w:rFonts w:hint="eastAsia" w:ascii="宋体" w:hAnsi="宋体" w:eastAsia="宋体" w:cs="宋体"/>
                <w:color w:val="auto"/>
                <w:sz w:val="21"/>
                <w:szCs w:val="21"/>
                <w:highlight w:val="none"/>
                <w:lang w:val="en-US" w:eastAsia="zh-CN"/>
              </w:rPr>
              <w:t>。</w:t>
            </w:r>
          </w:p>
        </w:tc>
      </w:tr>
      <w:tr w14:paraId="649B51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6DFC604A">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4</w:t>
            </w:r>
          </w:p>
        </w:tc>
        <w:tc>
          <w:tcPr>
            <w:tcW w:w="1119" w:type="dxa"/>
            <w:tcBorders>
              <w:left w:val="nil"/>
              <w:right w:val="single" w:color="000000" w:sz="4" w:space="0"/>
            </w:tcBorders>
            <w:shd w:val="clear" w:color="auto" w:fill="auto"/>
            <w:vAlign w:val="center"/>
          </w:tcPr>
          <w:p w14:paraId="02D27EC5">
            <w:pPr>
              <w:keepNext w:val="0"/>
              <w:keepLines w:val="0"/>
              <w:suppressLineNumbers w:val="0"/>
              <w:snapToGrid w:val="0"/>
              <w:spacing w:before="0" w:beforeAutospacing="0" w:after="0" w:afterAutospacing="0" w:line="400" w:lineRule="exact"/>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投标</w:t>
            </w:r>
            <w:r>
              <w:rPr>
                <w:rFonts w:hint="eastAsia" w:ascii="宋体" w:hAnsi="宋体" w:eastAsia="宋体" w:cs="宋体"/>
                <w:color w:val="auto"/>
                <w:sz w:val="21"/>
                <w:szCs w:val="21"/>
                <w:highlight w:val="none"/>
              </w:rPr>
              <w:t>报价</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50086A84">
            <w:pPr>
              <w:pStyle w:val="14"/>
              <w:keepNext w:val="0"/>
              <w:keepLines w:val="0"/>
              <w:suppressLineNumbers w:val="0"/>
              <w:snapToGrid w:val="0"/>
              <w:spacing w:before="0" w:beforeAutospacing="0" w:after="0" w:afterAutospacing="0" w:line="400" w:lineRule="exact"/>
              <w:ind w:left="0" w:leftChars="0" w:right="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投标报价包括</w:t>
            </w:r>
            <w:r>
              <w:rPr>
                <w:rFonts w:hint="eastAsia" w:hAnsi="宋体" w:cs="宋体"/>
                <w:color w:val="auto"/>
                <w:sz w:val="21"/>
                <w:szCs w:val="21"/>
                <w:highlight w:val="none"/>
                <w:lang w:val="en-US" w:eastAsia="zh-CN"/>
              </w:rPr>
              <w:t>产品价格</w:t>
            </w:r>
            <w:r>
              <w:rPr>
                <w:rFonts w:hint="eastAsia" w:ascii="宋体" w:hAnsi="宋体" w:eastAsia="宋体" w:cs="宋体"/>
                <w:color w:val="auto"/>
                <w:sz w:val="21"/>
                <w:szCs w:val="21"/>
                <w:highlight w:val="none"/>
                <w:lang w:val="en-US" w:eastAsia="zh-CN"/>
              </w:rPr>
              <w:t>、</w:t>
            </w:r>
            <w:r>
              <w:rPr>
                <w:rFonts w:hint="eastAsia" w:hAnsi="宋体" w:cs="宋体"/>
                <w:color w:val="auto"/>
                <w:sz w:val="21"/>
                <w:szCs w:val="21"/>
                <w:highlight w:val="none"/>
                <w:lang w:val="en-US" w:eastAsia="zh-CN"/>
              </w:rPr>
              <w:t>技术</w:t>
            </w:r>
            <w:r>
              <w:rPr>
                <w:rFonts w:hint="eastAsia" w:ascii="宋体" w:hAnsi="宋体" w:eastAsia="宋体" w:cs="宋体"/>
                <w:color w:val="auto"/>
                <w:sz w:val="21"/>
                <w:szCs w:val="21"/>
                <w:highlight w:val="none"/>
                <w:lang w:val="en-US" w:eastAsia="zh-CN"/>
              </w:rPr>
              <w:t>服务、随配附件、备品备件、专用工具、包装、运输、装卸、保险、运抵指定交货地点、送货上门服务、现场安装调试、保修、售后服务、</w:t>
            </w:r>
            <w:r>
              <w:rPr>
                <w:rFonts w:hint="eastAsia" w:ascii="宋体" w:hAnsi="宋体" w:eastAsia="宋体" w:cs="宋体"/>
                <w:color w:val="auto"/>
                <w:sz w:val="21"/>
                <w:szCs w:val="21"/>
                <w:highlight w:val="none"/>
              </w:rPr>
              <w:t>系统升级和维护</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培训、验收、税金</w:t>
            </w:r>
            <w:r>
              <w:rPr>
                <w:rFonts w:hint="eastAsia" w:ascii="宋体" w:hAnsi="宋体" w:eastAsia="宋体" w:cs="宋体"/>
                <w:color w:val="auto"/>
                <w:sz w:val="21"/>
                <w:szCs w:val="21"/>
                <w:highlight w:val="none"/>
              </w:rPr>
              <w:t>等直至设备运行交付使用的一切费用，</w:t>
            </w:r>
            <w:r>
              <w:rPr>
                <w:rFonts w:hint="eastAsia" w:ascii="宋体" w:hAnsi="宋体" w:eastAsia="宋体" w:cs="宋体"/>
                <w:color w:val="auto"/>
                <w:sz w:val="21"/>
                <w:szCs w:val="21"/>
                <w:highlight w:val="none"/>
                <w:lang w:val="en-US" w:eastAsia="zh-CN"/>
              </w:rPr>
              <w:t>投标人</w:t>
            </w:r>
            <w:r>
              <w:rPr>
                <w:rFonts w:hint="eastAsia" w:ascii="宋体" w:hAnsi="宋体" w:eastAsia="宋体" w:cs="宋体"/>
                <w:color w:val="auto"/>
                <w:sz w:val="21"/>
                <w:szCs w:val="21"/>
                <w:highlight w:val="none"/>
              </w:rPr>
              <w:t>不得以任何理由要求采购人另行支付其他任何费用</w:t>
            </w:r>
            <w:r>
              <w:rPr>
                <w:rFonts w:hint="eastAsia" w:ascii="宋体" w:hAnsi="宋体" w:eastAsia="宋体" w:cs="宋体"/>
                <w:color w:val="auto"/>
                <w:sz w:val="21"/>
                <w:szCs w:val="21"/>
                <w:highlight w:val="none"/>
                <w:lang w:val="en-US" w:eastAsia="zh-CN"/>
              </w:rPr>
              <w:t xml:space="preserve">。 </w:t>
            </w:r>
          </w:p>
        </w:tc>
      </w:tr>
      <w:tr w14:paraId="7C52D0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2FA92E09">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5</w:t>
            </w:r>
          </w:p>
        </w:tc>
        <w:tc>
          <w:tcPr>
            <w:tcW w:w="1119" w:type="dxa"/>
            <w:tcBorders>
              <w:left w:val="nil"/>
              <w:right w:val="single" w:color="000000" w:sz="4" w:space="0"/>
            </w:tcBorders>
            <w:shd w:val="clear" w:color="auto" w:fill="auto"/>
            <w:vAlign w:val="center"/>
          </w:tcPr>
          <w:p w14:paraId="6578ACCB">
            <w:pPr>
              <w:keepNext w:val="0"/>
              <w:keepLines w:val="0"/>
              <w:suppressLineNumbers w:val="0"/>
              <w:snapToGrid w:val="0"/>
              <w:spacing w:before="0" w:beforeAutospacing="0" w:after="0" w:afterAutospacing="0" w:line="400" w:lineRule="exact"/>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▲交</w:t>
            </w:r>
            <w:r>
              <w:rPr>
                <w:rFonts w:hint="eastAsia" w:hAnsi="宋体" w:cs="宋体"/>
                <w:color w:val="auto"/>
                <w:sz w:val="21"/>
                <w:szCs w:val="21"/>
                <w:highlight w:val="none"/>
                <w:lang w:val="en-US" w:eastAsia="zh-CN"/>
              </w:rPr>
              <w:t>付</w:t>
            </w:r>
            <w:r>
              <w:rPr>
                <w:rFonts w:hint="eastAsia" w:ascii="宋体" w:hAnsi="宋体" w:eastAsia="宋体" w:cs="宋体"/>
                <w:color w:val="auto"/>
                <w:sz w:val="21"/>
                <w:szCs w:val="21"/>
                <w:highlight w:val="none"/>
              </w:rPr>
              <w:t>方式</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4658A70F">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1.交</w:t>
            </w:r>
            <w:r>
              <w:rPr>
                <w:rFonts w:hint="eastAsia" w:hAnsi="宋体" w:cs="宋体"/>
                <w:color w:val="auto"/>
                <w:sz w:val="21"/>
                <w:szCs w:val="21"/>
                <w:highlight w:val="none"/>
                <w:lang w:val="en-US" w:eastAsia="zh-CN"/>
              </w:rPr>
              <w:t>付</w:t>
            </w:r>
            <w:r>
              <w:rPr>
                <w:rFonts w:hint="eastAsia" w:ascii="宋体" w:hAnsi="宋体" w:eastAsia="宋体" w:cs="宋体"/>
                <w:color w:val="auto"/>
                <w:sz w:val="21"/>
                <w:szCs w:val="21"/>
                <w:highlight w:val="none"/>
                <w:lang w:val="en-US" w:eastAsia="zh-CN"/>
              </w:rPr>
              <w:t>时间： 接到采购人</w:t>
            </w:r>
            <w:r>
              <w:rPr>
                <w:rFonts w:hint="eastAsia" w:ascii="宋体" w:hAnsi="宋体" w:cs="宋体"/>
                <w:color w:val="auto"/>
                <w:sz w:val="21"/>
                <w:szCs w:val="21"/>
                <w:highlight w:val="none"/>
                <w:lang w:val="en-US" w:eastAsia="zh-CN"/>
              </w:rPr>
              <w:t>交付</w:t>
            </w:r>
            <w:r>
              <w:rPr>
                <w:rFonts w:hint="eastAsia" w:ascii="宋体" w:hAnsi="宋体" w:eastAsia="宋体" w:cs="宋体"/>
                <w:color w:val="auto"/>
                <w:sz w:val="21"/>
                <w:szCs w:val="21"/>
                <w:highlight w:val="none"/>
                <w:lang w:val="en-US" w:eastAsia="zh-CN"/>
              </w:rPr>
              <w:t>通知后</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日内</w:t>
            </w:r>
            <w:r>
              <w:rPr>
                <w:rFonts w:ascii="Segoe UI" w:hAnsi="Segoe UI" w:eastAsia="Segoe UI" w:cs="Segoe UI"/>
                <w:i w:val="0"/>
                <w:iCs w:val="0"/>
                <w:caps w:val="0"/>
                <w:color w:val="auto"/>
                <w:spacing w:val="0"/>
                <w:sz w:val="22"/>
                <w:szCs w:val="22"/>
                <w:highlight w:val="none"/>
                <w:shd w:val="clear" w:fill="FFFFFF"/>
              </w:rPr>
              <w:t>完成系统的交付</w:t>
            </w:r>
            <w:r>
              <w:rPr>
                <w:rFonts w:hint="eastAsia" w:ascii="宋体" w:hAnsi="宋体" w:eastAsia="宋体" w:cs="宋体"/>
                <w:color w:val="auto"/>
                <w:sz w:val="21"/>
                <w:szCs w:val="21"/>
                <w:highlight w:val="none"/>
                <w:lang w:val="en-US" w:eastAsia="zh-CN"/>
              </w:rPr>
              <w:t xml:space="preserve">。                                  </w:t>
            </w:r>
          </w:p>
          <w:p w14:paraId="6F7DAF92">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2.交</w:t>
            </w:r>
            <w:r>
              <w:rPr>
                <w:rFonts w:hint="eastAsia" w:hAnsi="宋体" w:cs="宋体"/>
                <w:color w:val="auto"/>
                <w:sz w:val="21"/>
                <w:szCs w:val="21"/>
                <w:highlight w:val="none"/>
                <w:lang w:val="en-US" w:eastAsia="zh-CN"/>
              </w:rPr>
              <w:t>付</w:t>
            </w:r>
            <w:r>
              <w:rPr>
                <w:rFonts w:hint="eastAsia" w:ascii="宋体" w:hAnsi="宋体" w:eastAsia="宋体" w:cs="宋体"/>
                <w:color w:val="auto"/>
                <w:sz w:val="21"/>
                <w:szCs w:val="21"/>
                <w:highlight w:val="none"/>
                <w:lang w:val="en-US" w:eastAsia="zh-CN"/>
              </w:rPr>
              <w:t>地点： 采购人指定地点</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 xml:space="preserve">   </w:t>
            </w:r>
          </w:p>
        </w:tc>
      </w:tr>
      <w:tr w14:paraId="322E6A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389CD840">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6</w:t>
            </w:r>
          </w:p>
        </w:tc>
        <w:tc>
          <w:tcPr>
            <w:tcW w:w="1119" w:type="dxa"/>
            <w:tcBorders>
              <w:left w:val="nil"/>
              <w:right w:val="single" w:color="000000" w:sz="4" w:space="0"/>
            </w:tcBorders>
            <w:shd w:val="clear" w:color="auto" w:fill="auto"/>
            <w:vAlign w:val="center"/>
          </w:tcPr>
          <w:p w14:paraId="773A28AC">
            <w:pPr>
              <w:keepNext w:val="0"/>
              <w:keepLines w:val="0"/>
              <w:suppressLineNumbers w:val="0"/>
              <w:spacing w:before="0" w:beforeAutospacing="0" w:after="0" w:afterAutospacing="0" w:line="360" w:lineRule="exact"/>
              <w:ind w:left="0" w:right="0"/>
              <w:jc w:val="center"/>
              <w:rPr>
                <w:rFonts w:hint="default" w:ascii="宋体" w:hAnsi="宋体" w:eastAsia="宋体" w:cs="宋体"/>
                <w:b/>
                <w:color w:val="auto"/>
                <w:kern w:val="2"/>
                <w:sz w:val="21"/>
                <w:szCs w:val="21"/>
                <w:highlight w:val="none"/>
                <w:lang w:val="en-US" w:eastAsia="zh-CN" w:bidi="ar-SA"/>
              </w:rPr>
            </w:pPr>
            <w:r>
              <w:rPr>
                <w:rFonts w:hint="eastAsia" w:ascii="宋体" w:hAnsi="宋体" w:cs="宋体"/>
                <w:b w:val="0"/>
                <w:bCs/>
                <w:color w:val="auto"/>
                <w:kern w:val="2"/>
                <w:sz w:val="21"/>
                <w:szCs w:val="21"/>
                <w:highlight w:val="none"/>
                <w:lang w:val="en-US" w:eastAsia="zh-CN" w:bidi="ar-SA"/>
              </w:rPr>
              <w:t>软件部署要求</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14920D85">
            <w:pPr>
              <w:keepNext w:val="0"/>
              <w:keepLines w:val="0"/>
              <w:suppressLineNumbers w:val="0"/>
              <w:spacing w:before="0" w:beforeAutospacing="0" w:after="0" w:afterAutospacing="0" w:line="360" w:lineRule="exact"/>
              <w:ind w:left="0" w:right="0"/>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中</w:t>
            </w:r>
            <w:r>
              <w:rPr>
                <w:rFonts w:hint="eastAsia" w:ascii="宋体" w:hAnsi="宋体" w:eastAsia="宋体" w:cs="宋体"/>
                <w:color w:val="auto"/>
                <w:kern w:val="2"/>
                <w:sz w:val="21"/>
                <w:szCs w:val="21"/>
                <w:highlight w:val="none"/>
                <w:lang w:val="en-US" w:eastAsia="zh-CN" w:bidi="ar-SA"/>
              </w:rPr>
              <w:t>标人应负责软件系统在采购人指定环境中的部署实施，确保系统稳定运行。部署前应完成环境检测并出具符合性报告；部署实施应依据经采购人确认的部署方案执行，关键步骤记录留存；涉及数据迁移的应编制迁移方案并校验数据完整性；部署完成后应配合完成联调测试，各项功能及性能指标应满足技术规格书要求。部署完成后提交部署完成报告并经采购人签字确认。</w:t>
            </w:r>
          </w:p>
        </w:tc>
      </w:tr>
      <w:tr w14:paraId="424188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153F42D0">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7</w:t>
            </w:r>
          </w:p>
        </w:tc>
        <w:tc>
          <w:tcPr>
            <w:tcW w:w="1119" w:type="dxa"/>
            <w:tcBorders>
              <w:left w:val="nil"/>
              <w:right w:val="single" w:color="000000" w:sz="4" w:space="0"/>
            </w:tcBorders>
            <w:shd w:val="clear" w:color="auto" w:fill="auto"/>
            <w:vAlign w:val="center"/>
          </w:tcPr>
          <w:p w14:paraId="0A8B7F94">
            <w:pPr>
              <w:keepNext w:val="0"/>
              <w:keepLines w:val="0"/>
              <w:suppressLineNumbers w:val="0"/>
              <w:snapToGrid w:val="0"/>
              <w:spacing w:before="0" w:beforeAutospacing="0" w:after="0" w:afterAutospacing="0" w:line="360" w:lineRule="auto"/>
              <w:ind w:left="0" w:leftChars="0" w:right="0" w:rightChars="0"/>
              <w:jc w:val="center"/>
              <w:outlineLvl w:val="0"/>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安装调试及验收</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2C10B2BA">
            <w:pPr>
              <w:keepNext w:val="0"/>
              <w:keepLines w:val="0"/>
              <w:suppressLineNumbers w:val="0"/>
              <w:spacing w:before="0" w:beforeAutospacing="0" w:after="0" w:afterAutospacing="0" w:line="360" w:lineRule="exact"/>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安装调试：</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rPr>
              <w:t>应委派技术人员进行安装、调试，并提供</w:t>
            </w:r>
            <w:r>
              <w:rPr>
                <w:rFonts w:hint="eastAsia" w:ascii="宋体" w:hAnsi="宋体" w:cs="宋体"/>
                <w:color w:val="auto"/>
                <w:sz w:val="21"/>
                <w:szCs w:val="21"/>
                <w:highlight w:val="none"/>
                <w:lang w:val="en-US" w:eastAsia="zh-CN"/>
              </w:rPr>
              <w:t>软件</w:t>
            </w:r>
            <w:r>
              <w:rPr>
                <w:rFonts w:hint="eastAsia" w:ascii="宋体" w:hAnsi="宋体" w:eastAsia="宋体" w:cs="宋体"/>
                <w:color w:val="auto"/>
                <w:sz w:val="21"/>
                <w:szCs w:val="21"/>
                <w:highlight w:val="none"/>
              </w:rPr>
              <w:t>安装调试的一切技术支持。安装调试的具体时间由采购</w:t>
            </w:r>
            <w:r>
              <w:rPr>
                <w:rFonts w:hint="eastAsia" w:ascii="宋体" w:hAnsi="宋体" w:cs="宋体"/>
                <w:color w:val="auto"/>
                <w:sz w:val="21"/>
                <w:szCs w:val="21"/>
                <w:highlight w:val="none"/>
                <w:lang w:val="en-US" w:eastAsia="zh-CN"/>
              </w:rPr>
              <w:t>人</w:t>
            </w:r>
            <w:r>
              <w:rPr>
                <w:rFonts w:hint="eastAsia" w:ascii="宋体" w:hAnsi="宋体" w:eastAsia="宋体" w:cs="宋体"/>
                <w:color w:val="auto"/>
                <w:sz w:val="21"/>
                <w:szCs w:val="21"/>
                <w:highlight w:val="none"/>
              </w:rPr>
              <w:t>提前3天通知</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rPr>
              <w:t>须在7天之内完成安装、调试。</w:t>
            </w:r>
            <w:r>
              <w:rPr>
                <w:rFonts w:hint="eastAsia" w:ascii="宋体" w:hAnsi="宋体" w:cs="宋体"/>
                <w:color w:val="auto"/>
                <w:sz w:val="21"/>
                <w:szCs w:val="21"/>
                <w:highlight w:val="none"/>
                <w:lang w:val="en-US" w:eastAsia="zh-CN"/>
              </w:rPr>
              <w:t>软件</w:t>
            </w:r>
            <w:r>
              <w:rPr>
                <w:rFonts w:hint="eastAsia" w:ascii="宋体" w:hAnsi="宋体" w:eastAsia="宋体" w:cs="宋体"/>
                <w:color w:val="auto"/>
                <w:sz w:val="21"/>
                <w:szCs w:val="21"/>
                <w:highlight w:val="none"/>
              </w:rPr>
              <w:t>经安装调试无法正常</w:t>
            </w:r>
            <w:r>
              <w:rPr>
                <w:rFonts w:hint="eastAsia" w:ascii="宋体" w:hAnsi="宋体" w:cs="宋体"/>
                <w:color w:val="auto"/>
                <w:sz w:val="21"/>
                <w:szCs w:val="21"/>
                <w:highlight w:val="none"/>
                <w:lang w:val="en-US" w:eastAsia="zh-CN"/>
              </w:rPr>
              <w:t>使用</w:t>
            </w:r>
            <w:r>
              <w:rPr>
                <w:rFonts w:hint="eastAsia" w:ascii="宋体" w:hAnsi="宋体" w:eastAsia="宋体" w:cs="宋体"/>
                <w:color w:val="auto"/>
                <w:sz w:val="21"/>
                <w:szCs w:val="21"/>
                <w:highlight w:val="none"/>
              </w:rPr>
              <w:t>的，采购</w:t>
            </w:r>
            <w:r>
              <w:rPr>
                <w:rFonts w:hint="eastAsia" w:ascii="宋体" w:hAnsi="宋体" w:eastAsia="宋体" w:cs="宋体"/>
                <w:color w:val="auto"/>
                <w:sz w:val="21"/>
                <w:szCs w:val="21"/>
                <w:highlight w:val="none"/>
                <w:lang w:val="en-US" w:eastAsia="zh-CN"/>
              </w:rPr>
              <w:t>人</w:t>
            </w:r>
            <w:r>
              <w:rPr>
                <w:rFonts w:hint="eastAsia" w:ascii="宋体" w:hAnsi="宋体" w:eastAsia="宋体" w:cs="宋体"/>
                <w:color w:val="auto"/>
                <w:sz w:val="21"/>
                <w:szCs w:val="21"/>
                <w:highlight w:val="none"/>
              </w:rPr>
              <w:t>有权拒收，安装调试费由</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rPr>
              <w:t>承担。</w:t>
            </w:r>
          </w:p>
          <w:p w14:paraId="4EB0BD8E">
            <w:pPr>
              <w:keepNext w:val="0"/>
              <w:keepLines w:val="0"/>
              <w:suppressLineNumbers w:val="0"/>
              <w:spacing w:before="0" w:beforeAutospacing="0" w:after="0" w:afterAutospacing="0" w:line="360" w:lineRule="exact"/>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验收：按照合同约定的标准执行。合同约定标准包括国家标准、行业标准及产品标准，多项标准并存的，以要求较高者为准。</w:t>
            </w:r>
            <w:r>
              <w:rPr>
                <w:rFonts w:ascii="Segoe UI" w:hAnsi="Segoe UI" w:eastAsia="Segoe UI" w:cs="Segoe UI"/>
                <w:i w:val="0"/>
                <w:iCs w:val="0"/>
                <w:caps w:val="0"/>
                <w:color w:val="auto"/>
                <w:spacing w:val="0"/>
                <w:sz w:val="22"/>
                <w:szCs w:val="22"/>
                <w:highlight w:val="none"/>
                <w:shd w:val="clear" w:fill="FAFAFA"/>
              </w:rPr>
              <w:t>验收时如发现所交付的软件存在组件缺失、功能缺陷、质量不合格或其他不符合本合同约定情形的，中标人须按合同约定予以补足或修复，由此产生的全部费用由中标人承担</w:t>
            </w:r>
            <w:r>
              <w:rPr>
                <w:rFonts w:hint="eastAsia" w:ascii="宋体" w:hAnsi="宋体" w:eastAsia="宋体" w:cs="宋体"/>
                <w:color w:val="auto"/>
                <w:sz w:val="21"/>
                <w:szCs w:val="21"/>
                <w:highlight w:val="none"/>
              </w:rPr>
              <w:t>。</w:t>
            </w:r>
          </w:p>
          <w:p w14:paraId="5859CBF6">
            <w:pPr>
              <w:keepNext w:val="0"/>
              <w:keepLines w:val="0"/>
              <w:suppressLineNumbers w:val="0"/>
              <w:spacing w:before="0" w:beforeAutospacing="0" w:after="0" w:afterAutospacing="0" w:line="360" w:lineRule="exact"/>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w:t>
            </w:r>
            <w:r>
              <w:rPr>
                <w:rFonts w:ascii="Segoe UI" w:hAnsi="Segoe UI" w:eastAsia="Segoe UI" w:cs="Segoe UI"/>
                <w:i w:val="0"/>
                <w:iCs w:val="0"/>
                <w:caps w:val="0"/>
                <w:color w:val="auto"/>
                <w:spacing w:val="0"/>
                <w:sz w:val="22"/>
                <w:szCs w:val="22"/>
                <w:highlight w:val="none"/>
                <w:shd w:val="clear" w:fill="FAFAFA"/>
              </w:rPr>
              <w:t>中标人提供的软件名称、版本号、开发商及供应商信息应与合同约定一致。如因软件信息与合同约定不一致致使验收无法通过的，中标人须在约定的交付期限内完成整改；由此产生的全部费用由中标人承担。中标人未能在约定期限内完成整改的，应承担逾期交付的违约责任</w:t>
            </w:r>
            <w:r>
              <w:rPr>
                <w:rFonts w:hint="eastAsia" w:ascii="宋体" w:hAnsi="宋体" w:eastAsia="宋体" w:cs="宋体"/>
                <w:color w:val="auto"/>
                <w:sz w:val="21"/>
                <w:szCs w:val="21"/>
                <w:highlight w:val="none"/>
              </w:rPr>
              <w:t>。</w:t>
            </w:r>
          </w:p>
          <w:p w14:paraId="2AD963A5">
            <w:pPr>
              <w:keepNext w:val="0"/>
              <w:keepLines w:val="0"/>
              <w:suppressLineNumbers w:val="0"/>
              <w:spacing w:before="0" w:beforeAutospacing="0" w:after="0" w:afterAutospacing="0" w:line="360" w:lineRule="exact"/>
              <w:ind w:left="0" w:righ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其他未尽事宜应严格参照《关于印发广西壮族自治区政府采购项目履约验收管理办法的通知》[桂财采〔2015〕22号]以及《财政部关于进一步加强政府采购需求和履约验收管理的指导意见》[财库〔2016〕205 号]规定执行。</w:t>
            </w:r>
          </w:p>
        </w:tc>
      </w:tr>
      <w:tr w14:paraId="6C8CB7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0" w:hRule="atLeast"/>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03410AE1">
            <w:pPr>
              <w:keepNext w:val="0"/>
              <w:keepLines w:val="0"/>
              <w:suppressLineNumbers w:val="0"/>
              <w:bidi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8</w:t>
            </w:r>
          </w:p>
        </w:tc>
        <w:tc>
          <w:tcPr>
            <w:tcW w:w="1119" w:type="dxa"/>
            <w:tcBorders>
              <w:left w:val="nil"/>
              <w:right w:val="single" w:color="000000" w:sz="4" w:space="0"/>
            </w:tcBorders>
            <w:shd w:val="clear" w:color="auto" w:fill="auto"/>
            <w:vAlign w:val="center"/>
          </w:tcPr>
          <w:p w14:paraId="581D22CA">
            <w:pPr>
              <w:keepNext w:val="0"/>
              <w:keepLines w:val="0"/>
              <w:suppressLineNumbers w:val="0"/>
              <w:snapToGrid w:val="0"/>
              <w:spacing w:before="0" w:beforeAutospacing="0" w:after="0" w:afterAutospacing="0" w:line="400" w:lineRule="exact"/>
              <w:ind w:left="0" w:right="0"/>
              <w:jc w:val="center"/>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rPr>
              <w:t>付款条件</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189D3F60">
            <w:pPr>
              <w:keepNext w:val="0"/>
              <w:keepLines w:val="0"/>
              <w:suppressLineNumbers w:val="0"/>
              <w:spacing w:before="0" w:beforeAutospacing="0" w:after="0" w:afterAutospacing="0" w:line="360" w:lineRule="exact"/>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color w:val="auto"/>
                <w:sz w:val="21"/>
                <w:szCs w:val="21"/>
                <w:highlight w:val="none"/>
                <w:lang w:val="en-US" w:eastAsia="zh-CN"/>
              </w:rPr>
              <w:t>软件</w:t>
            </w:r>
            <w:r>
              <w:rPr>
                <w:rFonts w:hint="eastAsia" w:ascii="宋体" w:hAnsi="宋体"/>
                <w:color w:val="auto"/>
                <w:sz w:val="21"/>
                <w:szCs w:val="21"/>
                <w:highlight w:val="none"/>
              </w:rPr>
              <w:t>验收合格后，</w:t>
            </w:r>
            <w:r>
              <w:rPr>
                <w:rFonts w:hint="eastAsia" w:ascii="宋体" w:hAnsi="宋体"/>
                <w:color w:val="auto"/>
                <w:sz w:val="21"/>
                <w:szCs w:val="21"/>
                <w:highlight w:val="none"/>
                <w:lang w:val="en-US" w:eastAsia="zh-CN"/>
              </w:rPr>
              <w:t>中标人</w:t>
            </w:r>
            <w:r>
              <w:rPr>
                <w:rFonts w:hint="eastAsia" w:ascii="宋体" w:hAnsi="宋体"/>
                <w:color w:val="auto"/>
                <w:sz w:val="21"/>
                <w:szCs w:val="21"/>
                <w:highlight w:val="none"/>
              </w:rPr>
              <w:t>应向</w:t>
            </w:r>
            <w:r>
              <w:rPr>
                <w:rFonts w:hint="eastAsia" w:ascii="宋体" w:hAnsi="宋体"/>
                <w:color w:val="auto"/>
                <w:sz w:val="21"/>
                <w:szCs w:val="21"/>
                <w:highlight w:val="none"/>
                <w:lang w:val="en-US" w:eastAsia="zh-CN"/>
              </w:rPr>
              <w:t>采购人</w:t>
            </w:r>
            <w:r>
              <w:rPr>
                <w:rFonts w:hint="eastAsia" w:ascii="宋体" w:hAnsi="宋体"/>
                <w:color w:val="auto"/>
                <w:sz w:val="21"/>
                <w:szCs w:val="21"/>
                <w:highlight w:val="none"/>
              </w:rPr>
              <w:t>开具合法增值税专用发票，</w:t>
            </w:r>
            <w:r>
              <w:rPr>
                <w:rFonts w:hint="eastAsia" w:ascii="宋体" w:hAnsi="宋体"/>
                <w:color w:val="auto"/>
                <w:sz w:val="21"/>
                <w:szCs w:val="21"/>
                <w:highlight w:val="none"/>
                <w:lang w:val="en-US" w:eastAsia="zh-CN"/>
              </w:rPr>
              <w:t>采购人</w:t>
            </w:r>
            <w:r>
              <w:rPr>
                <w:rFonts w:hint="eastAsia" w:ascii="宋体" w:hAnsi="宋体"/>
                <w:color w:val="auto"/>
                <w:sz w:val="21"/>
                <w:szCs w:val="21"/>
                <w:highlight w:val="none"/>
              </w:rPr>
              <w:t>在30日内支付</w:t>
            </w:r>
            <w:r>
              <w:rPr>
                <w:rFonts w:hint="eastAsia" w:ascii="宋体" w:hAnsi="宋体"/>
                <w:color w:val="auto"/>
                <w:sz w:val="21"/>
                <w:szCs w:val="21"/>
                <w:highlight w:val="none"/>
                <w:lang w:val="en-US" w:eastAsia="zh-CN"/>
              </w:rPr>
              <w:t>合同价款</w:t>
            </w:r>
            <w:r>
              <w:rPr>
                <w:rFonts w:hint="eastAsia" w:ascii="宋体" w:hAnsi="宋体" w:eastAsia="宋体" w:cs="宋体"/>
                <w:color w:val="auto"/>
                <w:sz w:val="21"/>
                <w:szCs w:val="21"/>
                <w:highlight w:val="none"/>
              </w:rPr>
              <w:t>。</w:t>
            </w:r>
          </w:p>
          <w:p w14:paraId="3FEEE928">
            <w:pPr>
              <w:keepNext w:val="0"/>
              <w:keepLines w:val="0"/>
              <w:suppressLineNumbers w:val="0"/>
              <w:spacing w:before="0" w:beforeAutospacing="0" w:after="0" w:afterAutospacing="0" w:line="400" w:lineRule="exact"/>
              <w:ind w:left="0" w:right="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rPr>
              <w:t>必须按照采购人要求提供真实、有效、合法的正式发票。一旦发现</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rPr>
              <w:t>提供虚假发票，除须向采购人补开合法发票外，采购人有权向税务机关投诉，并扣除全部履约保证金。</w:t>
            </w:r>
          </w:p>
        </w:tc>
      </w:tr>
      <w:tr w14:paraId="3B0089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10" w:hRule="atLeast"/>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458ABB81">
            <w:pPr>
              <w:keepNext w:val="0"/>
              <w:keepLines w:val="0"/>
              <w:suppressLineNumbers w:val="0"/>
              <w:bidi w:val="0"/>
              <w:spacing w:before="0" w:beforeAutospacing="0" w:after="0" w:afterAutospacing="0"/>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9</w:t>
            </w:r>
          </w:p>
        </w:tc>
        <w:tc>
          <w:tcPr>
            <w:tcW w:w="1119" w:type="dxa"/>
            <w:tcBorders>
              <w:left w:val="nil"/>
              <w:right w:val="single" w:color="000000" w:sz="4" w:space="0"/>
            </w:tcBorders>
            <w:shd w:val="clear" w:color="auto" w:fill="auto"/>
            <w:vAlign w:val="center"/>
          </w:tcPr>
          <w:p w14:paraId="42B7DA5C">
            <w:pPr>
              <w:keepNext w:val="0"/>
              <w:keepLines w:val="0"/>
              <w:suppressLineNumbers w:val="0"/>
              <w:snapToGrid w:val="0"/>
              <w:spacing w:before="0" w:beforeAutospacing="0" w:after="0" w:afterAutospacing="0" w:line="400" w:lineRule="exact"/>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lang w:val="en-US" w:eastAsia="zh-CN"/>
              </w:rPr>
              <w:t>核心产品</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52827478">
            <w:pPr>
              <w:pStyle w:val="14"/>
              <w:keepNext w:val="0"/>
              <w:keepLines w:val="0"/>
              <w:suppressLineNumbers w:val="0"/>
              <w:snapToGrid w:val="0"/>
              <w:spacing w:before="0" w:beforeAutospacing="0" w:after="0" w:afterAutospacing="0" w:line="360" w:lineRule="auto"/>
              <w:ind w:left="0" w:leftChars="0" w:right="0" w:rightChars="0"/>
              <w:outlineLvl w:val="0"/>
              <w:rPr>
                <w:rFonts w:hint="eastAsia" w:ascii="宋体" w:hAnsi="宋体" w:eastAsia="宋体" w:cs="宋体"/>
                <w:b/>
                <w:bCs/>
                <w:color w:val="auto"/>
                <w:kern w:val="2"/>
                <w:sz w:val="21"/>
                <w:szCs w:val="21"/>
                <w:highlight w:val="none"/>
                <w:lang w:val="en-US" w:eastAsia="zh-CN" w:bidi="ar"/>
              </w:rPr>
            </w:pPr>
            <w:r>
              <w:rPr>
                <w:rFonts w:hint="eastAsia" w:ascii="宋体" w:hAnsi="宋体" w:eastAsia="宋体" w:cs="宋体"/>
                <w:color w:val="auto"/>
                <w:sz w:val="21"/>
                <w:szCs w:val="21"/>
                <w:highlight w:val="none"/>
                <w:lang w:val="en-US" w:eastAsia="zh-CN"/>
              </w:rPr>
              <w:t>核心产品：本项目的核心产品为</w:t>
            </w:r>
            <w:r>
              <w:rPr>
                <w:rFonts w:hint="eastAsia" w:ascii="宋体" w:hAnsi="宋体" w:eastAsia="宋体" w:cs="宋体"/>
                <w:color w:val="auto"/>
                <w:sz w:val="21"/>
                <w:szCs w:val="21"/>
                <w:highlight w:val="none"/>
                <w:u w:val="single"/>
                <w:lang w:val="en-US" w:eastAsia="zh-CN"/>
              </w:rPr>
              <w:t xml:space="preserve">“ </w:t>
            </w:r>
            <w:r>
              <w:rPr>
                <w:rFonts w:hint="eastAsia" w:hAnsi="宋体" w:cs="宋体"/>
                <w:color w:val="auto"/>
                <w:sz w:val="21"/>
                <w:szCs w:val="21"/>
                <w:highlight w:val="none"/>
                <w:u w:val="single"/>
                <w:lang w:val="en-US" w:eastAsia="zh-CN"/>
              </w:rPr>
              <w:t>序号1：</w:t>
            </w:r>
            <w:r>
              <w:rPr>
                <w:rFonts w:hint="eastAsia" w:hAnsi="宋体" w:cs="宋体"/>
                <w:color w:val="auto"/>
                <w:szCs w:val="21"/>
                <w:highlight w:val="none"/>
                <w:u w:val="single"/>
              </w:rPr>
              <w:t>数字人解剖学系统（服务器端）</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lang w:val="en-US" w:eastAsia="zh-CN"/>
              </w:rPr>
              <w:t>。</w:t>
            </w:r>
            <w:r>
              <w:rPr>
                <w:rFonts w:hint="eastAsia" w:ascii="宋体" w:hAnsi="宋体" w:eastAsia="宋体" w:cs="宋体"/>
                <w:b/>
                <w:bCs/>
                <w:color w:val="auto"/>
                <w:kern w:val="2"/>
                <w:sz w:val="21"/>
                <w:szCs w:val="21"/>
                <w:highlight w:val="none"/>
                <w:lang w:val="en-US" w:eastAsia="zh-CN" w:bidi="ar"/>
              </w:rPr>
              <w:t>核心产品品牌相同的，视为提供同品牌产品。核心产品提供相同品牌产品且通过资格审查、符合性审查的不同投标人参加同一合同项下投标的，按一家投标人计算，采用最低评标价法则以报价最低者参与评标，采用综合评分法则以评审得分最高者获得中标人推荐资格，采用最低评标价法报价相同的或者采用综合评分法评审得分相同的，按“投标人须知前附表”规定方式确定，确定后其他同品牌投标人投标无效或不作为中标候选人。</w:t>
            </w:r>
          </w:p>
        </w:tc>
      </w:tr>
      <w:tr w14:paraId="75C0A5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atLeast"/>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73D7EB79">
            <w:pPr>
              <w:keepNext w:val="0"/>
              <w:keepLines w:val="0"/>
              <w:suppressLineNumbers w:val="0"/>
              <w:bidi w:val="0"/>
              <w:spacing w:before="0" w:beforeAutospacing="0" w:after="0" w:afterAutospacing="0"/>
              <w:ind w:left="0" w:leftChars="0"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0</w:t>
            </w:r>
          </w:p>
        </w:tc>
        <w:tc>
          <w:tcPr>
            <w:tcW w:w="1119" w:type="dxa"/>
            <w:tcBorders>
              <w:left w:val="nil"/>
              <w:right w:val="single" w:color="000000" w:sz="4" w:space="0"/>
            </w:tcBorders>
            <w:shd w:val="clear" w:color="auto" w:fill="auto"/>
            <w:vAlign w:val="center"/>
          </w:tcPr>
          <w:p w14:paraId="41F54A2D">
            <w:pPr>
              <w:keepNext w:val="0"/>
              <w:keepLines w:val="0"/>
              <w:suppressLineNumbers w:val="0"/>
              <w:snapToGrid w:val="0"/>
              <w:spacing w:before="0" w:beforeAutospacing="0" w:after="0" w:afterAutospacing="0" w:line="400" w:lineRule="exact"/>
              <w:ind w:left="0" w:leftChars="0"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进品产品</w:t>
            </w:r>
          </w:p>
        </w:tc>
        <w:tc>
          <w:tcPr>
            <w:tcW w:w="7772" w:type="dxa"/>
            <w:gridSpan w:val="4"/>
            <w:tcBorders>
              <w:top w:val="single" w:color="000000" w:sz="4" w:space="0"/>
              <w:left w:val="nil"/>
              <w:bottom w:val="single" w:color="000000" w:sz="4" w:space="0"/>
              <w:right w:val="single" w:color="000000" w:sz="4" w:space="0"/>
            </w:tcBorders>
            <w:shd w:val="clear" w:color="auto" w:fill="auto"/>
            <w:vAlign w:val="center"/>
          </w:tcPr>
          <w:p w14:paraId="204D43B3">
            <w:pPr>
              <w:pStyle w:val="14"/>
              <w:keepNext w:val="0"/>
              <w:keepLines w:val="0"/>
              <w:suppressLineNumbers w:val="0"/>
              <w:snapToGrid w:val="0"/>
              <w:spacing w:before="0" w:beforeAutospacing="0" w:after="0" w:afterAutospacing="0" w:line="360" w:lineRule="auto"/>
              <w:ind w:left="0" w:leftChars="0" w:right="0" w:rightChars="0"/>
              <w:jc w:val="left"/>
              <w:outlineLvl w:val="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是否接受进口产品: 不</w:t>
            </w:r>
            <w:r>
              <w:rPr>
                <w:rFonts w:hint="eastAsia" w:ascii="宋体" w:hAnsi="宋体" w:eastAsia="宋体" w:cs="宋体"/>
                <w:b/>
                <w:bCs/>
                <w:color w:val="auto"/>
                <w:kern w:val="2"/>
                <w:sz w:val="21"/>
                <w:szCs w:val="21"/>
                <w:highlight w:val="none"/>
                <w:lang w:val="en-US" w:eastAsia="zh-CN" w:bidi="ar"/>
              </w:rPr>
              <w:t>接受。</w:t>
            </w:r>
          </w:p>
        </w:tc>
      </w:tr>
      <w:tr w14:paraId="1A2C07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2" w:type="dxa"/>
            <w:tcBorders>
              <w:top w:val="single" w:color="000000" w:sz="4" w:space="0"/>
              <w:left w:val="single" w:color="auto" w:sz="4" w:space="0"/>
              <w:bottom w:val="single" w:color="000000" w:sz="4" w:space="0"/>
              <w:right w:val="single" w:color="000000" w:sz="4" w:space="0"/>
            </w:tcBorders>
            <w:shd w:val="clear" w:color="auto" w:fill="auto"/>
            <w:vAlign w:val="center"/>
          </w:tcPr>
          <w:p w14:paraId="39D7A361">
            <w:pPr>
              <w:keepNext w:val="0"/>
              <w:keepLines w:val="0"/>
              <w:suppressLineNumbers w:val="0"/>
              <w:bidi w:val="0"/>
              <w:spacing w:before="0" w:beforeAutospacing="0" w:after="0" w:afterAutospacing="0"/>
              <w:ind w:left="0" w:leftChars="0"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1</w:t>
            </w:r>
          </w:p>
        </w:tc>
        <w:tc>
          <w:tcPr>
            <w:tcW w:w="1119" w:type="dxa"/>
            <w:tcBorders>
              <w:left w:val="nil"/>
              <w:right w:val="single" w:color="000000" w:sz="4" w:space="0"/>
            </w:tcBorders>
            <w:shd w:val="clear" w:color="auto" w:fill="auto"/>
            <w:vAlign w:val="center"/>
          </w:tcPr>
          <w:p w14:paraId="16ECE0F2">
            <w:pPr>
              <w:keepNext w:val="0"/>
              <w:keepLines w:val="0"/>
              <w:suppressLineNumbers w:val="0"/>
              <w:snapToGrid w:val="0"/>
              <w:spacing w:before="0" w:beforeAutospacing="0" w:after="0" w:afterAutospacing="0" w:line="400" w:lineRule="exact"/>
              <w:ind w:left="0" w:leftChars="0"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其他</w:t>
            </w:r>
          </w:p>
        </w:tc>
        <w:tc>
          <w:tcPr>
            <w:tcW w:w="7772" w:type="dxa"/>
            <w:gridSpan w:val="4"/>
            <w:tcBorders>
              <w:top w:val="single" w:color="000000" w:sz="4" w:space="0"/>
              <w:left w:val="nil"/>
              <w:bottom w:val="single" w:color="000000" w:sz="4" w:space="0"/>
              <w:right w:val="single" w:color="000000" w:sz="4" w:space="0"/>
            </w:tcBorders>
            <w:shd w:val="clear" w:color="auto" w:fill="auto"/>
            <w:vAlign w:val="top"/>
          </w:tcPr>
          <w:p w14:paraId="1C2EF10D">
            <w:pPr>
              <w:keepNext w:val="0"/>
              <w:keepLines w:val="0"/>
              <w:suppressLineNumbers w:val="0"/>
              <w:spacing w:before="0" w:beforeAutospacing="0" w:after="0" w:afterAutospacing="0" w:line="360" w:lineRule="exact"/>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.样品递交：否</w:t>
            </w:r>
          </w:p>
          <w:p w14:paraId="40B84ABA">
            <w:pPr>
              <w:keepNext w:val="0"/>
              <w:keepLines w:val="0"/>
              <w:suppressLineNumbers w:val="0"/>
              <w:spacing w:before="0" w:beforeAutospacing="0" w:after="0" w:afterAutospacing="0" w:line="360" w:lineRule="exact"/>
              <w:ind w:left="0" w:righ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是否组织现场踏勘：否</w:t>
            </w:r>
          </w:p>
          <w:p w14:paraId="0091C3D8">
            <w:pPr>
              <w:keepNext w:val="0"/>
              <w:keepLines w:val="0"/>
              <w:suppressLineNumbers w:val="0"/>
              <w:spacing w:before="0" w:beforeAutospacing="0" w:after="0" w:afterAutospacing="0" w:line="360" w:lineRule="exact"/>
              <w:ind w:left="0" w:righ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3.现场演示：否</w:t>
            </w:r>
          </w:p>
          <w:p w14:paraId="311BF8F4">
            <w:pPr>
              <w:keepNext w:val="0"/>
              <w:keepLines w:val="0"/>
              <w:suppressLineNumbers w:val="0"/>
              <w:spacing w:before="0" w:beforeAutospacing="0" w:after="0" w:afterAutospacing="0" w:line="360" w:lineRule="exact"/>
              <w:ind w:left="0" w:righ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知识产权归属：中标人提供的采购标的应符合国家知识产权法律法规的规定且非假冒伪劣品；中标人还应保证采购人不受到第三方关于侵犯知识产权及专利权、商标权或工业设计权等知识产权方面的指控，若任何第三方提出此方面指控均与采购人无关，中标人应与第三方交涉，并承担可能发生的一切法律责任、费用和后果；若采购人因此而遭致损失（包括但不限于律师费、诉讼费、鉴定费、诉讼过程采购人所产生的交通费等），则中标人应赔偿该损失。</w:t>
            </w:r>
          </w:p>
          <w:p w14:paraId="772295EE">
            <w:pPr>
              <w:keepNext w:val="0"/>
              <w:keepLines w:val="0"/>
              <w:suppressLineNumbers w:val="0"/>
              <w:spacing w:before="0" w:beforeAutospacing="0" w:after="0" w:afterAutospacing="0" w:line="360" w:lineRule="exact"/>
              <w:ind w:left="0" w:right="0"/>
              <w:rPr>
                <w:rFonts w:hint="eastAsia"/>
                <w:color w:val="auto"/>
                <w:highlight w:val="none"/>
                <w:lang w:val="en-US" w:eastAsia="zh-CN"/>
              </w:rPr>
            </w:pPr>
            <w:r>
              <w:rPr>
                <w:rFonts w:hint="eastAsia" w:ascii="宋体" w:hAnsi="宋体" w:eastAsia="宋体" w:cs="宋体"/>
                <w:color w:val="auto"/>
                <w:sz w:val="21"/>
                <w:szCs w:val="21"/>
                <w:highlight w:val="none"/>
                <w:lang w:val="en-US" w:eastAsia="zh-CN"/>
              </w:rPr>
              <w:t>5.保密要求：中标人对履约合同有关内容、资料、信息以及全部项目成果文件，负有保管和保守秘密的义务，除已公开之外，未经采购人许可不得向第三方泄露，如有发生泄露，中标人承担全部相关法律责任。</w:t>
            </w:r>
          </w:p>
        </w:tc>
      </w:tr>
    </w:tbl>
    <w:p w14:paraId="210217F0">
      <w:pPr>
        <w:rPr>
          <w:rFonts w:hint="eastAsia" w:ascii="宋体" w:hAnsi="宋体" w:cs="宋体"/>
          <w:color w:val="auto"/>
          <w:sz w:val="32"/>
          <w:szCs w:val="32"/>
          <w:highlight w:val="none"/>
        </w:rPr>
      </w:pPr>
    </w:p>
    <w:p w14:paraId="5335E287">
      <w:pPr>
        <w:pStyle w:val="11"/>
        <w:rPr>
          <w:rFonts w:hint="eastAsia"/>
          <w:color w:val="auto"/>
          <w:highlight w:val="none"/>
        </w:rPr>
      </w:pPr>
    </w:p>
    <w:p w14:paraId="2C515EAF">
      <w:pPr>
        <w:ind w:left="0"/>
        <w:rPr>
          <w:rFonts w:hint="eastAsia" w:ascii="宋体" w:hAnsi="宋体" w:cs="宋体"/>
          <w:color w:val="auto"/>
          <w:sz w:val="32"/>
          <w:szCs w:val="32"/>
          <w:highlight w:val="none"/>
        </w:rPr>
      </w:pPr>
      <w:r>
        <w:rPr>
          <w:rFonts w:hint="eastAsia" w:ascii="宋体" w:hAnsi="宋体" w:cs="宋体"/>
          <w:color w:val="auto"/>
          <w:sz w:val="32"/>
          <w:szCs w:val="32"/>
          <w:highlight w:val="none"/>
        </w:rPr>
        <w:br w:type="page"/>
      </w:r>
    </w:p>
    <w:p w14:paraId="5A72FAB0">
      <w:pPr>
        <w:ind w:left="119"/>
        <w:rPr>
          <w:rFonts w:ascii="宋体" w:hAnsi="宋体" w:cs="宋体"/>
          <w:color w:val="auto"/>
          <w:sz w:val="32"/>
          <w:szCs w:val="32"/>
          <w:highlight w:val="none"/>
        </w:rPr>
      </w:pPr>
      <w:r>
        <w:rPr>
          <w:rFonts w:hint="eastAsia" w:ascii="宋体" w:hAnsi="宋体" w:cs="宋体"/>
          <w:color w:val="auto"/>
          <w:sz w:val="32"/>
          <w:szCs w:val="32"/>
          <w:highlight w:val="none"/>
        </w:rPr>
        <w:t>附件1：</w:t>
      </w:r>
    </w:p>
    <w:p w14:paraId="763C88C9">
      <w:pPr>
        <w:pStyle w:val="11"/>
        <w:jc w:val="center"/>
        <w:rPr>
          <w:rFonts w:hint="eastAsia"/>
          <w:b/>
          <w:color w:val="auto"/>
          <w:sz w:val="28"/>
          <w:szCs w:val="28"/>
          <w:highlight w:val="none"/>
        </w:rPr>
      </w:pPr>
      <w:r>
        <w:rPr>
          <w:rFonts w:hint="eastAsia"/>
          <w:b/>
          <w:color w:val="auto"/>
          <w:sz w:val="28"/>
          <w:szCs w:val="28"/>
          <w:highlight w:val="none"/>
        </w:rPr>
        <w:t>中小企业划型标准规定</w:t>
      </w:r>
    </w:p>
    <w:p w14:paraId="452536C7">
      <w:pPr>
        <w:pStyle w:val="11"/>
        <w:jc w:val="center"/>
        <w:rPr>
          <w:rFonts w:hint="eastAsia" w:ascii="宋体" w:hAnsi="宋体"/>
          <w:color w:val="auto"/>
          <w:sz w:val="21"/>
          <w:szCs w:val="21"/>
          <w:highlight w:val="none"/>
        </w:rPr>
      </w:pPr>
      <w:r>
        <w:rPr>
          <w:rFonts w:hint="eastAsia" w:ascii="宋体" w:hAnsi="宋体"/>
          <w:color w:val="auto"/>
          <w:sz w:val="21"/>
          <w:szCs w:val="21"/>
          <w:highlight w:val="none"/>
        </w:rPr>
        <w:t>工信部联企业〔2011〕300号</w:t>
      </w:r>
    </w:p>
    <w:p w14:paraId="5EADDE4F">
      <w:pPr>
        <w:pStyle w:val="11"/>
        <w:rPr>
          <w:color w:val="auto"/>
          <w:sz w:val="21"/>
          <w:szCs w:val="21"/>
          <w:highlight w:val="none"/>
        </w:rPr>
      </w:pPr>
    </w:p>
    <w:p w14:paraId="0A2833D0">
      <w:pPr>
        <w:pStyle w:val="11"/>
        <w:rPr>
          <w:color w:val="auto"/>
          <w:sz w:val="21"/>
          <w:szCs w:val="21"/>
          <w:highlight w:val="none"/>
        </w:rPr>
      </w:pPr>
      <w:r>
        <w:rPr>
          <w:rFonts w:hint="eastAsia"/>
          <w:color w:val="auto"/>
          <w:sz w:val="21"/>
          <w:szCs w:val="21"/>
          <w:highlight w:val="none"/>
        </w:rPr>
        <w:t>　　一、根据《中华人民共和国中小企业促进法》和《国务院关于进一步促进中小企业发展的若干意见》(国发〔2009〕36号)，制定本规定。</w:t>
      </w:r>
    </w:p>
    <w:p w14:paraId="2367EA52">
      <w:pPr>
        <w:pStyle w:val="11"/>
        <w:rPr>
          <w:color w:val="auto"/>
          <w:sz w:val="21"/>
          <w:szCs w:val="21"/>
          <w:highlight w:val="none"/>
        </w:rPr>
      </w:pPr>
      <w:r>
        <w:rPr>
          <w:rFonts w:hint="eastAsia"/>
          <w:color w:val="auto"/>
          <w:sz w:val="21"/>
          <w:szCs w:val="21"/>
          <w:highlight w:val="none"/>
        </w:rPr>
        <w:t>　　二、中小企业划分为中型、小型、微型三种类型，具体标准根据企业从业人员、营业收入、资产总额等指标，结合行业特点制定。</w:t>
      </w:r>
    </w:p>
    <w:p w14:paraId="678C8630">
      <w:pPr>
        <w:pStyle w:val="11"/>
        <w:rPr>
          <w:color w:val="auto"/>
          <w:sz w:val="21"/>
          <w:szCs w:val="21"/>
          <w:highlight w:val="none"/>
        </w:rPr>
      </w:pPr>
      <w:r>
        <w:rPr>
          <w:rFonts w:hint="eastAsia"/>
          <w:color w:val="auto"/>
          <w:sz w:val="21"/>
          <w:szCs w:val="21"/>
          <w:highlight w:val="none"/>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5C80EA75">
      <w:pPr>
        <w:pStyle w:val="11"/>
        <w:rPr>
          <w:color w:val="auto"/>
          <w:sz w:val="21"/>
          <w:szCs w:val="21"/>
          <w:highlight w:val="none"/>
        </w:rPr>
      </w:pPr>
      <w:r>
        <w:rPr>
          <w:rFonts w:hint="eastAsia"/>
          <w:color w:val="auto"/>
          <w:sz w:val="21"/>
          <w:szCs w:val="21"/>
          <w:highlight w:val="none"/>
        </w:rPr>
        <w:t>　　四、各行业划型标准为：</w:t>
      </w:r>
    </w:p>
    <w:p w14:paraId="1A3D6979">
      <w:pPr>
        <w:pStyle w:val="11"/>
        <w:rPr>
          <w:color w:val="auto"/>
          <w:sz w:val="21"/>
          <w:szCs w:val="21"/>
          <w:highlight w:val="none"/>
        </w:rPr>
      </w:pPr>
      <w:r>
        <w:rPr>
          <w:rFonts w:hint="eastAsia"/>
          <w:color w:val="auto"/>
          <w:sz w:val="21"/>
          <w:szCs w:val="21"/>
          <w:highlight w:val="none"/>
        </w:rPr>
        <w:t>　　（一）农、林、牧、渔业。营业收入20000万元以下的为中小微型企业。其中，营业收入500万元及以上的为中型企业，营业收入50万元及以上的为小型企业，营业收入50万元以下的为微型企业。</w:t>
      </w:r>
    </w:p>
    <w:p w14:paraId="2995B12B">
      <w:pPr>
        <w:pStyle w:val="11"/>
        <w:rPr>
          <w:color w:val="auto"/>
          <w:sz w:val="21"/>
          <w:szCs w:val="21"/>
          <w:highlight w:val="none"/>
        </w:rPr>
      </w:pPr>
      <w:r>
        <w:rPr>
          <w:rFonts w:hint="eastAsia"/>
          <w:color w:val="auto"/>
          <w:sz w:val="21"/>
          <w:szCs w:val="21"/>
          <w:highlight w:val="none"/>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249143BD">
      <w:pPr>
        <w:pStyle w:val="11"/>
        <w:rPr>
          <w:color w:val="auto"/>
          <w:sz w:val="21"/>
          <w:szCs w:val="21"/>
          <w:highlight w:val="none"/>
        </w:rPr>
      </w:pPr>
      <w:r>
        <w:rPr>
          <w:rFonts w:hint="eastAsia"/>
          <w:color w:val="auto"/>
          <w:sz w:val="21"/>
          <w:szCs w:val="21"/>
          <w:highlight w:val="none"/>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70D62706">
      <w:pPr>
        <w:pStyle w:val="11"/>
        <w:rPr>
          <w:color w:val="auto"/>
          <w:sz w:val="21"/>
          <w:szCs w:val="21"/>
          <w:highlight w:val="none"/>
        </w:rPr>
      </w:pPr>
      <w:r>
        <w:rPr>
          <w:rFonts w:hint="eastAsia"/>
          <w:color w:val="auto"/>
          <w:sz w:val="21"/>
          <w:szCs w:val="21"/>
          <w:highlight w:val="none"/>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4CA0639D">
      <w:pPr>
        <w:pStyle w:val="11"/>
        <w:rPr>
          <w:color w:val="auto"/>
          <w:sz w:val="21"/>
          <w:szCs w:val="21"/>
          <w:highlight w:val="none"/>
        </w:rPr>
      </w:pPr>
      <w:r>
        <w:rPr>
          <w:rFonts w:hint="eastAsia"/>
          <w:color w:val="auto"/>
          <w:sz w:val="21"/>
          <w:szCs w:val="21"/>
          <w:highlight w:val="none"/>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62634B7F">
      <w:pPr>
        <w:pStyle w:val="11"/>
        <w:rPr>
          <w:color w:val="auto"/>
          <w:sz w:val="21"/>
          <w:szCs w:val="21"/>
          <w:highlight w:val="none"/>
        </w:rPr>
      </w:pPr>
      <w:r>
        <w:rPr>
          <w:rFonts w:hint="eastAsia"/>
          <w:color w:val="auto"/>
          <w:sz w:val="21"/>
          <w:szCs w:val="21"/>
          <w:highlight w:val="none"/>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763FFB82">
      <w:pPr>
        <w:pStyle w:val="11"/>
        <w:rPr>
          <w:color w:val="auto"/>
          <w:sz w:val="21"/>
          <w:szCs w:val="21"/>
          <w:highlight w:val="none"/>
        </w:rPr>
      </w:pPr>
      <w:r>
        <w:rPr>
          <w:rFonts w:hint="eastAsia"/>
          <w:color w:val="auto"/>
          <w:sz w:val="21"/>
          <w:szCs w:val="21"/>
          <w:highlight w:val="none"/>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0A6D0C24">
      <w:pPr>
        <w:pStyle w:val="11"/>
        <w:rPr>
          <w:color w:val="auto"/>
          <w:sz w:val="21"/>
          <w:szCs w:val="21"/>
          <w:highlight w:val="none"/>
        </w:rPr>
      </w:pPr>
      <w:r>
        <w:rPr>
          <w:rFonts w:hint="eastAsia"/>
          <w:color w:val="auto"/>
          <w:sz w:val="21"/>
          <w:szCs w:val="21"/>
          <w:highlight w:val="none"/>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22AAC4AD">
      <w:pPr>
        <w:pStyle w:val="11"/>
        <w:rPr>
          <w:color w:val="auto"/>
          <w:sz w:val="21"/>
          <w:szCs w:val="21"/>
          <w:highlight w:val="none"/>
        </w:rPr>
      </w:pPr>
      <w:r>
        <w:rPr>
          <w:rFonts w:hint="eastAsia"/>
          <w:color w:val="auto"/>
          <w:sz w:val="21"/>
          <w:szCs w:val="21"/>
          <w:highlight w:val="none"/>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089BD2FE">
      <w:pPr>
        <w:pStyle w:val="11"/>
        <w:rPr>
          <w:color w:val="auto"/>
          <w:sz w:val="21"/>
          <w:szCs w:val="21"/>
          <w:highlight w:val="none"/>
        </w:rPr>
      </w:pPr>
      <w:r>
        <w:rPr>
          <w:rFonts w:hint="eastAsia"/>
          <w:color w:val="auto"/>
          <w:sz w:val="21"/>
          <w:szCs w:val="21"/>
          <w:highlight w:val="none"/>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132506E3">
      <w:pPr>
        <w:pStyle w:val="11"/>
        <w:rPr>
          <w:color w:val="auto"/>
          <w:sz w:val="21"/>
          <w:szCs w:val="21"/>
          <w:highlight w:val="none"/>
        </w:rPr>
      </w:pPr>
      <w:r>
        <w:rPr>
          <w:rFonts w:hint="eastAsia"/>
          <w:color w:val="auto"/>
          <w:sz w:val="21"/>
          <w:szCs w:val="21"/>
          <w:highlight w:val="none"/>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248FFF9D">
      <w:pPr>
        <w:pStyle w:val="11"/>
        <w:rPr>
          <w:color w:val="auto"/>
          <w:sz w:val="21"/>
          <w:szCs w:val="21"/>
          <w:highlight w:val="none"/>
        </w:rPr>
      </w:pPr>
      <w:r>
        <w:rPr>
          <w:rFonts w:hint="eastAsia"/>
          <w:color w:val="auto"/>
          <w:sz w:val="21"/>
          <w:szCs w:val="21"/>
          <w:highlight w:val="none"/>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32DFCE6F">
      <w:pPr>
        <w:pStyle w:val="11"/>
        <w:rPr>
          <w:color w:val="auto"/>
          <w:sz w:val="21"/>
          <w:szCs w:val="21"/>
          <w:highlight w:val="none"/>
        </w:rPr>
      </w:pPr>
      <w:r>
        <w:rPr>
          <w:rFonts w:hint="eastAsia"/>
          <w:color w:val="auto"/>
          <w:sz w:val="21"/>
          <w:szCs w:val="21"/>
          <w:highlight w:val="none"/>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5A156A24">
      <w:pPr>
        <w:pStyle w:val="11"/>
        <w:rPr>
          <w:color w:val="auto"/>
          <w:sz w:val="21"/>
          <w:szCs w:val="21"/>
          <w:highlight w:val="none"/>
        </w:rPr>
      </w:pPr>
      <w:r>
        <w:rPr>
          <w:rFonts w:hint="eastAsia"/>
          <w:color w:val="auto"/>
          <w:sz w:val="21"/>
          <w:szCs w:val="21"/>
          <w:highlight w:val="none"/>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063B7269">
      <w:pPr>
        <w:pStyle w:val="11"/>
        <w:rPr>
          <w:color w:val="auto"/>
          <w:sz w:val="21"/>
          <w:szCs w:val="21"/>
          <w:highlight w:val="none"/>
        </w:rPr>
      </w:pPr>
      <w:r>
        <w:rPr>
          <w:rFonts w:hint="eastAsia"/>
          <w:color w:val="auto"/>
          <w:sz w:val="21"/>
          <w:szCs w:val="21"/>
          <w:highlight w:val="none"/>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683460C1">
      <w:pPr>
        <w:pStyle w:val="11"/>
        <w:rPr>
          <w:color w:val="auto"/>
          <w:sz w:val="21"/>
          <w:szCs w:val="21"/>
          <w:highlight w:val="none"/>
        </w:rPr>
      </w:pPr>
      <w:r>
        <w:rPr>
          <w:rFonts w:hint="eastAsia"/>
          <w:color w:val="auto"/>
          <w:sz w:val="21"/>
          <w:szCs w:val="21"/>
          <w:highlight w:val="none"/>
        </w:rPr>
        <w:t>　　（十六）其他未列明行业。从业人员300人以下的为中小微型企业。其中，从业人员100人及以上的为中型企业；从业人员10人及以上的为小型企业；从业人员10人以下的为微型企业。</w:t>
      </w:r>
    </w:p>
    <w:p w14:paraId="0B127029">
      <w:pPr>
        <w:pStyle w:val="11"/>
        <w:rPr>
          <w:color w:val="auto"/>
          <w:sz w:val="21"/>
          <w:szCs w:val="21"/>
          <w:highlight w:val="none"/>
        </w:rPr>
      </w:pPr>
      <w:r>
        <w:rPr>
          <w:rFonts w:hint="eastAsia"/>
          <w:color w:val="auto"/>
          <w:sz w:val="21"/>
          <w:szCs w:val="21"/>
          <w:highlight w:val="none"/>
        </w:rPr>
        <w:t>　　五、企业类型的划分以统计部门的统计数据为依据。</w:t>
      </w:r>
    </w:p>
    <w:p w14:paraId="58963770">
      <w:pPr>
        <w:pStyle w:val="11"/>
        <w:rPr>
          <w:color w:val="auto"/>
          <w:sz w:val="21"/>
          <w:szCs w:val="21"/>
          <w:highlight w:val="none"/>
        </w:rPr>
      </w:pPr>
      <w:r>
        <w:rPr>
          <w:rFonts w:hint="eastAsia"/>
          <w:color w:val="auto"/>
          <w:sz w:val="21"/>
          <w:szCs w:val="21"/>
          <w:highlight w:val="none"/>
        </w:rPr>
        <w:t>　　六、本规定适用于在中华人民共和国境内依法设立的各类所有制和各种组织形式的企业。个体工商户和本规定以外的行业，参照本规定进行划型。</w:t>
      </w:r>
    </w:p>
    <w:p w14:paraId="64199B5E">
      <w:pPr>
        <w:pStyle w:val="11"/>
        <w:rPr>
          <w:color w:val="auto"/>
          <w:sz w:val="21"/>
          <w:szCs w:val="21"/>
          <w:highlight w:val="none"/>
        </w:rPr>
      </w:pPr>
      <w:r>
        <w:rPr>
          <w:rFonts w:hint="eastAsia"/>
          <w:color w:val="auto"/>
          <w:sz w:val="21"/>
          <w:szCs w:val="21"/>
          <w:highlight w:val="none"/>
        </w:rPr>
        <w:t>　　七、本规定的中型企业标准上限即为大型企业标准的下限，国家统计部门据此制定大中小微型企业的统计分类。国务院有关部门据此进行相关数据分析，不得制定与本规定不一致的企业划型标准。</w:t>
      </w:r>
    </w:p>
    <w:p w14:paraId="3994EEAE">
      <w:pPr>
        <w:pStyle w:val="11"/>
        <w:rPr>
          <w:color w:val="auto"/>
          <w:sz w:val="21"/>
          <w:szCs w:val="21"/>
          <w:highlight w:val="none"/>
        </w:rPr>
      </w:pPr>
      <w:r>
        <w:rPr>
          <w:rFonts w:hint="eastAsia"/>
          <w:color w:val="auto"/>
          <w:sz w:val="21"/>
          <w:szCs w:val="21"/>
          <w:highlight w:val="none"/>
        </w:rPr>
        <w:t>　　八、本规定由工业和信息化部、国家统计局会同有关部门根据《国民经济行业分类》修订情况和企业发展变化情况适时修订。</w:t>
      </w:r>
    </w:p>
    <w:p w14:paraId="16B6F9EE">
      <w:pPr>
        <w:pStyle w:val="11"/>
        <w:rPr>
          <w:color w:val="auto"/>
          <w:sz w:val="21"/>
          <w:szCs w:val="21"/>
          <w:highlight w:val="none"/>
        </w:rPr>
      </w:pPr>
      <w:r>
        <w:rPr>
          <w:rFonts w:hint="eastAsia"/>
          <w:color w:val="auto"/>
          <w:sz w:val="21"/>
          <w:szCs w:val="21"/>
          <w:highlight w:val="none"/>
        </w:rPr>
        <w:t>　　九、本规定由工业和信息化部、国家统计局会同有关部门负责解释。</w:t>
      </w:r>
    </w:p>
    <w:p w14:paraId="66427CC2">
      <w:pPr>
        <w:pStyle w:val="11"/>
        <w:ind w:firstLine="420"/>
        <w:rPr>
          <w:rFonts w:hint="eastAsia"/>
          <w:color w:val="auto"/>
          <w:sz w:val="21"/>
          <w:szCs w:val="21"/>
          <w:highlight w:val="none"/>
        </w:rPr>
      </w:pPr>
      <w:r>
        <w:rPr>
          <w:rFonts w:hint="eastAsia"/>
          <w:color w:val="auto"/>
          <w:sz w:val="21"/>
          <w:szCs w:val="21"/>
          <w:highlight w:val="none"/>
        </w:rPr>
        <w:t>十、本规定自发布之日起执行，原国家经贸委、原国家计委、财政部和国家统计局2003年颁布的《中小企业标准暂行规定》同时废止。</w:t>
      </w:r>
    </w:p>
    <w:p w14:paraId="53ED7964">
      <w:pPr>
        <w:spacing w:line="360" w:lineRule="auto"/>
        <w:ind w:firstLine="512" w:firstLineChars="200"/>
        <w:rPr>
          <w:rFonts w:ascii="宋体" w:hAnsi="宋体" w:cs="宋体"/>
          <w:color w:val="auto"/>
          <w:spacing w:val="8"/>
          <w:kern w:val="0"/>
          <w:sz w:val="24"/>
          <w:highlight w:val="none"/>
        </w:rPr>
      </w:pPr>
    </w:p>
    <w:p w14:paraId="0A002E75">
      <w:pPr>
        <w:pStyle w:val="14"/>
        <w:jc w:val="center"/>
        <w:outlineLvl w:val="0"/>
        <w:rPr>
          <w:rFonts w:hint="eastAsia" w:hAnsi="宋体" w:cs="宋体"/>
          <w:color w:val="auto"/>
          <w:szCs w:val="21"/>
          <w:highlight w:val="none"/>
        </w:rPr>
      </w:pPr>
      <w:r>
        <w:rPr>
          <w:rFonts w:hint="eastAsia" w:hAnsi="宋体" w:cs="宋体"/>
          <w:color w:val="auto"/>
          <w:szCs w:val="21"/>
          <w:highlight w:val="none"/>
        </w:rPr>
        <w:br w:type="page"/>
      </w:r>
      <w:bookmarkStart w:id="63" w:name="_Toc9505"/>
      <w:bookmarkStart w:id="64" w:name="_Toc5815"/>
      <w:bookmarkStart w:id="65" w:name="_Toc15229"/>
      <w:bookmarkStart w:id="66" w:name="_Toc532545044"/>
      <w:bookmarkStart w:id="67" w:name="_Toc5641"/>
    </w:p>
    <w:p w14:paraId="376EEEE8">
      <w:pPr>
        <w:ind w:left="119"/>
        <w:rPr>
          <w:rFonts w:hint="default" w:ascii="宋体" w:hAnsi="宋体" w:eastAsia="宋体" w:cs="宋体"/>
          <w:color w:val="auto"/>
          <w:sz w:val="32"/>
          <w:szCs w:val="32"/>
          <w:highlight w:val="none"/>
          <w:lang w:val="en-US" w:eastAsia="zh-CN"/>
        </w:rPr>
      </w:pPr>
      <w:r>
        <w:rPr>
          <w:rFonts w:hint="eastAsia" w:ascii="宋体" w:hAnsi="宋体" w:eastAsia="宋体" w:cs="宋体"/>
          <w:color w:val="auto"/>
          <w:sz w:val="32"/>
          <w:szCs w:val="32"/>
          <w:highlight w:val="none"/>
          <w:lang w:eastAsia="zh-CN"/>
        </w:rPr>
        <w:t>附件</w:t>
      </w:r>
      <w:r>
        <w:rPr>
          <w:rFonts w:hint="eastAsia" w:ascii="宋体" w:hAnsi="宋体" w:eastAsia="宋体" w:cs="宋体"/>
          <w:color w:val="auto"/>
          <w:sz w:val="32"/>
          <w:szCs w:val="32"/>
          <w:highlight w:val="none"/>
          <w:lang w:val="en-US" w:eastAsia="zh-CN"/>
        </w:rPr>
        <w:t>2</w:t>
      </w:r>
    </w:p>
    <w:p w14:paraId="484A2437">
      <w:pPr>
        <w:spacing w:line="528" w:lineRule="exact"/>
        <w:ind w:left="1871"/>
        <w:rPr>
          <w:rFonts w:hint="eastAsia" w:ascii="微软雅黑" w:hAnsi="微软雅黑" w:eastAsia="微软雅黑" w:cs="微软雅黑"/>
          <w:color w:val="auto"/>
          <w:sz w:val="40"/>
          <w:szCs w:val="40"/>
          <w:highlight w:val="none"/>
        </w:rPr>
      </w:pPr>
      <w:r>
        <w:rPr>
          <w:rFonts w:hint="eastAsia" w:ascii="微软雅黑" w:hAnsi="微软雅黑" w:eastAsia="微软雅黑" w:cs="微软雅黑"/>
          <w:color w:val="auto"/>
          <w:sz w:val="40"/>
          <w:szCs w:val="40"/>
          <w:highlight w:val="none"/>
        </w:rPr>
        <w:t>节能产品政府采购品目清单</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1"/>
        <w:gridCol w:w="1422"/>
        <w:gridCol w:w="1496"/>
        <w:gridCol w:w="1481"/>
        <w:gridCol w:w="4133"/>
      </w:tblGrid>
      <w:tr w14:paraId="48FDE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1" w:type="dxa"/>
            <w:tcBorders>
              <w:top w:val="single" w:color="000000" w:sz="4" w:space="0"/>
              <w:left w:val="single" w:color="000000" w:sz="4" w:space="0"/>
              <w:bottom w:val="single" w:color="000000" w:sz="4" w:space="0"/>
              <w:right w:val="single" w:color="000000" w:sz="4" w:space="0"/>
            </w:tcBorders>
            <w:noWrap w:val="0"/>
            <w:vAlign w:val="center"/>
          </w:tcPr>
          <w:p w14:paraId="7C43F6F2">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b/>
                <w:bCs/>
                <w:color w:val="auto"/>
                <w:w w:val="99"/>
                <w:sz w:val="21"/>
                <w:szCs w:val="21"/>
                <w:highlight w:val="none"/>
              </w:rPr>
              <w:t>品目序号</w:t>
            </w:r>
          </w:p>
        </w:tc>
        <w:tc>
          <w:tcPr>
            <w:tcW w:w="4399" w:type="dxa"/>
            <w:gridSpan w:val="3"/>
            <w:tcBorders>
              <w:top w:val="single" w:color="000000" w:sz="4" w:space="0"/>
              <w:left w:val="single" w:color="000000" w:sz="4" w:space="0"/>
              <w:bottom w:val="single" w:color="000000" w:sz="4" w:space="0"/>
              <w:right w:val="single" w:color="000000" w:sz="4" w:space="0"/>
            </w:tcBorders>
            <w:noWrap w:val="0"/>
            <w:vAlign w:val="center"/>
          </w:tcPr>
          <w:p w14:paraId="1ABBFAE2">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b/>
                <w:bCs/>
                <w:color w:val="auto"/>
                <w:w w:val="99"/>
                <w:sz w:val="21"/>
                <w:szCs w:val="21"/>
                <w:highlight w:val="none"/>
              </w:rPr>
              <w:t>名称</w:t>
            </w:r>
          </w:p>
        </w:tc>
        <w:tc>
          <w:tcPr>
            <w:tcW w:w="4133" w:type="dxa"/>
            <w:tcBorders>
              <w:top w:val="single" w:color="000000" w:sz="4" w:space="0"/>
              <w:left w:val="single" w:color="000000" w:sz="4" w:space="0"/>
              <w:bottom w:val="single" w:color="000000" w:sz="4" w:space="0"/>
              <w:right w:val="single" w:color="000000" w:sz="4" w:space="0"/>
            </w:tcBorders>
            <w:noWrap w:val="0"/>
            <w:vAlign w:val="center"/>
          </w:tcPr>
          <w:p w14:paraId="2EF99FB7">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b/>
                <w:bCs/>
                <w:color w:val="auto"/>
                <w:w w:val="99"/>
                <w:sz w:val="21"/>
                <w:szCs w:val="21"/>
                <w:highlight w:val="none"/>
              </w:rPr>
              <w:t>依据的标准</w:t>
            </w:r>
          </w:p>
        </w:tc>
      </w:tr>
      <w:tr w14:paraId="6A4B9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noWrap w:val="0"/>
            <w:vAlign w:val="center"/>
          </w:tcPr>
          <w:p w14:paraId="6A76CAC4">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422" w:type="dxa"/>
            <w:vMerge w:val="restart"/>
            <w:tcBorders>
              <w:top w:val="single" w:color="000000" w:sz="4" w:space="0"/>
              <w:left w:val="single" w:color="000000" w:sz="4" w:space="0"/>
              <w:bottom w:val="single" w:color="000000" w:sz="4" w:space="0"/>
              <w:right w:val="single" w:color="000000" w:sz="4" w:space="0"/>
            </w:tcBorders>
            <w:noWrap w:val="0"/>
            <w:vAlign w:val="center"/>
          </w:tcPr>
          <w:p w14:paraId="418590C8">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A02010100</w:t>
            </w:r>
            <w:r>
              <w:rPr>
                <w:rFonts w:hint="eastAsia" w:ascii="宋体" w:hAnsi="宋体" w:eastAsia="宋体" w:cs="宋体"/>
                <w:color w:val="auto"/>
                <w:w w:val="99"/>
                <w:sz w:val="21"/>
                <w:szCs w:val="21"/>
                <w:highlight w:val="none"/>
              </w:rPr>
              <w:t>计算机</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59EF48D0">
            <w:pPr>
              <w:pStyle w:val="100"/>
              <w:keepNext w:val="0"/>
              <w:keepLines w:val="0"/>
              <w:suppressLineNumbers w:val="0"/>
              <w:spacing w:before="93" w:beforeAutospacing="0" w:after="0" w:afterAutospacing="0"/>
              <w:ind w:left="7" w:right="5"/>
              <w:jc w:val="center"/>
              <w:rPr>
                <w:rFonts w:hint="eastAsia" w:ascii="宋体" w:hAnsi="宋体" w:eastAsia="宋体" w:cs="宋体"/>
                <w:color w:val="auto"/>
                <w:kern w:val="2"/>
                <w:sz w:val="21"/>
                <w:szCs w:val="21"/>
                <w:highlight w:val="none"/>
              </w:rPr>
            </w:pPr>
            <w:r>
              <w:rPr>
                <w:rFonts w:hint="eastAsia" w:ascii="宋体" w:hAnsi="宋体" w:eastAsia="宋体" w:cs="宋体"/>
                <w:color w:val="auto"/>
                <w:highlight w:val="none"/>
              </w:rPr>
              <w:t>★</w:t>
            </w:r>
            <w:r>
              <w:rPr>
                <w:rFonts w:hint="eastAsia" w:ascii="宋体" w:hAnsi="宋体" w:eastAsia="宋体" w:cs="宋体"/>
                <w:color w:val="auto"/>
                <w:kern w:val="2"/>
                <w:sz w:val="21"/>
                <w:szCs w:val="21"/>
                <w:highlight w:val="none"/>
              </w:rPr>
              <w:t>A02010105台式计算机</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4FEF6AD1">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c>
          <w:tcPr>
            <w:tcW w:w="4133" w:type="dxa"/>
            <w:tcBorders>
              <w:top w:val="single" w:color="000000" w:sz="4" w:space="0"/>
              <w:left w:val="single" w:color="000000" w:sz="4" w:space="0"/>
              <w:bottom w:val="single" w:color="000000" w:sz="4" w:space="0"/>
              <w:right w:val="single" w:color="000000" w:sz="4" w:space="0"/>
            </w:tcBorders>
            <w:noWrap w:val="0"/>
            <w:vAlign w:val="top"/>
          </w:tcPr>
          <w:p w14:paraId="3286C6BC">
            <w:pPr>
              <w:pStyle w:val="100"/>
              <w:keepNext w:val="0"/>
              <w:keepLines w:val="0"/>
              <w:suppressLineNumbers w:val="0"/>
              <w:spacing w:before="131" w:beforeAutospacing="0" w:after="0" w:afterAutospacing="0" w:line="276" w:lineRule="auto"/>
              <w:ind w:left="7" w:right="4"/>
              <w:rPr>
                <w:rFonts w:hint="eastAsia" w:ascii="宋体" w:hAnsi="宋体" w:eastAsia="宋体" w:cs="宋体"/>
                <w:color w:val="auto"/>
                <w:spacing w:val="10"/>
                <w:kern w:val="2"/>
                <w:sz w:val="21"/>
                <w:szCs w:val="21"/>
                <w:highlight w:val="none"/>
                <w:lang w:eastAsia="zh-CN"/>
              </w:rPr>
            </w:pPr>
            <w:r>
              <w:rPr>
                <w:rFonts w:hint="eastAsia" w:ascii="宋体" w:hAnsi="宋体" w:eastAsia="宋体" w:cs="宋体"/>
                <w:color w:val="auto"/>
                <w:spacing w:val="10"/>
                <w:kern w:val="2"/>
                <w:sz w:val="21"/>
                <w:szCs w:val="21"/>
                <w:highlight w:val="none"/>
                <w:lang w:eastAsia="zh-CN"/>
              </w:rPr>
              <w:t>《微型计算机能效限定值及能效等级》（GB28380）</w:t>
            </w:r>
          </w:p>
        </w:tc>
      </w:tr>
      <w:tr w14:paraId="00998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A64CAE8">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D2965C">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127D216B">
            <w:pPr>
              <w:pStyle w:val="100"/>
              <w:keepNext w:val="0"/>
              <w:keepLines w:val="0"/>
              <w:suppressLineNumbers w:val="0"/>
              <w:spacing w:before="44" w:beforeAutospacing="0" w:after="0" w:afterAutospacing="0"/>
              <w:ind w:left="7" w:right="5"/>
              <w:jc w:val="center"/>
              <w:rPr>
                <w:rFonts w:hint="eastAsia" w:ascii="宋体" w:hAnsi="宋体" w:eastAsia="宋体" w:cs="宋体"/>
                <w:color w:val="auto"/>
                <w:kern w:val="2"/>
                <w:sz w:val="21"/>
                <w:szCs w:val="21"/>
                <w:highlight w:val="none"/>
              </w:rPr>
            </w:pPr>
            <w:r>
              <w:rPr>
                <w:rFonts w:hint="eastAsia" w:ascii="宋体" w:hAnsi="宋体" w:eastAsia="宋体" w:cs="宋体"/>
                <w:color w:val="auto"/>
                <w:highlight w:val="none"/>
              </w:rPr>
              <w:t>★</w:t>
            </w:r>
            <w:r>
              <w:rPr>
                <w:rFonts w:hint="eastAsia" w:ascii="宋体" w:hAnsi="宋体" w:eastAsia="宋体" w:cs="宋体"/>
                <w:color w:val="auto"/>
                <w:kern w:val="2"/>
                <w:sz w:val="21"/>
                <w:szCs w:val="21"/>
                <w:highlight w:val="none"/>
              </w:rPr>
              <w:t>A02010108便携式计算机</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43E29AB9">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c>
          <w:tcPr>
            <w:tcW w:w="4133" w:type="dxa"/>
            <w:tcBorders>
              <w:top w:val="single" w:color="000000" w:sz="4" w:space="0"/>
              <w:left w:val="single" w:color="000000" w:sz="4" w:space="0"/>
              <w:bottom w:val="single" w:color="000000" w:sz="4" w:space="0"/>
              <w:right w:val="single" w:color="000000" w:sz="4" w:space="0"/>
            </w:tcBorders>
            <w:noWrap w:val="0"/>
            <w:vAlign w:val="top"/>
          </w:tcPr>
          <w:p w14:paraId="48E5ED4B">
            <w:pPr>
              <w:pStyle w:val="100"/>
              <w:keepNext w:val="0"/>
              <w:keepLines w:val="0"/>
              <w:suppressLineNumbers w:val="0"/>
              <w:spacing w:before="131" w:beforeAutospacing="0" w:after="0" w:afterAutospacing="0" w:line="276" w:lineRule="auto"/>
              <w:ind w:left="7" w:right="4"/>
              <w:rPr>
                <w:rFonts w:hint="eastAsia" w:ascii="宋体" w:hAnsi="宋体" w:eastAsia="宋体" w:cs="宋体"/>
                <w:color w:val="auto"/>
                <w:spacing w:val="10"/>
                <w:kern w:val="2"/>
                <w:sz w:val="21"/>
                <w:szCs w:val="21"/>
                <w:highlight w:val="none"/>
                <w:lang w:eastAsia="zh-CN"/>
              </w:rPr>
            </w:pPr>
            <w:r>
              <w:rPr>
                <w:rFonts w:hint="eastAsia" w:ascii="宋体" w:hAnsi="宋体" w:eastAsia="宋体" w:cs="宋体"/>
                <w:color w:val="auto"/>
                <w:spacing w:val="10"/>
                <w:kern w:val="2"/>
                <w:sz w:val="21"/>
                <w:szCs w:val="21"/>
                <w:highlight w:val="none"/>
                <w:lang w:eastAsia="zh-CN"/>
              </w:rPr>
              <w:t>《微型计算机能效限定值及能效等级》（GB28380）</w:t>
            </w:r>
          </w:p>
        </w:tc>
      </w:tr>
      <w:tr w14:paraId="661ED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E001832">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EBB944E">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711CC377">
            <w:pPr>
              <w:pStyle w:val="100"/>
              <w:keepNext w:val="0"/>
              <w:keepLines w:val="0"/>
              <w:suppressLineNumbers w:val="0"/>
              <w:spacing w:before="64" w:beforeAutospacing="0" w:after="0" w:afterAutospacing="0"/>
              <w:ind w:left="7" w:right="5"/>
              <w:jc w:val="center"/>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highlight w:val="none"/>
              </w:rPr>
              <w:t>★</w:t>
            </w:r>
            <w:r>
              <w:rPr>
                <w:rFonts w:hint="eastAsia" w:ascii="宋体" w:hAnsi="宋体" w:eastAsia="宋体" w:cs="宋体"/>
                <w:color w:val="auto"/>
                <w:kern w:val="2"/>
                <w:sz w:val="21"/>
                <w:szCs w:val="21"/>
                <w:highlight w:val="none"/>
                <w:lang w:eastAsia="zh-CN"/>
              </w:rPr>
              <w:t>A02010109平板式计算机</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57F9612E">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c>
          <w:tcPr>
            <w:tcW w:w="4133" w:type="dxa"/>
            <w:tcBorders>
              <w:top w:val="single" w:color="000000" w:sz="4" w:space="0"/>
              <w:left w:val="single" w:color="000000" w:sz="4" w:space="0"/>
              <w:bottom w:val="single" w:color="000000" w:sz="4" w:space="0"/>
              <w:right w:val="single" w:color="000000" w:sz="4" w:space="0"/>
            </w:tcBorders>
            <w:noWrap w:val="0"/>
            <w:vAlign w:val="top"/>
          </w:tcPr>
          <w:p w14:paraId="22A6A382">
            <w:pPr>
              <w:pStyle w:val="100"/>
              <w:keepNext w:val="0"/>
              <w:keepLines w:val="0"/>
              <w:suppressLineNumbers w:val="0"/>
              <w:spacing w:before="131" w:beforeAutospacing="0" w:after="0" w:afterAutospacing="0" w:line="276" w:lineRule="auto"/>
              <w:ind w:left="7" w:right="4"/>
              <w:rPr>
                <w:rFonts w:hint="eastAsia" w:ascii="宋体" w:hAnsi="宋体" w:eastAsia="宋体" w:cs="宋体"/>
                <w:color w:val="auto"/>
                <w:spacing w:val="10"/>
                <w:kern w:val="2"/>
                <w:sz w:val="21"/>
                <w:szCs w:val="21"/>
                <w:highlight w:val="none"/>
                <w:lang w:eastAsia="zh-CN"/>
              </w:rPr>
            </w:pPr>
            <w:r>
              <w:rPr>
                <w:rFonts w:hint="eastAsia" w:ascii="宋体" w:hAnsi="宋体" w:eastAsia="宋体" w:cs="宋体"/>
                <w:color w:val="auto"/>
                <w:spacing w:val="10"/>
                <w:kern w:val="2"/>
                <w:sz w:val="21"/>
                <w:szCs w:val="21"/>
                <w:highlight w:val="none"/>
                <w:lang w:eastAsia="zh-CN"/>
              </w:rPr>
              <w:t>《微型计算机能效限定值及能效等级》（GB28380）</w:t>
            </w:r>
          </w:p>
        </w:tc>
      </w:tr>
      <w:tr w14:paraId="49158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noWrap w:val="0"/>
            <w:vAlign w:val="center"/>
          </w:tcPr>
          <w:p w14:paraId="2101A0C4">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422" w:type="dxa"/>
            <w:vMerge w:val="restart"/>
            <w:tcBorders>
              <w:top w:val="single" w:color="000000" w:sz="4" w:space="0"/>
              <w:left w:val="single" w:color="000000" w:sz="4" w:space="0"/>
              <w:bottom w:val="single" w:color="000000" w:sz="4" w:space="0"/>
              <w:right w:val="single" w:color="000000" w:sz="4" w:space="0"/>
            </w:tcBorders>
            <w:noWrap w:val="0"/>
            <w:vAlign w:val="center"/>
          </w:tcPr>
          <w:p w14:paraId="2DEFA9FB">
            <w:pPr>
              <w:pStyle w:val="100"/>
              <w:keepNext w:val="0"/>
              <w:keepLines w:val="0"/>
              <w:suppressLineNumbers w:val="0"/>
              <w:spacing w:before="0" w:beforeAutospacing="0" w:after="0" w:afterAutospacing="0"/>
              <w:ind w:left="7"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A02020000办公设备</w:t>
            </w:r>
          </w:p>
        </w:tc>
        <w:tc>
          <w:tcPr>
            <w:tcW w:w="1496" w:type="dxa"/>
            <w:vMerge w:val="restart"/>
            <w:tcBorders>
              <w:top w:val="single" w:color="000000" w:sz="4" w:space="0"/>
              <w:left w:val="single" w:color="000000" w:sz="4" w:space="0"/>
              <w:bottom w:val="single" w:color="000000" w:sz="4" w:space="0"/>
              <w:right w:val="single" w:color="000000" w:sz="4" w:space="0"/>
            </w:tcBorders>
            <w:noWrap w:val="0"/>
            <w:vAlign w:val="center"/>
          </w:tcPr>
          <w:p w14:paraId="2C3E2871">
            <w:pPr>
              <w:pStyle w:val="100"/>
              <w:keepNext w:val="0"/>
              <w:keepLines w:val="0"/>
              <w:suppressLineNumbers w:val="0"/>
              <w:spacing w:before="0" w:beforeAutospacing="0" w:after="0" w:afterAutospacing="0"/>
              <w:ind w:left="7"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A02021000打印机</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2A90F6D7">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A02021001 A3黑白打印机</w:t>
            </w:r>
          </w:p>
        </w:tc>
        <w:tc>
          <w:tcPr>
            <w:tcW w:w="4133" w:type="dxa"/>
            <w:tcBorders>
              <w:top w:val="single" w:color="000000" w:sz="4" w:space="0"/>
              <w:left w:val="single" w:color="000000" w:sz="4" w:space="0"/>
              <w:bottom w:val="single" w:color="000000" w:sz="4" w:space="0"/>
              <w:right w:val="single" w:color="000000" w:sz="4" w:space="0"/>
            </w:tcBorders>
            <w:noWrap w:val="0"/>
            <w:vAlign w:val="top"/>
          </w:tcPr>
          <w:p w14:paraId="58A7FC5A">
            <w:pPr>
              <w:pStyle w:val="100"/>
              <w:keepNext w:val="0"/>
              <w:keepLines w:val="0"/>
              <w:suppressLineNumbers w:val="0"/>
              <w:spacing w:before="131" w:beforeAutospacing="0" w:after="0" w:afterAutospacing="0" w:line="276" w:lineRule="auto"/>
              <w:ind w:left="7" w:right="4"/>
              <w:rPr>
                <w:rFonts w:hint="eastAsia" w:ascii="宋体" w:hAnsi="宋体" w:eastAsia="宋体" w:cs="宋体"/>
                <w:color w:val="auto"/>
                <w:spacing w:val="10"/>
                <w:kern w:val="2"/>
                <w:sz w:val="21"/>
                <w:szCs w:val="21"/>
                <w:highlight w:val="none"/>
                <w:lang w:eastAsia="zh-CN"/>
              </w:rPr>
            </w:pPr>
            <w:r>
              <w:rPr>
                <w:rFonts w:hint="eastAsia" w:ascii="宋体" w:hAnsi="宋体" w:eastAsia="宋体" w:cs="宋体"/>
                <w:color w:val="auto"/>
                <w:spacing w:val="10"/>
                <w:kern w:val="2"/>
                <w:sz w:val="21"/>
                <w:szCs w:val="21"/>
                <w:highlight w:val="none"/>
                <w:lang w:eastAsia="zh-CN"/>
              </w:rPr>
              <w:t>《复印机、打印机和传真机能效限定值及能效等级》（GB21521）</w:t>
            </w:r>
          </w:p>
        </w:tc>
      </w:tr>
      <w:tr w14:paraId="6FC13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C197E94">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D5AE1EA">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9776EE6">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2A586A0F">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A02021002 A3彩色打印机</w:t>
            </w:r>
          </w:p>
        </w:tc>
        <w:tc>
          <w:tcPr>
            <w:tcW w:w="4133" w:type="dxa"/>
            <w:tcBorders>
              <w:top w:val="single" w:color="000000" w:sz="4" w:space="0"/>
              <w:left w:val="single" w:color="000000" w:sz="4" w:space="0"/>
              <w:bottom w:val="single" w:color="000000" w:sz="4" w:space="0"/>
              <w:right w:val="single" w:color="000000" w:sz="4" w:space="0"/>
            </w:tcBorders>
            <w:noWrap w:val="0"/>
            <w:vAlign w:val="top"/>
          </w:tcPr>
          <w:p w14:paraId="61526470">
            <w:pPr>
              <w:pStyle w:val="100"/>
              <w:keepNext w:val="0"/>
              <w:keepLines w:val="0"/>
              <w:suppressLineNumbers w:val="0"/>
              <w:spacing w:before="131" w:beforeAutospacing="0" w:after="0" w:afterAutospacing="0" w:line="276" w:lineRule="auto"/>
              <w:ind w:left="7" w:right="4"/>
              <w:rPr>
                <w:rFonts w:hint="eastAsia" w:ascii="宋体" w:hAnsi="宋体" w:eastAsia="宋体" w:cs="宋体"/>
                <w:color w:val="auto"/>
                <w:spacing w:val="10"/>
                <w:kern w:val="2"/>
                <w:sz w:val="21"/>
                <w:szCs w:val="21"/>
                <w:highlight w:val="none"/>
                <w:lang w:eastAsia="zh-CN"/>
              </w:rPr>
            </w:pPr>
            <w:r>
              <w:rPr>
                <w:rFonts w:hint="eastAsia" w:ascii="宋体" w:hAnsi="宋体" w:eastAsia="宋体" w:cs="宋体"/>
                <w:color w:val="auto"/>
                <w:spacing w:val="10"/>
                <w:kern w:val="2"/>
                <w:sz w:val="21"/>
                <w:szCs w:val="21"/>
                <w:highlight w:val="none"/>
                <w:lang w:eastAsia="zh-CN"/>
              </w:rPr>
              <w:t>《复印机、打印机和传真机能效限定值及能效等级》（GB21521）</w:t>
            </w:r>
          </w:p>
        </w:tc>
      </w:tr>
      <w:tr w14:paraId="6CEAA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6145D8">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0D87C26">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7F6A01D">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666BF80F">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A02021003 A4黑白打印机</w:t>
            </w:r>
          </w:p>
        </w:tc>
        <w:tc>
          <w:tcPr>
            <w:tcW w:w="4133" w:type="dxa"/>
            <w:tcBorders>
              <w:top w:val="single" w:color="000000" w:sz="4" w:space="0"/>
              <w:left w:val="single" w:color="000000" w:sz="4" w:space="0"/>
              <w:bottom w:val="single" w:color="000000" w:sz="4" w:space="0"/>
              <w:right w:val="single" w:color="000000" w:sz="4" w:space="0"/>
            </w:tcBorders>
            <w:noWrap w:val="0"/>
            <w:vAlign w:val="top"/>
          </w:tcPr>
          <w:p w14:paraId="3AE3AC05">
            <w:pPr>
              <w:pStyle w:val="100"/>
              <w:keepNext w:val="0"/>
              <w:keepLines w:val="0"/>
              <w:suppressLineNumbers w:val="0"/>
              <w:spacing w:before="131" w:beforeAutospacing="0" w:after="0" w:afterAutospacing="0" w:line="276" w:lineRule="auto"/>
              <w:ind w:left="7" w:right="4"/>
              <w:rPr>
                <w:rFonts w:hint="eastAsia" w:ascii="宋体" w:hAnsi="宋体" w:eastAsia="宋体" w:cs="宋体"/>
                <w:color w:val="auto"/>
                <w:spacing w:val="10"/>
                <w:kern w:val="2"/>
                <w:sz w:val="21"/>
                <w:szCs w:val="21"/>
                <w:highlight w:val="none"/>
                <w:lang w:eastAsia="zh-CN"/>
              </w:rPr>
            </w:pPr>
            <w:r>
              <w:rPr>
                <w:rFonts w:hint="eastAsia" w:ascii="宋体" w:hAnsi="宋体" w:eastAsia="宋体" w:cs="宋体"/>
                <w:color w:val="auto"/>
                <w:spacing w:val="10"/>
                <w:kern w:val="2"/>
                <w:sz w:val="21"/>
                <w:szCs w:val="21"/>
                <w:highlight w:val="none"/>
                <w:lang w:eastAsia="zh-CN"/>
              </w:rPr>
              <w:t>《复印机、打印机和传真机能效限定值及能效等级》（GB21521）</w:t>
            </w:r>
          </w:p>
        </w:tc>
      </w:tr>
      <w:tr w14:paraId="21EDF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63BD0B">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815198">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5EE9C7C">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3380818F">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A02021004 A4彩色打印机</w:t>
            </w:r>
          </w:p>
        </w:tc>
        <w:tc>
          <w:tcPr>
            <w:tcW w:w="4133" w:type="dxa"/>
            <w:tcBorders>
              <w:top w:val="single" w:color="000000" w:sz="4" w:space="0"/>
              <w:left w:val="single" w:color="000000" w:sz="4" w:space="0"/>
              <w:bottom w:val="single" w:color="000000" w:sz="4" w:space="0"/>
              <w:right w:val="single" w:color="000000" w:sz="4" w:space="0"/>
            </w:tcBorders>
            <w:noWrap w:val="0"/>
            <w:vAlign w:val="top"/>
          </w:tcPr>
          <w:p w14:paraId="7E1BDD9C">
            <w:pPr>
              <w:pStyle w:val="100"/>
              <w:keepNext w:val="0"/>
              <w:keepLines w:val="0"/>
              <w:suppressLineNumbers w:val="0"/>
              <w:spacing w:before="131" w:beforeAutospacing="0" w:after="0" w:afterAutospacing="0" w:line="276" w:lineRule="auto"/>
              <w:ind w:left="7" w:right="4"/>
              <w:rPr>
                <w:rFonts w:hint="eastAsia" w:ascii="宋体" w:hAnsi="宋体" w:eastAsia="宋体" w:cs="宋体"/>
                <w:color w:val="auto"/>
                <w:spacing w:val="10"/>
                <w:kern w:val="2"/>
                <w:sz w:val="21"/>
                <w:szCs w:val="21"/>
                <w:highlight w:val="none"/>
                <w:lang w:eastAsia="zh-CN"/>
              </w:rPr>
            </w:pPr>
            <w:r>
              <w:rPr>
                <w:rFonts w:hint="eastAsia" w:ascii="宋体" w:hAnsi="宋体" w:eastAsia="宋体" w:cs="宋体"/>
                <w:color w:val="auto"/>
                <w:spacing w:val="10"/>
                <w:kern w:val="2"/>
                <w:sz w:val="21"/>
                <w:szCs w:val="21"/>
                <w:highlight w:val="none"/>
                <w:lang w:eastAsia="zh-CN"/>
              </w:rPr>
              <w:t>《复印机、打印机和传真机能效限定值及能效等级》（GB21521）</w:t>
            </w:r>
          </w:p>
        </w:tc>
      </w:tr>
      <w:tr w14:paraId="1F9E0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CFAA88">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071169">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FD4839">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1D2CC5B8">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A02021005 3D打印机</w:t>
            </w:r>
          </w:p>
        </w:tc>
        <w:tc>
          <w:tcPr>
            <w:tcW w:w="4133" w:type="dxa"/>
            <w:tcBorders>
              <w:top w:val="single" w:color="000000" w:sz="4" w:space="0"/>
              <w:left w:val="single" w:color="000000" w:sz="4" w:space="0"/>
              <w:bottom w:val="single" w:color="000000" w:sz="4" w:space="0"/>
              <w:right w:val="single" w:color="000000" w:sz="4" w:space="0"/>
            </w:tcBorders>
            <w:noWrap w:val="0"/>
            <w:vAlign w:val="top"/>
          </w:tcPr>
          <w:p w14:paraId="784EAF37">
            <w:pPr>
              <w:pStyle w:val="100"/>
              <w:keepNext w:val="0"/>
              <w:keepLines w:val="0"/>
              <w:suppressLineNumbers w:val="0"/>
              <w:spacing w:before="131" w:beforeAutospacing="0" w:after="0" w:afterAutospacing="0" w:line="276" w:lineRule="auto"/>
              <w:ind w:left="7" w:right="4"/>
              <w:rPr>
                <w:rFonts w:hint="eastAsia" w:ascii="宋体" w:hAnsi="宋体" w:eastAsia="宋体" w:cs="宋体"/>
                <w:color w:val="auto"/>
                <w:spacing w:val="10"/>
                <w:kern w:val="2"/>
                <w:sz w:val="21"/>
                <w:szCs w:val="21"/>
                <w:highlight w:val="none"/>
                <w:lang w:eastAsia="zh-CN"/>
              </w:rPr>
            </w:pPr>
            <w:r>
              <w:rPr>
                <w:rFonts w:hint="eastAsia" w:ascii="宋体" w:hAnsi="宋体" w:eastAsia="宋体" w:cs="宋体"/>
                <w:color w:val="auto"/>
                <w:spacing w:val="10"/>
                <w:kern w:val="2"/>
                <w:sz w:val="21"/>
                <w:szCs w:val="21"/>
                <w:highlight w:val="none"/>
                <w:lang w:eastAsia="zh-CN"/>
              </w:rPr>
              <w:t>《复印机、打印机和传真机能效限定值及能效等级》（GB21521）</w:t>
            </w:r>
          </w:p>
        </w:tc>
      </w:tr>
      <w:tr w14:paraId="42CB6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73F9136">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8E9A47D">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F48DB2E">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03B27AE0">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A02021006票据打印机</w:t>
            </w:r>
          </w:p>
        </w:tc>
        <w:tc>
          <w:tcPr>
            <w:tcW w:w="4133" w:type="dxa"/>
            <w:tcBorders>
              <w:top w:val="single" w:color="000000" w:sz="4" w:space="0"/>
              <w:left w:val="single" w:color="000000" w:sz="4" w:space="0"/>
              <w:bottom w:val="single" w:color="000000" w:sz="4" w:space="0"/>
              <w:right w:val="single" w:color="000000" w:sz="4" w:space="0"/>
            </w:tcBorders>
            <w:noWrap w:val="0"/>
            <w:vAlign w:val="top"/>
          </w:tcPr>
          <w:p w14:paraId="24DD363F">
            <w:pPr>
              <w:pStyle w:val="100"/>
              <w:keepNext w:val="0"/>
              <w:keepLines w:val="0"/>
              <w:suppressLineNumbers w:val="0"/>
              <w:spacing w:before="131" w:beforeAutospacing="0" w:after="0" w:afterAutospacing="0" w:line="276" w:lineRule="auto"/>
              <w:ind w:left="7" w:right="4"/>
              <w:rPr>
                <w:rFonts w:hint="eastAsia" w:ascii="宋体" w:hAnsi="宋体" w:eastAsia="宋体" w:cs="宋体"/>
                <w:color w:val="auto"/>
                <w:spacing w:val="10"/>
                <w:kern w:val="2"/>
                <w:sz w:val="21"/>
                <w:szCs w:val="21"/>
                <w:highlight w:val="none"/>
                <w:lang w:eastAsia="zh-CN"/>
              </w:rPr>
            </w:pPr>
            <w:r>
              <w:rPr>
                <w:rFonts w:hint="eastAsia" w:ascii="宋体" w:hAnsi="宋体" w:eastAsia="宋体" w:cs="宋体"/>
                <w:color w:val="auto"/>
                <w:spacing w:val="10"/>
                <w:kern w:val="2"/>
                <w:sz w:val="21"/>
                <w:szCs w:val="21"/>
                <w:highlight w:val="none"/>
                <w:lang w:eastAsia="zh-CN"/>
              </w:rPr>
              <w:t>《复印机、打印机和传真机能效限定值及能效等级》（GB21521）</w:t>
            </w:r>
          </w:p>
        </w:tc>
      </w:tr>
      <w:tr w14:paraId="3D971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1D216C7">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1D1BC83">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3A1858">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00E45E11">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A02021007条码打印机</w:t>
            </w:r>
          </w:p>
        </w:tc>
        <w:tc>
          <w:tcPr>
            <w:tcW w:w="4133" w:type="dxa"/>
            <w:tcBorders>
              <w:top w:val="single" w:color="000000" w:sz="4" w:space="0"/>
              <w:left w:val="single" w:color="000000" w:sz="4" w:space="0"/>
              <w:bottom w:val="single" w:color="000000" w:sz="4" w:space="0"/>
              <w:right w:val="single" w:color="000000" w:sz="4" w:space="0"/>
            </w:tcBorders>
            <w:noWrap w:val="0"/>
            <w:vAlign w:val="top"/>
          </w:tcPr>
          <w:p w14:paraId="54109B40">
            <w:pPr>
              <w:pStyle w:val="100"/>
              <w:keepNext w:val="0"/>
              <w:keepLines w:val="0"/>
              <w:suppressLineNumbers w:val="0"/>
              <w:spacing w:before="131" w:beforeAutospacing="0" w:after="0" w:afterAutospacing="0" w:line="276" w:lineRule="auto"/>
              <w:ind w:left="7" w:right="4"/>
              <w:rPr>
                <w:rFonts w:hint="eastAsia" w:ascii="宋体" w:hAnsi="宋体" w:eastAsia="宋体" w:cs="宋体"/>
                <w:color w:val="auto"/>
                <w:spacing w:val="10"/>
                <w:kern w:val="2"/>
                <w:sz w:val="21"/>
                <w:szCs w:val="21"/>
                <w:highlight w:val="none"/>
                <w:lang w:eastAsia="zh-CN"/>
              </w:rPr>
            </w:pPr>
            <w:r>
              <w:rPr>
                <w:rFonts w:hint="eastAsia" w:ascii="宋体" w:hAnsi="宋体" w:eastAsia="宋体" w:cs="宋体"/>
                <w:color w:val="auto"/>
                <w:spacing w:val="10"/>
                <w:kern w:val="2"/>
                <w:sz w:val="21"/>
                <w:szCs w:val="21"/>
                <w:highlight w:val="none"/>
                <w:lang w:eastAsia="zh-CN"/>
              </w:rPr>
              <w:t>《复印机、打印机和传真机能效限定值及能效等级》（GB21521）</w:t>
            </w:r>
          </w:p>
        </w:tc>
      </w:tr>
      <w:tr w14:paraId="234E3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806B5F6">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E1FBABE">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3777110">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7FF68420">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A02021008地址打印机</w:t>
            </w:r>
          </w:p>
        </w:tc>
        <w:tc>
          <w:tcPr>
            <w:tcW w:w="4133" w:type="dxa"/>
            <w:tcBorders>
              <w:top w:val="single" w:color="000000" w:sz="4" w:space="0"/>
              <w:left w:val="single" w:color="000000" w:sz="4" w:space="0"/>
              <w:bottom w:val="single" w:color="000000" w:sz="4" w:space="0"/>
              <w:right w:val="single" w:color="000000" w:sz="4" w:space="0"/>
            </w:tcBorders>
            <w:noWrap w:val="0"/>
            <w:vAlign w:val="top"/>
          </w:tcPr>
          <w:p w14:paraId="1D44CEAC">
            <w:pPr>
              <w:pStyle w:val="100"/>
              <w:keepNext w:val="0"/>
              <w:keepLines w:val="0"/>
              <w:suppressLineNumbers w:val="0"/>
              <w:spacing w:before="131" w:beforeAutospacing="0" w:after="0" w:afterAutospacing="0" w:line="276" w:lineRule="auto"/>
              <w:ind w:left="7" w:right="4"/>
              <w:rPr>
                <w:rFonts w:hint="eastAsia" w:ascii="宋体" w:hAnsi="宋体" w:eastAsia="宋体" w:cs="宋体"/>
                <w:color w:val="auto"/>
                <w:spacing w:val="10"/>
                <w:kern w:val="2"/>
                <w:sz w:val="21"/>
                <w:szCs w:val="21"/>
                <w:highlight w:val="none"/>
                <w:lang w:eastAsia="zh-CN"/>
              </w:rPr>
            </w:pPr>
            <w:r>
              <w:rPr>
                <w:rFonts w:hint="eastAsia" w:ascii="宋体" w:hAnsi="宋体" w:eastAsia="宋体" w:cs="宋体"/>
                <w:color w:val="auto"/>
                <w:spacing w:val="10"/>
                <w:kern w:val="2"/>
                <w:sz w:val="21"/>
                <w:szCs w:val="21"/>
                <w:highlight w:val="none"/>
                <w:lang w:eastAsia="zh-CN"/>
              </w:rPr>
              <w:t>《复印机、打印机和传真机能效限定值及能效等级》（GB21521）</w:t>
            </w:r>
          </w:p>
        </w:tc>
      </w:tr>
      <w:tr w14:paraId="5259E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0D81528">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47D5174">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2056C48">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07B8B734">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A02021099其他打印机</w:t>
            </w:r>
          </w:p>
        </w:tc>
        <w:tc>
          <w:tcPr>
            <w:tcW w:w="4133" w:type="dxa"/>
            <w:tcBorders>
              <w:top w:val="single" w:color="000000" w:sz="4" w:space="0"/>
              <w:left w:val="single" w:color="000000" w:sz="4" w:space="0"/>
              <w:bottom w:val="single" w:color="000000" w:sz="4" w:space="0"/>
              <w:right w:val="single" w:color="000000" w:sz="4" w:space="0"/>
            </w:tcBorders>
            <w:noWrap w:val="0"/>
            <w:vAlign w:val="top"/>
          </w:tcPr>
          <w:p w14:paraId="6BE49770">
            <w:pPr>
              <w:pStyle w:val="100"/>
              <w:keepNext w:val="0"/>
              <w:keepLines w:val="0"/>
              <w:suppressLineNumbers w:val="0"/>
              <w:spacing w:before="131" w:beforeAutospacing="0" w:after="0" w:afterAutospacing="0" w:line="276" w:lineRule="auto"/>
              <w:ind w:left="7" w:right="4"/>
              <w:rPr>
                <w:rFonts w:hint="eastAsia" w:ascii="宋体" w:hAnsi="宋体" w:eastAsia="宋体" w:cs="宋体"/>
                <w:color w:val="auto"/>
                <w:spacing w:val="10"/>
                <w:kern w:val="2"/>
                <w:sz w:val="21"/>
                <w:szCs w:val="21"/>
                <w:highlight w:val="none"/>
                <w:lang w:eastAsia="zh-CN"/>
              </w:rPr>
            </w:pPr>
            <w:r>
              <w:rPr>
                <w:rFonts w:hint="eastAsia" w:ascii="宋体" w:hAnsi="宋体" w:eastAsia="宋体" w:cs="宋体"/>
                <w:color w:val="auto"/>
                <w:spacing w:val="10"/>
                <w:kern w:val="2"/>
                <w:sz w:val="21"/>
                <w:szCs w:val="21"/>
                <w:highlight w:val="none"/>
                <w:lang w:eastAsia="zh-CN"/>
              </w:rPr>
              <w:t>《复印机、打印机和传真机能效限定值及能效等级》（GB21521）</w:t>
            </w:r>
          </w:p>
        </w:tc>
      </w:tr>
      <w:tr w14:paraId="670DB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4212A9B">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0F0E94B">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1496" w:type="dxa"/>
            <w:vMerge w:val="restart"/>
            <w:tcBorders>
              <w:top w:val="single" w:color="000000" w:sz="4" w:space="0"/>
              <w:left w:val="single" w:color="000000" w:sz="4" w:space="0"/>
              <w:bottom w:val="single" w:color="000000" w:sz="4" w:space="0"/>
              <w:right w:val="single" w:color="000000" w:sz="4" w:space="0"/>
            </w:tcBorders>
            <w:noWrap w:val="0"/>
            <w:vAlign w:val="center"/>
          </w:tcPr>
          <w:p w14:paraId="302A4D1C">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A02021100输入输出设备</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454229E9">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highlight w:val="none"/>
              </w:rPr>
              <w:t>★</w:t>
            </w:r>
            <w:r>
              <w:rPr>
                <w:rFonts w:hint="eastAsia" w:ascii="宋体" w:hAnsi="宋体" w:eastAsia="宋体" w:cs="宋体"/>
                <w:color w:val="auto"/>
                <w:sz w:val="21"/>
                <w:szCs w:val="21"/>
                <w:highlight w:val="none"/>
              </w:rPr>
              <w:t>A02021104液晶显示器</w:t>
            </w:r>
          </w:p>
        </w:tc>
        <w:tc>
          <w:tcPr>
            <w:tcW w:w="4133" w:type="dxa"/>
            <w:tcBorders>
              <w:top w:val="single" w:color="000000" w:sz="4" w:space="0"/>
              <w:left w:val="single" w:color="000000" w:sz="4" w:space="0"/>
              <w:bottom w:val="single" w:color="000000" w:sz="4" w:space="0"/>
              <w:right w:val="single" w:color="000000" w:sz="4" w:space="0"/>
            </w:tcBorders>
            <w:noWrap w:val="0"/>
            <w:vAlign w:val="center"/>
          </w:tcPr>
          <w:p w14:paraId="52411F7F">
            <w:pPr>
              <w:pStyle w:val="100"/>
              <w:keepNext w:val="0"/>
              <w:keepLines w:val="0"/>
              <w:suppressLineNumbers w:val="0"/>
              <w:spacing w:before="131" w:beforeAutospacing="0" w:after="0" w:afterAutospacing="0" w:line="276" w:lineRule="auto"/>
              <w:ind w:left="7" w:right="4"/>
              <w:rPr>
                <w:rFonts w:hint="eastAsia" w:ascii="宋体" w:hAnsi="宋体" w:eastAsia="宋体" w:cs="宋体"/>
                <w:color w:val="auto"/>
                <w:spacing w:val="10"/>
                <w:kern w:val="2"/>
                <w:sz w:val="21"/>
                <w:szCs w:val="21"/>
                <w:highlight w:val="none"/>
                <w:lang w:eastAsia="zh-CN"/>
              </w:rPr>
            </w:pPr>
            <w:r>
              <w:rPr>
                <w:rFonts w:hint="eastAsia" w:ascii="宋体" w:hAnsi="宋体" w:eastAsia="宋体" w:cs="宋体"/>
                <w:color w:val="auto"/>
                <w:spacing w:val="10"/>
                <w:kern w:val="2"/>
                <w:sz w:val="21"/>
                <w:szCs w:val="21"/>
                <w:highlight w:val="none"/>
                <w:lang w:eastAsia="zh-CN"/>
              </w:rPr>
              <w:t>《计算机显示器能效限定值及能效等级》（GB21520）</w:t>
            </w:r>
          </w:p>
        </w:tc>
      </w:tr>
      <w:tr w14:paraId="1E8E2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516ABF8">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7E9567">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6109FBC">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310F0750">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A02021118扫描仪</w:t>
            </w:r>
          </w:p>
        </w:tc>
        <w:tc>
          <w:tcPr>
            <w:tcW w:w="4133" w:type="dxa"/>
            <w:tcBorders>
              <w:top w:val="single" w:color="000000" w:sz="4" w:space="0"/>
              <w:left w:val="single" w:color="000000" w:sz="4" w:space="0"/>
              <w:bottom w:val="single" w:color="000000" w:sz="4" w:space="0"/>
              <w:right w:val="single" w:color="000000" w:sz="4" w:space="0"/>
            </w:tcBorders>
            <w:noWrap w:val="0"/>
            <w:vAlign w:val="center"/>
          </w:tcPr>
          <w:p w14:paraId="020F64DA">
            <w:pPr>
              <w:pStyle w:val="100"/>
              <w:keepNext w:val="0"/>
              <w:keepLines w:val="0"/>
              <w:suppressLineNumbers w:val="0"/>
              <w:spacing w:before="131" w:beforeAutospacing="0" w:after="0" w:afterAutospacing="0" w:line="276" w:lineRule="auto"/>
              <w:ind w:left="7" w:right="4"/>
              <w:rPr>
                <w:rFonts w:hint="eastAsia" w:ascii="宋体" w:hAnsi="宋体" w:eastAsia="宋体" w:cs="宋体"/>
                <w:color w:val="auto"/>
                <w:spacing w:val="10"/>
                <w:kern w:val="2"/>
                <w:sz w:val="21"/>
                <w:szCs w:val="21"/>
                <w:highlight w:val="none"/>
                <w:lang w:eastAsia="zh-CN"/>
              </w:rPr>
            </w:pPr>
            <w:r>
              <w:rPr>
                <w:rFonts w:hint="eastAsia" w:ascii="宋体" w:hAnsi="宋体" w:eastAsia="宋体" w:cs="宋体"/>
                <w:color w:val="auto"/>
                <w:spacing w:val="10"/>
                <w:kern w:val="2"/>
                <w:sz w:val="21"/>
                <w:szCs w:val="21"/>
                <w:highlight w:val="none"/>
                <w:lang w:eastAsia="zh-CN"/>
              </w:rPr>
              <w:t>参照《复印机、打印机和传真机能效限定值及能效等级》（GB21521）中打印速度为15页/分的针式打印机相关要求</w:t>
            </w:r>
          </w:p>
        </w:tc>
      </w:tr>
      <w:tr w14:paraId="41779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noWrap w:val="0"/>
            <w:vAlign w:val="center"/>
          </w:tcPr>
          <w:p w14:paraId="59B6042C">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w w:val="99"/>
                <w:sz w:val="21"/>
                <w:szCs w:val="21"/>
                <w:highlight w:val="none"/>
              </w:rPr>
              <w:t>3</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0A42E887">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A02020200投影仪</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64EE1836">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29A63FE5">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c>
          <w:tcPr>
            <w:tcW w:w="4133" w:type="dxa"/>
            <w:tcBorders>
              <w:top w:val="single" w:color="000000" w:sz="4" w:space="0"/>
              <w:left w:val="single" w:color="000000" w:sz="4" w:space="0"/>
              <w:bottom w:val="single" w:color="000000" w:sz="4" w:space="0"/>
              <w:right w:val="single" w:color="000000" w:sz="4" w:space="0"/>
            </w:tcBorders>
            <w:noWrap w:val="0"/>
            <w:vAlign w:val="center"/>
          </w:tcPr>
          <w:p w14:paraId="68082537">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《投影机能效限定值及能效等级》（GB32028）</w:t>
            </w:r>
          </w:p>
        </w:tc>
      </w:tr>
      <w:tr w14:paraId="54CB3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noWrap w:val="0"/>
            <w:vAlign w:val="center"/>
          </w:tcPr>
          <w:p w14:paraId="6BCA428C">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55F51DE3">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A02020400多功能一体机</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38A36BAB">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389C34D0">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c>
          <w:tcPr>
            <w:tcW w:w="4133" w:type="dxa"/>
            <w:tcBorders>
              <w:top w:val="single" w:color="000000" w:sz="4" w:space="0"/>
              <w:left w:val="single" w:color="000000" w:sz="4" w:space="0"/>
              <w:bottom w:val="single" w:color="000000" w:sz="4" w:space="0"/>
              <w:right w:val="single" w:color="000000" w:sz="4" w:space="0"/>
            </w:tcBorders>
            <w:noWrap w:val="0"/>
            <w:vAlign w:val="center"/>
          </w:tcPr>
          <w:p w14:paraId="6AF3E8D1">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《复印机、打印机和传真机能效限定值及能效等级》（GB21521）</w:t>
            </w:r>
          </w:p>
        </w:tc>
      </w:tr>
      <w:tr w14:paraId="5725E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noWrap w:val="0"/>
            <w:vAlign w:val="center"/>
          </w:tcPr>
          <w:p w14:paraId="00180D30">
            <w:pPr>
              <w:pStyle w:val="100"/>
              <w:keepNext w:val="0"/>
              <w:keepLines w:val="0"/>
              <w:suppressLineNumbers w:val="0"/>
              <w:spacing w:before="160" w:beforeAutospacing="0" w:after="0" w:afterAutospacing="0"/>
              <w:ind w:left="0" w:right="1"/>
              <w:jc w:val="center"/>
              <w:rPr>
                <w:rFonts w:hint="eastAsia" w:ascii="宋体" w:hAnsi="宋体" w:eastAsia="宋体" w:cs="宋体"/>
                <w:color w:val="auto"/>
                <w:kern w:val="2"/>
                <w:sz w:val="21"/>
                <w:szCs w:val="21"/>
                <w:highlight w:val="none"/>
              </w:rPr>
            </w:pPr>
            <w:r>
              <w:rPr>
                <w:rFonts w:hint="eastAsia" w:ascii="宋体" w:hAnsi="宋体" w:eastAsia="宋体" w:cs="宋体"/>
                <w:color w:val="auto"/>
                <w:w w:val="99"/>
                <w:kern w:val="2"/>
                <w:sz w:val="21"/>
                <w:szCs w:val="21"/>
                <w:highlight w:val="none"/>
              </w:rPr>
              <w:t>5</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3BDFC0C3">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A02051900泵</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7AE866CD">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A02051901离心泵</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494E3419">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c>
          <w:tcPr>
            <w:tcW w:w="4133" w:type="dxa"/>
            <w:tcBorders>
              <w:top w:val="single" w:color="000000" w:sz="4" w:space="0"/>
              <w:left w:val="single" w:color="000000" w:sz="4" w:space="0"/>
              <w:bottom w:val="single" w:color="000000" w:sz="4" w:space="0"/>
              <w:right w:val="single" w:color="000000" w:sz="4" w:space="0"/>
            </w:tcBorders>
            <w:noWrap w:val="0"/>
            <w:vAlign w:val="top"/>
          </w:tcPr>
          <w:p w14:paraId="07AAD99C">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《清水离心泵能效限定值及节能评价值》（GB19762）</w:t>
            </w:r>
          </w:p>
        </w:tc>
      </w:tr>
      <w:tr w14:paraId="11B4D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noWrap w:val="0"/>
            <w:vAlign w:val="center"/>
          </w:tcPr>
          <w:p w14:paraId="2937CDEB">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1422" w:type="dxa"/>
            <w:vMerge w:val="restart"/>
            <w:tcBorders>
              <w:top w:val="single" w:color="000000" w:sz="4" w:space="0"/>
              <w:left w:val="single" w:color="000000" w:sz="4" w:space="0"/>
              <w:bottom w:val="single" w:color="000000" w:sz="4" w:space="0"/>
              <w:right w:val="single" w:color="000000" w:sz="4" w:space="0"/>
            </w:tcBorders>
            <w:noWrap w:val="0"/>
            <w:vAlign w:val="center"/>
          </w:tcPr>
          <w:p w14:paraId="18E570F5">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A02052300制冷空调设备</w:t>
            </w:r>
          </w:p>
        </w:tc>
        <w:tc>
          <w:tcPr>
            <w:tcW w:w="1496" w:type="dxa"/>
            <w:vMerge w:val="restart"/>
            <w:tcBorders>
              <w:top w:val="single" w:color="000000" w:sz="4" w:space="0"/>
              <w:left w:val="single" w:color="000000" w:sz="4" w:space="0"/>
              <w:bottom w:val="single" w:color="000000" w:sz="4" w:space="0"/>
              <w:right w:val="single" w:color="000000" w:sz="4" w:space="0"/>
            </w:tcBorders>
            <w:noWrap w:val="0"/>
            <w:vAlign w:val="center"/>
          </w:tcPr>
          <w:p w14:paraId="59EB5F5F">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★A02052301制冷压缩机</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2A223855">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冷水机组</w:t>
            </w:r>
          </w:p>
        </w:tc>
        <w:tc>
          <w:tcPr>
            <w:tcW w:w="4133" w:type="dxa"/>
            <w:tcBorders>
              <w:top w:val="single" w:color="000000" w:sz="4" w:space="0"/>
              <w:left w:val="single" w:color="000000" w:sz="4" w:space="0"/>
              <w:bottom w:val="single" w:color="000000" w:sz="4" w:space="0"/>
              <w:right w:val="single" w:color="000000" w:sz="4" w:space="0"/>
            </w:tcBorders>
            <w:noWrap w:val="0"/>
            <w:vAlign w:val="top"/>
          </w:tcPr>
          <w:p w14:paraId="224FB444">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《冷水机组能效限定值及能效等级》（GB19577），《低环境温度空气源热泵（冷水）机组能效限定值及能效等级》（GB37480）</w:t>
            </w:r>
          </w:p>
        </w:tc>
      </w:tr>
      <w:tr w14:paraId="42466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31D60DA">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6189EAA">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92408D7">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47F42DD5">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溴化锂吸收式冷水机组</w:t>
            </w:r>
          </w:p>
        </w:tc>
        <w:tc>
          <w:tcPr>
            <w:tcW w:w="4133" w:type="dxa"/>
            <w:tcBorders>
              <w:top w:val="single" w:color="000000" w:sz="4" w:space="0"/>
              <w:left w:val="single" w:color="000000" w:sz="4" w:space="0"/>
              <w:bottom w:val="single" w:color="000000" w:sz="4" w:space="0"/>
              <w:right w:val="single" w:color="000000" w:sz="4" w:space="0"/>
            </w:tcBorders>
            <w:noWrap w:val="0"/>
            <w:vAlign w:val="center"/>
          </w:tcPr>
          <w:p w14:paraId="71756A44">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《溴化锂吸收式冷水机组能效限</w:t>
            </w:r>
          </w:p>
          <w:p w14:paraId="7D48A170">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定值及能效等级》（GB29540）</w:t>
            </w:r>
          </w:p>
        </w:tc>
      </w:tr>
      <w:tr w14:paraId="257E8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916A6C">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47382E1">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c>
          <w:tcPr>
            <w:tcW w:w="1496" w:type="dxa"/>
            <w:vMerge w:val="restart"/>
            <w:tcBorders>
              <w:top w:val="single" w:color="000000" w:sz="4" w:space="0"/>
              <w:left w:val="single" w:color="000000" w:sz="4" w:space="0"/>
              <w:bottom w:val="single" w:color="000000" w:sz="4" w:space="0"/>
              <w:right w:val="single" w:color="000000" w:sz="4" w:space="0"/>
            </w:tcBorders>
            <w:noWrap w:val="0"/>
            <w:vAlign w:val="center"/>
          </w:tcPr>
          <w:p w14:paraId="0D2FB230">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★A02052305空调机组</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70ABE254">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多联式空调（热泵）机组（制冷量&gt;14000W）</w:t>
            </w:r>
          </w:p>
        </w:tc>
        <w:tc>
          <w:tcPr>
            <w:tcW w:w="4133" w:type="dxa"/>
            <w:tcBorders>
              <w:top w:val="single" w:color="000000" w:sz="4" w:space="0"/>
              <w:left w:val="single" w:color="000000" w:sz="4" w:space="0"/>
              <w:bottom w:val="single" w:color="000000" w:sz="4" w:space="0"/>
              <w:right w:val="single" w:color="000000" w:sz="4" w:space="0"/>
            </w:tcBorders>
            <w:noWrap w:val="0"/>
            <w:vAlign w:val="top"/>
          </w:tcPr>
          <w:p w14:paraId="45C23128">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《多联式空调（热泵）机组能效限定值及能源效率等级》（GB21454）</w:t>
            </w:r>
          </w:p>
        </w:tc>
      </w:tr>
      <w:tr w14:paraId="75249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E9E211E">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B96092F">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F5EE804">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07A0C32D">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单元式空气调节机</w:t>
            </w:r>
          </w:p>
        </w:tc>
        <w:tc>
          <w:tcPr>
            <w:tcW w:w="4133" w:type="dxa"/>
            <w:tcBorders>
              <w:top w:val="single" w:color="000000" w:sz="4" w:space="0"/>
              <w:left w:val="single" w:color="000000" w:sz="4" w:space="0"/>
              <w:bottom w:val="single" w:color="000000" w:sz="4" w:space="0"/>
              <w:right w:val="single" w:color="000000" w:sz="4" w:space="0"/>
            </w:tcBorders>
            <w:noWrap w:val="0"/>
            <w:vAlign w:val="top"/>
          </w:tcPr>
          <w:p w14:paraId="3552518C">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《单元式空气调节机能效限定值及能效等级》（GB19576）《风管送风式空调机组能效限定值及能效等级》（GB37479）</w:t>
            </w:r>
          </w:p>
        </w:tc>
      </w:tr>
      <w:tr w14:paraId="0E809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2FC2B3">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45105E">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017B7D85">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★A02052309专用制冷、空调设备</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3B5C5DB1">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机房空调</w:t>
            </w:r>
          </w:p>
        </w:tc>
        <w:tc>
          <w:tcPr>
            <w:tcW w:w="4133" w:type="dxa"/>
            <w:tcBorders>
              <w:top w:val="single" w:color="000000" w:sz="4" w:space="0"/>
              <w:left w:val="single" w:color="000000" w:sz="4" w:space="0"/>
              <w:bottom w:val="single" w:color="000000" w:sz="4" w:space="0"/>
              <w:right w:val="single" w:color="000000" w:sz="4" w:space="0"/>
            </w:tcBorders>
            <w:noWrap w:val="0"/>
            <w:vAlign w:val="top"/>
          </w:tcPr>
          <w:p w14:paraId="0DA4FDB6">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《单元式空气调节机能效限定值</w:t>
            </w:r>
          </w:p>
          <w:p w14:paraId="211E37DB">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及能效等级》（GB19576）</w:t>
            </w:r>
          </w:p>
        </w:tc>
      </w:tr>
      <w:tr w14:paraId="5B9ED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F416BA2">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4D1F55E">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76BE6BE1">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A02052399其他制冷</w:t>
            </w:r>
          </w:p>
          <w:p w14:paraId="6673A5F1">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空调设备</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6C34DA80">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lang w:eastAsia="en-US"/>
              </w:rPr>
            </w:pPr>
            <w:r>
              <w:rPr>
                <w:rFonts w:hint="eastAsia" w:ascii="宋体" w:hAnsi="宋体" w:eastAsia="宋体" w:cs="宋体"/>
                <w:color w:val="auto"/>
                <w:sz w:val="21"/>
                <w:szCs w:val="21"/>
                <w:highlight w:val="none"/>
              </w:rPr>
              <w:t>冷却塔</w:t>
            </w:r>
          </w:p>
        </w:tc>
        <w:tc>
          <w:tcPr>
            <w:tcW w:w="4133" w:type="dxa"/>
            <w:tcBorders>
              <w:top w:val="single" w:color="000000" w:sz="4" w:space="0"/>
              <w:left w:val="single" w:color="000000" w:sz="4" w:space="0"/>
              <w:bottom w:val="single" w:color="000000" w:sz="4" w:space="0"/>
              <w:right w:val="single" w:color="000000" w:sz="4" w:space="0"/>
            </w:tcBorders>
            <w:noWrap w:val="0"/>
            <w:vAlign w:val="top"/>
          </w:tcPr>
          <w:p w14:paraId="22C474EB">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《机械通风冷却塔第1部分：中小型开式冷却塔》（GB/T7190.1）</w:t>
            </w:r>
          </w:p>
          <w:p w14:paraId="6A200327">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《机械通风冷却塔第2部分：大型开式冷却塔》（GB/T7190.2）</w:t>
            </w:r>
          </w:p>
        </w:tc>
      </w:tr>
      <w:tr w14:paraId="325B8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noWrap w:val="0"/>
            <w:vAlign w:val="center"/>
          </w:tcPr>
          <w:p w14:paraId="73230A83">
            <w:pPr>
              <w:pStyle w:val="100"/>
              <w:keepNext w:val="0"/>
              <w:keepLines w:val="0"/>
              <w:suppressLineNumbers w:val="0"/>
              <w:spacing w:before="0" w:beforeAutospacing="0" w:after="0" w:afterAutospacing="0"/>
              <w:ind w:left="0" w:right="1"/>
              <w:jc w:val="center"/>
              <w:rPr>
                <w:rFonts w:hint="eastAsia" w:ascii="宋体" w:hAnsi="宋体" w:eastAsia="宋体" w:cs="宋体"/>
                <w:color w:val="auto"/>
                <w:kern w:val="2"/>
                <w:sz w:val="21"/>
                <w:szCs w:val="21"/>
                <w:highlight w:val="none"/>
              </w:rPr>
            </w:pPr>
            <w:r>
              <w:rPr>
                <w:rFonts w:hint="eastAsia" w:ascii="宋体" w:hAnsi="宋体" w:eastAsia="宋体" w:cs="宋体"/>
                <w:color w:val="auto"/>
                <w:w w:val="99"/>
                <w:kern w:val="2"/>
                <w:sz w:val="21"/>
                <w:szCs w:val="21"/>
                <w:highlight w:val="none"/>
              </w:rPr>
              <w:t>7</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0897649D">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A02060100电机</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59E93EBA">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584F44FA">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c>
          <w:tcPr>
            <w:tcW w:w="4133" w:type="dxa"/>
            <w:tcBorders>
              <w:top w:val="single" w:color="000000" w:sz="4" w:space="0"/>
              <w:left w:val="single" w:color="000000" w:sz="4" w:space="0"/>
              <w:bottom w:val="single" w:color="000000" w:sz="4" w:space="0"/>
              <w:right w:val="single" w:color="000000" w:sz="4" w:space="0"/>
            </w:tcBorders>
            <w:noWrap w:val="0"/>
            <w:vAlign w:val="top"/>
          </w:tcPr>
          <w:p w14:paraId="2BC965C4">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《中小型三相异步电动机能效限定值及能效等级》（GB18613）</w:t>
            </w:r>
          </w:p>
        </w:tc>
      </w:tr>
      <w:tr w14:paraId="7F423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noWrap w:val="0"/>
            <w:vAlign w:val="center"/>
          </w:tcPr>
          <w:p w14:paraId="101D7670">
            <w:pPr>
              <w:pStyle w:val="100"/>
              <w:keepNext w:val="0"/>
              <w:keepLines w:val="0"/>
              <w:suppressLineNumbers w:val="0"/>
              <w:spacing w:before="0" w:beforeAutospacing="0" w:after="0" w:afterAutospacing="0"/>
              <w:ind w:left="0" w:right="1"/>
              <w:jc w:val="center"/>
              <w:rPr>
                <w:rFonts w:hint="eastAsia" w:ascii="宋体" w:hAnsi="宋体" w:eastAsia="宋体" w:cs="宋体"/>
                <w:color w:val="auto"/>
                <w:kern w:val="2"/>
                <w:sz w:val="21"/>
                <w:szCs w:val="21"/>
                <w:highlight w:val="none"/>
              </w:rPr>
            </w:pPr>
            <w:r>
              <w:rPr>
                <w:rFonts w:hint="eastAsia" w:ascii="宋体" w:hAnsi="宋体" w:eastAsia="宋体" w:cs="宋体"/>
                <w:color w:val="auto"/>
                <w:w w:val="99"/>
                <w:kern w:val="2"/>
                <w:sz w:val="21"/>
                <w:szCs w:val="21"/>
                <w:highlight w:val="none"/>
              </w:rPr>
              <w:t>8</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3C0C5CE6">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A02060200变压</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09E0DD2A">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配电变压器</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3112B892">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c>
          <w:tcPr>
            <w:tcW w:w="4133" w:type="dxa"/>
            <w:tcBorders>
              <w:top w:val="single" w:color="000000" w:sz="4" w:space="0"/>
              <w:left w:val="single" w:color="000000" w:sz="4" w:space="0"/>
              <w:bottom w:val="single" w:color="000000" w:sz="4" w:space="0"/>
              <w:right w:val="single" w:color="000000" w:sz="4" w:space="0"/>
            </w:tcBorders>
            <w:noWrap w:val="0"/>
            <w:vAlign w:val="top"/>
          </w:tcPr>
          <w:p w14:paraId="7C825300">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《三相配电变压器能效限定值及能效等级》（GB 20052）</w:t>
            </w:r>
          </w:p>
        </w:tc>
      </w:tr>
      <w:tr w14:paraId="7939F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noWrap w:val="0"/>
            <w:vAlign w:val="center"/>
          </w:tcPr>
          <w:p w14:paraId="1A21C4E2">
            <w:pPr>
              <w:pStyle w:val="100"/>
              <w:keepNext w:val="0"/>
              <w:keepLines w:val="0"/>
              <w:suppressLineNumbers w:val="0"/>
              <w:spacing w:before="0" w:beforeAutospacing="0" w:after="0" w:afterAutospacing="0"/>
              <w:ind w:left="0" w:right="1"/>
              <w:jc w:val="center"/>
              <w:rPr>
                <w:rFonts w:hint="eastAsia" w:ascii="宋体" w:hAnsi="宋体" w:eastAsia="宋体" w:cs="宋体"/>
                <w:color w:val="auto"/>
                <w:kern w:val="2"/>
                <w:sz w:val="21"/>
                <w:szCs w:val="21"/>
                <w:highlight w:val="none"/>
              </w:rPr>
            </w:pPr>
            <w:r>
              <w:rPr>
                <w:rFonts w:hint="eastAsia" w:ascii="宋体" w:hAnsi="宋体" w:eastAsia="宋体" w:cs="宋体"/>
                <w:color w:val="auto"/>
                <w:w w:val="99"/>
                <w:kern w:val="2"/>
                <w:sz w:val="21"/>
                <w:szCs w:val="21"/>
                <w:highlight w:val="none"/>
              </w:rPr>
              <w:t>9</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7358F2B2">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★A02060900镇流器</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4F750C93">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管型荧光灯镇流器</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6E051F6D">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c>
          <w:tcPr>
            <w:tcW w:w="4133" w:type="dxa"/>
            <w:tcBorders>
              <w:top w:val="single" w:color="000000" w:sz="4" w:space="0"/>
              <w:left w:val="single" w:color="000000" w:sz="4" w:space="0"/>
              <w:bottom w:val="single" w:color="000000" w:sz="4" w:space="0"/>
              <w:right w:val="single" w:color="000000" w:sz="4" w:space="0"/>
            </w:tcBorders>
            <w:noWrap w:val="0"/>
            <w:vAlign w:val="top"/>
          </w:tcPr>
          <w:p w14:paraId="0A8223B2">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《管形荧光灯镇流器能效限定值及能效等级》（GB17896）</w:t>
            </w:r>
          </w:p>
        </w:tc>
      </w:tr>
      <w:tr w14:paraId="18370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noWrap w:val="0"/>
            <w:vAlign w:val="center"/>
          </w:tcPr>
          <w:p w14:paraId="6F8450B5">
            <w:pPr>
              <w:pStyle w:val="100"/>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w w:val="99"/>
                <w:kern w:val="2"/>
                <w:sz w:val="21"/>
                <w:szCs w:val="21"/>
                <w:highlight w:val="none"/>
              </w:rPr>
              <w:t>10</w:t>
            </w:r>
          </w:p>
        </w:tc>
        <w:tc>
          <w:tcPr>
            <w:tcW w:w="1422" w:type="dxa"/>
            <w:vMerge w:val="restart"/>
            <w:tcBorders>
              <w:top w:val="single" w:color="000000" w:sz="4" w:space="0"/>
              <w:left w:val="single" w:color="000000" w:sz="4" w:space="0"/>
              <w:bottom w:val="single" w:color="000000" w:sz="4" w:space="0"/>
              <w:right w:val="single" w:color="000000" w:sz="4" w:space="0"/>
            </w:tcBorders>
            <w:noWrap w:val="0"/>
            <w:vAlign w:val="center"/>
          </w:tcPr>
          <w:p w14:paraId="3C8C97FA">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A02061800生活用电器</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3AAFCB6E">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A02061801电冰箱</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08477398">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c>
          <w:tcPr>
            <w:tcW w:w="4133" w:type="dxa"/>
            <w:tcBorders>
              <w:top w:val="single" w:color="000000" w:sz="4" w:space="0"/>
              <w:left w:val="single" w:color="000000" w:sz="4" w:space="0"/>
              <w:bottom w:val="single" w:color="000000" w:sz="4" w:space="0"/>
              <w:right w:val="single" w:color="000000" w:sz="4" w:space="0"/>
            </w:tcBorders>
            <w:noWrap w:val="0"/>
            <w:vAlign w:val="top"/>
          </w:tcPr>
          <w:p w14:paraId="785CAE72">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《家用电冰箱耗电量限定值及能效等级》（GB12021.2）</w:t>
            </w:r>
          </w:p>
        </w:tc>
      </w:tr>
      <w:tr w14:paraId="1850B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BAE85F3">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40F7A16">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c>
          <w:tcPr>
            <w:tcW w:w="1496" w:type="dxa"/>
            <w:vMerge w:val="restart"/>
            <w:tcBorders>
              <w:top w:val="single" w:color="000000" w:sz="4" w:space="0"/>
              <w:left w:val="single" w:color="000000" w:sz="4" w:space="0"/>
              <w:bottom w:val="single" w:color="000000" w:sz="4" w:space="0"/>
              <w:right w:val="single" w:color="000000" w:sz="4" w:space="0"/>
            </w:tcBorders>
            <w:noWrap w:val="0"/>
            <w:vAlign w:val="center"/>
          </w:tcPr>
          <w:p w14:paraId="3BF028BC">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★A02061804空调机</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15FB358D">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房间空气调节器</w:t>
            </w:r>
          </w:p>
        </w:tc>
        <w:tc>
          <w:tcPr>
            <w:tcW w:w="4133" w:type="dxa"/>
            <w:tcBorders>
              <w:top w:val="single" w:color="000000" w:sz="4" w:space="0"/>
              <w:left w:val="single" w:color="000000" w:sz="4" w:space="0"/>
              <w:bottom w:val="single" w:color="000000" w:sz="4" w:space="0"/>
              <w:right w:val="single" w:color="000000" w:sz="4" w:space="0"/>
            </w:tcBorders>
            <w:noWrap w:val="0"/>
            <w:vAlign w:val="top"/>
          </w:tcPr>
          <w:p w14:paraId="71701734">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《房间空气调节器能效限定值及能效等级》（GB21455-2019）</w:t>
            </w:r>
          </w:p>
        </w:tc>
      </w:tr>
      <w:tr w14:paraId="57D1E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908169">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7CE06D1">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A8EA233">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7AE4C16F">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多联式空调（热泵）机组（制冷量≤ 14000W）</w:t>
            </w:r>
          </w:p>
        </w:tc>
        <w:tc>
          <w:tcPr>
            <w:tcW w:w="4133" w:type="dxa"/>
            <w:tcBorders>
              <w:top w:val="single" w:color="000000" w:sz="4" w:space="0"/>
              <w:left w:val="single" w:color="000000" w:sz="4" w:space="0"/>
              <w:bottom w:val="single" w:color="000000" w:sz="4" w:space="0"/>
              <w:right w:val="single" w:color="000000" w:sz="4" w:space="0"/>
            </w:tcBorders>
            <w:noWrap w:val="0"/>
            <w:vAlign w:val="top"/>
          </w:tcPr>
          <w:p w14:paraId="6F50B0CC">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《多联式空调（热泵）机组能效限定值及能源效率等级》（GB21454）</w:t>
            </w:r>
          </w:p>
        </w:tc>
      </w:tr>
      <w:tr w14:paraId="588D2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1A07684">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F5EEBC">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9BC3972">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743EE134">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单元式空气调节机（制冷量≤ 14000W）</w:t>
            </w:r>
          </w:p>
        </w:tc>
        <w:tc>
          <w:tcPr>
            <w:tcW w:w="4133" w:type="dxa"/>
            <w:tcBorders>
              <w:top w:val="single" w:color="000000" w:sz="4" w:space="0"/>
              <w:left w:val="single" w:color="000000" w:sz="4" w:space="0"/>
              <w:bottom w:val="single" w:color="000000" w:sz="4" w:space="0"/>
              <w:right w:val="single" w:color="000000" w:sz="4" w:space="0"/>
            </w:tcBorders>
            <w:noWrap w:val="0"/>
            <w:vAlign w:val="top"/>
          </w:tcPr>
          <w:p w14:paraId="28CA6B32">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《单元式空气调节机能效限定值及能源效率等级》（GB19576）《风管送风式空调机组能效限定值及能效等级》（GB37479）</w:t>
            </w:r>
          </w:p>
        </w:tc>
      </w:tr>
      <w:tr w14:paraId="79A32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5AE681">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DB71B02">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2EF670EA">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A02061810洗衣机</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3D91B94B">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rPr>
            </w:pPr>
          </w:p>
        </w:tc>
        <w:tc>
          <w:tcPr>
            <w:tcW w:w="4133" w:type="dxa"/>
            <w:tcBorders>
              <w:top w:val="single" w:color="000000" w:sz="4" w:space="0"/>
              <w:left w:val="single" w:color="000000" w:sz="4" w:space="0"/>
              <w:bottom w:val="single" w:color="000000" w:sz="4" w:space="0"/>
              <w:right w:val="single" w:color="000000" w:sz="4" w:space="0"/>
            </w:tcBorders>
            <w:noWrap w:val="0"/>
            <w:vAlign w:val="top"/>
          </w:tcPr>
          <w:p w14:paraId="737C076F">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《电动洗衣机能效水效限定值及等级》（GB12021.4）</w:t>
            </w:r>
          </w:p>
        </w:tc>
      </w:tr>
      <w:tr w14:paraId="38793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024AFC">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436B011">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1496" w:type="dxa"/>
            <w:vMerge w:val="restart"/>
            <w:tcBorders>
              <w:top w:val="single" w:color="000000" w:sz="4" w:space="0"/>
              <w:left w:val="single" w:color="000000" w:sz="4" w:space="0"/>
              <w:bottom w:val="single" w:color="000000" w:sz="4" w:space="0"/>
              <w:right w:val="single" w:color="000000" w:sz="4" w:space="0"/>
            </w:tcBorders>
            <w:noWrap w:val="0"/>
            <w:vAlign w:val="center"/>
          </w:tcPr>
          <w:p w14:paraId="3C8DA852">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A02061819热水器</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79663E53">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★电热水器</w:t>
            </w:r>
          </w:p>
        </w:tc>
        <w:tc>
          <w:tcPr>
            <w:tcW w:w="4133" w:type="dxa"/>
            <w:tcBorders>
              <w:top w:val="single" w:color="000000" w:sz="4" w:space="0"/>
              <w:left w:val="single" w:color="000000" w:sz="4" w:space="0"/>
              <w:bottom w:val="single" w:color="000000" w:sz="4" w:space="0"/>
              <w:right w:val="single" w:color="000000" w:sz="4" w:space="0"/>
            </w:tcBorders>
            <w:noWrap w:val="0"/>
            <w:vAlign w:val="top"/>
          </w:tcPr>
          <w:p w14:paraId="1B0F3461">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《储水式电热水器能效限定值及能效等级》（GB21519）</w:t>
            </w:r>
          </w:p>
        </w:tc>
      </w:tr>
      <w:tr w14:paraId="174FD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5877C2C">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79CFAF">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689EE0">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485D02C0">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燃气热水器</w:t>
            </w:r>
          </w:p>
        </w:tc>
        <w:tc>
          <w:tcPr>
            <w:tcW w:w="4133" w:type="dxa"/>
            <w:tcBorders>
              <w:top w:val="single" w:color="000000" w:sz="4" w:space="0"/>
              <w:left w:val="single" w:color="000000" w:sz="4" w:space="0"/>
              <w:bottom w:val="single" w:color="000000" w:sz="4" w:space="0"/>
              <w:right w:val="single" w:color="000000" w:sz="4" w:space="0"/>
            </w:tcBorders>
            <w:noWrap w:val="0"/>
            <w:vAlign w:val="top"/>
          </w:tcPr>
          <w:p w14:paraId="12631207">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《家用燃气快速热水器和燃气采暖热水炉能效限定值及能效等级》（GB20665）</w:t>
            </w:r>
          </w:p>
        </w:tc>
      </w:tr>
      <w:tr w14:paraId="24211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EAA783">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BE4BD0">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7B124F">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2F6C5E1D">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热泵热水器</w:t>
            </w:r>
          </w:p>
        </w:tc>
        <w:tc>
          <w:tcPr>
            <w:tcW w:w="4133" w:type="dxa"/>
            <w:tcBorders>
              <w:top w:val="single" w:color="000000" w:sz="4" w:space="0"/>
              <w:left w:val="single" w:color="000000" w:sz="4" w:space="0"/>
              <w:bottom w:val="single" w:color="000000" w:sz="4" w:space="0"/>
              <w:right w:val="single" w:color="000000" w:sz="4" w:space="0"/>
            </w:tcBorders>
            <w:noWrap w:val="0"/>
            <w:vAlign w:val="top"/>
          </w:tcPr>
          <w:p w14:paraId="4374D65F">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《热泵热水机（器）能效限定值及能效等级》（GB29541）</w:t>
            </w:r>
          </w:p>
        </w:tc>
      </w:tr>
      <w:tr w14:paraId="05296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DC2AEBD">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8F50E02">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ED47607">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33E378BE">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太阳能热水系统</w:t>
            </w:r>
          </w:p>
        </w:tc>
        <w:tc>
          <w:tcPr>
            <w:tcW w:w="4133" w:type="dxa"/>
            <w:tcBorders>
              <w:top w:val="single" w:color="000000" w:sz="4" w:space="0"/>
              <w:left w:val="single" w:color="000000" w:sz="4" w:space="0"/>
              <w:bottom w:val="single" w:color="000000" w:sz="4" w:space="0"/>
              <w:right w:val="single" w:color="000000" w:sz="4" w:space="0"/>
            </w:tcBorders>
            <w:noWrap w:val="0"/>
            <w:vAlign w:val="top"/>
          </w:tcPr>
          <w:p w14:paraId="786691D4">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《家用太阳能热水系统能效限定值及能效等级》（GB26969）</w:t>
            </w:r>
          </w:p>
        </w:tc>
      </w:tr>
      <w:tr w14:paraId="337A1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noWrap w:val="0"/>
            <w:vAlign w:val="center"/>
          </w:tcPr>
          <w:p w14:paraId="636831E9">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11</w:t>
            </w:r>
          </w:p>
        </w:tc>
        <w:tc>
          <w:tcPr>
            <w:tcW w:w="1422" w:type="dxa"/>
            <w:vMerge w:val="restart"/>
            <w:tcBorders>
              <w:top w:val="single" w:color="000000" w:sz="4" w:space="0"/>
              <w:left w:val="single" w:color="000000" w:sz="4" w:space="0"/>
              <w:bottom w:val="single" w:color="000000" w:sz="4" w:space="0"/>
              <w:right w:val="single" w:color="000000" w:sz="4" w:space="0"/>
            </w:tcBorders>
            <w:noWrap w:val="0"/>
            <w:vAlign w:val="center"/>
          </w:tcPr>
          <w:p w14:paraId="33574C19">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A02061900照明设备</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6DF5FCB1">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★普通照明用双端荧光灯</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662F8628">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rPr>
            </w:pPr>
          </w:p>
        </w:tc>
        <w:tc>
          <w:tcPr>
            <w:tcW w:w="4133" w:type="dxa"/>
            <w:tcBorders>
              <w:top w:val="single" w:color="000000" w:sz="4" w:space="0"/>
              <w:left w:val="single" w:color="000000" w:sz="4" w:space="0"/>
              <w:bottom w:val="single" w:color="000000" w:sz="4" w:space="0"/>
              <w:right w:val="single" w:color="000000" w:sz="4" w:space="0"/>
            </w:tcBorders>
            <w:noWrap w:val="0"/>
            <w:vAlign w:val="top"/>
          </w:tcPr>
          <w:p w14:paraId="3D10ECA6">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《普通照明用双端荧光灯能效限定值及能效等级》（GB19043）</w:t>
            </w:r>
          </w:p>
        </w:tc>
      </w:tr>
      <w:tr w14:paraId="1E1B9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49EF8DF">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44A6E4">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rPr>
            </w:pP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71766F7C">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LED道路/隧道照明产品</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6203A930">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rPr>
            </w:pPr>
          </w:p>
        </w:tc>
        <w:tc>
          <w:tcPr>
            <w:tcW w:w="4133" w:type="dxa"/>
            <w:tcBorders>
              <w:top w:val="single" w:color="000000" w:sz="4" w:space="0"/>
              <w:left w:val="single" w:color="000000" w:sz="4" w:space="0"/>
              <w:bottom w:val="single" w:color="000000" w:sz="4" w:space="0"/>
              <w:right w:val="single" w:color="000000" w:sz="4" w:space="0"/>
            </w:tcBorders>
            <w:noWrap w:val="0"/>
            <w:vAlign w:val="top"/>
          </w:tcPr>
          <w:p w14:paraId="0687C305">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《道路和隧道照明用LED灯具能效限定值及能效等级》（GB37478）</w:t>
            </w:r>
          </w:p>
        </w:tc>
      </w:tr>
      <w:tr w14:paraId="73E8F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B284854">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105AFB">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rPr>
            </w:pP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2F31D3DE">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LED筒灯</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4002744D">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rPr>
            </w:pPr>
          </w:p>
        </w:tc>
        <w:tc>
          <w:tcPr>
            <w:tcW w:w="4133" w:type="dxa"/>
            <w:tcBorders>
              <w:top w:val="single" w:color="000000" w:sz="4" w:space="0"/>
              <w:left w:val="single" w:color="000000" w:sz="4" w:space="0"/>
              <w:bottom w:val="single" w:color="000000" w:sz="4" w:space="0"/>
              <w:right w:val="single" w:color="000000" w:sz="4" w:space="0"/>
            </w:tcBorders>
            <w:noWrap w:val="0"/>
            <w:vAlign w:val="top"/>
          </w:tcPr>
          <w:p w14:paraId="523303D7">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《室内照明用LED产品能效限定值及能效等级》（GB30255）</w:t>
            </w:r>
          </w:p>
        </w:tc>
      </w:tr>
      <w:tr w14:paraId="65614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9B2DDE">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CF67C40">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rPr>
            </w:pP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3AC8C50E">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普通照明用非定向自镇流LED灯</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41D98BC8">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rPr>
            </w:pPr>
          </w:p>
        </w:tc>
        <w:tc>
          <w:tcPr>
            <w:tcW w:w="4133" w:type="dxa"/>
            <w:tcBorders>
              <w:top w:val="single" w:color="000000" w:sz="4" w:space="0"/>
              <w:left w:val="single" w:color="000000" w:sz="4" w:space="0"/>
              <w:bottom w:val="single" w:color="000000" w:sz="4" w:space="0"/>
              <w:right w:val="single" w:color="000000" w:sz="4" w:space="0"/>
            </w:tcBorders>
            <w:noWrap w:val="0"/>
            <w:vAlign w:val="top"/>
          </w:tcPr>
          <w:p w14:paraId="4CBFA1DC">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《室内照明用LED产品能效限定值及能效等级》（GB30255）</w:t>
            </w:r>
          </w:p>
        </w:tc>
      </w:tr>
      <w:tr w14:paraId="3FA78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noWrap w:val="0"/>
            <w:vAlign w:val="center"/>
          </w:tcPr>
          <w:p w14:paraId="3574FCCF">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12</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060FAB9B">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★A02091000电视设备</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3C680D92">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A02091001普通电视设备（电视机）</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6FACE6B7">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rPr>
            </w:pPr>
          </w:p>
        </w:tc>
        <w:tc>
          <w:tcPr>
            <w:tcW w:w="4133" w:type="dxa"/>
            <w:tcBorders>
              <w:top w:val="single" w:color="000000" w:sz="4" w:space="0"/>
              <w:left w:val="single" w:color="000000" w:sz="4" w:space="0"/>
              <w:bottom w:val="single" w:color="000000" w:sz="4" w:space="0"/>
              <w:right w:val="single" w:color="000000" w:sz="4" w:space="0"/>
            </w:tcBorders>
            <w:noWrap w:val="0"/>
            <w:vAlign w:val="top"/>
          </w:tcPr>
          <w:p w14:paraId="2829308C">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《平板电视与机顶盒能效限定值及能效等级》（GB24850）</w:t>
            </w:r>
          </w:p>
        </w:tc>
      </w:tr>
      <w:tr w14:paraId="296C8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noWrap w:val="0"/>
            <w:vAlign w:val="center"/>
          </w:tcPr>
          <w:p w14:paraId="0EE26EE6">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13</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62BF8B25">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★A02091100视频设备</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69F35ADC">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A02091107视频监控设备</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0EBE6D66">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监视器</w:t>
            </w:r>
          </w:p>
        </w:tc>
        <w:tc>
          <w:tcPr>
            <w:tcW w:w="4133" w:type="dxa"/>
            <w:tcBorders>
              <w:top w:val="single" w:color="000000" w:sz="4" w:space="0"/>
              <w:left w:val="single" w:color="000000" w:sz="4" w:space="0"/>
              <w:bottom w:val="single" w:color="000000" w:sz="4" w:space="0"/>
              <w:right w:val="single" w:color="000000" w:sz="4" w:space="0"/>
            </w:tcBorders>
            <w:noWrap w:val="0"/>
            <w:vAlign w:val="top"/>
          </w:tcPr>
          <w:p w14:paraId="1B46A0C9">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以射频信号为主要信号输入的监视器应符合《平板电视与机顶盒能效限定值及能效等级》（GB24850），以数字信号为主要信号输入的监视器应符合《计算机显示器能效限定值及能效等级》（GB21520）</w:t>
            </w:r>
          </w:p>
        </w:tc>
      </w:tr>
      <w:tr w14:paraId="37058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noWrap w:val="0"/>
            <w:vAlign w:val="center"/>
          </w:tcPr>
          <w:p w14:paraId="1122E3E8">
            <w:pPr>
              <w:pStyle w:val="100"/>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spacing w:val="1"/>
                <w:w w:val="99"/>
                <w:kern w:val="2"/>
                <w:sz w:val="21"/>
                <w:szCs w:val="21"/>
                <w:highlight w:val="none"/>
              </w:rPr>
              <w:t>1</w:t>
            </w:r>
            <w:r>
              <w:rPr>
                <w:rFonts w:hint="eastAsia" w:ascii="宋体" w:hAnsi="宋体" w:eastAsia="宋体" w:cs="宋体"/>
                <w:color w:val="auto"/>
                <w:w w:val="99"/>
                <w:kern w:val="2"/>
                <w:sz w:val="21"/>
                <w:szCs w:val="21"/>
                <w:highlight w:val="none"/>
              </w:rPr>
              <w:t>4</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45E77586">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A02241000饮食炊事机械</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219098C1">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商用燃气灶具</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549507B2">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rPr>
            </w:pPr>
          </w:p>
        </w:tc>
        <w:tc>
          <w:tcPr>
            <w:tcW w:w="4133" w:type="dxa"/>
            <w:tcBorders>
              <w:top w:val="single" w:color="000000" w:sz="4" w:space="0"/>
              <w:left w:val="single" w:color="000000" w:sz="4" w:space="0"/>
              <w:bottom w:val="single" w:color="000000" w:sz="4" w:space="0"/>
              <w:right w:val="single" w:color="000000" w:sz="4" w:space="0"/>
            </w:tcBorders>
            <w:noWrap w:val="0"/>
            <w:vAlign w:val="top"/>
          </w:tcPr>
          <w:p w14:paraId="4FAC8683">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《商用燃气灶具能效限定值及能效等级》（GB30531）</w:t>
            </w:r>
          </w:p>
        </w:tc>
      </w:tr>
      <w:tr w14:paraId="2D399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noWrap w:val="0"/>
            <w:vAlign w:val="center"/>
          </w:tcPr>
          <w:p w14:paraId="341C1C8D">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1422" w:type="dxa"/>
            <w:vMerge w:val="restart"/>
            <w:tcBorders>
              <w:top w:val="single" w:color="000000" w:sz="4" w:space="0"/>
              <w:left w:val="single" w:color="000000" w:sz="4" w:space="0"/>
              <w:bottom w:val="single" w:color="000000" w:sz="4" w:space="0"/>
              <w:right w:val="single" w:color="000000" w:sz="4" w:space="0"/>
            </w:tcBorders>
            <w:noWrap w:val="0"/>
            <w:vAlign w:val="center"/>
          </w:tcPr>
          <w:p w14:paraId="1AAF57B9">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★A05020105便器</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2C70836A">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坐便器</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7D371E5A">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rPr>
            </w:pPr>
          </w:p>
        </w:tc>
        <w:tc>
          <w:tcPr>
            <w:tcW w:w="4133" w:type="dxa"/>
            <w:tcBorders>
              <w:top w:val="single" w:color="000000" w:sz="4" w:space="0"/>
              <w:left w:val="single" w:color="000000" w:sz="4" w:space="0"/>
              <w:bottom w:val="single" w:color="000000" w:sz="4" w:space="0"/>
              <w:right w:val="single" w:color="000000" w:sz="4" w:space="0"/>
            </w:tcBorders>
            <w:noWrap w:val="0"/>
            <w:vAlign w:val="top"/>
          </w:tcPr>
          <w:p w14:paraId="3AB5E5CC">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《坐便器水效限定值及水效等级》</w:t>
            </w:r>
          </w:p>
          <w:p w14:paraId="35162A69">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（GB25502）</w:t>
            </w:r>
          </w:p>
        </w:tc>
      </w:tr>
      <w:tr w14:paraId="73A88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9E6EF0D">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2B72AD0">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lang w:eastAsia="en-US"/>
              </w:rPr>
            </w:pP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551058F0">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蹲便器</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1D9FC79D">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rPr>
            </w:pPr>
          </w:p>
        </w:tc>
        <w:tc>
          <w:tcPr>
            <w:tcW w:w="4133" w:type="dxa"/>
            <w:tcBorders>
              <w:top w:val="single" w:color="000000" w:sz="4" w:space="0"/>
              <w:left w:val="single" w:color="000000" w:sz="4" w:space="0"/>
              <w:bottom w:val="single" w:color="000000" w:sz="4" w:space="0"/>
              <w:right w:val="single" w:color="000000" w:sz="4" w:space="0"/>
            </w:tcBorders>
            <w:noWrap w:val="0"/>
            <w:vAlign w:val="top"/>
          </w:tcPr>
          <w:p w14:paraId="3B50AB5D">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《蹲便器用水效率限定值及用水效率等级》（GB30717）</w:t>
            </w:r>
          </w:p>
        </w:tc>
      </w:tr>
      <w:tr w14:paraId="11D33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249EABE">
            <w:pPr>
              <w:keepNext w:val="0"/>
              <w:keepLines w:val="0"/>
              <w:widowControl/>
              <w:suppressLineNumbers w:val="0"/>
              <w:spacing w:before="0" w:beforeAutospacing="0" w:after="0" w:afterAutospacing="0"/>
              <w:ind w:left="0" w:right="0"/>
              <w:jc w:val="left"/>
              <w:rPr>
                <w:rFonts w:hint="eastAsia" w:ascii="宋体" w:hAnsi="宋体" w:eastAsia="宋体" w:cs="宋体"/>
                <w:color w:val="auto"/>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7469DD7">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rPr>
            </w:pP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11BAED6C">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小便器</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22B40F36">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rPr>
            </w:pPr>
          </w:p>
        </w:tc>
        <w:tc>
          <w:tcPr>
            <w:tcW w:w="4133" w:type="dxa"/>
            <w:tcBorders>
              <w:top w:val="single" w:color="000000" w:sz="4" w:space="0"/>
              <w:left w:val="single" w:color="000000" w:sz="4" w:space="0"/>
              <w:bottom w:val="single" w:color="000000" w:sz="4" w:space="0"/>
              <w:right w:val="single" w:color="000000" w:sz="4" w:space="0"/>
            </w:tcBorders>
            <w:noWrap w:val="0"/>
            <w:vAlign w:val="top"/>
          </w:tcPr>
          <w:p w14:paraId="7B56652D">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《小便器用水效率限定值及用水效率等级》（GB28377）</w:t>
            </w:r>
          </w:p>
        </w:tc>
      </w:tr>
      <w:tr w14:paraId="4918E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noWrap w:val="0"/>
            <w:vAlign w:val="center"/>
          </w:tcPr>
          <w:p w14:paraId="5D81530C">
            <w:pPr>
              <w:pStyle w:val="100"/>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16</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5DEF6F55">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★A05020106水嘴</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229A90B7">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lang w:eastAsia="en-US"/>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651FC422">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lang w:eastAsia="en-US"/>
              </w:rPr>
            </w:pPr>
          </w:p>
        </w:tc>
        <w:tc>
          <w:tcPr>
            <w:tcW w:w="4133" w:type="dxa"/>
            <w:tcBorders>
              <w:top w:val="single" w:color="000000" w:sz="4" w:space="0"/>
              <w:left w:val="single" w:color="000000" w:sz="4" w:space="0"/>
              <w:bottom w:val="single" w:color="000000" w:sz="4" w:space="0"/>
              <w:right w:val="single" w:color="000000" w:sz="4" w:space="0"/>
            </w:tcBorders>
            <w:noWrap w:val="0"/>
            <w:vAlign w:val="top"/>
          </w:tcPr>
          <w:p w14:paraId="04CADF5F">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《水嘴用水效率限定值及用水效率等级》（GB 25501）</w:t>
            </w:r>
          </w:p>
        </w:tc>
      </w:tr>
      <w:tr w14:paraId="35063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noWrap w:val="0"/>
            <w:vAlign w:val="center"/>
          </w:tcPr>
          <w:p w14:paraId="7D308620">
            <w:pPr>
              <w:pStyle w:val="100"/>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17</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58F41BA1">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A05020107便器冲洗阀</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684F2423">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lang w:eastAsia="en-US"/>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11E769D0">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lang w:eastAsia="en-US"/>
              </w:rPr>
            </w:pPr>
          </w:p>
        </w:tc>
        <w:tc>
          <w:tcPr>
            <w:tcW w:w="4133" w:type="dxa"/>
            <w:tcBorders>
              <w:top w:val="single" w:color="000000" w:sz="4" w:space="0"/>
              <w:left w:val="single" w:color="000000" w:sz="4" w:space="0"/>
              <w:bottom w:val="single" w:color="000000" w:sz="4" w:space="0"/>
              <w:right w:val="single" w:color="000000" w:sz="4" w:space="0"/>
            </w:tcBorders>
            <w:noWrap w:val="0"/>
            <w:vAlign w:val="top"/>
          </w:tcPr>
          <w:p w14:paraId="3DA515A0">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《便器冲洗阀用水效率限定值及用水效率等级》（GB28379）</w:t>
            </w:r>
          </w:p>
        </w:tc>
      </w:tr>
      <w:tr w14:paraId="6B041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noWrap w:val="0"/>
            <w:vAlign w:val="center"/>
          </w:tcPr>
          <w:p w14:paraId="3B5116CC">
            <w:pPr>
              <w:pStyle w:val="100"/>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18</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0B6C9B72">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A05020110淋浴器</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7FD2F737">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lang w:eastAsia="en-US"/>
              </w:rPr>
            </w:pP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6186DB86">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lang w:eastAsia="en-US"/>
              </w:rPr>
            </w:pPr>
          </w:p>
        </w:tc>
        <w:tc>
          <w:tcPr>
            <w:tcW w:w="4133" w:type="dxa"/>
            <w:tcBorders>
              <w:top w:val="single" w:color="000000" w:sz="4" w:space="0"/>
              <w:left w:val="single" w:color="000000" w:sz="4" w:space="0"/>
              <w:bottom w:val="single" w:color="000000" w:sz="4" w:space="0"/>
              <w:right w:val="single" w:color="000000" w:sz="4" w:space="0"/>
            </w:tcBorders>
            <w:noWrap w:val="0"/>
            <w:vAlign w:val="top"/>
          </w:tcPr>
          <w:p w14:paraId="5A3BE4B6">
            <w:pPr>
              <w:pStyle w:val="100"/>
              <w:keepNext w:val="0"/>
              <w:keepLines w:val="0"/>
              <w:suppressLineNumbers w:val="0"/>
              <w:spacing w:before="162" w:beforeAutospacing="0" w:after="0" w:afterAutospacing="0"/>
              <w:ind w:left="7" w:right="0"/>
              <w:jc w:val="center"/>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《淋浴器用水效率限定值及用水效率等级》（GB28378）</w:t>
            </w:r>
          </w:p>
        </w:tc>
      </w:tr>
    </w:tbl>
    <w:p w14:paraId="4442A9D6">
      <w:pPr>
        <w:pStyle w:val="11"/>
        <w:spacing w:line="360" w:lineRule="auto"/>
        <w:rPr>
          <w:rFonts w:hint="eastAsia" w:ascii="宋体" w:hAnsi="宋体"/>
          <w:color w:val="auto"/>
          <w:szCs w:val="21"/>
          <w:highlight w:val="none"/>
        </w:rPr>
      </w:pPr>
      <w:r>
        <w:rPr>
          <w:rFonts w:hint="eastAsia"/>
          <w:color w:val="auto"/>
          <w:spacing w:val="-3"/>
          <w:szCs w:val="21"/>
          <w:highlight w:val="none"/>
        </w:rPr>
        <w:t>注：</w:t>
      </w:r>
      <w:r>
        <w:rPr>
          <w:color w:val="auto"/>
          <w:spacing w:val="-3"/>
          <w:szCs w:val="21"/>
          <w:highlight w:val="none"/>
        </w:rPr>
        <w:t>1.</w:t>
      </w:r>
      <w:r>
        <w:rPr>
          <w:rFonts w:hint="eastAsia"/>
          <w:color w:val="auto"/>
          <w:spacing w:val="-3"/>
          <w:szCs w:val="21"/>
          <w:highlight w:val="none"/>
        </w:rPr>
        <w:t>节能产品认证应依据相关国家标准的最新版本，依据国家标准中二级能效（水效）</w:t>
      </w:r>
      <w:r>
        <w:rPr>
          <w:rFonts w:hint="eastAsia"/>
          <w:color w:val="auto"/>
          <w:szCs w:val="21"/>
          <w:highlight w:val="none"/>
        </w:rPr>
        <w:t>指标。</w:t>
      </w:r>
    </w:p>
    <w:p w14:paraId="6A8DC341">
      <w:pPr>
        <w:pStyle w:val="11"/>
        <w:numPr>
          <w:ilvl w:val="0"/>
          <w:numId w:val="0"/>
        </w:numPr>
        <w:spacing w:line="360" w:lineRule="auto"/>
        <w:ind w:left="420" w:leftChars="0" w:firstLine="0" w:firstLineChars="0"/>
        <w:rPr>
          <w:rFonts w:hint="eastAsia"/>
          <w:b/>
          <w:bCs/>
          <w:color w:val="auto"/>
          <w:szCs w:val="21"/>
          <w:highlight w:val="none"/>
        </w:rPr>
      </w:pPr>
      <w:r>
        <w:rPr>
          <w:rFonts w:hint="eastAsia" w:ascii="Times New Roman" w:hAnsi="Times New Roman" w:eastAsia="宋体" w:cs="Times New Roman"/>
          <w:b/>
          <w:bCs/>
          <w:color w:val="auto"/>
          <w:kern w:val="2"/>
          <w:sz w:val="21"/>
          <w:szCs w:val="21"/>
          <w:highlight w:val="none"/>
          <w:lang w:val="en-US" w:eastAsia="zh-CN" w:bidi="ar-SA"/>
        </w:rPr>
        <w:t>2.</w:t>
      </w:r>
      <w:r>
        <w:rPr>
          <w:rFonts w:hint="eastAsia"/>
          <w:b/>
          <w:bCs/>
          <w:color w:val="auto"/>
          <w:szCs w:val="21"/>
          <w:highlight w:val="none"/>
        </w:rPr>
        <w:t>以</w:t>
      </w:r>
      <w:r>
        <w:rPr>
          <w:b/>
          <w:bCs/>
          <w:color w:val="auto"/>
          <w:szCs w:val="21"/>
          <w:highlight w:val="none"/>
        </w:rPr>
        <w:t>“</w:t>
      </w:r>
      <w:r>
        <w:rPr>
          <w:rFonts w:hint="eastAsia"/>
          <w:b/>
          <w:bCs/>
          <w:color w:val="auto"/>
          <w:szCs w:val="21"/>
          <w:highlight w:val="none"/>
        </w:rPr>
        <w:t>★</w:t>
      </w:r>
      <w:r>
        <w:rPr>
          <w:b/>
          <w:bCs/>
          <w:color w:val="auto"/>
          <w:szCs w:val="21"/>
          <w:highlight w:val="none"/>
        </w:rPr>
        <w:t>”</w:t>
      </w:r>
      <w:r>
        <w:rPr>
          <w:rFonts w:hint="eastAsia"/>
          <w:b/>
          <w:bCs/>
          <w:color w:val="auto"/>
          <w:szCs w:val="21"/>
          <w:highlight w:val="none"/>
        </w:rPr>
        <w:t>标注的为政府强制采购产品。</w:t>
      </w:r>
    </w:p>
    <w:p w14:paraId="070C07D3">
      <w:pPr>
        <w:rPr>
          <w:rFonts w:hint="eastAsia"/>
          <w:b/>
          <w:bCs/>
          <w:color w:val="auto"/>
          <w:szCs w:val="21"/>
          <w:highlight w:val="none"/>
        </w:rPr>
      </w:pPr>
      <w:r>
        <w:rPr>
          <w:rFonts w:hint="eastAsia"/>
          <w:b/>
          <w:bCs/>
          <w:color w:val="auto"/>
          <w:szCs w:val="21"/>
          <w:highlight w:val="none"/>
        </w:rPr>
        <w:br w:type="page"/>
      </w:r>
    </w:p>
    <w:p w14:paraId="366CC7B9">
      <w:pPr>
        <w:pStyle w:val="11"/>
        <w:numPr>
          <w:ilvl w:val="0"/>
          <w:numId w:val="0"/>
        </w:numPr>
        <w:spacing w:line="360" w:lineRule="auto"/>
        <w:ind w:left="420" w:leftChars="0"/>
        <w:rPr>
          <w:rFonts w:hint="eastAsia"/>
          <w:b/>
          <w:bCs/>
          <w:color w:val="auto"/>
          <w:szCs w:val="21"/>
          <w:highlight w:val="none"/>
        </w:rPr>
      </w:pPr>
      <w:r>
        <w:rPr>
          <w:rFonts w:hint="eastAsia" w:ascii="宋体" w:hAnsi="宋体" w:eastAsia="宋体" w:cs="宋体"/>
          <w:color w:val="auto"/>
          <w:sz w:val="32"/>
          <w:szCs w:val="32"/>
          <w:highlight w:val="none"/>
          <w:lang w:eastAsia="zh-CN"/>
        </w:rPr>
        <w:t>附件</w:t>
      </w:r>
      <w:r>
        <w:rPr>
          <w:rFonts w:hint="eastAsia" w:ascii="宋体" w:hAnsi="宋体" w:eastAsia="宋体" w:cs="宋体"/>
          <w:color w:val="auto"/>
          <w:sz w:val="32"/>
          <w:szCs w:val="32"/>
          <w:highlight w:val="none"/>
          <w:lang w:val="en-US" w:eastAsia="zh-CN"/>
        </w:rPr>
        <w:t>3</w:t>
      </w:r>
    </w:p>
    <w:p w14:paraId="61CBEE11">
      <w:pPr>
        <w:pStyle w:val="14"/>
        <w:jc w:val="center"/>
        <w:outlineLvl w:val="0"/>
        <w:rPr>
          <w:rFonts w:hint="eastAsia" w:hAnsi="宋体" w:cs="宋体"/>
          <w:color w:val="auto"/>
          <w:szCs w:val="21"/>
          <w:highlight w:val="none"/>
        </w:rPr>
      </w:pPr>
    </w:p>
    <w:p w14:paraId="58857BF5">
      <w:pPr>
        <w:pStyle w:val="2"/>
        <w:spacing w:before="0" w:after="0" w:line="240" w:lineRule="auto"/>
        <w:jc w:val="center"/>
        <w:rPr>
          <w:rFonts w:ascii="宋体" w:hAnsi="宋体" w:cs="宋体"/>
          <w:color w:val="auto"/>
          <w:sz w:val="32"/>
          <w:szCs w:val="32"/>
          <w:highlight w:val="none"/>
        </w:rPr>
      </w:pPr>
      <w:bookmarkStart w:id="68" w:name="_Toc28970"/>
      <w:r>
        <w:rPr>
          <w:rFonts w:hint="eastAsia" w:ascii="宋体" w:hAnsi="宋体" w:cs="宋体"/>
          <w:color w:val="auto"/>
          <w:sz w:val="32"/>
          <w:szCs w:val="32"/>
          <w:highlight w:val="none"/>
        </w:rPr>
        <w:t>中国境内生产的组件成本核算基本规则</w:t>
      </w:r>
      <w:bookmarkEnd w:id="68"/>
    </w:p>
    <w:p w14:paraId="56A45D44">
      <w:pPr>
        <w:spacing w:line="460" w:lineRule="atLeast"/>
        <w:ind w:firstLine="420" w:firstLineChars="200"/>
        <w:rPr>
          <w:color w:val="auto"/>
          <w:highlight w:val="none"/>
        </w:rPr>
      </w:pPr>
    </w:p>
    <w:p w14:paraId="0AAC9C81">
      <w:pPr>
        <w:spacing w:line="460" w:lineRule="atLeast"/>
        <w:ind w:firstLine="420" w:firstLineChars="200"/>
        <w:rPr>
          <w:color w:val="auto"/>
          <w:highlight w:val="none"/>
        </w:rPr>
      </w:pPr>
      <w:r>
        <w:rPr>
          <w:rFonts w:hint="eastAsia"/>
          <w:color w:val="auto"/>
          <w:highlight w:val="none"/>
        </w:rPr>
        <w:t xml:space="preserve">产品在中国境内生产的组件成本，一般按照其二级组件的相关成本进行核算。按照产品的一级组件进行成本核算能够满足中国境内生产的组件成本判定需求的，可以按照一级组件的相关成本进行核算。 </w:t>
      </w:r>
    </w:p>
    <w:p w14:paraId="411C3EB3">
      <w:pPr>
        <w:spacing w:line="460" w:lineRule="atLeast"/>
        <w:ind w:firstLine="420" w:firstLineChars="200"/>
        <w:rPr>
          <w:color w:val="auto"/>
          <w:highlight w:val="none"/>
        </w:rPr>
      </w:pPr>
      <w:r>
        <w:rPr>
          <w:rFonts w:hint="eastAsia"/>
          <w:color w:val="auto"/>
          <w:highlight w:val="none"/>
        </w:rPr>
        <w:t xml:space="preserve">一、产品的一级组件是指直接组成产品的组件。产品的二级组件是指直接组成产品一级组件的组件。 一级组件不可分解的，视同二级组件。 </w:t>
      </w:r>
    </w:p>
    <w:p w14:paraId="45B4AF6F">
      <w:pPr>
        <w:spacing w:line="460" w:lineRule="atLeast"/>
        <w:ind w:firstLine="420" w:firstLineChars="200"/>
        <w:rPr>
          <w:color w:val="auto"/>
          <w:highlight w:val="none"/>
        </w:rPr>
      </w:pPr>
      <w:r>
        <w:rPr>
          <w:rFonts w:hint="eastAsia"/>
          <w:color w:val="auto"/>
          <w:highlight w:val="none"/>
        </w:rPr>
        <w:t xml:space="preserve">二、二级组件在中国境内生产的，其全部成本计入中国境内生产的组件成本；二级组件不在中国境内生产的，其成本不计入中国境内生产的组件成本。 </w:t>
      </w:r>
    </w:p>
    <w:p w14:paraId="50D4BEE7">
      <w:pPr>
        <w:spacing w:line="460" w:lineRule="atLeast"/>
        <w:ind w:firstLine="420" w:firstLineChars="200"/>
        <w:rPr>
          <w:color w:val="auto"/>
          <w:highlight w:val="none"/>
        </w:rPr>
      </w:pPr>
      <w:r>
        <w:rPr>
          <w:rFonts w:hint="eastAsia"/>
          <w:color w:val="auto"/>
          <w:highlight w:val="none"/>
        </w:rPr>
        <w:t xml:space="preserve">三、产品总成本和组件成本以相关会计核算数据、采购合同、进货记录等为基础进行计算。 </w:t>
      </w:r>
    </w:p>
    <w:p w14:paraId="14D52376">
      <w:pPr>
        <w:spacing w:line="460" w:lineRule="atLeast"/>
        <w:ind w:firstLine="420" w:firstLineChars="200"/>
        <w:rPr>
          <w:color w:val="auto"/>
          <w:highlight w:val="none"/>
        </w:rPr>
      </w:pPr>
      <w:r>
        <w:rPr>
          <w:rFonts w:hint="eastAsia"/>
          <w:color w:val="auto"/>
          <w:highlight w:val="none"/>
        </w:rPr>
        <w:t>四、需要对成本核算规则予以进一步明确的其他有关事项，由财政部会同有关部门另行规定。</w:t>
      </w:r>
    </w:p>
    <w:p w14:paraId="19D2F70D">
      <w:pPr>
        <w:spacing w:line="360" w:lineRule="auto"/>
        <w:ind w:firstLine="422" w:firstLineChars="200"/>
        <w:rPr>
          <w:rFonts w:hint="eastAsia" w:hAnsi="宋体" w:cs="宋体"/>
          <w:color w:val="auto"/>
          <w:szCs w:val="21"/>
          <w:highlight w:val="none"/>
        </w:rPr>
      </w:pPr>
      <w:r>
        <w:rPr>
          <w:rFonts w:hAnsi="宋体"/>
          <w:b/>
          <w:color w:val="auto"/>
          <w:highlight w:val="none"/>
        </w:rPr>
        <w:br w:type="page"/>
      </w:r>
    </w:p>
    <w:p w14:paraId="1F6E19D5">
      <w:pPr>
        <w:pStyle w:val="2"/>
        <w:bidi w:val="0"/>
        <w:jc w:val="center"/>
        <w:rPr>
          <w:color w:val="auto"/>
          <w:sz w:val="36"/>
          <w:szCs w:val="36"/>
          <w:highlight w:val="none"/>
        </w:rPr>
      </w:pPr>
      <w:bookmarkStart w:id="69" w:name="_Toc11207"/>
      <w:r>
        <w:rPr>
          <w:rFonts w:hint="eastAsia"/>
          <w:color w:val="auto"/>
          <w:sz w:val="36"/>
          <w:szCs w:val="36"/>
          <w:highlight w:val="none"/>
        </w:rPr>
        <w:t>第三章  投标人须知</w:t>
      </w:r>
      <w:bookmarkEnd w:id="63"/>
      <w:bookmarkEnd w:id="64"/>
      <w:bookmarkEnd w:id="65"/>
      <w:bookmarkEnd w:id="66"/>
      <w:bookmarkEnd w:id="67"/>
      <w:bookmarkEnd w:id="69"/>
    </w:p>
    <w:p w14:paraId="2051F246">
      <w:pPr>
        <w:pStyle w:val="14"/>
        <w:spacing w:line="720" w:lineRule="auto"/>
        <w:ind w:firstLine="452"/>
        <w:jc w:val="center"/>
        <w:outlineLvl w:val="1"/>
        <w:rPr>
          <w:rFonts w:hAnsi="宋体" w:cs="宋体"/>
          <w:b/>
          <w:color w:val="auto"/>
          <w:sz w:val="30"/>
          <w:szCs w:val="30"/>
          <w:highlight w:val="none"/>
        </w:rPr>
      </w:pPr>
      <w:bookmarkStart w:id="70" w:name="_Toc2967"/>
      <w:bookmarkStart w:id="71" w:name="_Toc20955"/>
      <w:bookmarkStart w:id="72" w:name="_Toc992"/>
      <w:bookmarkStart w:id="73" w:name="_Toc28990"/>
      <w:r>
        <w:rPr>
          <w:rFonts w:hint="eastAsia" w:hAnsi="宋体" w:cs="宋体"/>
          <w:b/>
          <w:color w:val="auto"/>
          <w:sz w:val="30"/>
          <w:szCs w:val="30"/>
          <w:highlight w:val="none"/>
        </w:rPr>
        <w:t>第一节 投标人须知前附表</w:t>
      </w:r>
      <w:bookmarkEnd w:id="70"/>
      <w:bookmarkEnd w:id="71"/>
      <w:bookmarkEnd w:id="72"/>
      <w:bookmarkEnd w:id="73"/>
    </w:p>
    <w:tbl>
      <w:tblPr>
        <w:tblStyle w:val="28"/>
        <w:tblW w:w="9288" w:type="dxa"/>
        <w:tblInd w:w="125"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489"/>
        <w:gridCol w:w="2445"/>
        <w:gridCol w:w="5354"/>
      </w:tblGrid>
      <w:tr w14:paraId="030BA2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blHeader/>
        </w:trPr>
        <w:tc>
          <w:tcPr>
            <w:tcW w:w="1489" w:type="dxa"/>
            <w:tcBorders>
              <w:top w:val="single" w:color="auto" w:sz="4" w:space="0"/>
              <w:left w:val="single" w:color="auto" w:sz="4" w:space="0"/>
              <w:bottom w:val="single" w:color="auto" w:sz="4" w:space="0"/>
              <w:right w:val="single" w:color="auto" w:sz="4" w:space="0"/>
            </w:tcBorders>
            <w:noWrap/>
            <w:vAlign w:val="center"/>
          </w:tcPr>
          <w:p w14:paraId="49DE40D5">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cs="宋体"/>
                <w:b/>
                <w:color w:val="auto"/>
                <w:szCs w:val="21"/>
                <w:highlight w:val="none"/>
              </w:rPr>
            </w:pPr>
            <w:r>
              <w:rPr>
                <w:rFonts w:hint="eastAsia" w:ascii="宋体" w:hAnsi="宋体" w:cs="宋体"/>
                <w:b/>
                <w:color w:val="auto"/>
                <w:szCs w:val="21"/>
                <w:highlight w:val="none"/>
              </w:rPr>
              <w:t>条款号</w:t>
            </w:r>
          </w:p>
        </w:tc>
        <w:tc>
          <w:tcPr>
            <w:tcW w:w="2445" w:type="dxa"/>
            <w:tcBorders>
              <w:top w:val="single" w:color="auto" w:sz="4" w:space="0"/>
              <w:left w:val="single" w:color="auto" w:sz="4" w:space="0"/>
              <w:bottom w:val="single" w:color="auto" w:sz="4" w:space="0"/>
              <w:right w:val="single" w:color="auto" w:sz="4" w:space="0"/>
            </w:tcBorders>
            <w:noWrap/>
            <w:vAlign w:val="center"/>
          </w:tcPr>
          <w:p w14:paraId="354980AB">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cs="宋体"/>
                <w:b/>
                <w:color w:val="auto"/>
                <w:szCs w:val="21"/>
                <w:highlight w:val="none"/>
              </w:rPr>
            </w:pPr>
            <w:r>
              <w:rPr>
                <w:rFonts w:hint="eastAsia" w:ascii="宋体" w:hAnsi="宋体" w:cs="宋体"/>
                <w:b/>
                <w:color w:val="auto"/>
                <w:szCs w:val="21"/>
                <w:highlight w:val="none"/>
              </w:rPr>
              <w:t>项目内容</w:t>
            </w:r>
          </w:p>
        </w:tc>
        <w:tc>
          <w:tcPr>
            <w:tcW w:w="5354" w:type="dxa"/>
            <w:tcBorders>
              <w:top w:val="single" w:color="auto" w:sz="4" w:space="0"/>
              <w:left w:val="single" w:color="auto" w:sz="4" w:space="0"/>
              <w:bottom w:val="single" w:color="auto" w:sz="4" w:space="0"/>
              <w:right w:val="single" w:color="auto" w:sz="4" w:space="0"/>
            </w:tcBorders>
            <w:noWrap/>
            <w:vAlign w:val="center"/>
          </w:tcPr>
          <w:p w14:paraId="4B5E7A2A">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cs="宋体"/>
                <w:b/>
                <w:color w:val="auto"/>
                <w:szCs w:val="21"/>
                <w:highlight w:val="none"/>
              </w:rPr>
            </w:pPr>
            <w:r>
              <w:rPr>
                <w:rFonts w:hint="eastAsia" w:ascii="宋体" w:hAnsi="宋体" w:cs="宋体"/>
                <w:b/>
                <w:color w:val="auto"/>
                <w:szCs w:val="21"/>
                <w:highlight w:val="none"/>
              </w:rPr>
              <w:t>编列内容</w:t>
            </w:r>
          </w:p>
        </w:tc>
      </w:tr>
      <w:tr w14:paraId="7C2D26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89" w:type="dxa"/>
            <w:tcBorders>
              <w:top w:val="single" w:color="auto" w:sz="4" w:space="0"/>
              <w:left w:val="single" w:color="auto" w:sz="4" w:space="0"/>
              <w:bottom w:val="single" w:color="auto" w:sz="4" w:space="0"/>
              <w:right w:val="single" w:color="auto" w:sz="4" w:space="0"/>
            </w:tcBorders>
            <w:noWrap/>
            <w:vAlign w:val="center"/>
          </w:tcPr>
          <w:p w14:paraId="46CA8E35">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2445" w:type="dxa"/>
            <w:tcBorders>
              <w:top w:val="single" w:color="auto" w:sz="4" w:space="0"/>
              <w:left w:val="single" w:color="auto" w:sz="4" w:space="0"/>
              <w:bottom w:val="single" w:color="auto" w:sz="4" w:space="0"/>
              <w:right w:val="single" w:color="auto" w:sz="4" w:space="0"/>
            </w:tcBorders>
            <w:noWrap/>
            <w:vAlign w:val="center"/>
          </w:tcPr>
          <w:p w14:paraId="28AA854F">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投标人的资格要求</w:t>
            </w:r>
          </w:p>
        </w:tc>
        <w:tc>
          <w:tcPr>
            <w:tcW w:w="5354" w:type="dxa"/>
            <w:tcBorders>
              <w:top w:val="single" w:color="auto" w:sz="4" w:space="0"/>
              <w:left w:val="single" w:color="auto" w:sz="4" w:space="0"/>
              <w:bottom w:val="single" w:color="auto" w:sz="4" w:space="0"/>
              <w:right w:val="single" w:color="auto" w:sz="4" w:space="0"/>
            </w:tcBorders>
            <w:noWrap/>
            <w:vAlign w:val="center"/>
          </w:tcPr>
          <w:p w14:paraId="1B4C3241">
            <w:pPr>
              <w:pStyle w:val="10"/>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详见招标公告。</w:t>
            </w:r>
          </w:p>
        </w:tc>
      </w:tr>
      <w:tr w14:paraId="783622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89" w:type="dxa"/>
            <w:tcBorders>
              <w:top w:val="single" w:color="auto" w:sz="4" w:space="0"/>
              <w:left w:val="single" w:color="auto" w:sz="4" w:space="0"/>
              <w:bottom w:val="single" w:color="auto" w:sz="4" w:space="0"/>
              <w:right w:val="single" w:color="auto" w:sz="4" w:space="0"/>
            </w:tcBorders>
            <w:noWrap/>
            <w:vAlign w:val="center"/>
          </w:tcPr>
          <w:p w14:paraId="79EEC662">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6.1</w:t>
            </w:r>
          </w:p>
        </w:tc>
        <w:tc>
          <w:tcPr>
            <w:tcW w:w="2445" w:type="dxa"/>
            <w:tcBorders>
              <w:top w:val="single" w:color="auto" w:sz="4" w:space="0"/>
              <w:left w:val="single" w:color="auto" w:sz="4" w:space="0"/>
              <w:bottom w:val="single" w:color="auto" w:sz="4" w:space="0"/>
              <w:right w:val="single" w:color="auto" w:sz="4" w:space="0"/>
            </w:tcBorders>
            <w:noWrap/>
            <w:vAlign w:val="center"/>
          </w:tcPr>
          <w:p w14:paraId="66197697">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bookmarkStart w:id="74" w:name="_8.1"/>
            <w:bookmarkEnd w:id="74"/>
            <w:bookmarkStart w:id="75" w:name="_5"/>
            <w:bookmarkEnd w:id="75"/>
            <w:bookmarkStart w:id="76" w:name="_9.2"/>
            <w:bookmarkEnd w:id="76"/>
            <w:r>
              <w:rPr>
                <w:rFonts w:hint="eastAsia" w:ascii="宋体" w:hAnsi="宋体" w:eastAsia="宋体" w:cs="宋体"/>
                <w:color w:val="auto"/>
                <w:sz w:val="21"/>
                <w:szCs w:val="21"/>
                <w:highlight w:val="none"/>
              </w:rPr>
              <w:t>是否接受联合体投标</w:t>
            </w:r>
          </w:p>
        </w:tc>
        <w:tc>
          <w:tcPr>
            <w:tcW w:w="5354" w:type="dxa"/>
            <w:tcBorders>
              <w:top w:val="single" w:color="auto" w:sz="4" w:space="0"/>
              <w:left w:val="single" w:color="auto" w:sz="4" w:space="0"/>
              <w:bottom w:val="single" w:color="auto" w:sz="4" w:space="0"/>
              <w:right w:val="single" w:color="auto" w:sz="4" w:space="0"/>
            </w:tcBorders>
            <w:noWrap/>
            <w:vAlign w:val="center"/>
          </w:tcPr>
          <w:p w14:paraId="65D27B22">
            <w:pPr>
              <w:pStyle w:val="10"/>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bookmarkStart w:id="77" w:name="PO_3000001867_PM007_1"/>
            <w:r>
              <w:rPr>
                <w:rFonts w:hint="eastAsia" w:ascii="宋体" w:hAnsi="宋体" w:eastAsia="宋体" w:cs="宋体"/>
                <w:color w:val="auto"/>
                <w:sz w:val="21"/>
                <w:szCs w:val="21"/>
                <w:highlight w:val="none"/>
              </w:rPr>
              <w:t>详见招标公告</w:t>
            </w:r>
            <w:bookmarkEnd w:id="77"/>
            <w:r>
              <w:rPr>
                <w:rFonts w:hint="eastAsia" w:ascii="宋体" w:hAnsi="宋体" w:eastAsia="宋体" w:cs="宋体"/>
                <w:color w:val="auto"/>
                <w:sz w:val="21"/>
                <w:szCs w:val="21"/>
                <w:highlight w:val="none"/>
              </w:rPr>
              <w:t>。</w:t>
            </w:r>
          </w:p>
        </w:tc>
      </w:tr>
      <w:tr w14:paraId="601422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89" w:type="dxa"/>
            <w:tcBorders>
              <w:top w:val="single" w:color="auto" w:sz="4" w:space="0"/>
              <w:left w:val="single" w:color="auto" w:sz="4" w:space="0"/>
              <w:bottom w:val="single" w:color="auto" w:sz="4" w:space="0"/>
              <w:right w:val="single" w:color="auto" w:sz="4" w:space="0"/>
            </w:tcBorders>
            <w:noWrap/>
            <w:vAlign w:val="center"/>
          </w:tcPr>
          <w:p w14:paraId="25448858">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6.2</w:t>
            </w:r>
          </w:p>
        </w:tc>
        <w:tc>
          <w:tcPr>
            <w:tcW w:w="2445" w:type="dxa"/>
            <w:tcBorders>
              <w:top w:val="single" w:color="auto" w:sz="4" w:space="0"/>
              <w:left w:val="single" w:color="auto" w:sz="4" w:space="0"/>
              <w:bottom w:val="single" w:color="auto" w:sz="4" w:space="0"/>
              <w:right w:val="single" w:color="auto" w:sz="4" w:space="0"/>
            </w:tcBorders>
            <w:noWrap/>
            <w:vAlign w:val="center"/>
          </w:tcPr>
          <w:p w14:paraId="67F8F612">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联合体投标要求</w:t>
            </w:r>
          </w:p>
        </w:tc>
        <w:tc>
          <w:tcPr>
            <w:tcW w:w="5354" w:type="dxa"/>
            <w:tcBorders>
              <w:top w:val="single" w:color="auto" w:sz="4" w:space="0"/>
              <w:left w:val="single" w:color="auto" w:sz="4" w:space="0"/>
              <w:bottom w:val="single" w:color="auto" w:sz="4" w:space="0"/>
              <w:right w:val="single" w:color="auto" w:sz="4" w:space="0"/>
            </w:tcBorders>
            <w:noWrap/>
            <w:vAlign w:val="center"/>
          </w:tcPr>
          <w:p w14:paraId="06D88BE0">
            <w:pPr>
              <w:keepNext w:val="0"/>
              <w:keepLines w:val="0"/>
              <w:suppressLineNumbers w:val="0"/>
              <w:snapToGrid w:val="0"/>
              <w:spacing w:before="0" w:beforeAutospacing="0" w:after="0" w:afterAutospacing="0"/>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Arial"/>
                <w:color w:val="auto"/>
                <w:sz w:val="21"/>
                <w:highlight w:val="none"/>
              </w:rPr>
              <w:t>本项目不接受联合体投标</w:t>
            </w:r>
          </w:p>
        </w:tc>
      </w:tr>
      <w:tr w14:paraId="453176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89" w:type="dxa"/>
            <w:tcBorders>
              <w:top w:val="single" w:color="auto" w:sz="4" w:space="0"/>
              <w:left w:val="single" w:color="auto" w:sz="4" w:space="0"/>
              <w:bottom w:val="single" w:color="auto" w:sz="4" w:space="0"/>
              <w:right w:val="single" w:color="auto" w:sz="4" w:space="0"/>
            </w:tcBorders>
            <w:noWrap/>
            <w:vAlign w:val="center"/>
          </w:tcPr>
          <w:p w14:paraId="2A212469">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7.2</w:t>
            </w:r>
          </w:p>
        </w:tc>
        <w:tc>
          <w:tcPr>
            <w:tcW w:w="2445" w:type="dxa"/>
            <w:tcBorders>
              <w:top w:val="single" w:color="auto" w:sz="4" w:space="0"/>
              <w:left w:val="single" w:color="auto" w:sz="4" w:space="0"/>
              <w:bottom w:val="single" w:color="auto" w:sz="4" w:space="0"/>
              <w:right w:val="single" w:color="auto" w:sz="4" w:space="0"/>
            </w:tcBorders>
            <w:noWrap/>
            <w:vAlign w:val="center"/>
          </w:tcPr>
          <w:p w14:paraId="2DB22B4F">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是否允许分包</w:t>
            </w:r>
          </w:p>
        </w:tc>
        <w:tc>
          <w:tcPr>
            <w:tcW w:w="5354" w:type="dxa"/>
            <w:tcBorders>
              <w:top w:val="single" w:color="auto" w:sz="4" w:space="0"/>
              <w:left w:val="single" w:color="auto" w:sz="4" w:space="0"/>
              <w:bottom w:val="single" w:color="auto" w:sz="4" w:space="0"/>
              <w:right w:val="single" w:color="auto" w:sz="4" w:space="0"/>
            </w:tcBorders>
            <w:noWrap/>
            <w:vAlign w:val="center"/>
          </w:tcPr>
          <w:p w14:paraId="5C15FE7C">
            <w:pPr>
              <w:pStyle w:val="10"/>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bookmarkStart w:id="78" w:name="PO_3000001871_PM044"/>
            <w:bookmarkStart w:id="79" w:name="PO_3000001867_PM044"/>
            <w:r>
              <w:rPr>
                <w:rFonts w:hint="eastAsia" w:ascii="宋体" w:eastAsia="宋体" w:hAnsiTheme="minorEastAsia" w:cstheme="minorEastAsia"/>
                <w:color w:val="auto"/>
                <w:sz w:val="21"/>
                <w:szCs w:val="21"/>
                <w:highlight w:val="none"/>
              </w:rPr>
              <w:t>不允许分包</w:t>
            </w:r>
            <w:bookmarkEnd w:id="78"/>
            <w:r>
              <w:rPr>
                <w:rFonts w:hint="eastAsia" w:ascii="宋体" w:eastAsia="宋体" w:hAnsiTheme="minorEastAsia" w:cstheme="minorEastAsia"/>
                <w:color w:val="auto"/>
                <w:sz w:val="21"/>
                <w:szCs w:val="21"/>
                <w:highlight w:val="none"/>
              </w:rPr>
              <w:t>。</w:t>
            </w:r>
            <w:bookmarkEnd w:id="79"/>
          </w:p>
        </w:tc>
      </w:tr>
      <w:tr w14:paraId="33E1AE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89" w:type="dxa"/>
            <w:tcBorders>
              <w:top w:val="single" w:color="auto" w:sz="4" w:space="0"/>
              <w:left w:val="single" w:color="auto" w:sz="4" w:space="0"/>
              <w:bottom w:val="single" w:color="auto" w:sz="4" w:space="0"/>
              <w:right w:val="single" w:color="auto" w:sz="4" w:space="0"/>
            </w:tcBorders>
            <w:noWrap/>
            <w:vAlign w:val="center"/>
          </w:tcPr>
          <w:p w14:paraId="1057C39A">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8.4</w:t>
            </w:r>
          </w:p>
        </w:tc>
        <w:tc>
          <w:tcPr>
            <w:tcW w:w="2445" w:type="dxa"/>
            <w:tcBorders>
              <w:top w:val="single" w:color="auto" w:sz="4" w:space="0"/>
              <w:left w:val="single" w:color="auto" w:sz="4" w:space="0"/>
              <w:right w:val="single" w:color="auto" w:sz="4" w:space="0"/>
            </w:tcBorders>
            <w:noWrap/>
            <w:vAlign w:val="center"/>
          </w:tcPr>
          <w:p w14:paraId="416C9C88">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提供相同品牌产品且通过资格审查、符合性审查的不同投标人参加同一合同项下投标的获得参加评标资格的投标人或获得中标人推荐资格的确定方式</w:t>
            </w:r>
          </w:p>
        </w:tc>
        <w:tc>
          <w:tcPr>
            <w:tcW w:w="5354" w:type="dxa"/>
            <w:tcBorders>
              <w:top w:val="single" w:color="auto" w:sz="4" w:space="0"/>
              <w:left w:val="single" w:color="auto" w:sz="4" w:space="0"/>
              <w:right w:val="single" w:color="auto" w:sz="4" w:space="0"/>
            </w:tcBorders>
            <w:noWrap/>
            <w:vAlign w:val="center"/>
          </w:tcPr>
          <w:p w14:paraId="65915733">
            <w:pPr>
              <w:pStyle w:val="14"/>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b/>
                <w:bCs/>
                <w:color w:val="auto"/>
                <w:kern w:val="2"/>
                <w:sz w:val="21"/>
                <w:szCs w:val="21"/>
                <w:highlight w:val="none"/>
                <w:lang w:val="en-US" w:eastAsia="zh-CN" w:bidi="ar-SA"/>
              </w:rPr>
              <w:t>采用综合评分法</w:t>
            </w:r>
            <w:r>
              <w:rPr>
                <w:rFonts w:hint="eastAsia" w:ascii="宋体" w:hAnsi="宋体" w:eastAsia="宋体" w:cs="宋体"/>
                <w:color w:val="auto"/>
                <w:kern w:val="2"/>
                <w:sz w:val="21"/>
                <w:szCs w:val="21"/>
                <w:highlight w:val="none"/>
                <w:lang w:val="en-US" w:eastAsia="zh-CN" w:bidi="ar-SA"/>
              </w:rPr>
              <w:t>，评审得分相同的，以投标报价低的获得推荐资格。评审得分相同且投标报价相同的，依次按技术评分高优先、商务评分高优先顺序获得推荐资格，以上均相同时，由采购人随机抽取。</w:t>
            </w:r>
          </w:p>
        </w:tc>
      </w:tr>
      <w:tr w14:paraId="60242E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89" w:type="dxa"/>
            <w:tcBorders>
              <w:top w:val="single" w:color="auto" w:sz="4" w:space="0"/>
              <w:left w:val="single" w:color="auto" w:sz="4" w:space="0"/>
              <w:bottom w:val="single" w:color="auto" w:sz="4" w:space="0"/>
              <w:right w:val="single" w:color="auto" w:sz="4" w:space="0"/>
            </w:tcBorders>
            <w:noWrap/>
            <w:vAlign w:val="center"/>
          </w:tcPr>
          <w:p w14:paraId="3C403F65">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11.4</w:t>
            </w:r>
          </w:p>
        </w:tc>
        <w:tc>
          <w:tcPr>
            <w:tcW w:w="2445" w:type="dxa"/>
            <w:tcBorders>
              <w:top w:val="single" w:color="auto" w:sz="4" w:space="0"/>
              <w:left w:val="single" w:color="auto" w:sz="4" w:space="0"/>
              <w:bottom w:val="single" w:color="auto" w:sz="4" w:space="0"/>
              <w:right w:val="single" w:color="auto" w:sz="4" w:space="0"/>
            </w:tcBorders>
            <w:noWrap/>
            <w:vAlign w:val="center"/>
          </w:tcPr>
          <w:p w14:paraId="09E8F693">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媒体发布渠道</w:t>
            </w:r>
          </w:p>
        </w:tc>
        <w:tc>
          <w:tcPr>
            <w:tcW w:w="5354" w:type="dxa"/>
            <w:tcBorders>
              <w:top w:val="single" w:color="auto" w:sz="4" w:space="0"/>
              <w:left w:val="single" w:color="auto" w:sz="4" w:space="0"/>
              <w:bottom w:val="single" w:color="auto" w:sz="4" w:space="0"/>
              <w:right w:val="single" w:color="auto" w:sz="4" w:space="0"/>
            </w:tcBorders>
            <w:noWrap/>
            <w:vAlign w:val="center"/>
          </w:tcPr>
          <w:p w14:paraId="408A544F">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与本项目相关的政府采购业务澄清、更正及与之相关的事项将在招标公告中“六、其他补充事宜”中网上查询地址上发布</w:t>
            </w:r>
            <w:r>
              <w:rPr>
                <w:rFonts w:hint="eastAsia" w:ascii="宋体" w:hAnsi="宋体" w:eastAsia="宋体" w:cs="宋体"/>
                <w:color w:val="auto"/>
                <w:kern w:val="0"/>
                <w:sz w:val="21"/>
                <w:szCs w:val="21"/>
                <w:highlight w:val="none"/>
              </w:rPr>
              <w:t>。</w:t>
            </w:r>
          </w:p>
        </w:tc>
      </w:tr>
      <w:tr w14:paraId="446134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trPr>
        <w:tc>
          <w:tcPr>
            <w:tcW w:w="1489" w:type="dxa"/>
            <w:tcBorders>
              <w:top w:val="single" w:color="auto" w:sz="4" w:space="0"/>
              <w:left w:val="single" w:color="auto" w:sz="4" w:space="0"/>
              <w:bottom w:val="single" w:color="auto" w:sz="4" w:space="0"/>
              <w:right w:val="single" w:color="auto" w:sz="4" w:space="0"/>
            </w:tcBorders>
            <w:noWrap/>
            <w:vAlign w:val="center"/>
          </w:tcPr>
          <w:p w14:paraId="2C6E5A48">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11.5</w:t>
            </w:r>
          </w:p>
        </w:tc>
        <w:tc>
          <w:tcPr>
            <w:tcW w:w="2445" w:type="dxa"/>
            <w:tcBorders>
              <w:top w:val="single" w:color="auto" w:sz="4" w:space="0"/>
              <w:left w:val="single" w:color="auto" w:sz="4" w:space="0"/>
              <w:bottom w:val="single" w:color="auto" w:sz="4" w:space="0"/>
              <w:right w:val="single" w:color="auto" w:sz="4" w:space="0"/>
            </w:tcBorders>
            <w:noWrap/>
            <w:vAlign w:val="center"/>
          </w:tcPr>
          <w:p w14:paraId="4677F980">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是否组织标前答疑会</w:t>
            </w:r>
          </w:p>
        </w:tc>
        <w:tc>
          <w:tcPr>
            <w:tcW w:w="5354" w:type="dxa"/>
            <w:tcBorders>
              <w:top w:val="single" w:color="auto" w:sz="4" w:space="0"/>
              <w:left w:val="single" w:color="auto" w:sz="4" w:space="0"/>
              <w:bottom w:val="single" w:color="auto" w:sz="4" w:space="0"/>
              <w:right w:val="single" w:color="auto" w:sz="4" w:space="0"/>
            </w:tcBorders>
            <w:noWrap/>
            <w:vAlign w:val="center"/>
          </w:tcPr>
          <w:p w14:paraId="493ABB97">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不组织召开开标前答疑会</w:t>
            </w:r>
          </w:p>
        </w:tc>
      </w:tr>
      <w:tr w14:paraId="718FBF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89" w:type="dxa"/>
            <w:tcBorders>
              <w:top w:val="nil"/>
              <w:left w:val="single" w:color="auto" w:sz="4" w:space="0"/>
              <w:bottom w:val="nil"/>
              <w:right w:val="single" w:color="auto" w:sz="4" w:space="0"/>
            </w:tcBorders>
            <w:noWrap/>
            <w:vAlign w:val="center"/>
          </w:tcPr>
          <w:p w14:paraId="79D5DC69">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13.1</w:t>
            </w:r>
          </w:p>
        </w:tc>
        <w:tc>
          <w:tcPr>
            <w:tcW w:w="2445" w:type="dxa"/>
            <w:tcBorders>
              <w:top w:val="single" w:color="auto" w:sz="4" w:space="0"/>
              <w:left w:val="single" w:color="auto" w:sz="4" w:space="0"/>
              <w:bottom w:val="single" w:color="auto" w:sz="4" w:space="0"/>
              <w:right w:val="single" w:color="auto" w:sz="4" w:space="0"/>
            </w:tcBorders>
            <w:noWrap/>
            <w:vAlign w:val="center"/>
          </w:tcPr>
          <w:p w14:paraId="06D3BF25">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bookmarkStart w:id="80" w:name="_13.2"/>
            <w:bookmarkEnd w:id="80"/>
            <w:r>
              <w:rPr>
                <w:rFonts w:hint="eastAsia" w:ascii="宋体" w:hAnsi="宋体" w:eastAsia="宋体" w:cs="宋体"/>
                <w:color w:val="auto"/>
                <w:sz w:val="21"/>
                <w:szCs w:val="21"/>
                <w:highlight w:val="none"/>
              </w:rPr>
              <w:t>资格证明文件组成</w:t>
            </w:r>
          </w:p>
        </w:tc>
        <w:tc>
          <w:tcPr>
            <w:tcW w:w="5354" w:type="dxa"/>
            <w:tcBorders>
              <w:top w:val="single" w:color="auto" w:sz="4" w:space="0"/>
              <w:left w:val="single" w:color="auto" w:sz="4" w:space="0"/>
              <w:bottom w:val="single" w:color="auto" w:sz="4" w:space="0"/>
              <w:right w:val="single" w:color="auto" w:sz="4" w:space="0"/>
            </w:tcBorders>
            <w:noWrap/>
            <w:vAlign w:val="center"/>
          </w:tcPr>
          <w:p w14:paraId="0C503389">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投标人为法人或者其他组织的，提供营业执照等证明文件复印件（如营业执照或者事业单位法人证书或者执业许可证等），投标人为自然人的，提供有效身份证正反面复印件。（</w:t>
            </w:r>
            <w:r>
              <w:rPr>
                <w:rFonts w:hint="eastAsia" w:ascii="宋体" w:hAnsi="宋体" w:eastAsia="宋体" w:cs="宋体"/>
                <w:b/>
                <w:color w:val="auto"/>
                <w:sz w:val="21"/>
                <w:szCs w:val="21"/>
                <w:highlight w:val="none"/>
              </w:rPr>
              <w:t>必须提供，否则作无效投标处理</w:t>
            </w:r>
            <w:r>
              <w:rPr>
                <w:rFonts w:hint="eastAsia" w:ascii="宋体" w:hAnsi="宋体" w:eastAsia="宋体" w:cs="宋体"/>
                <w:color w:val="auto"/>
                <w:sz w:val="21"/>
                <w:szCs w:val="21"/>
                <w:highlight w:val="none"/>
              </w:rPr>
              <w:t>）</w:t>
            </w:r>
          </w:p>
          <w:p w14:paraId="2E49FCEA">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投标人依法缴纳税收的相关材料（提供税款所属时期为202</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月至投标文件提交截止时间止的任意</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个月的依法缴纳税收的凭据复印件。依法免税</w:t>
            </w:r>
            <w:r>
              <w:rPr>
                <w:rFonts w:hint="eastAsia" w:ascii="宋体" w:hAnsi="宋体" w:eastAsia="宋体" w:cs="宋体"/>
                <w:color w:val="auto"/>
                <w:sz w:val="21"/>
                <w:szCs w:val="21"/>
                <w:highlight w:val="none"/>
                <w:lang w:eastAsia="zh-CN"/>
              </w:rPr>
              <w:t>或零申报</w:t>
            </w:r>
            <w:r>
              <w:rPr>
                <w:rFonts w:hint="eastAsia" w:ascii="宋体" w:hAnsi="宋体" w:eastAsia="宋体" w:cs="宋体"/>
                <w:color w:val="auto"/>
                <w:sz w:val="21"/>
                <w:szCs w:val="21"/>
                <w:highlight w:val="none"/>
              </w:rPr>
              <w:t>的投标人，必须提供相应文件证明其依法免税</w:t>
            </w:r>
            <w:r>
              <w:rPr>
                <w:rFonts w:hint="eastAsia" w:ascii="宋体" w:hAnsi="宋体" w:eastAsia="宋体" w:cs="宋体"/>
                <w:color w:val="auto"/>
                <w:sz w:val="21"/>
                <w:szCs w:val="21"/>
                <w:highlight w:val="none"/>
                <w:lang w:eastAsia="zh-CN"/>
              </w:rPr>
              <w:t>或零申报材料</w:t>
            </w:r>
            <w:r>
              <w:rPr>
                <w:rFonts w:hint="eastAsia" w:ascii="宋体" w:hAnsi="宋体" w:eastAsia="宋体" w:cs="宋体"/>
                <w:color w:val="auto"/>
                <w:sz w:val="21"/>
                <w:szCs w:val="21"/>
                <w:highlight w:val="none"/>
              </w:rPr>
              <w:t>。从取得营业执照时间起到投标文件提交截止时间为止不足要求月数的，只需提供从取得营业执照起的依法缴纳税收相应证明文件）。（</w:t>
            </w:r>
            <w:r>
              <w:rPr>
                <w:rFonts w:hint="eastAsia" w:ascii="宋体" w:hAnsi="宋体" w:eastAsia="宋体" w:cs="宋体"/>
                <w:b/>
                <w:color w:val="auto"/>
                <w:sz w:val="21"/>
                <w:szCs w:val="21"/>
                <w:highlight w:val="none"/>
              </w:rPr>
              <w:t>必须提供，否则作无效投标处理</w:t>
            </w:r>
            <w:r>
              <w:rPr>
                <w:rFonts w:hint="eastAsia" w:ascii="宋体" w:hAnsi="宋体" w:eastAsia="宋体" w:cs="宋体"/>
                <w:color w:val="auto"/>
                <w:sz w:val="21"/>
                <w:szCs w:val="21"/>
                <w:highlight w:val="none"/>
              </w:rPr>
              <w:t>）</w:t>
            </w:r>
          </w:p>
          <w:p w14:paraId="7977D04D">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投标人依法缴纳社会保障资金的相关材料（提供税款所属时期或缴费起始时间为202</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月至投标文件提交截止时间止的任意</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个月的依法缴纳社会保障资金的缴费凭证复印件；依法不需要缴纳社会保障资金的投标人，必须提供相应文件证明不需要缴纳社会保障资金。从取得营业执照时间起到投标文件提交截止时间为止不足要求月数的只需提供从取得营业执照起的依法缴纳社会保障资金的相应证明文件）。（</w:t>
            </w:r>
            <w:r>
              <w:rPr>
                <w:rFonts w:hint="eastAsia" w:ascii="宋体" w:hAnsi="宋体" w:eastAsia="宋体" w:cs="宋体"/>
                <w:b/>
                <w:color w:val="auto"/>
                <w:sz w:val="21"/>
                <w:szCs w:val="21"/>
                <w:highlight w:val="none"/>
              </w:rPr>
              <w:t>必须提供，否则作无效投标处理</w:t>
            </w:r>
            <w:r>
              <w:rPr>
                <w:rFonts w:hint="eastAsia" w:ascii="宋体" w:hAnsi="宋体" w:eastAsia="宋体" w:cs="宋体"/>
                <w:color w:val="auto"/>
                <w:sz w:val="21"/>
                <w:szCs w:val="21"/>
                <w:highlight w:val="none"/>
              </w:rPr>
              <w:t>）</w:t>
            </w:r>
          </w:p>
          <w:p w14:paraId="7B3119D4">
            <w:pPr>
              <w:keepNext w:val="0"/>
              <w:keepLines w:val="0"/>
              <w:pageBreakBefore w:val="0"/>
              <w:suppressLineNumbers w:val="0"/>
              <w:kinsoku/>
              <w:wordWrap/>
              <w:topLinePunct w:val="0"/>
              <w:bidi w:val="0"/>
              <w:adjustRightInd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投标人财务状况报告或者银行出具的资信证明[</w:t>
            </w:r>
            <w:r>
              <w:rPr>
                <w:rFonts w:hint="eastAsia" w:ascii="宋体" w:hAnsi="宋体" w:eastAsia="宋体" w:cs="宋体"/>
                <w:color w:val="auto"/>
                <w:sz w:val="21"/>
                <w:szCs w:val="21"/>
                <w:highlight w:val="none"/>
                <w:u w:val="single"/>
                <w:lang w:val="en-US" w:eastAsia="zh-CN"/>
              </w:rPr>
              <w:t>2025年</w:t>
            </w:r>
            <w:r>
              <w:rPr>
                <w:rFonts w:hint="eastAsia" w:ascii="宋体" w:hAnsi="宋体" w:eastAsia="宋体" w:cs="宋体"/>
                <w:color w:val="auto"/>
                <w:sz w:val="21"/>
                <w:szCs w:val="21"/>
                <w:highlight w:val="none"/>
              </w:rPr>
              <w:t>财务状况报告，或者经审计的2025年财务报告</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或者银行出具的资信证明</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资信证明应在有效期内，未注明有效期的</w:t>
            </w:r>
            <w:r>
              <w:rPr>
                <w:rFonts w:hint="eastAsia" w:ascii="宋体" w:hAnsi="宋体" w:eastAsia="宋体" w:cs="宋体"/>
                <w:color w:val="auto"/>
                <w:sz w:val="21"/>
                <w:szCs w:val="21"/>
                <w:highlight w:val="none"/>
                <w:lang w:val="en-US" w:eastAsia="zh-CN"/>
              </w:rPr>
              <w:t>视为自</w:t>
            </w:r>
            <w:r>
              <w:rPr>
                <w:rFonts w:hint="eastAsia" w:ascii="宋体" w:hAnsi="宋体" w:eastAsia="宋体" w:cs="宋体"/>
                <w:color w:val="auto"/>
                <w:sz w:val="21"/>
                <w:szCs w:val="21"/>
                <w:highlight w:val="none"/>
              </w:rPr>
              <w:t>出具时间</w:t>
            </w:r>
            <w:r>
              <w:rPr>
                <w:rFonts w:hint="eastAsia" w:ascii="宋体" w:hAnsi="宋体" w:eastAsia="宋体" w:cs="宋体"/>
                <w:color w:val="auto"/>
                <w:sz w:val="21"/>
                <w:szCs w:val="21"/>
                <w:highlight w:val="none"/>
                <w:lang w:val="en-US" w:eastAsia="zh-CN"/>
              </w:rPr>
              <w:t>起</w:t>
            </w:r>
            <w:r>
              <w:rPr>
                <w:rFonts w:hint="eastAsia" w:ascii="宋体" w:hAnsi="宋体" w:eastAsia="宋体" w:cs="宋体"/>
                <w:color w:val="auto"/>
                <w:sz w:val="21"/>
                <w:szCs w:val="21"/>
                <w:highlight w:val="none"/>
              </w:rPr>
              <w:t>一年</w:t>
            </w:r>
            <w:r>
              <w:rPr>
                <w:rFonts w:hint="eastAsia" w:ascii="宋体" w:hAnsi="宋体" w:eastAsia="宋体" w:cs="宋体"/>
                <w:color w:val="auto"/>
                <w:sz w:val="21"/>
                <w:szCs w:val="21"/>
                <w:highlight w:val="none"/>
                <w:lang w:val="en-US" w:eastAsia="zh-CN"/>
              </w:rPr>
              <w:t>内有效</w:t>
            </w:r>
            <w:r>
              <w:rPr>
                <w:rFonts w:hint="eastAsia" w:ascii="宋体" w:hAnsi="宋体" w:eastAsia="宋体" w:cs="宋体"/>
                <w:color w:val="auto"/>
                <w:sz w:val="21"/>
                <w:szCs w:val="21"/>
                <w:highlight w:val="none"/>
                <w:lang w:eastAsia="zh-CN"/>
              </w:rPr>
              <w:t>）。</w:t>
            </w:r>
            <w:r>
              <w:rPr>
                <w:rFonts w:hint="eastAsia" w:ascii="宋体" w:eastAsia="宋体" w:hAnsiTheme="minorEastAsia" w:cstheme="minorEastAsia"/>
                <w:color w:val="auto"/>
                <w:sz w:val="21"/>
                <w:szCs w:val="21"/>
                <w:highlight w:val="none"/>
              </w:rPr>
              <w:t>如投标人为投标当年新成立公司的，应提供于公司成立之日后的财务状况报告。上述财务状况报告包括：投标人执行《企业会计准则》的，提供资产负债表、利润表、现金流量表、所有者权益变动表及其附注（以下称“四表一注”）；投标人执行《小企业会计准则》的，提供资产负债表、利润表、现金流量表及其附注（以下称“三表一注”）；投标人执行《政府会计制度》的，提供资产负债表、收入费用表和净资产变动表及其附注。</w:t>
            </w:r>
            <w:r>
              <w:rPr>
                <w:rFonts w:hint="eastAsia" w:ascii="宋体" w:eastAsia="宋体" w:hAnsiTheme="minorEastAsia" w:cstheme="minorEastAsia"/>
                <w:color w:val="auto"/>
                <w:sz w:val="21"/>
                <w:szCs w:val="21"/>
                <w:highlight w:val="none"/>
                <w:lang w:val="en-US" w:eastAsia="zh-CN"/>
              </w:rPr>
              <w:t>]</w:t>
            </w:r>
            <w:r>
              <w:rPr>
                <w:rFonts w:hint="eastAsia" w:ascii="宋体" w:hAnsi="宋体" w:eastAsia="宋体" w:cs="宋体"/>
                <w:color w:val="auto"/>
                <w:sz w:val="21"/>
                <w:szCs w:val="21"/>
                <w:highlight w:val="none"/>
              </w:rPr>
              <w:t>（</w:t>
            </w:r>
            <w:r>
              <w:rPr>
                <w:rFonts w:hint="eastAsia" w:ascii="宋体" w:hAnsi="宋体" w:eastAsia="宋体" w:cs="宋体"/>
                <w:b/>
                <w:color w:val="auto"/>
                <w:sz w:val="21"/>
                <w:szCs w:val="21"/>
                <w:highlight w:val="none"/>
              </w:rPr>
              <w:t>必须提供，否则作无效投标处理</w:t>
            </w:r>
            <w:r>
              <w:rPr>
                <w:rFonts w:hint="eastAsia" w:ascii="宋体" w:hAnsi="宋体" w:eastAsia="宋体" w:cs="宋体"/>
                <w:color w:val="auto"/>
                <w:sz w:val="21"/>
                <w:szCs w:val="21"/>
                <w:highlight w:val="none"/>
              </w:rPr>
              <w:t>）</w:t>
            </w:r>
          </w:p>
          <w:p w14:paraId="78D6A476">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声明函（格式后附）。（</w:t>
            </w:r>
            <w:r>
              <w:rPr>
                <w:rFonts w:hint="eastAsia" w:ascii="宋体" w:hAnsi="宋体" w:eastAsia="宋体" w:cs="宋体"/>
                <w:b/>
                <w:color w:val="auto"/>
                <w:sz w:val="21"/>
                <w:szCs w:val="21"/>
                <w:highlight w:val="none"/>
              </w:rPr>
              <w:t>必须提供，否则作无效投标处理</w:t>
            </w:r>
            <w:r>
              <w:rPr>
                <w:rFonts w:hint="eastAsia" w:ascii="宋体" w:hAnsi="宋体" w:eastAsia="宋体" w:cs="宋体"/>
                <w:color w:val="auto"/>
                <w:sz w:val="21"/>
                <w:szCs w:val="21"/>
                <w:highlight w:val="none"/>
              </w:rPr>
              <w:t>）</w:t>
            </w:r>
          </w:p>
          <w:p w14:paraId="3F9123C6">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投标人直接控股股东信息表（格式后附）。（</w:t>
            </w:r>
            <w:r>
              <w:rPr>
                <w:rFonts w:hint="eastAsia" w:ascii="宋体" w:hAnsi="宋体" w:eastAsia="宋体" w:cs="宋体"/>
                <w:b/>
                <w:color w:val="auto"/>
                <w:sz w:val="21"/>
                <w:szCs w:val="21"/>
                <w:highlight w:val="none"/>
              </w:rPr>
              <w:t>必须提供，否则作无效投标处理</w:t>
            </w:r>
            <w:r>
              <w:rPr>
                <w:rFonts w:hint="eastAsia" w:ascii="宋体" w:hAnsi="宋体" w:eastAsia="宋体" w:cs="宋体"/>
                <w:color w:val="auto"/>
                <w:sz w:val="21"/>
                <w:szCs w:val="21"/>
                <w:highlight w:val="none"/>
              </w:rPr>
              <w:t>）</w:t>
            </w:r>
          </w:p>
          <w:p w14:paraId="2AA273AE">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bookmarkStart w:id="81" w:name="OLE_LINK92"/>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投标人直接管理关系信息表</w:t>
            </w:r>
            <w:bookmarkEnd w:id="81"/>
            <w:r>
              <w:rPr>
                <w:rFonts w:hint="eastAsia" w:ascii="宋体" w:hAnsi="宋体" w:eastAsia="宋体" w:cs="宋体"/>
                <w:color w:val="auto"/>
                <w:sz w:val="21"/>
                <w:szCs w:val="21"/>
                <w:highlight w:val="none"/>
              </w:rPr>
              <w:t>（格式后附）。（</w:t>
            </w:r>
            <w:r>
              <w:rPr>
                <w:rFonts w:hint="eastAsia" w:ascii="宋体" w:hAnsi="宋体" w:eastAsia="宋体" w:cs="宋体"/>
                <w:b/>
                <w:color w:val="auto"/>
                <w:sz w:val="21"/>
                <w:szCs w:val="21"/>
                <w:highlight w:val="none"/>
              </w:rPr>
              <w:t>必须提供，</w:t>
            </w:r>
            <w:bookmarkStart w:id="82" w:name="OLE_LINK190"/>
            <w:r>
              <w:rPr>
                <w:rFonts w:hint="eastAsia" w:ascii="宋体" w:hAnsi="宋体" w:eastAsia="宋体" w:cs="宋体"/>
                <w:b/>
                <w:color w:val="auto"/>
                <w:sz w:val="21"/>
                <w:szCs w:val="21"/>
                <w:highlight w:val="none"/>
              </w:rPr>
              <w:t>否则作无效投标处理</w:t>
            </w:r>
            <w:r>
              <w:rPr>
                <w:rFonts w:hint="eastAsia" w:ascii="宋体" w:hAnsi="宋体" w:eastAsia="宋体" w:cs="宋体"/>
                <w:color w:val="auto"/>
                <w:sz w:val="21"/>
                <w:szCs w:val="21"/>
                <w:highlight w:val="none"/>
              </w:rPr>
              <w:t>）</w:t>
            </w:r>
          </w:p>
          <w:bookmarkEnd w:id="82"/>
          <w:p w14:paraId="4CF65ED0">
            <w:pPr>
              <w:keepNext w:val="0"/>
              <w:keepLines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8</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本项目的特定资格要求材料</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根据招标公告要求提供</w:t>
            </w:r>
            <w:r>
              <w:rPr>
                <w:rFonts w:hint="eastAsia" w:ascii="宋体" w:hAnsi="宋体" w:eastAsia="宋体" w:cs="宋体"/>
                <w:color w:val="auto"/>
                <w:sz w:val="21"/>
                <w:szCs w:val="21"/>
                <w:highlight w:val="none"/>
              </w:rPr>
              <w:t>（</w:t>
            </w:r>
            <w:r>
              <w:rPr>
                <w:rFonts w:hint="eastAsia" w:ascii="宋体" w:hAnsi="宋体" w:eastAsia="宋体" w:cs="宋体"/>
                <w:b/>
                <w:bCs/>
                <w:color w:val="auto"/>
                <w:sz w:val="21"/>
                <w:szCs w:val="21"/>
                <w:highlight w:val="none"/>
                <w:lang w:val="en-US" w:eastAsia="zh-CN"/>
              </w:rPr>
              <w:t>分标</w:t>
            </w:r>
            <w:r>
              <w:rPr>
                <w:rFonts w:hint="eastAsia" w:ascii="宋体" w:hAnsi="宋体" w:cs="宋体"/>
                <w:b/>
                <w:bCs/>
                <w:color w:val="auto"/>
                <w:sz w:val="21"/>
                <w:szCs w:val="21"/>
                <w:highlight w:val="none"/>
                <w:lang w:val="en-US" w:eastAsia="zh-CN"/>
              </w:rPr>
              <w:t>2</w:t>
            </w:r>
            <w:r>
              <w:rPr>
                <w:rFonts w:hint="eastAsia" w:ascii="宋体" w:hAnsi="宋体" w:eastAsia="宋体" w:cs="宋体"/>
                <w:b/>
                <w:color w:val="auto"/>
                <w:sz w:val="21"/>
                <w:szCs w:val="21"/>
                <w:highlight w:val="none"/>
              </w:rPr>
              <w:t>必须提供，否则作无效投标处理</w:t>
            </w:r>
            <w:r>
              <w:rPr>
                <w:rFonts w:hint="eastAsia" w:ascii="宋体" w:hAnsi="宋体" w:eastAsia="宋体" w:cs="宋体"/>
                <w:color w:val="auto"/>
                <w:sz w:val="21"/>
                <w:szCs w:val="21"/>
                <w:highlight w:val="none"/>
              </w:rPr>
              <w:t>）。</w:t>
            </w:r>
            <w:bookmarkStart w:id="83" w:name="OLE_LINK212"/>
          </w:p>
          <w:bookmarkEnd w:id="83"/>
          <w:p w14:paraId="39077B4B">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联合体投标协议书（格式后附）。（</w:t>
            </w:r>
            <w:r>
              <w:rPr>
                <w:rFonts w:hint="eastAsia" w:ascii="宋体" w:hAnsi="宋体" w:eastAsia="宋体" w:cs="宋体"/>
                <w:b/>
                <w:color w:val="auto"/>
                <w:sz w:val="21"/>
                <w:szCs w:val="21"/>
                <w:highlight w:val="none"/>
              </w:rPr>
              <w:t>联合体投标时必须提供，否则作无效投标处理</w:t>
            </w:r>
            <w:r>
              <w:rPr>
                <w:rFonts w:hint="eastAsia" w:ascii="宋体" w:hAnsi="宋体" w:eastAsia="宋体" w:cs="宋体"/>
                <w:color w:val="auto"/>
                <w:sz w:val="21"/>
                <w:szCs w:val="21"/>
                <w:highlight w:val="none"/>
              </w:rPr>
              <w:t>）</w:t>
            </w:r>
          </w:p>
          <w:p w14:paraId="657DE468">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除招标文件规定必须提供以外，投标人认为需要提供的其他证明材料（格式自拟）。</w:t>
            </w:r>
          </w:p>
          <w:p w14:paraId="6E1B1B8A">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注：以上标明“必须提供”的材料</w:t>
            </w:r>
            <w:r>
              <w:rPr>
                <w:rFonts w:hint="eastAsia" w:ascii="宋体" w:hAnsi="宋体" w:eastAsia="宋体" w:cs="宋体"/>
                <w:b/>
                <w:color w:val="auto"/>
                <w:sz w:val="21"/>
                <w:szCs w:val="21"/>
                <w:highlight w:val="none"/>
              </w:rPr>
              <w:t>属于</w:t>
            </w:r>
            <w:r>
              <w:rPr>
                <w:rFonts w:hint="eastAsia" w:ascii="宋体" w:hAnsi="宋体" w:eastAsia="宋体" w:cs="宋体"/>
                <w:b/>
                <w:color w:val="auto"/>
                <w:sz w:val="21"/>
                <w:szCs w:val="21"/>
                <w:highlight w:val="none"/>
                <w:lang w:val="en-US" w:eastAsia="zh-CN"/>
              </w:rPr>
              <w:t>原件或</w:t>
            </w:r>
            <w:r>
              <w:rPr>
                <w:rFonts w:hint="eastAsia" w:ascii="宋体" w:hAnsi="宋体" w:eastAsia="宋体" w:cs="宋体"/>
                <w:b/>
                <w:color w:val="auto"/>
                <w:sz w:val="21"/>
                <w:szCs w:val="21"/>
                <w:highlight w:val="none"/>
              </w:rPr>
              <w:t>复印件的扫描件的</w:t>
            </w:r>
            <w:r>
              <w:rPr>
                <w:rFonts w:hint="eastAsia" w:ascii="宋体" w:hAnsi="宋体" w:eastAsia="宋体" w:cs="宋体"/>
                <w:b/>
                <w:bCs/>
                <w:color w:val="auto"/>
                <w:sz w:val="21"/>
                <w:szCs w:val="21"/>
                <w:highlight w:val="none"/>
              </w:rPr>
              <w:t>，必须加盖投标人公章，否则</w:t>
            </w:r>
            <w:r>
              <w:rPr>
                <w:rFonts w:hint="eastAsia" w:ascii="宋体" w:hAnsi="宋体" w:eastAsia="宋体" w:cs="宋体"/>
                <w:b/>
                <w:color w:val="auto"/>
                <w:sz w:val="21"/>
                <w:szCs w:val="21"/>
                <w:highlight w:val="none"/>
              </w:rPr>
              <w:t>作无效投标处理。</w:t>
            </w:r>
          </w:p>
        </w:tc>
      </w:tr>
      <w:tr w14:paraId="67231C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89" w:type="dxa"/>
            <w:tcBorders>
              <w:top w:val="nil"/>
              <w:left w:val="single" w:color="auto" w:sz="4" w:space="0"/>
              <w:bottom w:val="nil"/>
              <w:right w:val="single" w:color="auto" w:sz="4" w:space="0"/>
            </w:tcBorders>
            <w:noWrap/>
            <w:vAlign w:val="center"/>
          </w:tcPr>
          <w:p w14:paraId="0FC51832">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p>
        </w:tc>
        <w:tc>
          <w:tcPr>
            <w:tcW w:w="2445" w:type="dxa"/>
            <w:tcBorders>
              <w:top w:val="single" w:color="auto" w:sz="4" w:space="0"/>
              <w:left w:val="single" w:color="auto" w:sz="4" w:space="0"/>
              <w:bottom w:val="single" w:color="auto" w:sz="4" w:space="0"/>
              <w:right w:val="single" w:color="auto" w:sz="4" w:space="0"/>
            </w:tcBorders>
            <w:noWrap/>
            <w:vAlign w:val="center"/>
          </w:tcPr>
          <w:p w14:paraId="0FC40B5B">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bookmarkStart w:id="84" w:name="_13.3"/>
            <w:bookmarkEnd w:id="84"/>
            <w:r>
              <w:rPr>
                <w:rFonts w:hint="eastAsia" w:ascii="宋体" w:hAnsi="宋体" w:eastAsia="宋体" w:cs="宋体"/>
                <w:color w:val="auto"/>
                <w:sz w:val="21"/>
                <w:szCs w:val="21"/>
                <w:highlight w:val="none"/>
              </w:rPr>
              <w:t>商务文件组成</w:t>
            </w:r>
          </w:p>
        </w:tc>
        <w:tc>
          <w:tcPr>
            <w:tcW w:w="5354" w:type="dxa"/>
            <w:tcBorders>
              <w:top w:val="single" w:color="auto" w:sz="4" w:space="0"/>
              <w:left w:val="single" w:color="auto" w:sz="4" w:space="0"/>
              <w:bottom w:val="single" w:color="auto" w:sz="4" w:space="0"/>
              <w:right w:val="single" w:color="auto" w:sz="4" w:space="0"/>
            </w:tcBorders>
            <w:noWrap/>
            <w:vAlign w:val="center"/>
          </w:tcPr>
          <w:p w14:paraId="73388EFB">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无串通投标行为的承诺函（格式后附）。（</w:t>
            </w:r>
            <w:r>
              <w:rPr>
                <w:rFonts w:hint="eastAsia" w:ascii="宋体" w:hAnsi="宋体" w:eastAsia="宋体" w:cs="宋体"/>
                <w:b/>
                <w:color w:val="auto"/>
                <w:sz w:val="21"/>
                <w:szCs w:val="21"/>
                <w:highlight w:val="none"/>
              </w:rPr>
              <w:t>必须提供，否则作无效投标处理</w:t>
            </w:r>
            <w:r>
              <w:rPr>
                <w:rFonts w:hint="eastAsia" w:ascii="宋体" w:hAnsi="宋体" w:eastAsia="宋体" w:cs="宋体"/>
                <w:color w:val="auto"/>
                <w:sz w:val="21"/>
                <w:szCs w:val="21"/>
                <w:highlight w:val="none"/>
              </w:rPr>
              <w:t>）</w:t>
            </w:r>
          </w:p>
          <w:p w14:paraId="2D8EF179">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法定代表人身份证明及法定代表人有效身份证正反面复印件（格式后附）。（</w:t>
            </w:r>
            <w:r>
              <w:rPr>
                <w:rFonts w:hint="eastAsia" w:ascii="宋体" w:hAnsi="宋体" w:eastAsia="宋体" w:cs="宋体"/>
                <w:b/>
                <w:bCs/>
                <w:color w:val="auto"/>
                <w:sz w:val="21"/>
                <w:szCs w:val="21"/>
                <w:highlight w:val="none"/>
              </w:rPr>
              <w:t>除自然人投标外</w:t>
            </w:r>
            <w:r>
              <w:rPr>
                <w:rFonts w:hint="eastAsia" w:ascii="宋体" w:hAnsi="宋体" w:eastAsia="宋体" w:cs="宋体"/>
                <w:b/>
                <w:color w:val="auto"/>
                <w:sz w:val="21"/>
                <w:szCs w:val="21"/>
                <w:highlight w:val="none"/>
              </w:rPr>
              <w:t>必须提供，否则作无效投标处理</w:t>
            </w:r>
            <w:r>
              <w:rPr>
                <w:rFonts w:hint="eastAsia" w:ascii="宋体" w:hAnsi="宋体" w:eastAsia="宋体" w:cs="宋体"/>
                <w:color w:val="auto"/>
                <w:sz w:val="21"/>
                <w:szCs w:val="21"/>
                <w:highlight w:val="none"/>
              </w:rPr>
              <w:t>）</w:t>
            </w:r>
          </w:p>
          <w:p w14:paraId="6DD4C14A">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法定代表人授权委托书及委托代理人有效身份证正反面复印件（格式后附）。（</w:t>
            </w:r>
            <w:r>
              <w:rPr>
                <w:rFonts w:hint="eastAsia" w:ascii="宋体" w:hAnsi="宋体" w:eastAsia="宋体" w:cs="宋体"/>
                <w:b/>
                <w:color w:val="auto"/>
                <w:sz w:val="21"/>
                <w:szCs w:val="21"/>
                <w:highlight w:val="none"/>
              </w:rPr>
              <w:t>委托时必须提供，否则作无效投标处理</w:t>
            </w:r>
            <w:r>
              <w:rPr>
                <w:rFonts w:hint="eastAsia" w:ascii="宋体" w:hAnsi="宋体" w:eastAsia="宋体" w:cs="宋体"/>
                <w:color w:val="auto"/>
                <w:sz w:val="21"/>
                <w:szCs w:val="21"/>
                <w:highlight w:val="none"/>
              </w:rPr>
              <w:t>）</w:t>
            </w:r>
          </w:p>
          <w:p w14:paraId="0C70537B">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商务条款偏离表（格式后附）。（</w:t>
            </w:r>
            <w:r>
              <w:rPr>
                <w:rFonts w:hint="eastAsia" w:ascii="宋体" w:hAnsi="宋体" w:eastAsia="宋体" w:cs="宋体"/>
                <w:b/>
                <w:color w:val="auto"/>
                <w:sz w:val="21"/>
                <w:szCs w:val="21"/>
                <w:highlight w:val="none"/>
              </w:rPr>
              <w:t>必须提供，否则作无效投标处理</w:t>
            </w:r>
            <w:r>
              <w:rPr>
                <w:rFonts w:hint="eastAsia" w:ascii="宋体" w:hAnsi="宋体" w:eastAsia="宋体" w:cs="宋体"/>
                <w:color w:val="auto"/>
                <w:sz w:val="21"/>
                <w:szCs w:val="21"/>
                <w:highlight w:val="none"/>
              </w:rPr>
              <w:t>）</w:t>
            </w:r>
          </w:p>
          <w:p w14:paraId="1C07A1C4">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投标保证金的缴纳材料（格式自拟）。（</w:t>
            </w:r>
            <w:r>
              <w:rPr>
                <w:rFonts w:hint="eastAsia" w:ascii="宋体" w:hAnsi="宋体" w:eastAsia="宋体" w:cs="宋体"/>
                <w:b/>
                <w:bCs/>
                <w:color w:val="auto"/>
                <w:sz w:val="21"/>
                <w:szCs w:val="21"/>
                <w:highlight w:val="none"/>
                <w:lang w:val="en-US" w:eastAsia="zh-CN"/>
              </w:rPr>
              <w:t>如本项目有要求则</w:t>
            </w:r>
            <w:r>
              <w:rPr>
                <w:rFonts w:hint="eastAsia" w:ascii="宋体" w:hAnsi="宋体" w:eastAsia="宋体" w:cs="宋体"/>
                <w:b/>
                <w:color w:val="auto"/>
                <w:sz w:val="21"/>
                <w:szCs w:val="21"/>
                <w:highlight w:val="none"/>
              </w:rPr>
              <w:t>必须提供，否则作无效投标处理</w:t>
            </w:r>
            <w:r>
              <w:rPr>
                <w:rFonts w:hint="eastAsia" w:ascii="宋体" w:hAnsi="宋体" w:eastAsia="宋体" w:cs="宋体"/>
                <w:color w:val="auto"/>
                <w:sz w:val="21"/>
                <w:szCs w:val="21"/>
                <w:highlight w:val="none"/>
              </w:rPr>
              <w:t>）</w:t>
            </w:r>
          </w:p>
          <w:p w14:paraId="674631A4">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投标人情况介绍（格式自拟）。</w:t>
            </w:r>
          </w:p>
          <w:p w14:paraId="04E4818B">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除招标文件规定必须提供以外，投标人认为需要提供的其他证明材料（</w:t>
            </w:r>
            <w:r>
              <w:rPr>
                <w:rFonts w:hint="eastAsia" w:ascii="宋体" w:hAnsi="宋体" w:eastAsia="宋体" w:cs="宋体"/>
                <w:color w:val="auto"/>
                <w:sz w:val="21"/>
                <w:szCs w:val="21"/>
                <w:highlight w:val="none"/>
                <w:lang w:eastAsia="zh-CN"/>
              </w:rPr>
              <w:t>如业绩证明、企业相关体系认证证书等。</w:t>
            </w:r>
            <w:r>
              <w:rPr>
                <w:rFonts w:hint="eastAsia" w:ascii="宋体" w:hAnsi="宋体" w:eastAsia="宋体" w:cs="宋体"/>
                <w:color w:val="auto"/>
                <w:sz w:val="21"/>
                <w:szCs w:val="21"/>
                <w:highlight w:val="none"/>
              </w:rPr>
              <w:t>格式自拟）。</w:t>
            </w:r>
          </w:p>
          <w:p w14:paraId="4714434F">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注：</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法定代表人授权委托书必须由法定代表人及委托代理人签字，并加盖投标人公章，否则作无效投标处理。</w:t>
            </w:r>
          </w:p>
          <w:p w14:paraId="40E71D20">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b/>
                <w:color w:val="auto"/>
                <w:sz w:val="21"/>
                <w:szCs w:val="21"/>
                <w:highlight w:val="none"/>
              </w:rPr>
            </w:pP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2</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以上标明“必须提供”的材料</w:t>
            </w:r>
            <w:r>
              <w:rPr>
                <w:rFonts w:hint="eastAsia" w:ascii="宋体" w:hAnsi="宋体" w:eastAsia="宋体" w:cs="宋体"/>
                <w:b/>
                <w:color w:val="auto"/>
                <w:sz w:val="21"/>
                <w:szCs w:val="21"/>
                <w:highlight w:val="none"/>
              </w:rPr>
              <w:t>属于</w:t>
            </w:r>
            <w:r>
              <w:rPr>
                <w:rFonts w:hint="eastAsia" w:ascii="宋体" w:hAnsi="宋体" w:eastAsia="宋体" w:cs="宋体"/>
                <w:b/>
                <w:color w:val="auto"/>
                <w:sz w:val="21"/>
                <w:szCs w:val="21"/>
                <w:highlight w:val="none"/>
                <w:lang w:val="en-US" w:eastAsia="zh-CN"/>
              </w:rPr>
              <w:t>原件或</w:t>
            </w:r>
            <w:r>
              <w:rPr>
                <w:rFonts w:hint="eastAsia" w:ascii="宋体" w:hAnsi="宋体" w:eastAsia="宋体" w:cs="宋体"/>
                <w:b/>
                <w:color w:val="auto"/>
                <w:sz w:val="21"/>
                <w:szCs w:val="21"/>
                <w:highlight w:val="none"/>
              </w:rPr>
              <w:t>复印件的扫描件的</w:t>
            </w:r>
            <w:r>
              <w:rPr>
                <w:rFonts w:hint="eastAsia" w:ascii="宋体" w:hAnsi="宋体" w:eastAsia="宋体" w:cs="宋体"/>
                <w:b/>
                <w:bCs/>
                <w:color w:val="auto"/>
                <w:sz w:val="21"/>
                <w:szCs w:val="21"/>
                <w:highlight w:val="none"/>
              </w:rPr>
              <w:t>，必须加盖投标人公章，否则</w:t>
            </w:r>
            <w:r>
              <w:rPr>
                <w:rFonts w:hint="eastAsia" w:ascii="宋体" w:hAnsi="宋体" w:eastAsia="宋体" w:cs="宋体"/>
                <w:b/>
                <w:color w:val="auto"/>
                <w:sz w:val="21"/>
                <w:szCs w:val="21"/>
                <w:highlight w:val="none"/>
              </w:rPr>
              <w:t>作无效投标处理</w:t>
            </w:r>
            <w:r>
              <w:rPr>
                <w:rFonts w:hint="eastAsia" w:ascii="宋体" w:hAnsi="宋体" w:eastAsia="宋体" w:cs="宋体"/>
                <w:b/>
                <w:bCs/>
                <w:color w:val="auto"/>
                <w:sz w:val="21"/>
                <w:szCs w:val="21"/>
                <w:highlight w:val="none"/>
              </w:rPr>
              <w:t>。</w:t>
            </w:r>
          </w:p>
        </w:tc>
      </w:tr>
      <w:tr w14:paraId="0CF83E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89" w:type="dxa"/>
            <w:vMerge w:val="restart"/>
            <w:tcBorders>
              <w:top w:val="nil"/>
              <w:left w:val="single" w:color="auto" w:sz="4" w:space="0"/>
              <w:bottom w:val="single" w:color="auto" w:sz="4" w:space="0"/>
              <w:right w:val="single" w:color="auto" w:sz="4" w:space="0"/>
            </w:tcBorders>
            <w:noWrap/>
            <w:vAlign w:val="center"/>
          </w:tcPr>
          <w:p w14:paraId="1CDD6A8D">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p>
        </w:tc>
        <w:tc>
          <w:tcPr>
            <w:tcW w:w="2445" w:type="dxa"/>
            <w:tcBorders>
              <w:top w:val="single" w:color="auto" w:sz="4" w:space="0"/>
              <w:left w:val="single" w:color="auto" w:sz="4" w:space="0"/>
              <w:bottom w:val="single" w:color="auto" w:sz="4" w:space="0"/>
              <w:right w:val="single" w:color="auto" w:sz="4" w:space="0"/>
            </w:tcBorders>
            <w:noWrap/>
            <w:vAlign w:val="center"/>
          </w:tcPr>
          <w:p w14:paraId="79E5AEF2">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bookmarkStart w:id="85" w:name="_13.4"/>
            <w:bookmarkEnd w:id="85"/>
            <w:r>
              <w:rPr>
                <w:rFonts w:hint="eastAsia" w:ascii="宋体" w:hAnsi="宋体" w:eastAsia="宋体" w:cs="宋体"/>
                <w:color w:val="auto"/>
                <w:sz w:val="21"/>
                <w:szCs w:val="21"/>
                <w:highlight w:val="none"/>
              </w:rPr>
              <w:t>技术文件组成</w:t>
            </w:r>
          </w:p>
        </w:tc>
        <w:tc>
          <w:tcPr>
            <w:tcW w:w="5354" w:type="dxa"/>
            <w:tcBorders>
              <w:top w:val="single" w:color="auto" w:sz="4" w:space="0"/>
              <w:left w:val="single" w:color="auto" w:sz="4" w:space="0"/>
              <w:bottom w:val="single" w:color="auto" w:sz="4" w:space="0"/>
              <w:right w:val="single" w:color="auto" w:sz="4" w:space="0"/>
            </w:tcBorders>
            <w:noWrap/>
            <w:vAlign w:val="center"/>
          </w:tcPr>
          <w:p w14:paraId="01B9D9A4">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.技术性能、参数</w:t>
            </w:r>
            <w:r>
              <w:rPr>
                <w:rFonts w:hint="eastAsia" w:ascii="宋体" w:hAnsi="宋体" w:eastAsia="宋体" w:cs="宋体"/>
                <w:color w:val="auto"/>
                <w:sz w:val="21"/>
                <w:szCs w:val="21"/>
                <w:highlight w:val="none"/>
              </w:rPr>
              <w:t>偏离表（格式后附）。（</w:t>
            </w:r>
            <w:r>
              <w:rPr>
                <w:rFonts w:hint="eastAsia" w:ascii="宋体" w:hAnsi="宋体" w:eastAsia="宋体" w:cs="宋体"/>
                <w:b/>
                <w:color w:val="auto"/>
                <w:sz w:val="21"/>
                <w:szCs w:val="21"/>
                <w:highlight w:val="none"/>
              </w:rPr>
              <w:t>必须提供，否则作无效投标处理</w:t>
            </w:r>
            <w:r>
              <w:rPr>
                <w:rFonts w:hint="eastAsia" w:ascii="宋体" w:hAnsi="宋体" w:eastAsia="宋体" w:cs="宋体"/>
                <w:color w:val="auto"/>
                <w:sz w:val="21"/>
                <w:szCs w:val="21"/>
                <w:highlight w:val="none"/>
              </w:rPr>
              <w:t>）</w:t>
            </w:r>
          </w:p>
          <w:p w14:paraId="4EC855D9">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项目实施方案（格式自拟）。</w:t>
            </w:r>
          </w:p>
          <w:p w14:paraId="52CEF0B1">
            <w:pPr>
              <w:keepNext w:val="0"/>
              <w:keepLines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.培训方案</w:t>
            </w:r>
            <w:r>
              <w:rPr>
                <w:rFonts w:hint="eastAsia" w:ascii="宋体" w:hAnsi="宋体" w:eastAsia="宋体" w:cs="宋体"/>
                <w:color w:val="auto"/>
                <w:sz w:val="21"/>
                <w:szCs w:val="21"/>
                <w:highlight w:val="none"/>
              </w:rPr>
              <w:t>（格式后附）。</w:t>
            </w:r>
          </w:p>
          <w:p w14:paraId="6F09A99E">
            <w:pPr>
              <w:keepNext w:val="0"/>
              <w:keepLines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售后服务方案（格式后附）。</w:t>
            </w:r>
          </w:p>
          <w:p w14:paraId="795E4727">
            <w:pPr>
              <w:keepNext w:val="0"/>
              <w:keepLines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.按招标文件第二章《采购需求》要求提供相关材料</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投标产品有属于政府强制采购的节能产品的</w:t>
            </w:r>
            <w:r>
              <w:rPr>
                <w:rFonts w:hint="eastAsia" w:ascii="宋体" w:hAnsi="宋体" w:eastAsia="宋体" w:cs="宋体"/>
                <w:color w:val="auto"/>
                <w:sz w:val="21"/>
                <w:szCs w:val="21"/>
                <w:highlight w:val="none"/>
                <w:lang w:val="en-US" w:eastAsia="zh-CN"/>
              </w:rPr>
              <w:t>(《节能产品政府采购品目清单》中</w:t>
            </w:r>
            <w:r>
              <w:rPr>
                <w:rFonts w:hint="eastAsia" w:ascii="宋体" w:hAnsi="宋体" w:eastAsia="宋体" w:cs="宋体"/>
                <w:color w:val="auto"/>
                <w:sz w:val="21"/>
                <w:highlight w:val="none"/>
              </w:rPr>
              <w:t>带“</w:t>
            </w:r>
            <w:r>
              <w:rPr>
                <w:rFonts w:hint="eastAsia" w:ascii="宋体" w:hAnsi="宋体" w:eastAsia="宋体" w:cs="宋体"/>
                <w:color w:val="auto"/>
                <w:kern w:val="0"/>
                <w:sz w:val="21"/>
                <w:szCs w:val="20"/>
                <w:highlight w:val="none"/>
              </w:rPr>
              <w:t>★</w:t>
            </w:r>
            <w:r>
              <w:rPr>
                <w:rFonts w:hint="eastAsia" w:ascii="宋体" w:hAnsi="宋体" w:eastAsia="宋体" w:cs="宋体"/>
                <w:color w:val="auto"/>
                <w:sz w:val="21"/>
                <w:highlight w:val="none"/>
              </w:rPr>
              <w:t>”</w:t>
            </w:r>
            <w:r>
              <w:rPr>
                <w:rFonts w:hint="eastAsia" w:ascii="宋体" w:hAnsi="宋体" w:eastAsia="宋体" w:cs="宋体"/>
                <w:color w:val="auto"/>
                <w:sz w:val="21"/>
                <w:highlight w:val="none"/>
                <w:lang w:eastAsia="zh-CN"/>
              </w:rPr>
              <w:t>的产品</w:t>
            </w:r>
            <w:r>
              <w:rPr>
                <w:rFonts w:hint="eastAsia" w:ascii="宋体" w:hAnsi="宋体" w:eastAsia="宋体" w:cs="宋体"/>
                <w:color w:val="auto"/>
                <w:sz w:val="21"/>
                <w:highlight w:val="none"/>
                <w:lang w:val="en-US" w:eastAsia="zh-CN"/>
              </w:rPr>
              <w:t>)</w:t>
            </w:r>
            <w:r>
              <w:rPr>
                <w:rFonts w:hint="eastAsia" w:ascii="宋体" w:hAnsi="宋体" w:eastAsia="宋体" w:cs="宋体"/>
                <w:color w:val="auto"/>
                <w:sz w:val="21"/>
                <w:szCs w:val="21"/>
                <w:highlight w:val="none"/>
                <w:lang w:eastAsia="zh-CN"/>
              </w:rPr>
              <w:t>，按要求提供节能产品认证证书复印件；投标产品有属于</w:t>
            </w:r>
            <w:r>
              <w:rPr>
                <w:rFonts w:hint="eastAsia" w:ascii="宋体" w:hAnsi="宋体" w:eastAsia="宋体" w:cs="宋体"/>
                <w:color w:val="auto"/>
                <w:sz w:val="21"/>
                <w:szCs w:val="21"/>
                <w:highlight w:val="none"/>
                <w:lang w:bidi="ar"/>
              </w:rPr>
              <w:t>网络安全专用产品</w:t>
            </w:r>
            <w:r>
              <w:rPr>
                <w:rFonts w:hint="eastAsia" w:ascii="宋体" w:hAnsi="宋体" w:eastAsia="宋体" w:cs="宋体"/>
                <w:color w:val="auto"/>
                <w:sz w:val="21"/>
                <w:szCs w:val="21"/>
                <w:highlight w:val="none"/>
                <w:lang w:eastAsia="zh-CN" w:bidi="ar"/>
              </w:rPr>
              <w:t>的，</w:t>
            </w:r>
            <w:r>
              <w:rPr>
                <w:rFonts w:hint="eastAsia" w:ascii="宋体" w:hAnsi="宋体" w:eastAsia="宋体" w:cs="宋体"/>
                <w:color w:val="auto"/>
                <w:sz w:val="21"/>
                <w:szCs w:val="21"/>
                <w:highlight w:val="none"/>
                <w:lang w:eastAsia="zh-CN"/>
              </w:rPr>
              <w:t>按要求提供</w:t>
            </w:r>
            <w:r>
              <w:rPr>
                <w:rFonts w:hint="eastAsia" w:ascii="宋体" w:hAnsi="宋体" w:eastAsia="宋体" w:cs="宋体"/>
                <w:color w:val="auto"/>
                <w:sz w:val="21"/>
                <w:szCs w:val="21"/>
                <w:highlight w:val="none"/>
                <w:lang w:bidi="ar"/>
              </w:rPr>
              <w:t>安全认证合格证书或者安全检测合格的检测报告</w:t>
            </w:r>
            <w:r>
              <w:rPr>
                <w:rFonts w:hint="eastAsia" w:ascii="宋体" w:hAnsi="宋体" w:eastAsia="宋体" w:cs="宋体"/>
                <w:color w:val="auto"/>
                <w:sz w:val="21"/>
                <w:szCs w:val="21"/>
                <w:highlight w:val="none"/>
                <w:lang w:eastAsia="zh-CN"/>
              </w:rPr>
              <w:t>复印件</w:t>
            </w:r>
            <w:r>
              <w:rPr>
                <w:rFonts w:hint="eastAsia" w:ascii="宋体" w:hAnsi="宋体" w:eastAsia="宋体" w:cs="宋体"/>
                <w:color w:val="auto"/>
                <w:sz w:val="21"/>
                <w:szCs w:val="21"/>
                <w:highlight w:val="none"/>
                <w:lang w:eastAsia="zh-CN" w:bidi="ar"/>
              </w:rPr>
              <w:t>；</w:t>
            </w:r>
            <w:r>
              <w:rPr>
                <w:rFonts w:hint="eastAsia" w:ascii="宋体" w:hAnsi="宋体" w:eastAsia="宋体" w:cs="宋体"/>
                <w:color w:val="auto"/>
                <w:sz w:val="21"/>
                <w:szCs w:val="21"/>
                <w:highlight w:val="none"/>
                <w:lang w:eastAsia="zh-CN"/>
              </w:rPr>
              <w:t>第二章《采购需求》</w:t>
            </w:r>
            <w:r>
              <w:rPr>
                <w:rFonts w:hint="eastAsia" w:ascii="宋体" w:hAnsi="宋体" w:eastAsia="宋体" w:cs="宋体"/>
                <w:color w:val="auto"/>
                <w:sz w:val="21"/>
                <w:highlight w:val="none"/>
              </w:rPr>
              <w:t>带“▲”的条款</w:t>
            </w:r>
            <w:r>
              <w:rPr>
                <w:rFonts w:hint="eastAsia" w:ascii="宋体" w:hAnsi="宋体" w:eastAsia="宋体" w:cs="宋体"/>
                <w:color w:val="auto"/>
                <w:sz w:val="21"/>
                <w:szCs w:val="21"/>
                <w:highlight w:val="none"/>
                <w:lang w:val="en-US" w:eastAsia="zh-CN" w:bidi="ar"/>
              </w:rPr>
              <w:t>如招标文件</w:t>
            </w:r>
            <w:r>
              <w:rPr>
                <w:rFonts w:hint="eastAsia" w:ascii="宋体" w:hAnsi="宋体" w:eastAsia="宋体" w:cs="宋体"/>
                <w:color w:val="auto"/>
                <w:sz w:val="21"/>
                <w:highlight w:val="none"/>
                <w:lang w:eastAsia="zh-CN"/>
              </w:rPr>
              <w:t>要求提供相关佐证材料的，按招标文件要求提供相关佐证材料</w:t>
            </w:r>
            <w:r>
              <w:rPr>
                <w:rFonts w:hint="eastAsia" w:ascii="宋体" w:hAnsi="宋体" w:eastAsia="宋体" w:cs="宋体"/>
                <w:color w:val="auto"/>
                <w:sz w:val="21"/>
                <w:szCs w:val="21"/>
                <w:highlight w:val="none"/>
                <w:lang w:eastAsia="zh-CN"/>
              </w:rPr>
              <w:t>复印件</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w:t>
            </w:r>
            <w:r>
              <w:rPr>
                <w:rFonts w:hint="eastAsia" w:ascii="宋体" w:hAnsi="宋体" w:eastAsia="宋体" w:cs="宋体"/>
                <w:b/>
                <w:color w:val="auto"/>
                <w:sz w:val="21"/>
                <w:szCs w:val="21"/>
                <w:highlight w:val="none"/>
              </w:rPr>
              <w:t>必须</w:t>
            </w:r>
            <w:r>
              <w:rPr>
                <w:rFonts w:hint="eastAsia" w:ascii="宋体" w:hAnsi="宋体" w:eastAsia="宋体" w:cs="宋体"/>
                <w:b/>
                <w:color w:val="auto"/>
                <w:sz w:val="21"/>
                <w:szCs w:val="21"/>
                <w:highlight w:val="none"/>
                <w:lang w:eastAsia="zh-CN"/>
              </w:rPr>
              <w:t>按要求</w:t>
            </w:r>
            <w:r>
              <w:rPr>
                <w:rFonts w:hint="eastAsia" w:ascii="宋体" w:hAnsi="宋体" w:eastAsia="宋体" w:cs="宋体"/>
                <w:b/>
                <w:color w:val="auto"/>
                <w:sz w:val="21"/>
                <w:szCs w:val="21"/>
                <w:highlight w:val="none"/>
              </w:rPr>
              <w:t>提供，否则作无效投标处理</w:t>
            </w:r>
            <w:r>
              <w:rPr>
                <w:rFonts w:hint="eastAsia" w:ascii="宋体" w:hAnsi="宋体" w:eastAsia="宋体" w:cs="宋体"/>
                <w:color w:val="auto"/>
                <w:sz w:val="21"/>
                <w:szCs w:val="21"/>
                <w:highlight w:val="none"/>
              </w:rPr>
              <w:t>）</w:t>
            </w:r>
          </w:p>
          <w:p w14:paraId="45078F96">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除招标文件规定必须提供以外，投标人需要说明的其他文件和说明</w:t>
            </w:r>
            <w:r>
              <w:rPr>
                <w:rFonts w:hint="eastAsia" w:ascii="宋体" w:hAnsi="宋体" w:eastAsia="宋体" w:cs="宋体"/>
                <w:color w:val="auto"/>
                <w:sz w:val="21"/>
                <w:szCs w:val="21"/>
                <w:highlight w:val="none"/>
                <w:lang w:eastAsia="zh-CN"/>
              </w:rPr>
              <w:t>（格</w:t>
            </w:r>
            <w:r>
              <w:rPr>
                <w:rFonts w:hint="eastAsia" w:ascii="宋体" w:hAnsi="宋体" w:eastAsia="宋体" w:cs="宋体"/>
                <w:color w:val="auto"/>
                <w:sz w:val="21"/>
                <w:szCs w:val="21"/>
                <w:highlight w:val="none"/>
              </w:rPr>
              <w:t>式自拟</w:t>
            </w:r>
            <w:r>
              <w:rPr>
                <w:rFonts w:hint="eastAsia" w:ascii="宋体" w:hAnsi="宋体" w:eastAsia="宋体" w:cs="宋体"/>
                <w:color w:val="auto"/>
                <w:sz w:val="21"/>
                <w:szCs w:val="21"/>
                <w:highlight w:val="none"/>
                <w:lang w:eastAsia="zh-CN"/>
              </w:rPr>
              <w:t>。</w:t>
            </w:r>
            <w:r>
              <w:rPr>
                <w:rFonts w:hint="eastAsia" w:ascii="宋体" w:hAnsi="宋体" w:eastAsia="宋体"/>
                <w:color w:val="auto"/>
                <w:sz w:val="21"/>
                <w:szCs w:val="21"/>
                <w:highlight w:val="none"/>
              </w:rPr>
              <w:t>投标人根据“第二章 采购需求”及“第四章 评标方法及评标标准”提供有关证明材料</w:t>
            </w:r>
            <w:r>
              <w:rPr>
                <w:rFonts w:hint="eastAsia" w:ascii="宋体" w:hAnsi="宋体" w:eastAsia="宋体" w:cs="宋体"/>
                <w:color w:val="auto"/>
                <w:sz w:val="21"/>
                <w:szCs w:val="21"/>
                <w:highlight w:val="none"/>
              </w:rPr>
              <w:t>）。</w:t>
            </w:r>
          </w:p>
          <w:p w14:paraId="1B5DD08D">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注：以上标明“必须提供”的材料</w:t>
            </w:r>
            <w:r>
              <w:rPr>
                <w:rFonts w:hint="eastAsia" w:ascii="宋体" w:hAnsi="宋体" w:eastAsia="宋体" w:cs="宋体"/>
                <w:b/>
                <w:color w:val="auto"/>
                <w:sz w:val="21"/>
                <w:szCs w:val="21"/>
                <w:highlight w:val="none"/>
              </w:rPr>
              <w:t>属于</w:t>
            </w:r>
            <w:r>
              <w:rPr>
                <w:rFonts w:hint="eastAsia" w:ascii="宋体" w:hAnsi="宋体" w:eastAsia="宋体" w:cs="宋体"/>
                <w:b/>
                <w:color w:val="auto"/>
                <w:sz w:val="21"/>
                <w:szCs w:val="21"/>
                <w:highlight w:val="none"/>
                <w:lang w:val="en-US" w:eastAsia="zh-CN"/>
              </w:rPr>
              <w:t>原件或</w:t>
            </w:r>
            <w:r>
              <w:rPr>
                <w:rFonts w:hint="eastAsia" w:ascii="宋体" w:hAnsi="宋体" w:eastAsia="宋体" w:cs="宋体"/>
                <w:b/>
                <w:color w:val="auto"/>
                <w:sz w:val="21"/>
                <w:szCs w:val="21"/>
                <w:highlight w:val="none"/>
              </w:rPr>
              <w:t>复印件的扫描件的</w:t>
            </w:r>
            <w:r>
              <w:rPr>
                <w:rFonts w:hint="eastAsia" w:ascii="宋体" w:hAnsi="宋体" w:eastAsia="宋体" w:cs="宋体"/>
                <w:b/>
                <w:bCs/>
                <w:color w:val="auto"/>
                <w:sz w:val="21"/>
                <w:szCs w:val="21"/>
                <w:highlight w:val="none"/>
              </w:rPr>
              <w:t>，必须加盖投标人公章，否则</w:t>
            </w:r>
            <w:r>
              <w:rPr>
                <w:rFonts w:hint="eastAsia" w:ascii="宋体" w:hAnsi="宋体" w:eastAsia="宋体" w:cs="宋体"/>
                <w:b/>
                <w:color w:val="auto"/>
                <w:sz w:val="21"/>
                <w:szCs w:val="21"/>
                <w:highlight w:val="none"/>
              </w:rPr>
              <w:t>作无效投标处理</w:t>
            </w:r>
            <w:r>
              <w:rPr>
                <w:rFonts w:hint="eastAsia" w:ascii="宋体" w:hAnsi="宋体" w:eastAsia="宋体" w:cs="宋体"/>
                <w:b/>
                <w:bCs/>
                <w:color w:val="auto"/>
                <w:sz w:val="21"/>
                <w:szCs w:val="21"/>
                <w:highlight w:val="none"/>
              </w:rPr>
              <w:t>。</w:t>
            </w:r>
          </w:p>
        </w:tc>
      </w:tr>
      <w:tr w14:paraId="69C700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89" w:type="dxa"/>
            <w:vMerge w:val="continue"/>
            <w:tcBorders>
              <w:top w:val="nil"/>
              <w:left w:val="single" w:color="auto" w:sz="4" w:space="0"/>
              <w:bottom w:val="single" w:color="auto" w:sz="4" w:space="0"/>
              <w:right w:val="single" w:color="auto" w:sz="4" w:space="0"/>
            </w:tcBorders>
            <w:noWrap/>
            <w:vAlign w:val="center"/>
          </w:tcPr>
          <w:p w14:paraId="083E53EF">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p>
        </w:tc>
        <w:tc>
          <w:tcPr>
            <w:tcW w:w="2445" w:type="dxa"/>
            <w:tcBorders>
              <w:top w:val="single" w:color="auto" w:sz="4" w:space="0"/>
              <w:left w:val="single" w:color="auto" w:sz="4" w:space="0"/>
              <w:bottom w:val="single" w:color="auto" w:sz="4" w:space="0"/>
              <w:right w:val="single" w:color="auto" w:sz="4" w:space="0"/>
            </w:tcBorders>
            <w:noWrap/>
            <w:vAlign w:val="center"/>
          </w:tcPr>
          <w:p w14:paraId="01AF5883">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报价文件组成</w:t>
            </w:r>
          </w:p>
        </w:tc>
        <w:tc>
          <w:tcPr>
            <w:tcW w:w="5354" w:type="dxa"/>
            <w:tcBorders>
              <w:top w:val="single" w:color="auto" w:sz="4" w:space="0"/>
              <w:left w:val="single" w:color="auto" w:sz="4" w:space="0"/>
              <w:bottom w:val="single" w:color="auto" w:sz="4" w:space="0"/>
              <w:right w:val="single" w:color="auto" w:sz="4" w:space="0"/>
            </w:tcBorders>
            <w:noWrap/>
            <w:vAlign w:val="center"/>
          </w:tcPr>
          <w:p w14:paraId="53A1C15D">
            <w:pPr>
              <w:keepNext w:val="0"/>
              <w:keepLines w:val="0"/>
              <w:suppressLineNumbers w:val="0"/>
              <w:tabs>
                <w:tab w:val="left" w:pos="459"/>
              </w:tabs>
              <w:snapToGrid w:val="0"/>
              <w:spacing w:before="0" w:beforeAutospacing="0" w:after="0" w:afterAutospacing="0" w:line="240" w:lineRule="auto"/>
              <w:ind w:left="0" w:leftChars="0" w:right="0" w:rightChars="0" w:firstLine="0" w:firstLineChars="0"/>
              <w:jc w:val="left"/>
              <w:rPr>
                <w:rFonts w:ascii="宋体" w:hAnsi="宋体" w:eastAsia="宋体" w:cs="宋体"/>
                <w:b/>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投标函（格式后附）。</w:t>
            </w:r>
            <w:r>
              <w:rPr>
                <w:rFonts w:hint="eastAsia" w:ascii="宋体" w:hAnsi="宋体" w:eastAsia="宋体" w:cs="宋体"/>
                <w:b/>
                <w:color w:val="auto"/>
                <w:sz w:val="21"/>
                <w:szCs w:val="21"/>
                <w:highlight w:val="none"/>
              </w:rPr>
              <w:t>（必须提供，否则作无效投标处理）</w:t>
            </w:r>
          </w:p>
          <w:p w14:paraId="30654F18">
            <w:pPr>
              <w:keepNext w:val="0"/>
              <w:keepLines w:val="0"/>
              <w:suppressLineNumbers w:val="0"/>
              <w:tabs>
                <w:tab w:val="left" w:pos="459"/>
              </w:tabs>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开标一览表（格式后附）。（</w:t>
            </w:r>
            <w:r>
              <w:rPr>
                <w:rFonts w:hint="eastAsia" w:ascii="宋体" w:hAnsi="宋体" w:eastAsia="宋体" w:cs="宋体"/>
                <w:b/>
                <w:color w:val="auto"/>
                <w:sz w:val="21"/>
                <w:szCs w:val="21"/>
                <w:highlight w:val="none"/>
              </w:rPr>
              <w:t>必须提供，否则作无效投标处理</w:t>
            </w:r>
            <w:r>
              <w:rPr>
                <w:rFonts w:hint="eastAsia" w:ascii="宋体" w:hAnsi="宋体" w:eastAsia="宋体" w:cs="宋体"/>
                <w:color w:val="auto"/>
                <w:sz w:val="21"/>
                <w:szCs w:val="21"/>
                <w:highlight w:val="none"/>
              </w:rPr>
              <w:t>）</w:t>
            </w:r>
          </w:p>
          <w:p w14:paraId="0C932A81">
            <w:pPr>
              <w:keepNext w:val="0"/>
              <w:keepLines w:val="0"/>
              <w:suppressLineNumbers w:val="0"/>
              <w:tabs>
                <w:tab w:val="left" w:pos="459"/>
              </w:tabs>
              <w:snapToGrid w:val="0"/>
              <w:spacing w:before="0" w:beforeAutospacing="0" w:after="0" w:afterAutospacing="0" w:line="240" w:lineRule="auto"/>
              <w:ind w:left="0" w:leftChars="0" w:right="0" w:rightChars="0" w:firstLine="0" w:firstLineChars="0"/>
              <w:jc w:val="left"/>
              <w:rPr>
                <w:rFonts w:ascii="宋体" w:hAnsi="宋体" w:eastAsia="宋体" w:cs="宋体"/>
                <w:i/>
                <w:iCs/>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中小企业声明函</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或者</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残疾人福利性单位声明函</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（格式后附）或者供应商属于监狱企业的，提供由省级以上监狱管理局、戒毒管理局（含新疆生产建设兵团）出具的属于监狱企业的证明文件</w:t>
            </w:r>
            <w:r>
              <w:rPr>
                <w:rFonts w:hint="eastAsia" w:ascii="宋体" w:hAnsi="宋体" w:eastAsia="宋体" w:cs="宋体"/>
                <w:color w:val="auto"/>
                <w:sz w:val="21"/>
                <w:szCs w:val="21"/>
                <w:highlight w:val="none"/>
                <w:lang w:eastAsia="zh-CN"/>
              </w:rPr>
              <w:t>。</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eastAsia="zh-CN"/>
              </w:rPr>
              <w:t>涉及中小企业的，供应商</w:t>
            </w:r>
            <w:r>
              <w:rPr>
                <w:rFonts w:hint="eastAsia" w:ascii="宋体" w:hAnsi="宋体" w:eastAsia="宋体" w:cs="宋体"/>
                <w:b/>
                <w:bCs/>
                <w:color w:val="auto"/>
                <w:sz w:val="21"/>
                <w:szCs w:val="21"/>
                <w:highlight w:val="none"/>
              </w:rPr>
              <w:t>如</w:t>
            </w:r>
            <w:r>
              <w:rPr>
                <w:rFonts w:hint="eastAsia" w:ascii="宋体" w:hAnsi="宋体" w:eastAsia="宋体" w:cs="宋体"/>
                <w:b/>
                <w:bCs/>
                <w:color w:val="auto"/>
                <w:sz w:val="21"/>
                <w:szCs w:val="21"/>
                <w:highlight w:val="none"/>
                <w:lang w:eastAsia="zh-CN"/>
              </w:rPr>
              <w:t>符合政策要求的请</w:t>
            </w:r>
            <w:r>
              <w:rPr>
                <w:rFonts w:hint="eastAsia" w:ascii="宋体" w:hAnsi="宋体" w:eastAsia="宋体" w:cs="宋体"/>
                <w:b/>
                <w:bCs/>
                <w:color w:val="auto"/>
                <w:sz w:val="21"/>
                <w:szCs w:val="21"/>
                <w:highlight w:val="none"/>
              </w:rPr>
              <w:t>提供）</w:t>
            </w:r>
          </w:p>
          <w:p w14:paraId="0F847F27">
            <w:pPr>
              <w:keepNext w:val="0"/>
              <w:keepLines w:val="0"/>
              <w:suppressLineNumbers w:val="0"/>
              <w:tabs>
                <w:tab w:val="left" w:pos="459"/>
              </w:tabs>
              <w:snapToGrid w:val="0"/>
              <w:spacing w:before="0" w:beforeAutospacing="0" w:after="0" w:afterAutospacing="0" w:line="240" w:lineRule="auto"/>
              <w:ind w:left="0" w:leftChars="0" w:right="0" w:rightChars="0" w:firstLine="0" w:firstLineChars="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eastAsia="zh-CN"/>
              </w:rPr>
              <w:t>.《关于符合本国产品标准的声明函》</w:t>
            </w:r>
            <w:r>
              <w:rPr>
                <w:rFonts w:hint="eastAsia" w:ascii="宋体" w:hAnsi="宋体" w:eastAsia="宋体" w:cs="宋体"/>
                <w:color w:val="auto"/>
                <w:sz w:val="21"/>
                <w:szCs w:val="21"/>
                <w:highlight w:val="none"/>
              </w:rPr>
              <w:t>（格式后附）</w:t>
            </w:r>
            <w:r>
              <w:rPr>
                <w:rFonts w:hint="eastAsia" w:ascii="宋体" w:hAnsi="宋体" w:eastAsia="宋体" w:cs="宋体"/>
                <w:color w:val="auto"/>
                <w:sz w:val="21"/>
                <w:szCs w:val="21"/>
                <w:highlight w:val="none"/>
                <w:lang w:eastAsia="zh-CN"/>
              </w:rPr>
              <w:t>或者财政部会同有关部门规定的有关证明文件。</w:t>
            </w:r>
            <w:r>
              <w:rPr>
                <w:rFonts w:hint="eastAsia" w:ascii="宋体" w:hAnsi="宋体" w:eastAsia="宋体" w:cs="宋体"/>
                <w:b/>
                <w:bCs/>
                <w:color w:val="auto"/>
                <w:sz w:val="21"/>
                <w:szCs w:val="21"/>
                <w:highlight w:val="none"/>
              </w:rPr>
              <w:t>（项目涉及本国产品参与时，</w:t>
            </w:r>
            <w:r>
              <w:rPr>
                <w:rFonts w:hint="eastAsia" w:ascii="宋体" w:hAnsi="宋体" w:eastAsia="宋体" w:cs="宋体"/>
                <w:b/>
                <w:bCs/>
                <w:color w:val="auto"/>
                <w:sz w:val="21"/>
                <w:szCs w:val="21"/>
                <w:highlight w:val="none"/>
                <w:lang w:eastAsia="zh-CN"/>
              </w:rPr>
              <w:t>供应商</w:t>
            </w:r>
            <w:r>
              <w:rPr>
                <w:rFonts w:hint="eastAsia" w:ascii="宋体" w:hAnsi="宋体" w:eastAsia="宋体" w:cs="宋体"/>
                <w:b/>
                <w:bCs/>
                <w:color w:val="auto"/>
                <w:sz w:val="21"/>
                <w:szCs w:val="21"/>
                <w:highlight w:val="none"/>
                <w:lang w:val="en-US" w:eastAsia="zh-CN"/>
              </w:rPr>
              <w:t>投标产品</w:t>
            </w:r>
            <w:r>
              <w:rPr>
                <w:rFonts w:hint="eastAsia" w:ascii="宋体" w:hAnsi="宋体" w:eastAsia="宋体" w:cs="宋体"/>
                <w:b/>
                <w:bCs/>
                <w:color w:val="auto"/>
                <w:sz w:val="21"/>
                <w:szCs w:val="21"/>
                <w:highlight w:val="none"/>
              </w:rPr>
              <w:t>如</w:t>
            </w:r>
            <w:r>
              <w:rPr>
                <w:rFonts w:hint="eastAsia" w:ascii="宋体" w:hAnsi="宋体" w:eastAsia="宋体" w:cs="宋体"/>
                <w:b/>
                <w:bCs/>
                <w:color w:val="auto"/>
                <w:sz w:val="21"/>
                <w:szCs w:val="21"/>
                <w:highlight w:val="none"/>
                <w:lang w:eastAsia="zh-CN"/>
              </w:rPr>
              <w:t>符合政策要求的请</w:t>
            </w:r>
            <w:r>
              <w:rPr>
                <w:rFonts w:hint="eastAsia" w:ascii="宋体" w:hAnsi="宋体" w:eastAsia="宋体" w:cs="宋体"/>
                <w:b/>
                <w:bCs/>
                <w:color w:val="auto"/>
                <w:sz w:val="21"/>
                <w:szCs w:val="21"/>
                <w:highlight w:val="none"/>
              </w:rPr>
              <w:t>提供）</w:t>
            </w:r>
          </w:p>
          <w:p w14:paraId="78438A9F">
            <w:pPr>
              <w:keepNext w:val="0"/>
              <w:keepLines w:val="0"/>
              <w:suppressLineNumbers w:val="0"/>
              <w:tabs>
                <w:tab w:val="left" w:pos="459"/>
              </w:tabs>
              <w:snapToGrid w:val="0"/>
              <w:spacing w:before="0" w:beforeAutospacing="0" w:after="0" w:afterAutospacing="0"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投标人针对报价需要说明的其他文件和说明（格式自拟）。</w:t>
            </w:r>
          </w:p>
          <w:p w14:paraId="05AA8C36">
            <w:pPr>
              <w:keepNext w:val="0"/>
              <w:keepLines w:val="0"/>
              <w:suppressLineNumbers w:val="0"/>
              <w:tabs>
                <w:tab w:val="left" w:pos="459"/>
              </w:tabs>
              <w:snapToGrid w:val="0"/>
              <w:spacing w:before="0" w:beforeAutospacing="0" w:after="0" w:afterAutospacing="0"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注：以上标明“必须提供”的材料</w:t>
            </w:r>
            <w:r>
              <w:rPr>
                <w:rFonts w:hint="eastAsia" w:ascii="宋体" w:hAnsi="宋体" w:eastAsia="宋体" w:cs="宋体"/>
                <w:b/>
                <w:color w:val="auto"/>
                <w:sz w:val="21"/>
                <w:szCs w:val="21"/>
                <w:highlight w:val="none"/>
              </w:rPr>
              <w:t>属于</w:t>
            </w:r>
            <w:r>
              <w:rPr>
                <w:rFonts w:hint="eastAsia" w:ascii="宋体" w:hAnsi="宋体" w:eastAsia="宋体" w:cs="宋体"/>
                <w:b/>
                <w:color w:val="auto"/>
                <w:sz w:val="21"/>
                <w:szCs w:val="21"/>
                <w:highlight w:val="none"/>
                <w:lang w:val="en-US" w:eastAsia="zh-CN"/>
              </w:rPr>
              <w:t>原件或</w:t>
            </w:r>
            <w:r>
              <w:rPr>
                <w:rFonts w:hint="eastAsia" w:ascii="宋体" w:hAnsi="宋体" w:eastAsia="宋体" w:cs="宋体"/>
                <w:b/>
                <w:color w:val="auto"/>
                <w:sz w:val="21"/>
                <w:szCs w:val="21"/>
                <w:highlight w:val="none"/>
              </w:rPr>
              <w:t>复印件的扫描件的</w:t>
            </w:r>
            <w:r>
              <w:rPr>
                <w:rFonts w:hint="eastAsia" w:ascii="宋体" w:hAnsi="宋体" w:eastAsia="宋体" w:cs="宋体"/>
                <w:b/>
                <w:bCs/>
                <w:color w:val="auto"/>
                <w:sz w:val="21"/>
                <w:szCs w:val="21"/>
                <w:highlight w:val="none"/>
              </w:rPr>
              <w:t>，必须加盖投标人公章，否则</w:t>
            </w:r>
            <w:r>
              <w:rPr>
                <w:rFonts w:hint="eastAsia" w:ascii="宋体" w:hAnsi="宋体" w:eastAsia="宋体" w:cs="宋体"/>
                <w:b/>
                <w:color w:val="auto"/>
                <w:sz w:val="21"/>
                <w:szCs w:val="21"/>
                <w:highlight w:val="none"/>
              </w:rPr>
              <w:t>作无效投标处理</w:t>
            </w:r>
            <w:r>
              <w:rPr>
                <w:rFonts w:hint="eastAsia" w:ascii="宋体" w:hAnsi="宋体" w:eastAsia="宋体" w:cs="宋体"/>
                <w:b/>
                <w:bCs/>
                <w:color w:val="auto"/>
                <w:sz w:val="21"/>
                <w:szCs w:val="21"/>
                <w:highlight w:val="none"/>
              </w:rPr>
              <w:t>。</w:t>
            </w:r>
          </w:p>
        </w:tc>
      </w:tr>
      <w:tr w14:paraId="2B8512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89" w:type="dxa"/>
            <w:tcBorders>
              <w:top w:val="single" w:color="auto" w:sz="4" w:space="0"/>
              <w:left w:val="single" w:color="auto" w:sz="4" w:space="0"/>
              <w:bottom w:val="single" w:color="auto" w:sz="4" w:space="0"/>
              <w:right w:val="single" w:color="auto" w:sz="4" w:space="0"/>
            </w:tcBorders>
            <w:noWrap/>
            <w:vAlign w:val="center"/>
          </w:tcPr>
          <w:p w14:paraId="38D93AE2">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16.2</w:t>
            </w:r>
          </w:p>
        </w:tc>
        <w:tc>
          <w:tcPr>
            <w:tcW w:w="2445" w:type="dxa"/>
            <w:tcBorders>
              <w:top w:val="single" w:color="auto" w:sz="4" w:space="0"/>
              <w:left w:val="single" w:color="auto" w:sz="4" w:space="0"/>
              <w:bottom w:val="single" w:color="auto" w:sz="4" w:space="0"/>
              <w:right w:val="single" w:color="auto" w:sz="4" w:space="0"/>
            </w:tcBorders>
            <w:noWrap/>
            <w:vAlign w:val="center"/>
          </w:tcPr>
          <w:p w14:paraId="541BA753">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bookmarkStart w:id="86" w:name="_16.2"/>
            <w:bookmarkEnd w:id="86"/>
            <w:r>
              <w:rPr>
                <w:rFonts w:hint="eastAsia" w:ascii="宋体" w:hAnsi="宋体" w:eastAsia="宋体" w:cs="宋体"/>
                <w:color w:val="auto"/>
                <w:sz w:val="21"/>
                <w:szCs w:val="21"/>
                <w:highlight w:val="none"/>
              </w:rPr>
              <w:t>投标报价要求</w:t>
            </w:r>
          </w:p>
        </w:tc>
        <w:tc>
          <w:tcPr>
            <w:tcW w:w="5354" w:type="dxa"/>
            <w:tcBorders>
              <w:top w:val="single" w:color="auto" w:sz="4" w:space="0"/>
              <w:left w:val="single" w:color="auto" w:sz="4" w:space="0"/>
              <w:bottom w:val="single" w:color="auto" w:sz="4" w:space="0"/>
              <w:right w:val="single" w:color="auto" w:sz="4" w:space="0"/>
            </w:tcBorders>
            <w:noWrap/>
            <w:vAlign w:val="center"/>
          </w:tcPr>
          <w:p w14:paraId="747B2743">
            <w:pPr>
              <w:keepNext w:val="0"/>
              <w:keepLines w:val="0"/>
              <w:widowControl/>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宋体" w:hAnsi="Times New Roman" w:eastAsia="宋体" w:cs="Times New Roman"/>
                <w:color w:val="auto"/>
                <w:sz w:val="21"/>
                <w:szCs w:val="21"/>
                <w:highlight w:val="none"/>
                <w:lang w:val="en-US" w:eastAsia="zh-CN"/>
              </w:rPr>
            </w:pPr>
            <w:bookmarkStart w:id="87" w:name="OLE_LINK1"/>
            <w:r>
              <w:rPr>
                <w:rFonts w:hint="eastAsia" w:ascii="宋体" w:hAnsi="Times New Roman" w:eastAsia="宋体" w:cs="Times New Roman"/>
                <w:color w:val="auto"/>
                <w:sz w:val="21"/>
                <w:szCs w:val="21"/>
                <w:highlight w:val="none"/>
                <w:lang w:val="en-US" w:eastAsia="zh-CN"/>
              </w:rPr>
              <w:t>1</w:t>
            </w:r>
            <w:r>
              <w:rPr>
                <w:rFonts w:hint="eastAsia" w:ascii="宋体" w:eastAsia="宋体" w:cs="Times New Roman"/>
                <w:color w:val="auto"/>
                <w:sz w:val="21"/>
                <w:szCs w:val="21"/>
                <w:highlight w:val="none"/>
                <w:lang w:val="en-US" w:eastAsia="zh-CN"/>
              </w:rPr>
              <w:t>.</w:t>
            </w:r>
            <w:r>
              <w:rPr>
                <w:rFonts w:hint="eastAsia" w:ascii="宋体" w:hAnsi="Times New Roman" w:eastAsia="宋体" w:cs="Times New Roman"/>
                <w:color w:val="auto"/>
                <w:sz w:val="21"/>
                <w:szCs w:val="21"/>
                <w:highlight w:val="none"/>
                <w:lang w:val="en-US" w:eastAsia="zh-CN"/>
              </w:rPr>
              <w:t>投标报价包括</w:t>
            </w:r>
            <w:r>
              <w:rPr>
                <w:rFonts w:hint="eastAsia" w:ascii="宋体" w:cs="Times New Roman"/>
                <w:color w:val="auto"/>
                <w:sz w:val="21"/>
                <w:szCs w:val="21"/>
                <w:highlight w:val="none"/>
                <w:lang w:val="en-US" w:eastAsia="zh-CN"/>
              </w:rPr>
              <w:t>设备</w:t>
            </w:r>
            <w:r>
              <w:rPr>
                <w:rFonts w:hint="eastAsia" w:ascii="宋体" w:hAnsi="Times New Roman" w:eastAsia="宋体" w:cs="Times New Roman"/>
                <w:color w:val="auto"/>
                <w:sz w:val="21"/>
                <w:szCs w:val="21"/>
                <w:highlight w:val="none"/>
                <w:lang w:val="en-US" w:eastAsia="zh-CN"/>
              </w:rPr>
              <w:t>货款、服务、随配附件、备品备件、专用工具、包装、运输、装、卸、保险、运抵指定交货地点、送货上门服务、现场安装调试、包装箱清理、保修、售后服务、</w:t>
            </w:r>
            <w:r>
              <w:rPr>
                <w:rFonts w:hint="eastAsia" w:ascii="宋体" w:hAnsi="宋体" w:eastAsia="宋体" w:cs="宋体"/>
                <w:color w:val="auto"/>
                <w:sz w:val="21"/>
                <w:szCs w:val="21"/>
                <w:highlight w:val="none"/>
              </w:rPr>
              <w:t>系统升级和维护</w:t>
            </w:r>
            <w:r>
              <w:rPr>
                <w:rFonts w:hint="eastAsia" w:ascii="宋体" w:hAnsi="宋体" w:eastAsia="宋体" w:cs="宋体"/>
                <w:color w:val="auto"/>
                <w:sz w:val="21"/>
                <w:szCs w:val="21"/>
                <w:highlight w:val="none"/>
                <w:lang w:eastAsia="zh-CN"/>
              </w:rPr>
              <w:t>、</w:t>
            </w:r>
            <w:r>
              <w:rPr>
                <w:rFonts w:hint="eastAsia" w:ascii="宋体" w:hAnsi="Times New Roman" w:eastAsia="宋体" w:cs="Times New Roman"/>
                <w:color w:val="auto"/>
                <w:sz w:val="21"/>
                <w:szCs w:val="21"/>
                <w:highlight w:val="none"/>
                <w:lang w:val="en-US" w:eastAsia="zh-CN"/>
              </w:rPr>
              <w:t>培训、验收、税金</w:t>
            </w:r>
            <w:r>
              <w:rPr>
                <w:rFonts w:hint="eastAsia" w:ascii="宋体" w:hAnsi="宋体" w:eastAsia="宋体" w:cs="宋体"/>
                <w:color w:val="auto"/>
                <w:sz w:val="21"/>
                <w:szCs w:val="21"/>
                <w:highlight w:val="none"/>
              </w:rPr>
              <w:t>等直至设备运行交付使用的一切费用</w:t>
            </w:r>
            <w:r>
              <w:rPr>
                <w:rFonts w:hint="eastAsia" w:ascii="宋体" w:hAnsi="Times New Roman" w:eastAsia="宋体" w:cs="Times New Roman"/>
                <w:color w:val="auto"/>
                <w:sz w:val="21"/>
                <w:szCs w:val="21"/>
                <w:highlight w:val="none"/>
                <w:lang w:val="en-US" w:eastAsia="zh-CN"/>
              </w:rPr>
              <w:t>。</w:t>
            </w:r>
            <w:r>
              <w:rPr>
                <w:rFonts w:hint="eastAsia" w:ascii="宋体" w:hAnsi="Times New Roman" w:eastAsia="宋体" w:cs="Times New Roman"/>
                <w:b/>
                <w:bCs/>
                <w:color w:val="auto"/>
                <w:sz w:val="21"/>
                <w:szCs w:val="21"/>
                <w:highlight w:val="none"/>
                <w:lang w:val="en-US" w:eastAsia="zh-CN"/>
              </w:rPr>
              <w:t xml:space="preserve">（采购需求另有约定的，从其约定） </w:t>
            </w:r>
            <w:r>
              <w:rPr>
                <w:rFonts w:hint="eastAsia" w:ascii="宋体" w:hAnsi="Times New Roman" w:eastAsia="宋体" w:cs="Times New Roman"/>
                <w:color w:val="auto"/>
                <w:sz w:val="21"/>
                <w:szCs w:val="21"/>
                <w:highlight w:val="none"/>
                <w:lang w:val="en-US" w:eastAsia="zh-CN"/>
              </w:rPr>
              <w:t xml:space="preserve"> </w:t>
            </w:r>
          </w:p>
          <w:p w14:paraId="16C2E1AB">
            <w:pPr>
              <w:keepNext w:val="0"/>
              <w:keepLines w:val="0"/>
              <w:widowControl/>
              <w:numPr>
                <w:ilvl w:val="0"/>
                <w:numId w:val="0"/>
              </w:numPr>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Times New Roman" w:eastAsia="宋体" w:cs="Times New Roman"/>
                <w:color w:val="auto"/>
                <w:sz w:val="21"/>
                <w:szCs w:val="21"/>
                <w:highlight w:val="none"/>
                <w:lang w:val="en-US" w:eastAsia="zh-CN"/>
              </w:rPr>
              <w:t>2.对于本文件中明确列明必须报价的货物，投标人应分别报价。对于本文件中未列明，而投标人认为必需的</w:t>
            </w:r>
            <w:r>
              <w:rPr>
                <w:rFonts w:hint="eastAsia" w:ascii="宋体" w:hAnsi="Times New Roman" w:eastAsia="宋体" w:cs="Times New Roman"/>
                <w:color w:val="auto"/>
                <w:sz w:val="21"/>
                <w:szCs w:val="21"/>
                <w:highlight w:val="none"/>
              </w:rPr>
              <w:t>费用也需列入总报价。在合同实施时，采购人将不予支付</w:t>
            </w:r>
            <w:r>
              <w:rPr>
                <w:rFonts w:hint="eastAsia" w:ascii="宋体" w:hAnsi="Times New Roman" w:eastAsia="宋体" w:cs="Times New Roman"/>
                <w:color w:val="auto"/>
                <w:sz w:val="21"/>
                <w:szCs w:val="21"/>
                <w:highlight w:val="none"/>
                <w:lang w:eastAsia="zh-CN"/>
              </w:rPr>
              <w:t>投标人</w:t>
            </w:r>
            <w:r>
              <w:rPr>
                <w:rFonts w:hint="eastAsia" w:ascii="宋体" w:hAnsi="Times New Roman" w:eastAsia="宋体" w:cs="Times New Roman"/>
                <w:color w:val="auto"/>
                <w:sz w:val="21"/>
                <w:szCs w:val="21"/>
                <w:highlight w:val="none"/>
              </w:rPr>
              <w:t>没有列入的项目费用，并认为此项目的费用已包</w:t>
            </w:r>
            <w:r>
              <w:rPr>
                <w:rFonts w:hint="eastAsia" w:ascii="宋体" w:eastAsia="宋体" w:cs="Times New Roman"/>
                <w:color w:val="auto"/>
                <w:sz w:val="21"/>
                <w:szCs w:val="21"/>
                <w:highlight w:val="none"/>
                <w:lang w:eastAsia="zh-CN"/>
              </w:rPr>
              <w:t>含</w:t>
            </w:r>
            <w:r>
              <w:rPr>
                <w:rFonts w:hint="eastAsia" w:ascii="宋体" w:hAnsi="Times New Roman" w:eastAsia="宋体" w:cs="Times New Roman"/>
                <w:color w:val="auto"/>
                <w:sz w:val="21"/>
                <w:szCs w:val="21"/>
                <w:highlight w:val="none"/>
              </w:rPr>
              <w:t>在投标总报价中。</w:t>
            </w:r>
            <w:bookmarkEnd w:id="87"/>
          </w:p>
        </w:tc>
      </w:tr>
      <w:tr w14:paraId="7858C0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89" w:type="dxa"/>
            <w:tcBorders>
              <w:top w:val="single" w:color="auto" w:sz="4" w:space="0"/>
              <w:left w:val="single" w:color="auto" w:sz="4" w:space="0"/>
              <w:bottom w:val="single" w:color="auto" w:sz="4" w:space="0"/>
              <w:right w:val="single" w:color="auto" w:sz="4" w:space="0"/>
            </w:tcBorders>
            <w:noWrap/>
            <w:vAlign w:val="center"/>
          </w:tcPr>
          <w:p w14:paraId="3FC4D296">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17.2</w:t>
            </w:r>
          </w:p>
        </w:tc>
        <w:tc>
          <w:tcPr>
            <w:tcW w:w="2445" w:type="dxa"/>
            <w:tcBorders>
              <w:top w:val="single" w:color="auto" w:sz="4" w:space="0"/>
              <w:left w:val="single" w:color="auto" w:sz="4" w:space="0"/>
              <w:bottom w:val="single" w:color="auto" w:sz="4" w:space="0"/>
              <w:right w:val="single" w:color="auto" w:sz="4" w:space="0"/>
            </w:tcBorders>
            <w:noWrap/>
            <w:vAlign w:val="center"/>
          </w:tcPr>
          <w:p w14:paraId="627F5062">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bookmarkStart w:id="88" w:name="_17.1"/>
            <w:bookmarkEnd w:id="88"/>
            <w:r>
              <w:rPr>
                <w:rFonts w:hint="eastAsia" w:ascii="宋体" w:hAnsi="宋体" w:eastAsia="宋体" w:cs="宋体"/>
                <w:color w:val="auto"/>
                <w:sz w:val="21"/>
                <w:szCs w:val="21"/>
                <w:highlight w:val="none"/>
              </w:rPr>
              <w:t>投标有效期</w:t>
            </w:r>
          </w:p>
        </w:tc>
        <w:tc>
          <w:tcPr>
            <w:tcW w:w="5354" w:type="dxa"/>
            <w:tcBorders>
              <w:top w:val="single" w:color="auto" w:sz="4" w:space="0"/>
              <w:left w:val="single" w:color="auto" w:sz="4" w:space="0"/>
              <w:bottom w:val="single" w:color="auto" w:sz="4" w:space="0"/>
              <w:right w:val="single" w:color="auto" w:sz="4" w:space="0"/>
            </w:tcBorders>
            <w:noWrap/>
            <w:vAlign w:val="center"/>
          </w:tcPr>
          <w:p w14:paraId="3D61FD54">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自投标截止之日起</w:t>
            </w:r>
            <w:r>
              <w:rPr>
                <w:rFonts w:hint="eastAsia" w:ascii="宋体" w:hAnsi="宋体" w:eastAsia="宋体" w:cs="宋体"/>
                <w:color w:val="auto"/>
                <w:sz w:val="21"/>
                <w:szCs w:val="21"/>
                <w:highlight w:val="none"/>
                <w:u w:val="single"/>
              </w:rPr>
              <w:t>90</w:t>
            </w:r>
            <w:r>
              <w:rPr>
                <w:rFonts w:hint="eastAsia" w:ascii="宋体" w:hAnsi="宋体" w:eastAsia="宋体" w:cs="宋体"/>
                <w:color w:val="auto"/>
                <w:sz w:val="21"/>
                <w:szCs w:val="21"/>
                <w:highlight w:val="none"/>
              </w:rPr>
              <w:t>日。</w:t>
            </w:r>
          </w:p>
        </w:tc>
      </w:tr>
      <w:tr w14:paraId="4D4118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89" w:type="dxa"/>
            <w:tcBorders>
              <w:top w:val="single" w:color="auto" w:sz="4" w:space="0"/>
              <w:left w:val="single" w:color="auto" w:sz="4" w:space="0"/>
              <w:bottom w:val="single" w:color="auto" w:sz="4" w:space="0"/>
              <w:right w:val="single" w:color="auto" w:sz="4" w:space="0"/>
            </w:tcBorders>
            <w:noWrap/>
            <w:vAlign w:val="center"/>
          </w:tcPr>
          <w:p w14:paraId="6A96FDA2">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18</w:t>
            </w:r>
          </w:p>
        </w:tc>
        <w:tc>
          <w:tcPr>
            <w:tcW w:w="2445" w:type="dxa"/>
            <w:tcBorders>
              <w:top w:val="single" w:color="auto" w:sz="4" w:space="0"/>
              <w:left w:val="single" w:color="auto" w:sz="4" w:space="0"/>
              <w:bottom w:val="single" w:color="auto" w:sz="4" w:space="0"/>
              <w:right w:val="single" w:color="auto" w:sz="4" w:space="0"/>
            </w:tcBorders>
            <w:noWrap/>
            <w:vAlign w:val="center"/>
          </w:tcPr>
          <w:p w14:paraId="1E13035E">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bookmarkStart w:id="89" w:name="_18"/>
            <w:bookmarkEnd w:id="89"/>
            <w:r>
              <w:rPr>
                <w:rFonts w:hint="eastAsia" w:ascii="宋体" w:hAnsi="宋体" w:eastAsia="宋体" w:cs="宋体"/>
                <w:color w:val="auto"/>
                <w:sz w:val="21"/>
                <w:szCs w:val="21"/>
                <w:highlight w:val="none"/>
              </w:rPr>
              <w:t>投标保证金金额</w:t>
            </w:r>
          </w:p>
        </w:tc>
        <w:tc>
          <w:tcPr>
            <w:tcW w:w="5354" w:type="dxa"/>
            <w:tcBorders>
              <w:top w:val="single" w:color="auto" w:sz="4" w:space="0"/>
              <w:left w:val="single" w:color="auto" w:sz="4" w:space="0"/>
              <w:bottom w:val="single" w:color="auto" w:sz="4" w:space="0"/>
              <w:right w:val="single" w:color="auto" w:sz="4" w:space="0"/>
            </w:tcBorders>
            <w:noWrap/>
            <w:vAlign w:val="center"/>
          </w:tcPr>
          <w:p w14:paraId="5EA1FF45">
            <w:pPr>
              <w:keepNext w:val="0"/>
              <w:keepLines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1.投标保证金的缴纳方式：详见招标公告</w:t>
            </w:r>
          </w:p>
          <w:p w14:paraId="5887AF2B">
            <w:pPr>
              <w:keepNext w:val="0"/>
              <w:keepLines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2.投标保证金的金额：详见招标公告</w:t>
            </w:r>
          </w:p>
          <w:p w14:paraId="2EE8CDDC">
            <w:pPr>
              <w:keepNext w:val="0"/>
              <w:keepLines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3.投标保证金采用银行转账缴纳方式的，在投标截止时间前交至采购代理机构指定账户并且到账，投标人应将银行转账底单的复印件作为投标保证金提交凭证，放置于商务文件中，否则作无效投标处理。</w:t>
            </w:r>
          </w:p>
          <w:p w14:paraId="2DF0F397">
            <w:pPr>
              <w:keepNext w:val="0"/>
              <w:keepLines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投标保证金采用支票、汇票、本票或者金融机构、担保机构出具的保函等缴纳方式的，投标人应将支票、汇票、本票或者金融机构、担保机构出具的保函等的复印件或者金融机构、担保机构出具的电子保函作为投标保证金提交凭证，放置于商务文件中，否则作无效投标处理。投标人必须在投标截止时间前将支票、汇票、本票或者金融、担保机构出具的保函（电子保函除外）等原件提交给采购代理机构，由采购代理机构向投标人出具回执，并妥善保管。</w:t>
            </w:r>
          </w:p>
          <w:p w14:paraId="6F2E134A">
            <w:pPr>
              <w:keepNext w:val="0"/>
              <w:keepLines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5.缴纳投标保证金指定账户：详见招标公告。</w:t>
            </w:r>
          </w:p>
          <w:p w14:paraId="49ECE364">
            <w:pPr>
              <w:keepNext w:val="0"/>
              <w:keepLines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6.投标人为联合体的，可以由联合体中的一方或者多方共同缴纳投标保证金，其缴纳的投标保证金对联合体各方均具有约束力。</w:t>
            </w:r>
          </w:p>
          <w:p w14:paraId="56F7D90F">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b/>
                <w:color w:val="auto"/>
                <w:sz w:val="21"/>
                <w:szCs w:val="21"/>
                <w:highlight w:val="none"/>
              </w:rPr>
            </w:pPr>
            <w:r>
              <w:rPr>
                <w:rFonts w:hint="eastAsia" w:ascii="宋体" w:hAnsi="宋体" w:eastAsia="宋体" w:cs="宋体"/>
                <w:b/>
                <w:color w:val="auto"/>
                <w:sz w:val="21"/>
                <w:szCs w:val="21"/>
                <w:highlight w:val="none"/>
              </w:rPr>
              <w:t xml:space="preserve">备注： </w:t>
            </w:r>
          </w:p>
          <w:p w14:paraId="1E0B54E2">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w:t>
            </w:r>
            <w:r>
              <w:rPr>
                <w:rFonts w:hint="eastAsia" w:ascii="宋体" w:hAnsi="宋体" w:eastAsia="宋体" w:cs="宋体"/>
                <w:b/>
                <w:color w:val="auto"/>
                <w:sz w:val="21"/>
                <w:szCs w:val="21"/>
                <w:highlight w:val="none"/>
              </w:rPr>
              <w:t>1</w:t>
            </w:r>
            <w:r>
              <w:rPr>
                <w:rFonts w:hint="eastAsia" w:ascii="宋体" w:hAnsi="宋体" w:eastAsia="宋体" w:cs="宋体"/>
                <w:b/>
                <w:color w:val="auto"/>
                <w:sz w:val="21"/>
                <w:szCs w:val="21"/>
                <w:highlight w:val="none"/>
                <w:lang w:val="en-US" w:eastAsia="zh-CN"/>
              </w:rPr>
              <w:t>)</w:t>
            </w:r>
            <w:r>
              <w:rPr>
                <w:rFonts w:hint="eastAsia" w:ascii="宋体" w:hAnsi="宋体" w:eastAsia="宋体" w:cs="宋体"/>
                <w:b/>
                <w:color w:val="auto"/>
                <w:sz w:val="21"/>
                <w:szCs w:val="21"/>
                <w:highlight w:val="none"/>
              </w:rPr>
              <w:t xml:space="preserve"> 投标保证金在投标截止时间后提交的，或者不按规定缴纳方式缴纳的，或者未足额缴纳的（包含保函额度不足的），视为无效投标保证金。</w:t>
            </w:r>
          </w:p>
          <w:p w14:paraId="2A3B997A">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w:t>
            </w:r>
            <w:r>
              <w:rPr>
                <w:rFonts w:hint="eastAsia" w:ascii="宋体" w:hAnsi="宋体" w:eastAsia="宋体" w:cs="宋体"/>
                <w:b/>
                <w:color w:val="auto"/>
                <w:sz w:val="21"/>
                <w:szCs w:val="21"/>
                <w:highlight w:val="none"/>
              </w:rPr>
              <w:t>2</w:t>
            </w:r>
            <w:r>
              <w:rPr>
                <w:rFonts w:hint="eastAsia" w:ascii="宋体" w:hAnsi="宋体" w:eastAsia="宋体" w:cs="宋体"/>
                <w:b/>
                <w:color w:val="auto"/>
                <w:sz w:val="21"/>
                <w:szCs w:val="21"/>
                <w:highlight w:val="none"/>
                <w:lang w:val="en-US" w:eastAsia="zh-CN"/>
              </w:rPr>
              <w:t>)</w:t>
            </w:r>
            <w:r>
              <w:rPr>
                <w:rFonts w:hint="eastAsia" w:ascii="宋体" w:hAnsi="宋体" w:eastAsia="宋体" w:cs="宋体"/>
                <w:b/>
                <w:color w:val="auto"/>
                <w:sz w:val="21"/>
                <w:szCs w:val="21"/>
                <w:highlight w:val="none"/>
              </w:rPr>
              <w:t>投标人采用现金方式或者从个人账户（自然人投标除外）转出的投标保证金，视为无效投标保证金。</w:t>
            </w:r>
          </w:p>
          <w:p w14:paraId="03A1E9F8">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w:t>
            </w:r>
            <w:r>
              <w:rPr>
                <w:rFonts w:hint="eastAsia" w:ascii="宋体" w:hAnsi="宋体" w:eastAsia="宋体" w:cs="宋体"/>
                <w:b/>
                <w:color w:val="auto"/>
                <w:sz w:val="21"/>
                <w:szCs w:val="21"/>
                <w:highlight w:val="none"/>
              </w:rPr>
              <w:t>3</w:t>
            </w:r>
            <w:r>
              <w:rPr>
                <w:rFonts w:hint="eastAsia" w:ascii="宋体" w:hAnsi="宋体" w:eastAsia="宋体" w:cs="宋体"/>
                <w:b/>
                <w:color w:val="auto"/>
                <w:sz w:val="21"/>
                <w:szCs w:val="21"/>
                <w:highlight w:val="none"/>
                <w:lang w:val="en-US" w:eastAsia="zh-CN"/>
              </w:rPr>
              <w:t>)</w:t>
            </w:r>
            <w:r>
              <w:rPr>
                <w:rFonts w:hint="eastAsia" w:ascii="宋体" w:hAnsi="宋体" w:eastAsia="宋体" w:cs="宋体"/>
                <w:b/>
                <w:color w:val="auto"/>
                <w:sz w:val="21"/>
                <w:szCs w:val="21"/>
                <w:highlight w:val="none"/>
              </w:rPr>
              <w:t>支票、汇票或者本票出现无效或者背书情形的，视为无效投标保证金。</w:t>
            </w:r>
          </w:p>
          <w:p w14:paraId="20C81991">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w:t>
            </w:r>
            <w:r>
              <w:rPr>
                <w:rFonts w:hint="eastAsia" w:ascii="宋体" w:hAnsi="宋体" w:eastAsia="宋体" w:cs="宋体"/>
                <w:b/>
                <w:color w:val="auto"/>
                <w:sz w:val="21"/>
                <w:szCs w:val="21"/>
                <w:highlight w:val="none"/>
              </w:rPr>
              <w:t>4</w:t>
            </w:r>
            <w:r>
              <w:rPr>
                <w:rFonts w:hint="eastAsia" w:ascii="宋体" w:hAnsi="宋体" w:eastAsia="宋体" w:cs="宋体"/>
                <w:b/>
                <w:color w:val="auto"/>
                <w:sz w:val="21"/>
                <w:szCs w:val="21"/>
                <w:highlight w:val="none"/>
                <w:lang w:val="en-US" w:eastAsia="zh-CN"/>
              </w:rPr>
              <w:t>)</w:t>
            </w:r>
            <w:r>
              <w:rPr>
                <w:rFonts w:hint="eastAsia" w:ascii="宋体" w:hAnsi="宋体" w:eastAsia="宋体" w:cs="宋体"/>
                <w:b/>
                <w:color w:val="auto"/>
                <w:sz w:val="21"/>
                <w:szCs w:val="21"/>
                <w:highlight w:val="none"/>
              </w:rPr>
              <w:t>保函有效期低于投标有效期的，视为无效投标保证金。</w:t>
            </w:r>
          </w:p>
          <w:p w14:paraId="0C10B514">
            <w:pPr>
              <w:keepNext w:val="0"/>
              <w:keepLines w:val="0"/>
              <w:suppressLineNumbers w:val="0"/>
              <w:autoSpaceDE w:val="0"/>
              <w:autoSpaceDN w:val="0"/>
              <w:snapToGrid w:val="0"/>
              <w:spacing w:before="0" w:beforeAutospacing="0" w:after="0" w:afterAutospacing="0" w:line="240" w:lineRule="auto"/>
              <w:ind w:left="0" w:leftChars="0" w:right="0" w:rightChars="0" w:firstLine="0" w:firstLineChars="0"/>
              <w:jc w:val="left"/>
              <w:textAlignment w:val="bottom"/>
              <w:rPr>
                <w:rFonts w:ascii="宋体" w:hAnsi="宋体" w:eastAsia="宋体" w:cs="宋体"/>
                <w:color w:val="auto"/>
                <w:sz w:val="21"/>
                <w:szCs w:val="21"/>
                <w:highlight w:val="none"/>
              </w:rPr>
            </w:pPr>
            <w:r>
              <w:rPr>
                <w:rFonts w:hint="eastAsia" w:ascii="宋体" w:hAnsi="宋体" w:eastAsia="宋体" w:cs="宋体"/>
                <w:b/>
                <w:color w:val="auto"/>
                <w:sz w:val="21"/>
                <w:szCs w:val="21"/>
                <w:highlight w:val="none"/>
                <w:lang w:val="en-US" w:eastAsia="zh-CN"/>
              </w:rPr>
              <w:t>(</w:t>
            </w:r>
            <w:r>
              <w:rPr>
                <w:rFonts w:hint="eastAsia" w:ascii="宋体" w:hAnsi="宋体" w:eastAsia="宋体" w:cs="宋体"/>
                <w:b/>
                <w:color w:val="auto"/>
                <w:sz w:val="21"/>
                <w:szCs w:val="21"/>
                <w:highlight w:val="none"/>
              </w:rPr>
              <w:t>5</w:t>
            </w:r>
            <w:r>
              <w:rPr>
                <w:rFonts w:hint="eastAsia" w:ascii="宋体" w:hAnsi="宋体" w:eastAsia="宋体" w:cs="宋体"/>
                <w:b/>
                <w:color w:val="auto"/>
                <w:sz w:val="21"/>
                <w:szCs w:val="21"/>
                <w:highlight w:val="none"/>
                <w:lang w:val="en-US" w:eastAsia="zh-CN"/>
              </w:rPr>
              <w:t>)</w:t>
            </w:r>
            <w:r>
              <w:rPr>
                <w:rFonts w:hint="eastAsia" w:ascii="宋体" w:hAnsi="宋体" w:eastAsia="宋体" w:cs="宋体"/>
                <w:b/>
                <w:color w:val="auto"/>
                <w:sz w:val="21"/>
                <w:szCs w:val="21"/>
                <w:highlight w:val="none"/>
              </w:rPr>
              <w:t>采用金融、担保机构出具保函的，必须为无条件保函，否则视为无效投标保证金</w:t>
            </w:r>
            <w:r>
              <w:rPr>
                <w:rFonts w:hint="eastAsia" w:ascii="宋体" w:hAnsi="宋体" w:eastAsia="宋体" w:cs="宋体"/>
                <w:b/>
                <w:bCs/>
                <w:color w:val="auto"/>
                <w:sz w:val="21"/>
                <w:szCs w:val="21"/>
                <w:highlight w:val="none"/>
              </w:rPr>
              <w:t>。</w:t>
            </w:r>
          </w:p>
        </w:tc>
      </w:tr>
      <w:tr w14:paraId="7C9BB3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89" w:type="dxa"/>
            <w:tcBorders>
              <w:top w:val="single" w:color="auto" w:sz="4" w:space="0"/>
              <w:left w:val="single" w:color="auto" w:sz="4" w:space="0"/>
              <w:bottom w:val="single" w:color="auto" w:sz="4" w:space="0"/>
              <w:right w:val="single" w:color="auto" w:sz="4" w:space="0"/>
            </w:tcBorders>
            <w:noWrap/>
            <w:vAlign w:val="center"/>
          </w:tcPr>
          <w:p w14:paraId="2216CAFB">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19.1</w:t>
            </w:r>
          </w:p>
        </w:tc>
        <w:tc>
          <w:tcPr>
            <w:tcW w:w="2445" w:type="dxa"/>
            <w:tcBorders>
              <w:top w:val="single" w:color="auto" w:sz="4" w:space="0"/>
              <w:left w:val="single" w:color="auto" w:sz="4" w:space="0"/>
              <w:bottom w:val="single" w:color="auto" w:sz="4" w:space="0"/>
              <w:right w:val="single" w:color="auto" w:sz="4" w:space="0"/>
            </w:tcBorders>
            <w:noWrap/>
            <w:vAlign w:val="center"/>
          </w:tcPr>
          <w:p w14:paraId="6EACADC9">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投标文件编制要求</w:t>
            </w:r>
          </w:p>
        </w:tc>
        <w:tc>
          <w:tcPr>
            <w:tcW w:w="5354" w:type="dxa"/>
            <w:tcBorders>
              <w:top w:val="single" w:color="auto" w:sz="4" w:space="0"/>
              <w:left w:val="single" w:color="auto" w:sz="4" w:space="0"/>
              <w:bottom w:val="single" w:color="auto" w:sz="4" w:space="0"/>
              <w:right w:val="single" w:color="auto" w:sz="4" w:space="0"/>
            </w:tcBorders>
            <w:noWrap/>
            <w:vAlign w:val="center"/>
          </w:tcPr>
          <w:p w14:paraId="0EFB00F8">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b/>
                <w:color w:val="auto"/>
                <w:sz w:val="21"/>
                <w:szCs w:val="21"/>
                <w:highlight w:val="none"/>
                <w:u w:val="single"/>
              </w:rPr>
            </w:pPr>
            <w:r>
              <w:rPr>
                <w:rFonts w:hint="eastAsia" w:ascii="宋体" w:hAnsi="宋体" w:eastAsia="宋体" w:cs="宋体"/>
                <w:color w:val="auto"/>
                <w:sz w:val="21"/>
                <w:szCs w:val="21"/>
                <w:highlight w:val="none"/>
              </w:rPr>
              <w:t>投标文件应按报价文件、资格证明文件、商务文件、技术文件分别编制，报价文件、资格证明文件分别生成电子文件，商务文件和技术文件按顺序合并生成电子文件。</w:t>
            </w:r>
            <w:r>
              <w:rPr>
                <w:rFonts w:hint="eastAsia" w:ascii="宋体" w:hAnsi="宋体" w:eastAsia="宋体" w:cs="宋体"/>
                <w:b/>
                <w:bCs/>
                <w:color w:val="auto"/>
                <w:sz w:val="21"/>
                <w:szCs w:val="21"/>
                <w:highlight w:val="none"/>
              </w:rPr>
              <w:t>（注：按照本招标文件“第六章 投标文件格式”编写，第六章未附格式的，由投标人自行拟定。）</w:t>
            </w:r>
          </w:p>
        </w:tc>
      </w:tr>
      <w:tr w14:paraId="64C2F2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89" w:type="dxa"/>
            <w:tcBorders>
              <w:top w:val="single" w:color="auto" w:sz="4" w:space="0"/>
              <w:left w:val="single" w:color="auto" w:sz="4" w:space="0"/>
              <w:bottom w:val="single" w:color="auto" w:sz="4" w:space="0"/>
              <w:right w:val="single" w:color="auto" w:sz="4" w:space="0"/>
            </w:tcBorders>
            <w:noWrap/>
            <w:vAlign w:val="center"/>
          </w:tcPr>
          <w:p w14:paraId="63E2123B">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2445" w:type="dxa"/>
            <w:tcBorders>
              <w:top w:val="single" w:color="auto" w:sz="4" w:space="0"/>
              <w:left w:val="single" w:color="auto" w:sz="4" w:space="0"/>
              <w:bottom w:val="single" w:color="auto" w:sz="4" w:space="0"/>
              <w:right w:val="single" w:color="auto" w:sz="4" w:space="0"/>
            </w:tcBorders>
            <w:noWrap/>
            <w:vAlign w:val="center"/>
          </w:tcPr>
          <w:p w14:paraId="53FF074F">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备份投标文件</w:t>
            </w:r>
          </w:p>
        </w:tc>
        <w:tc>
          <w:tcPr>
            <w:tcW w:w="5354" w:type="dxa"/>
            <w:tcBorders>
              <w:top w:val="single" w:color="auto" w:sz="4" w:space="0"/>
              <w:left w:val="single" w:color="auto" w:sz="4" w:space="0"/>
              <w:bottom w:val="single" w:color="auto" w:sz="4" w:space="0"/>
              <w:right w:val="single" w:color="auto" w:sz="4" w:space="0"/>
            </w:tcBorders>
            <w:noWrap/>
            <w:vAlign w:val="center"/>
          </w:tcPr>
          <w:p w14:paraId="6EE614B1">
            <w:pPr>
              <w:keepNext w:val="0"/>
              <w:keepLines w:val="0"/>
              <w:suppressLineNumbers w:val="0"/>
              <w:autoSpaceDE w:val="0"/>
              <w:autoSpaceDN w:val="0"/>
              <w:snapToGrid w:val="0"/>
              <w:spacing w:before="0" w:beforeAutospacing="0" w:after="0" w:afterAutospacing="0" w:line="240" w:lineRule="auto"/>
              <w:ind w:left="0" w:leftChars="0" w:right="0" w:rightChars="0" w:firstLine="0" w:firstLineChars="0"/>
              <w:jc w:val="left"/>
              <w:textAlignment w:val="bottom"/>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本项目不接受备份投标文件。</w:t>
            </w:r>
          </w:p>
        </w:tc>
      </w:tr>
      <w:tr w14:paraId="507FC3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89" w:type="dxa"/>
            <w:vMerge w:val="restart"/>
            <w:tcBorders>
              <w:top w:val="single" w:color="auto" w:sz="4" w:space="0"/>
              <w:left w:val="single" w:color="auto" w:sz="4" w:space="0"/>
              <w:bottom w:val="nil"/>
              <w:right w:val="single" w:color="auto" w:sz="4" w:space="0"/>
            </w:tcBorders>
            <w:noWrap/>
            <w:vAlign w:val="center"/>
          </w:tcPr>
          <w:p w14:paraId="6D761D88">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21.1</w:t>
            </w:r>
          </w:p>
        </w:tc>
        <w:tc>
          <w:tcPr>
            <w:tcW w:w="2445" w:type="dxa"/>
            <w:tcBorders>
              <w:top w:val="single" w:color="auto" w:sz="4" w:space="0"/>
              <w:left w:val="single" w:color="auto" w:sz="4" w:space="0"/>
              <w:bottom w:val="single" w:color="auto" w:sz="4" w:space="0"/>
              <w:right w:val="single" w:color="auto" w:sz="4" w:space="0"/>
            </w:tcBorders>
            <w:noWrap/>
            <w:vAlign w:val="center"/>
          </w:tcPr>
          <w:p w14:paraId="7CC1333F">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bookmarkStart w:id="90" w:name="_21.1"/>
            <w:bookmarkEnd w:id="90"/>
            <w:r>
              <w:rPr>
                <w:rFonts w:hint="eastAsia" w:ascii="宋体" w:hAnsi="宋体" w:eastAsia="宋体" w:cs="宋体"/>
                <w:color w:val="auto"/>
                <w:sz w:val="21"/>
                <w:szCs w:val="21"/>
                <w:highlight w:val="none"/>
              </w:rPr>
              <w:t>投标截止时间</w:t>
            </w:r>
          </w:p>
        </w:tc>
        <w:tc>
          <w:tcPr>
            <w:tcW w:w="5354" w:type="dxa"/>
            <w:tcBorders>
              <w:top w:val="single" w:color="auto" w:sz="4" w:space="0"/>
              <w:left w:val="single" w:color="auto" w:sz="4" w:space="0"/>
              <w:bottom w:val="single" w:color="auto" w:sz="4" w:space="0"/>
              <w:right w:val="single" w:color="auto" w:sz="4" w:space="0"/>
            </w:tcBorders>
            <w:noWrap/>
            <w:vAlign w:val="center"/>
          </w:tcPr>
          <w:p w14:paraId="70C13E6A">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详见招标公告</w:t>
            </w:r>
          </w:p>
        </w:tc>
      </w:tr>
      <w:tr w14:paraId="712F08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89" w:type="dxa"/>
            <w:vMerge w:val="continue"/>
            <w:tcBorders>
              <w:top w:val="single" w:color="auto" w:sz="4" w:space="0"/>
              <w:left w:val="single" w:color="auto" w:sz="4" w:space="0"/>
              <w:bottom w:val="nil"/>
              <w:right w:val="single" w:color="auto" w:sz="4" w:space="0"/>
            </w:tcBorders>
            <w:noWrap/>
            <w:vAlign w:val="center"/>
          </w:tcPr>
          <w:p w14:paraId="06CA3F8A">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p>
        </w:tc>
        <w:tc>
          <w:tcPr>
            <w:tcW w:w="2445" w:type="dxa"/>
            <w:tcBorders>
              <w:top w:val="single" w:color="auto" w:sz="4" w:space="0"/>
              <w:left w:val="single" w:color="auto" w:sz="4" w:space="0"/>
              <w:bottom w:val="single" w:color="auto" w:sz="4" w:space="0"/>
              <w:right w:val="single" w:color="auto" w:sz="4" w:space="0"/>
            </w:tcBorders>
            <w:noWrap/>
            <w:vAlign w:val="center"/>
          </w:tcPr>
          <w:p w14:paraId="64B3A7B6">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投标地点</w:t>
            </w:r>
          </w:p>
        </w:tc>
        <w:tc>
          <w:tcPr>
            <w:tcW w:w="5354" w:type="dxa"/>
            <w:tcBorders>
              <w:top w:val="single" w:color="auto" w:sz="4" w:space="0"/>
              <w:left w:val="single" w:color="auto" w:sz="4" w:space="0"/>
              <w:bottom w:val="single" w:color="auto" w:sz="4" w:space="0"/>
              <w:right w:val="single" w:color="auto" w:sz="4" w:space="0"/>
            </w:tcBorders>
            <w:noWrap/>
            <w:vAlign w:val="center"/>
          </w:tcPr>
          <w:p w14:paraId="5070665C">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详见招标公告</w:t>
            </w:r>
          </w:p>
        </w:tc>
      </w:tr>
      <w:tr w14:paraId="5CD211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89" w:type="dxa"/>
            <w:vMerge w:val="continue"/>
            <w:tcBorders>
              <w:top w:val="single" w:color="auto" w:sz="4" w:space="0"/>
              <w:left w:val="single" w:color="auto" w:sz="4" w:space="0"/>
              <w:bottom w:val="nil"/>
              <w:right w:val="single" w:color="auto" w:sz="4" w:space="0"/>
            </w:tcBorders>
            <w:noWrap/>
            <w:vAlign w:val="center"/>
          </w:tcPr>
          <w:p w14:paraId="720884E7">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p>
        </w:tc>
        <w:tc>
          <w:tcPr>
            <w:tcW w:w="2445" w:type="dxa"/>
            <w:tcBorders>
              <w:top w:val="single" w:color="auto" w:sz="4" w:space="0"/>
              <w:left w:val="single" w:color="auto" w:sz="4" w:space="0"/>
              <w:bottom w:val="single" w:color="auto" w:sz="4" w:space="0"/>
              <w:right w:val="single" w:color="auto" w:sz="4" w:space="0"/>
            </w:tcBorders>
            <w:noWrap/>
            <w:vAlign w:val="center"/>
          </w:tcPr>
          <w:p w14:paraId="2B16753A">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投标人递交投标样品截止时间及地点</w:t>
            </w:r>
          </w:p>
        </w:tc>
        <w:tc>
          <w:tcPr>
            <w:tcW w:w="5354" w:type="dxa"/>
            <w:tcBorders>
              <w:top w:val="single" w:color="auto" w:sz="4" w:space="0"/>
              <w:left w:val="single" w:color="auto" w:sz="4" w:space="0"/>
              <w:bottom w:val="single" w:color="auto" w:sz="4" w:space="0"/>
              <w:right w:val="single" w:color="auto" w:sz="4" w:space="0"/>
            </w:tcBorders>
            <w:noWrap/>
            <w:vAlign w:val="center"/>
          </w:tcPr>
          <w:p w14:paraId="0375742C">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bCs/>
                <w:color w:val="auto"/>
                <w:sz w:val="21"/>
                <w:szCs w:val="21"/>
                <w:highlight w:val="none"/>
              </w:rPr>
              <w:t>无</w:t>
            </w:r>
          </w:p>
        </w:tc>
      </w:tr>
      <w:tr w14:paraId="2117EA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89" w:type="dxa"/>
            <w:tcBorders>
              <w:top w:val="single" w:color="auto" w:sz="4" w:space="0"/>
              <w:left w:val="single" w:color="auto" w:sz="4" w:space="0"/>
              <w:bottom w:val="single" w:color="auto" w:sz="4" w:space="0"/>
              <w:right w:val="single" w:color="auto" w:sz="4" w:space="0"/>
            </w:tcBorders>
            <w:noWrap/>
            <w:vAlign w:val="center"/>
          </w:tcPr>
          <w:p w14:paraId="58373620">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23</w:t>
            </w:r>
          </w:p>
        </w:tc>
        <w:tc>
          <w:tcPr>
            <w:tcW w:w="2445" w:type="dxa"/>
            <w:tcBorders>
              <w:top w:val="single" w:color="auto" w:sz="4" w:space="0"/>
              <w:left w:val="single" w:color="auto" w:sz="4" w:space="0"/>
              <w:bottom w:val="single" w:color="auto" w:sz="4" w:space="0"/>
              <w:right w:val="single" w:color="auto" w:sz="4" w:space="0"/>
            </w:tcBorders>
            <w:noWrap/>
            <w:vAlign w:val="center"/>
          </w:tcPr>
          <w:p w14:paraId="6E938B10">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bookmarkStart w:id="91" w:name="_23"/>
            <w:bookmarkEnd w:id="91"/>
            <w:r>
              <w:rPr>
                <w:rFonts w:hint="eastAsia" w:ascii="宋体" w:hAnsi="宋体" w:eastAsia="宋体" w:cs="宋体"/>
                <w:color w:val="auto"/>
                <w:sz w:val="21"/>
                <w:szCs w:val="21"/>
                <w:highlight w:val="none"/>
              </w:rPr>
              <w:t>开标时间、地点</w:t>
            </w:r>
          </w:p>
        </w:tc>
        <w:tc>
          <w:tcPr>
            <w:tcW w:w="5354" w:type="dxa"/>
            <w:tcBorders>
              <w:top w:val="single" w:color="auto" w:sz="4" w:space="0"/>
              <w:left w:val="single" w:color="auto" w:sz="4" w:space="0"/>
              <w:bottom w:val="single" w:color="auto" w:sz="4" w:space="0"/>
              <w:right w:val="single" w:color="auto" w:sz="4" w:space="0"/>
            </w:tcBorders>
            <w:noWrap/>
            <w:vAlign w:val="center"/>
          </w:tcPr>
          <w:p w14:paraId="4A02E03F">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详见招标公告 </w:t>
            </w:r>
          </w:p>
        </w:tc>
      </w:tr>
      <w:tr w14:paraId="7BADFC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89" w:type="dxa"/>
            <w:vMerge w:val="restart"/>
            <w:tcBorders>
              <w:top w:val="single" w:color="auto" w:sz="4" w:space="0"/>
              <w:left w:val="single" w:color="auto" w:sz="4" w:space="0"/>
              <w:bottom w:val="single" w:color="auto" w:sz="4" w:space="0"/>
              <w:right w:val="single" w:color="auto" w:sz="4" w:space="0"/>
            </w:tcBorders>
            <w:noWrap/>
            <w:vAlign w:val="center"/>
          </w:tcPr>
          <w:p w14:paraId="14F7B16D">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25.3（2）</w:t>
            </w:r>
          </w:p>
        </w:tc>
        <w:tc>
          <w:tcPr>
            <w:tcW w:w="2445" w:type="dxa"/>
            <w:tcBorders>
              <w:top w:val="single" w:color="auto" w:sz="4" w:space="0"/>
              <w:left w:val="single" w:color="auto" w:sz="4" w:space="0"/>
              <w:bottom w:val="single" w:color="auto" w:sz="4" w:space="0"/>
              <w:right w:val="single" w:color="auto" w:sz="4" w:space="0"/>
            </w:tcBorders>
            <w:noWrap/>
            <w:vAlign w:val="center"/>
          </w:tcPr>
          <w:p w14:paraId="67765195">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bookmarkStart w:id="92" w:name="_25.3"/>
            <w:bookmarkEnd w:id="92"/>
            <w:r>
              <w:rPr>
                <w:rFonts w:hint="eastAsia" w:ascii="宋体" w:hAnsi="宋体" w:eastAsia="宋体" w:cs="宋体"/>
                <w:color w:val="auto"/>
                <w:sz w:val="21"/>
                <w:szCs w:val="21"/>
                <w:highlight w:val="none"/>
              </w:rPr>
              <w:t>投标人信用查询渠道</w:t>
            </w:r>
          </w:p>
        </w:tc>
        <w:tc>
          <w:tcPr>
            <w:tcW w:w="5354" w:type="dxa"/>
            <w:tcBorders>
              <w:top w:val="single" w:color="auto" w:sz="4" w:space="0"/>
              <w:left w:val="single" w:color="auto" w:sz="4" w:space="0"/>
              <w:bottom w:val="single" w:color="auto" w:sz="4" w:space="0"/>
              <w:right w:val="single" w:color="auto" w:sz="4" w:space="0"/>
            </w:tcBorders>
            <w:noWrap/>
            <w:vAlign w:val="center"/>
          </w:tcPr>
          <w:p w14:paraId="40ED9C3E">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采购人或者采购代理机构在资格审查结束前，对投标人进行信用查询。</w:t>
            </w:r>
          </w:p>
          <w:p w14:paraId="3BEF1E60">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查询渠道：“信用中国”网站(www.creditchina.gov.cn) 、中国政府采购网(www.ccgp.gov.cn)。</w:t>
            </w:r>
          </w:p>
        </w:tc>
      </w:tr>
      <w:tr w14:paraId="669F9B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89" w:type="dxa"/>
            <w:vMerge w:val="continue"/>
            <w:tcBorders>
              <w:top w:val="single" w:color="auto" w:sz="4" w:space="0"/>
              <w:left w:val="single" w:color="auto" w:sz="4" w:space="0"/>
              <w:bottom w:val="single" w:color="auto" w:sz="4" w:space="0"/>
              <w:right w:val="single" w:color="auto" w:sz="4" w:space="0"/>
            </w:tcBorders>
            <w:noWrap/>
            <w:vAlign w:val="center"/>
          </w:tcPr>
          <w:p w14:paraId="37FBAB27">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p>
        </w:tc>
        <w:tc>
          <w:tcPr>
            <w:tcW w:w="2445" w:type="dxa"/>
            <w:tcBorders>
              <w:top w:val="single" w:color="auto" w:sz="4" w:space="0"/>
              <w:left w:val="single" w:color="auto" w:sz="4" w:space="0"/>
              <w:bottom w:val="single" w:color="auto" w:sz="4" w:space="0"/>
              <w:right w:val="single" w:color="auto" w:sz="4" w:space="0"/>
            </w:tcBorders>
            <w:noWrap/>
            <w:vAlign w:val="center"/>
          </w:tcPr>
          <w:p w14:paraId="4DE05F7F">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信用查询截止时点</w:t>
            </w:r>
          </w:p>
        </w:tc>
        <w:tc>
          <w:tcPr>
            <w:tcW w:w="5354" w:type="dxa"/>
            <w:tcBorders>
              <w:top w:val="single" w:color="auto" w:sz="4" w:space="0"/>
              <w:left w:val="single" w:color="auto" w:sz="4" w:space="0"/>
              <w:bottom w:val="single" w:color="auto" w:sz="4" w:space="0"/>
              <w:right w:val="single" w:color="auto" w:sz="4" w:space="0"/>
            </w:tcBorders>
            <w:noWrap/>
            <w:vAlign w:val="center"/>
          </w:tcPr>
          <w:p w14:paraId="33AB329D">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资格审查结束前</w:t>
            </w:r>
          </w:p>
        </w:tc>
      </w:tr>
      <w:tr w14:paraId="2C71C8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89" w:type="dxa"/>
            <w:vMerge w:val="continue"/>
            <w:tcBorders>
              <w:top w:val="single" w:color="auto" w:sz="4" w:space="0"/>
              <w:left w:val="single" w:color="auto" w:sz="4" w:space="0"/>
              <w:bottom w:val="single" w:color="auto" w:sz="4" w:space="0"/>
              <w:right w:val="single" w:color="auto" w:sz="4" w:space="0"/>
            </w:tcBorders>
            <w:noWrap/>
            <w:vAlign w:val="center"/>
          </w:tcPr>
          <w:p w14:paraId="234A9B35">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p>
        </w:tc>
        <w:tc>
          <w:tcPr>
            <w:tcW w:w="2445" w:type="dxa"/>
            <w:tcBorders>
              <w:top w:val="single" w:color="auto" w:sz="4" w:space="0"/>
              <w:left w:val="single" w:color="auto" w:sz="4" w:space="0"/>
              <w:bottom w:val="single" w:color="auto" w:sz="4" w:space="0"/>
              <w:right w:val="single" w:color="auto" w:sz="4" w:space="0"/>
            </w:tcBorders>
            <w:noWrap/>
            <w:vAlign w:val="center"/>
          </w:tcPr>
          <w:p w14:paraId="3B627ECB">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查询记录和证据留存方式</w:t>
            </w:r>
          </w:p>
        </w:tc>
        <w:tc>
          <w:tcPr>
            <w:tcW w:w="5354" w:type="dxa"/>
            <w:tcBorders>
              <w:top w:val="single" w:color="auto" w:sz="4" w:space="0"/>
              <w:left w:val="single" w:color="auto" w:sz="4" w:space="0"/>
              <w:bottom w:val="single" w:color="auto" w:sz="4" w:space="0"/>
              <w:right w:val="single" w:color="auto" w:sz="4" w:space="0"/>
            </w:tcBorders>
            <w:noWrap/>
            <w:vAlign w:val="center"/>
          </w:tcPr>
          <w:p w14:paraId="2B6889FC">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在查询网站中直接截图查询记录，截图留存或在广西政府采购云平台作为附件上传保存。</w:t>
            </w:r>
          </w:p>
        </w:tc>
      </w:tr>
      <w:tr w14:paraId="0345C5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89" w:type="dxa"/>
            <w:vMerge w:val="continue"/>
            <w:tcBorders>
              <w:top w:val="single" w:color="auto" w:sz="4" w:space="0"/>
              <w:left w:val="single" w:color="auto" w:sz="4" w:space="0"/>
              <w:bottom w:val="single" w:color="auto" w:sz="4" w:space="0"/>
              <w:right w:val="single" w:color="auto" w:sz="4" w:space="0"/>
            </w:tcBorders>
            <w:noWrap/>
            <w:vAlign w:val="center"/>
          </w:tcPr>
          <w:p w14:paraId="20A31E28">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p>
        </w:tc>
        <w:tc>
          <w:tcPr>
            <w:tcW w:w="2445" w:type="dxa"/>
            <w:tcBorders>
              <w:top w:val="single" w:color="auto" w:sz="4" w:space="0"/>
              <w:left w:val="single" w:color="auto" w:sz="4" w:space="0"/>
              <w:bottom w:val="single" w:color="auto" w:sz="4" w:space="0"/>
              <w:right w:val="single" w:color="auto" w:sz="4" w:space="0"/>
            </w:tcBorders>
            <w:noWrap/>
            <w:vAlign w:val="center"/>
          </w:tcPr>
          <w:p w14:paraId="535228DA">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信用信息使用规则</w:t>
            </w:r>
          </w:p>
        </w:tc>
        <w:tc>
          <w:tcPr>
            <w:tcW w:w="5354" w:type="dxa"/>
            <w:tcBorders>
              <w:top w:val="single" w:color="auto" w:sz="4" w:space="0"/>
              <w:left w:val="single" w:color="auto" w:sz="4" w:space="0"/>
              <w:bottom w:val="single" w:color="auto" w:sz="4" w:space="0"/>
              <w:right w:val="single" w:color="auto" w:sz="4" w:space="0"/>
            </w:tcBorders>
            <w:noWrap/>
            <w:vAlign w:val="center"/>
          </w:tcPr>
          <w:p w14:paraId="27BB561A">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对在“信用中国”网站(www.creditchina.gov.cn) 、中国政府采购网(www.ccgp.gov.cn)被列入失信被执行人、</w:t>
            </w:r>
            <w:r>
              <w:rPr>
                <w:rFonts w:hint="eastAsia" w:ascii="宋体" w:hAnsi="宋体" w:eastAsia="宋体" w:cs="宋体"/>
                <w:color w:val="auto"/>
                <w:sz w:val="21"/>
                <w:szCs w:val="21"/>
                <w:highlight w:val="none"/>
                <w:lang w:eastAsia="zh-CN"/>
              </w:rPr>
              <w:t>重大税收违法失信主体名单</w:t>
            </w:r>
            <w:r>
              <w:rPr>
                <w:rFonts w:hint="eastAsia" w:ascii="宋体" w:hAnsi="宋体" w:eastAsia="宋体" w:cs="宋体"/>
                <w:color w:val="auto"/>
                <w:sz w:val="21"/>
                <w:szCs w:val="21"/>
                <w:highlight w:val="none"/>
              </w:rPr>
              <w:t>、政府采购严重违法失信行为记录名单及其他不符合《中华人民共和国政府采购法》第二十二条规定条件的供应商，采购人或者采购代理机构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14:paraId="22E6C1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89" w:type="dxa"/>
            <w:tcBorders>
              <w:top w:val="single" w:color="auto" w:sz="4" w:space="0"/>
              <w:left w:val="single" w:color="auto" w:sz="4" w:space="0"/>
              <w:bottom w:val="single" w:color="auto" w:sz="4" w:space="0"/>
              <w:right w:val="single" w:color="auto" w:sz="4" w:space="0"/>
            </w:tcBorders>
            <w:noWrap/>
            <w:vAlign w:val="center"/>
          </w:tcPr>
          <w:p w14:paraId="190D699A">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29.1</w:t>
            </w:r>
          </w:p>
        </w:tc>
        <w:tc>
          <w:tcPr>
            <w:tcW w:w="2445" w:type="dxa"/>
            <w:tcBorders>
              <w:top w:val="single" w:color="auto" w:sz="4" w:space="0"/>
              <w:left w:val="single" w:color="auto" w:sz="4" w:space="0"/>
              <w:bottom w:val="single" w:color="auto" w:sz="4" w:space="0"/>
              <w:right w:val="single" w:color="auto" w:sz="4" w:space="0"/>
            </w:tcBorders>
            <w:noWrap/>
            <w:vAlign w:val="center"/>
          </w:tcPr>
          <w:p w14:paraId="17B85405">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bookmarkStart w:id="93" w:name="_26"/>
            <w:bookmarkEnd w:id="93"/>
            <w:bookmarkStart w:id="94" w:name="_28.3"/>
            <w:bookmarkEnd w:id="94"/>
            <w:r>
              <w:rPr>
                <w:rFonts w:hint="eastAsia" w:ascii="宋体" w:hAnsi="宋体" w:eastAsia="宋体" w:cs="宋体"/>
                <w:color w:val="auto"/>
                <w:sz w:val="21"/>
                <w:szCs w:val="21"/>
                <w:highlight w:val="none"/>
              </w:rPr>
              <w:t>评标方法</w:t>
            </w:r>
          </w:p>
        </w:tc>
        <w:tc>
          <w:tcPr>
            <w:tcW w:w="5354" w:type="dxa"/>
            <w:tcBorders>
              <w:top w:val="single" w:color="auto" w:sz="4" w:space="0"/>
              <w:left w:val="single" w:color="auto" w:sz="4" w:space="0"/>
              <w:bottom w:val="single" w:color="auto" w:sz="4" w:space="0"/>
              <w:right w:val="single" w:color="auto" w:sz="4" w:space="0"/>
            </w:tcBorders>
            <w:noWrap/>
            <w:vAlign w:val="center"/>
          </w:tcPr>
          <w:p w14:paraId="4C5AAF5B">
            <w:pPr>
              <w:keepNext w:val="0"/>
              <w:keepLines w:val="0"/>
              <w:suppressLineNumbers w:val="0"/>
              <w:autoSpaceDE w:val="0"/>
              <w:autoSpaceDN w:val="0"/>
              <w:snapToGrid w:val="0"/>
              <w:spacing w:before="0" w:beforeAutospacing="0" w:after="0" w:afterAutospacing="0" w:line="240" w:lineRule="auto"/>
              <w:ind w:left="0" w:leftChars="0" w:right="0" w:rightChars="0" w:firstLine="0" w:firstLineChars="0"/>
              <w:jc w:val="left"/>
              <w:textAlignment w:val="bottom"/>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综合评分法</w:t>
            </w:r>
          </w:p>
        </w:tc>
      </w:tr>
      <w:tr w14:paraId="7BB6CE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89" w:type="dxa"/>
            <w:tcBorders>
              <w:top w:val="single" w:color="auto" w:sz="4" w:space="0"/>
              <w:left w:val="single" w:color="auto" w:sz="4" w:space="0"/>
              <w:bottom w:val="nil"/>
              <w:right w:val="single" w:color="auto" w:sz="4" w:space="0"/>
            </w:tcBorders>
            <w:noWrap/>
            <w:vAlign w:val="center"/>
          </w:tcPr>
          <w:p w14:paraId="18B71BE4">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29.2</w:t>
            </w:r>
          </w:p>
        </w:tc>
        <w:tc>
          <w:tcPr>
            <w:tcW w:w="2445" w:type="dxa"/>
            <w:tcBorders>
              <w:top w:val="single" w:color="auto" w:sz="4" w:space="0"/>
              <w:left w:val="single" w:color="auto" w:sz="4" w:space="0"/>
              <w:bottom w:val="nil"/>
              <w:right w:val="single" w:color="auto" w:sz="4" w:space="0"/>
            </w:tcBorders>
            <w:noWrap/>
            <w:vAlign w:val="center"/>
          </w:tcPr>
          <w:p w14:paraId="4DFBE443">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bookmarkStart w:id="95" w:name="_29.2.2（2）"/>
            <w:bookmarkEnd w:id="95"/>
            <w:r>
              <w:rPr>
                <w:rFonts w:hint="eastAsia" w:ascii="宋体" w:hAnsi="宋体" w:eastAsia="宋体" w:cs="宋体"/>
                <w:color w:val="auto"/>
                <w:sz w:val="21"/>
                <w:szCs w:val="21"/>
                <w:highlight w:val="none"/>
              </w:rPr>
              <w:t>允许负偏离项</w:t>
            </w:r>
          </w:p>
        </w:tc>
        <w:tc>
          <w:tcPr>
            <w:tcW w:w="5354" w:type="dxa"/>
            <w:tcBorders>
              <w:top w:val="single" w:color="auto" w:sz="4" w:space="0"/>
              <w:left w:val="single" w:color="auto" w:sz="4" w:space="0"/>
              <w:bottom w:val="nil"/>
              <w:right w:val="single" w:color="auto" w:sz="4" w:space="0"/>
            </w:tcBorders>
            <w:noWrap/>
            <w:vAlign w:val="center"/>
          </w:tcPr>
          <w:p w14:paraId="0134FEFB">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分标</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w:t>
            </w:r>
          </w:p>
          <w:p w14:paraId="30142B8A">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商务条款评审中允许负偏离的条款数为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0</w:t>
            </w:r>
            <w:r>
              <w:rPr>
                <w:rFonts w:hint="eastAsia" w:ascii="宋体" w:hAnsi="宋体" w:eastAsia="宋体" w:cs="宋体"/>
                <w:color w:val="auto"/>
                <w:sz w:val="21"/>
                <w:szCs w:val="21"/>
                <w:highlight w:val="none"/>
              </w:rPr>
              <w:t>项。</w:t>
            </w:r>
          </w:p>
          <w:p w14:paraId="7C267058">
            <w:pPr>
              <w:keepNext w:val="0"/>
              <w:keepLines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技术需求评审中允许负偏离的条款数</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标注</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u w:val="single"/>
                <w:lang w:val="en-US" w:eastAsia="zh-CN"/>
              </w:rPr>
              <w:t>号重要</w:t>
            </w:r>
            <w:r>
              <w:rPr>
                <w:rFonts w:hint="eastAsia" w:ascii="宋体" w:hAnsi="宋体" w:eastAsia="宋体" w:cs="宋体"/>
                <w:color w:val="auto"/>
                <w:sz w:val="21"/>
                <w:szCs w:val="21"/>
                <w:highlight w:val="none"/>
                <w:u w:val="single"/>
              </w:rPr>
              <w:t>技术参数（需根据技术参数要求提供系统视频演示的除外）</w:t>
            </w:r>
            <w:r>
              <w:rPr>
                <w:rFonts w:hint="eastAsia" w:ascii="宋体" w:hAnsi="宋体" w:cs="宋体"/>
                <w:color w:val="auto"/>
                <w:sz w:val="21"/>
                <w:szCs w:val="21"/>
                <w:highlight w:val="none"/>
                <w:u w:val="single"/>
                <w:lang w:val="en-US" w:eastAsia="zh-CN"/>
              </w:rPr>
              <w:t>为9</w:t>
            </w:r>
            <w:r>
              <w:rPr>
                <w:rFonts w:hint="eastAsia"/>
                <w:color w:val="auto"/>
                <w:highlight w:val="none"/>
                <w:u w:val="single"/>
                <w:lang w:val="en-US" w:eastAsia="zh-CN"/>
              </w:rPr>
              <w:t>项，</w:t>
            </w:r>
            <w:r>
              <w:rPr>
                <w:rFonts w:hint="eastAsia"/>
                <w:color w:val="auto"/>
                <w:highlight w:val="none"/>
                <w:u w:val="single"/>
              </w:rPr>
              <w:t>一般参数</w:t>
            </w:r>
            <w:r>
              <w:rPr>
                <w:rFonts w:hint="eastAsia"/>
                <w:color w:val="auto"/>
                <w:highlight w:val="none"/>
                <w:u w:val="single"/>
                <w:lang w:val="en-US" w:eastAsia="zh-CN"/>
              </w:rPr>
              <w:t>为不限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项。</w:t>
            </w:r>
          </w:p>
          <w:p w14:paraId="606B1F73">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分标</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w:t>
            </w:r>
          </w:p>
          <w:p w14:paraId="1DF1ED7B">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商务条款评审中允许负偏离的条款数为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0</w:t>
            </w:r>
            <w:r>
              <w:rPr>
                <w:rFonts w:hint="eastAsia" w:ascii="宋体" w:hAnsi="宋体" w:eastAsia="宋体" w:cs="宋体"/>
                <w:color w:val="auto"/>
                <w:sz w:val="21"/>
                <w:szCs w:val="21"/>
                <w:highlight w:val="none"/>
              </w:rPr>
              <w:t>项。</w:t>
            </w:r>
          </w:p>
          <w:p w14:paraId="73D30010">
            <w:pPr>
              <w:keepNext w:val="0"/>
              <w:keepLines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技术需求评审中允许负偏离的条款数为</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5</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项。</w:t>
            </w:r>
          </w:p>
          <w:p w14:paraId="6B3419F3">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分标</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w:t>
            </w:r>
          </w:p>
          <w:p w14:paraId="5F73E87D">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商务条款评审中允许负偏离的条款数为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0</w:t>
            </w:r>
            <w:r>
              <w:rPr>
                <w:rFonts w:hint="eastAsia" w:ascii="宋体" w:hAnsi="宋体" w:eastAsia="宋体" w:cs="宋体"/>
                <w:color w:val="auto"/>
                <w:sz w:val="21"/>
                <w:szCs w:val="21"/>
                <w:highlight w:val="none"/>
              </w:rPr>
              <w:t>项。</w:t>
            </w:r>
          </w:p>
          <w:p w14:paraId="353569E1">
            <w:pPr>
              <w:keepNext w:val="0"/>
              <w:keepLines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技术需求评审中允许负偏离的条款数为</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5</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项。</w:t>
            </w:r>
          </w:p>
          <w:p w14:paraId="44DFCCF3">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分标</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w:t>
            </w:r>
          </w:p>
          <w:p w14:paraId="446DEA26">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商务条款评审中允许负偏离的条款数为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0</w:t>
            </w:r>
            <w:r>
              <w:rPr>
                <w:rFonts w:hint="eastAsia" w:ascii="宋体" w:hAnsi="宋体" w:eastAsia="宋体" w:cs="宋体"/>
                <w:color w:val="auto"/>
                <w:sz w:val="21"/>
                <w:szCs w:val="21"/>
                <w:highlight w:val="none"/>
              </w:rPr>
              <w:t>项。</w:t>
            </w:r>
          </w:p>
          <w:p w14:paraId="7E516597">
            <w:pPr>
              <w:keepNext w:val="0"/>
              <w:keepLines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技术需求评审中允许负偏离的条款数</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标注</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u w:val="single"/>
                <w:lang w:val="en-US" w:eastAsia="zh-CN"/>
              </w:rPr>
              <w:t>号重要</w:t>
            </w:r>
            <w:r>
              <w:rPr>
                <w:rFonts w:hint="eastAsia" w:ascii="宋体" w:hAnsi="宋体" w:eastAsia="宋体" w:cs="宋体"/>
                <w:color w:val="auto"/>
                <w:sz w:val="21"/>
                <w:szCs w:val="21"/>
                <w:highlight w:val="none"/>
                <w:u w:val="single"/>
              </w:rPr>
              <w:t>技术参数</w:t>
            </w:r>
            <w:r>
              <w:rPr>
                <w:rFonts w:hint="eastAsia" w:ascii="宋体" w:hAnsi="宋体" w:cs="宋体"/>
                <w:color w:val="auto"/>
                <w:sz w:val="21"/>
                <w:szCs w:val="21"/>
                <w:highlight w:val="none"/>
                <w:u w:val="single"/>
                <w:lang w:val="en-US" w:eastAsia="zh-CN"/>
              </w:rPr>
              <w:t>为5</w:t>
            </w:r>
            <w:r>
              <w:rPr>
                <w:rFonts w:hint="eastAsia"/>
                <w:color w:val="auto"/>
                <w:highlight w:val="none"/>
                <w:u w:val="single"/>
                <w:lang w:val="en-US" w:eastAsia="zh-CN"/>
              </w:rPr>
              <w:t>项，</w:t>
            </w:r>
            <w:r>
              <w:rPr>
                <w:rFonts w:hint="eastAsia"/>
                <w:color w:val="auto"/>
                <w:highlight w:val="none"/>
                <w:u w:val="single"/>
              </w:rPr>
              <w:t>一般参数</w:t>
            </w:r>
            <w:r>
              <w:rPr>
                <w:rFonts w:hint="eastAsia"/>
                <w:color w:val="auto"/>
                <w:highlight w:val="none"/>
                <w:u w:val="single"/>
                <w:lang w:val="en-US" w:eastAsia="zh-CN"/>
              </w:rPr>
              <w:t>为不限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项。</w:t>
            </w:r>
          </w:p>
          <w:p w14:paraId="2EAE77E1">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分标</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w:t>
            </w:r>
          </w:p>
          <w:p w14:paraId="6AB0F50B">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商务条款评审中允许负偏离的条款数为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0</w:t>
            </w:r>
            <w:r>
              <w:rPr>
                <w:rFonts w:hint="eastAsia" w:ascii="宋体" w:hAnsi="宋体" w:eastAsia="宋体" w:cs="宋体"/>
                <w:color w:val="auto"/>
                <w:sz w:val="21"/>
                <w:szCs w:val="21"/>
                <w:highlight w:val="none"/>
              </w:rPr>
              <w:t>项。</w:t>
            </w:r>
          </w:p>
          <w:p w14:paraId="7E37E9AD">
            <w:pPr>
              <w:keepNext w:val="0"/>
              <w:keepLines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技术需求评审中允许负偏离的条款数为</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5</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项。</w:t>
            </w:r>
          </w:p>
          <w:p w14:paraId="3B98BC5D">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分标</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w:t>
            </w:r>
          </w:p>
          <w:p w14:paraId="400EBE28">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商务条款评审中允许负偏离的条款数为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0</w:t>
            </w:r>
            <w:r>
              <w:rPr>
                <w:rFonts w:hint="eastAsia" w:ascii="宋体" w:hAnsi="宋体" w:eastAsia="宋体" w:cs="宋体"/>
                <w:color w:val="auto"/>
                <w:sz w:val="21"/>
                <w:szCs w:val="21"/>
                <w:highlight w:val="none"/>
              </w:rPr>
              <w:t>项。</w:t>
            </w:r>
          </w:p>
          <w:p w14:paraId="4BA4717B">
            <w:pPr>
              <w:keepNext w:val="0"/>
              <w:keepLines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技术需求评审中允许负偏离的条款数为</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5</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项。</w:t>
            </w:r>
          </w:p>
        </w:tc>
      </w:tr>
      <w:tr w14:paraId="64A8B2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89" w:type="dxa"/>
            <w:tcBorders>
              <w:top w:val="single" w:color="auto" w:sz="4" w:space="0"/>
              <w:left w:val="single" w:color="auto" w:sz="4" w:space="0"/>
              <w:bottom w:val="single" w:color="auto" w:sz="4" w:space="0"/>
              <w:right w:val="single" w:color="auto" w:sz="4" w:space="0"/>
            </w:tcBorders>
            <w:noWrap/>
            <w:vAlign w:val="center"/>
          </w:tcPr>
          <w:p w14:paraId="226539C6">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30.1</w:t>
            </w:r>
          </w:p>
        </w:tc>
        <w:tc>
          <w:tcPr>
            <w:tcW w:w="2445" w:type="dxa"/>
            <w:tcBorders>
              <w:top w:val="single" w:color="auto" w:sz="4" w:space="0"/>
              <w:left w:val="single" w:color="auto" w:sz="4" w:space="0"/>
              <w:bottom w:val="single" w:color="auto" w:sz="4" w:space="0"/>
              <w:right w:val="single" w:color="auto" w:sz="4" w:space="0"/>
            </w:tcBorders>
            <w:noWrap/>
            <w:vAlign w:val="center"/>
          </w:tcPr>
          <w:p w14:paraId="106BF006">
            <w:pPr>
              <w:keepNext w:val="0"/>
              <w:keepLines w:val="0"/>
              <w:suppressLineNumbers w:val="0"/>
              <w:autoSpaceDE w:val="0"/>
              <w:autoSpaceDN w:val="0"/>
              <w:snapToGrid w:val="0"/>
              <w:spacing w:before="0" w:beforeAutospacing="0" w:after="0" w:afterAutospacing="0" w:line="240" w:lineRule="auto"/>
              <w:ind w:left="0" w:leftChars="0" w:right="0" w:rightChars="0" w:firstLine="0" w:firstLineChars="0"/>
              <w:jc w:val="center"/>
              <w:textAlignment w:val="bottom"/>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确定中标人时，出现中标候选人排名并列的情形，确定中标人方式 </w:t>
            </w:r>
          </w:p>
        </w:tc>
        <w:tc>
          <w:tcPr>
            <w:tcW w:w="5354" w:type="dxa"/>
            <w:tcBorders>
              <w:top w:val="single" w:color="auto" w:sz="4" w:space="0"/>
              <w:left w:val="single" w:color="auto" w:sz="4" w:space="0"/>
              <w:bottom w:val="single" w:color="auto" w:sz="4" w:space="0"/>
              <w:right w:val="single" w:color="auto" w:sz="4" w:space="0"/>
            </w:tcBorders>
            <w:noWrap/>
            <w:vAlign w:val="center"/>
          </w:tcPr>
          <w:p w14:paraId="5C3012DA">
            <w:pPr>
              <w:keepNext w:val="0"/>
              <w:keepLines w:val="0"/>
              <w:suppressLineNumbers w:val="0"/>
              <w:autoSpaceDE w:val="0"/>
              <w:autoSpaceDN w:val="0"/>
              <w:snapToGrid w:val="0"/>
              <w:spacing w:before="0" w:beforeAutospacing="0" w:after="0" w:afterAutospacing="0" w:line="240" w:lineRule="auto"/>
              <w:ind w:left="0" w:leftChars="0" w:right="0" w:rightChars="0" w:firstLine="0" w:firstLineChars="0"/>
              <w:jc w:val="left"/>
              <w:textAlignment w:val="bottom"/>
              <w:rPr>
                <w:rFonts w:ascii="宋体" w:eastAsia="宋体"/>
                <w:b/>
                <w:bCs/>
                <w:color w:val="auto"/>
                <w:sz w:val="21"/>
                <w:highlight w:val="none"/>
              </w:rPr>
            </w:pPr>
            <w:r>
              <w:rPr>
                <w:rFonts w:hint="eastAsia" w:ascii="宋体" w:hAnsi="宋体" w:eastAsia="宋体" w:cs="宋体"/>
                <w:color w:val="auto"/>
                <w:sz w:val="21"/>
                <w:szCs w:val="21"/>
                <w:highlight w:val="none"/>
              </w:rPr>
              <w:t>采购人确定中标人时，出现中标候选人并列的情形，采购人按以下的方式确定中标人：</w:t>
            </w:r>
          </w:p>
          <w:p w14:paraId="7AC5BB25">
            <w:pPr>
              <w:keepNext w:val="0"/>
              <w:keepLines w:val="0"/>
              <w:suppressLineNumbers w:val="0"/>
              <w:autoSpaceDE w:val="0"/>
              <w:autoSpaceDN w:val="0"/>
              <w:snapToGrid w:val="0"/>
              <w:spacing w:before="0" w:beforeAutospacing="0" w:after="0" w:afterAutospacing="0" w:line="240" w:lineRule="auto"/>
              <w:ind w:left="0" w:leftChars="0" w:right="0" w:rightChars="0" w:firstLine="0" w:firstLineChars="0"/>
              <w:jc w:val="left"/>
              <w:textAlignment w:val="bottom"/>
              <w:rPr>
                <w:rFonts w:ascii="宋体" w:hAnsi="宋体" w:eastAsia="宋体" w:cs="宋体"/>
                <w:b/>
                <w:color w:val="auto"/>
                <w:sz w:val="21"/>
                <w:szCs w:val="21"/>
                <w:highlight w:val="none"/>
              </w:rPr>
            </w:pPr>
            <w:r>
              <w:rPr>
                <w:rFonts w:hint="eastAsia" w:ascii="宋体" w:hAnsi="宋体" w:eastAsia="宋体" w:cs="宋体"/>
                <w:color w:val="auto"/>
                <w:sz w:val="21"/>
                <w:szCs w:val="21"/>
                <w:highlight w:val="none"/>
              </w:rPr>
              <w:t>技术分得分高的优先、商务分得分高的优先的顺序。</w:t>
            </w:r>
          </w:p>
        </w:tc>
      </w:tr>
      <w:tr w14:paraId="6D835E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89" w:type="dxa"/>
            <w:tcBorders>
              <w:top w:val="single" w:color="auto" w:sz="4" w:space="0"/>
              <w:left w:val="single" w:color="auto" w:sz="4" w:space="0"/>
              <w:bottom w:val="single" w:color="auto" w:sz="4" w:space="0"/>
              <w:right w:val="single" w:color="auto" w:sz="4" w:space="0"/>
            </w:tcBorders>
            <w:noWrap/>
            <w:vAlign w:val="center"/>
          </w:tcPr>
          <w:p w14:paraId="1BACB97D">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35</w:t>
            </w:r>
          </w:p>
        </w:tc>
        <w:tc>
          <w:tcPr>
            <w:tcW w:w="2445" w:type="dxa"/>
            <w:tcBorders>
              <w:top w:val="single" w:color="auto" w:sz="4" w:space="0"/>
              <w:left w:val="single" w:color="auto" w:sz="4" w:space="0"/>
              <w:bottom w:val="single" w:color="auto" w:sz="4" w:space="0"/>
              <w:right w:val="single" w:color="auto" w:sz="4" w:space="0"/>
            </w:tcBorders>
            <w:noWrap/>
            <w:vAlign w:val="center"/>
          </w:tcPr>
          <w:p w14:paraId="17EDF8CB">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bookmarkStart w:id="96" w:name="_39.1"/>
            <w:bookmarkEnd w:id="96"/>
            <w:r>
              <w:rPr>
                <w:rFonts w:hint="eastAsia" w:ascii="宋体" w:hAnsi="宋体" w:eastAsia="宋体" w:cs="宋体"/>
                <w:color w:val="auto"/>
                <w:sz w:val="21"/>
                <w:szCs w:val="21"/>
                <w:highlight w:val="none"/>
              </w:rPr>
              <w:t>履约保证金</w:t>
            </w:r>
          </w:p>
        </w:tc>
        <w:tc>
          <w:tcPr>
            <w:tcW w:w="535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A95660">
            <w:pPr>
              <w:keepNext w:val="0"/>
              <w:keepLines w:val="0"/>
              <w:suppressLineNumbers w:val="0"/>
              <w:autoSpaceDE w:val="0"/>
              <w:autoSpaceDN w:val="0"/>
              <w:snapToGrid w:val="0"/>
              <w:spacing w:before="0" w:beforeAutospacing="0" w:after="0" w:afterAutospacing="0" w:line="240" w:lineRule="auto"/>
              <w:ind w:left="0" w:leftChars="0" w:right="0" w:rightChars="0" w:firstLine="0" w:firstLineChars="0"/>
              <w:jc w:val="left"/>
              <w:textAlignment w:val="bottom"/>
              <w:rPr>
                <w:rFonts w:ascii="宋体" w:hAnsi="宋体" w:eastAsia="宋体"/>
                <w:color w:val="auto"/>
                <w:sz w:val="21"/>
                <w:szCs w:val="21"/>
                <w:highlight w:val="none"/>
              </w:rPr>
            </w:pPr>
            <w:r>
              <w:rPr>
                <w:rFonts w:hint="eastAsia" w:ascii="宋体" w:hAnsi="宋体" w:eastAsia="宋体"/>
                <w:color w:val="auto"/>
                <w:sz w:val="21"/>
                <w:szCs w:val="21"/>
                <w:highlight w:val="none"/>
              </w:rPr>
              <w:t>□本项目不收取履约保证金。</w:t>
            </w:r>
          </w:p>
          <w:p w14:paraId="769E56CC">
            <w:pPr>
              <w:keepNext w:val="0"/>
              <w:keepLines w:val="0"/>
              <w:suppressLineNumbers w:val="0"/>
              <w:autoSpaceDE w:val="0"/>
              <w:autoSpaceDN w:val="0"/>
              <w:snapToGrid w:val="0"/>
              <w:spacing w:before="0" w:beforeAutospacing="0" w:after="0" w:afterAutospacing="0" w:line="240" w:lineRule="auto"/>
              <w:ind w:left="0" w:leftChars="0" w:right="0" w:rightChars="0" w:firstLine="0" w:firstLineChars="0"/>
              <w:jc w:val="left"/>
              <w:textAlignment w:val="bottom"/>
              <w:rPr>
                <w:rFonts w:ascii="宋体" w:hAnsi="宋体" w:eastAsia="宋体"/>
                <w:color w:val="auto"/>
                <w:sz w:val="21"/>
                <w:szCs w:val="21"/>
                <w:highlight w:val="none"/>
              </w:rPr>
            </w:pPr>
            <w:r>
              <w:rPr>
                <w:rFonts w:hint="eastAsia" w:ascii="宋体" w:hAnsi="MS Mincho" w:eastAsia="宋体" w:cs="MS Mincho"/>
                <w:color w:val="auto"/>
                <w:sz w:val="21"/>
                <w:szCs w:val="21"/>
                <w:highlight w:val="none"/>
              </w:rPr>
              <w:t>☑</w:t>
            </w:r>
            <w:r>
              <w:rPr>
                <w:rFonts w:hint="eastAsia" w:ascii="宋体" w:hAnsi="宋体" w:eastAsia="宋体"/>
                <w:color w:val="auto"/>
                <w:sz w:val="21"/>
                <w:szCs w:val="21"/>
                <w:highlight w:val="none"/>
              </w:rPr>
              <w:t>本项目收取履约保证金，具体规定如下：</w:t>
            </w:r>
          </w:p>
          <w:p w14:paraId="2C7F9EF5">
            <w:pPr>
              <w:keepNext w:val="0"/>
              <w:keepLines w:val="0"/>
              <w:suppressLineNumbers w:val="0"/>
              <w:snapToGrid w:val="0"/>
              <w:spacing w:before="0" w:beforeAutospacing="0" w:after="0" w:afterAutospacing="0" w:line="240" w:lineRule="auto"/>
              <w:ind w:left="0" w:leftChars="0" w:right="0" w:rightChars="0" w:firstLine="0" w:firstLineChars="0"/>
              <w:contextualSpacing/>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（1）履约保证金金额：</w:t>
            </w:r>
            <w:r>
              <w:rPr>
                <w:rFonts w:hint="eastAsia" w:ascii="宋体" w:hAnsi="宋体" w:cs="宋体"/>
                <w:color w:val="auto"/>
                <w:sz w:val="21"/>
                <w:szCs w:val="21"/>
                <w:highlight w:val="none"/>
                <w:lang w:val="en-US" w:eastAsia="zh-CN"/>
              </w:rPr>
              <w:t>各分标</w:t>
            </w:r>
            <w:r>
              <w:rPr>
                <w:rFonts w:hint="eastAsia" w:ascii="宋体" w:hAnsi="宋体" w:eastAsia="宋体" w:cs="宋体"/>
                <w:color w:val="auto"/>
                <w:sz w:val="21"/>
                <w:szCs w:val="21"/>
                <w:highlight w:val="none"/>
                <w:lang w:val="en-US" w:eastAsia="zh-CN"/>
              </w:rPr>
              <w:t>中标</w:t>
            </w:r>
            <w:r>
              <w:rPr>
                <w:rFonts w:hint="eastAsia" w:ascii="宋体" w:hAnsi="宋体" w:eastAsia="宋体" w:cs="宋体"/>
                <w:color w:val="auto"/>
                <w:sz w:val="21"/>
                <w:szCs w:val="21"/>
                <w:highlight w:val="none"/>
              </w:rPr>
              <w:t>金额的</w:t>
            </w:r>
            <w:r>
              <w:rPr>
                <w:rFonts w:ascii="宋体" w:hAnsi="宋体" w:eastAsia="宋体" w:cs="宋体"/>
                <w:color w:val="auto"/>
                <w:sz w:val="21"/>
                <w:szCs w:val="21"/>
                <w:highlight w:val="none"/>
              </w:rPr>
              <w:t>5%</w:t>
            </w:r>
            <w:r>
              <w:rPr>
                <w:rFonts w:hint="eastAsia" w:ascii="宋体" w:hAnsi="宋体" w:eastAsia="宋体" w:cs="宋体"/>
                <w:color w:val="auto"/>
                <w:sz w:val="21"/>
                <w:szCs w:val="21"/>
                <w:highlight w:val="none"/>
              </w:rPr>
              <w:t>。（对中小企业收取的履约保证金数额为</w:t>
            </w:r>
            <w:r>
              <w:rPr>
                <w:rFonts w:hint="eastAsia" w:ascii="宋体" w:hAnsi="宋体" w:cs="宋体"/>
                <w:color w:val="auto"/>
                <w:sz w:val="21"/>
                <w:szCs w:val="21"/>
                <w:highlight w:val="none"/>
                <w:lang w:val="en-US" w:eastAsia="zh-CN"/>
              </w:rPr>
              <w:t>各分标</w:t>
            </w:r>
            <w:r>
              <w:rPr>
                <w:rFonts w:hint="eastAsia" w:ascii="宋体" w:hAnsi="宋体" w:eastAsia="宋体" w:cs="宋体"/>
                <w:color w:val="auto"/>
                <w:sz w:val="21"/>
                <w:szCs w:val="21"/>
                <w:highlight w:val="none"/>
                <w:lang w:val="en-US" w:eastAsia="zh-CN"/>
              </w:rPr>
              <w:t>中标</w:t>
            </w:r>
            <w:r>
              <w:rPr>
                <w:rFonts w:hint="eastAsia" w:ascii="宋体" w:hAnsi="宋体" w:eastAsia="宋体" w:cs="宋体"/>
                <w:color w:val="auto"/>
                <w:sz w:val="21"/>
                <w:szCs w:val="21"/>
                <w:highlight w:val="none"/>
              </w:rPr>
              <w:t>金额的2%）</w:t>
            </w:r>
          </w:p>
          <w:p w14:paraId="7BE9086F">
            <w:pPr>
              <w:keepNext w:val="0"/>
              <w:keepLines w:val="0"/>
              <w:suppressLineNumbers w:val="0"/>
              <w:snapToGrid w:val="0"/>
              <w:spacing w:before="0" w:beforeAutospacing="0" w:after="0" w:afterAutospacing="0" w:line="240" w:lineRule="auto"/>
              <w:ind w:left="0" w:leftChars="0" w:right="0" w:rightChars="0" w:firstLine="0" w:firstLineChars="0"/>
              <w:contextualSpacing/>
              <w:jc w:val="left"/>
              <w:rPr>
                <w:rFonts w:hint="eastAsia" w:ascii="宋体" w:hAnsi="宋体" w:eastAsia="宋体" w:cs="宋体"/>
                <w:b w:val="0"/>
                <w:bCs/>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w:t>
            </w:r>
            <w:r>
              <w:rPr>
                <w:rFonts w:hint="eastAsia" w:ascii="宋体" w:hAnsi="宋体" w:eastAsia="宋体" w:cs="宋体"/>
                <w:b w:val="0"/>
                <w:bCs/>
                <w:color w:val="auto"/>
                <w:sz w:val="21"/>
                <w:szCs w:val="21"/>
                <w:highlight w:val="none"/>
              </w:rPr>
              <w:t>履约保证金提交方式：以银行转账、支票、汇票、本票或者金融机构、担保机构出具的保函等非现金形式缴纳或提交，以转账方式提交履约保证金的，由</w:t>
            </w:r>
            <w:r>
              <w:rPr>
                <w:rFonts w:hint="eastAsia" w:ascii="宋体" w:hAnsi="宋体" w:eastAsia="宋体" w:cs="宋体"/>
                <w:b w:val="0"/>
                <w:bCs/>
                <w:color w:val="auto"/>
                <w:sz w:val="21"/>
                <w:szCs w:val="21"/>
                <w:highlight w:val="none"/>
                <w:lang w:val="en-US" w:eastAsia="zh-CN"/>
              </w:rPr>
              <w:t>中标人</w:t>
            </w:r>
            <w:r>
              <w:rPr>
                <w:rFonts w:hint="eastAsia" w:ascii="宋体" w:hAnsi="宋体" w:eastAsia="宋体" w:cs="宋体"/>
                <w:b w:val="0"/>
                <w:bCs/>
                <w:color w:val="auto"/>
                <w:sz w:val="21"/>
                <w:szCs w:val="21"/>
                <w:highlight w:val="none"/>
              </w:rPr>
              <w:t>在签订合同前按规定的金额直接缴入右江民族医学院账户，账户名称: 右江民族医学院；开户行：建设银行百色分行营业部；银行账号：45001676101050702467。否则，不予办理签订合同。履约保证金提交时必须备注项目名称、项目编号（合同编号）。如：XXXXX项目履约保证金，项目编号/合同编号XXXXX-XXXXXX。</w:t>
            </w:r>
          </w:p>
          <w:p w14:paraId="42434323">
            <w:pPr>
              <w:keepNext w:val="0"/>
              <w:keepLines w:val="0"/>
              <w:suppressLineNumbers w:val="0"/>
              <w:snapToGrid w:val="0"/>
              <w:spacing w:before="0" w:beforeAutospacing="0" w:after="0" w:afterAutospacing="0" w:line="240" w:lineRule="auto"/>
              <w:ind w:left="0" w:leftChars="0" w:right="0" w:rightChars="0" w:firstLine="0" w:firstLineChars="0"/>
              <w:contextualSpacing/>
              <w:jc w:val="left"/>
              <w:rPr>
                <w:rFonts w:hint="eastAsia" w:ascii="宋体" w:hAnsi="宋体" w:eastAsia="宋体" w:cs="宋体"/>
                <w:b w:val="0"/>
                <w:bCs/>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w:t>
            </w:r>
            <w:r>
              <w:rPr>
                <w:rFonts w:hint="eastAsia" w:ascii="宋体" w:hAnsi="宋体" w:eastAsia="宋体" w:cs="宋体"/>
                <w:b w:val="0"/>
                <w:bCs/>
                <w:color w:val="auto"/>
                <w:sz w:val="21"/>
                <w:szCs w:val="21"/>
                <w:highlight w:val="none"/>
              </w:rPr>
              <w:t>签订合同后，如</w:t>
            </w:r>
            <w:r>
              <w:rPr>
                <w:rFonts w:hint="eastAsia" w:ascii="宋体" w:hAnsi="宋体" w:eastAsia="宋体" w:cs="宋体"/>
                <w:b w:val="0"/>
                <w:bCs/>
                <w:color w:val="auto"/>
                <w:sz w:val="21"/>
                <w:szCs w:val="21"/>
                <w:highlight w:val="none"/>
                <w:lang w:val="en-US" w:eastAsia="zh-CN"/>
              </w:rPr>
              <w:t>中标人</w:t>
            </w:r>
            <w:r>
              <w:rPr>
                <w:rFonts w:hint="eastAsia" w:ascii="宋体" w:hAnsi="宋体" w:eastAsia="宋体" w:cs="宋体"/>
                <w:b w:val="0"/>
                <w:bCs/>
                <w:color w:val="auto"/>
                <w:sz w:val="21"/>
                <w:szCs w:val="21"/>
                <w:highlight w:val="none"/>
              </w:rPr>
              <w:t>出现不按双方签订的合同规定履约，则其全部履约保证金不予退还，履约保证金不足以赔偿损失的，按实际损失赔偿。</w:t>
            </w:r>
          </w:p>
          <w:p w14:paraId="7EBA7CAC">
            <w:pPr>
              <w:keepNext w:val="0"/>
              <w:keepLines w:val="0"/>
              <w:suppressLineNumbers w:val="0"/>
              <w:snapToGrid w:val="0"/>
              <w:spacing w:before="0" w:beforeAutospacing="0" w:after="0" w:afterAutospacing="0" w:line="240" w:lineRule="auto"/>
              <w:ind w:left="0" w:leftChars="0" w:right="0" w:rightChars="0" w:firstLine="0" w:firstLineChars="0"/>
              <w:contextualSpacing/>
              <w:jc w:val="left"/>
              <w:rPr>
                <w:rFonts w:hint="eastAsia" w:ascii="宋体" w:hAnsi="宋体" w:eastAsia="宋体" w:cs="宋体"/>
                <w:b w:val="0"/>
                <w:bCs/>
                <w:color w:val="auto"/>
                <w:sz w:val="21"/>
                <w:szCs w:val="21"/>
                <w:highlight w:val="none"/>
                <w:lang w:eastAsia="zh-CN"/>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w:t>
            </w:r>
            <w:r>
              <w:rPr>
                <w:rFonts w:hint="eastAsia" w:ascii="宋体" w:hAnsi="宋体" w:eastAsia="宋体" w:cs="宋体"/>
                <w:b w:val="0"/>
                <w:bCs/>
                <w:color w:val="auto"/>
                <w:sz w:val="21"/>
                <w:szCs w:val="21"/>
                <w:highlight w:val="none"/>
              </w:rPr>
              <w:t>履约保证金退付方式、时间及条件：</w:t>
            </w:r>
            <w:r>
              <w:rPr>
                <w:rFonts w:hint="eastAsia" w:ascii="宋体" w:hAnsi="宋体" w:eastAsia="宋体" w:cs="宋体"/>
                <w:b w:val="0"/>
                <w:bCs/>
                <w:color w:val="auto"/>
                <w:sz w:val="21"/>
                <w:szCs w:val="21"/>
                <w:highlight w:val="none"/>
                <w:lang w:val="en-US" w:eastAsia="zh-CN"/>
              </w:rPr>
              <w:t>中标人</w:t>
            </w:r>
            <w:r>
              <w:rPr>
                <w:rFonts w:hint="eastAsia" w:ascii="宋体" w:hAnsi="宋体" w:eastAsia="宋体" w:cs="宋体"/>
                <w:b w:val="0"/>
                <w:bCs/>
                <w:color w:val="auto"/>
                <w:sz w:val="21"/>
                <w:szCs w:val="21"/>
                <w:highlight w:val="none"/>
              </w:rPr>
              <w:t>按合同约定交货验收合格后，向采购人提交合格的合同验收书，填写履约保证金退付意见书等材料并经采购人确认后，采购人在5个工作日内按程序退还履约保证金（不计利息）</w:t>
            </w:r>
            <w:r>
              <w:rPr>
                <w:rFonts w:hint="eastAsia" w:ascii="宋体" w:hAnsi="宋体" w:eastAsia="宋体" w:cs="宋体"/>
                <w:b w:val="0"/>
                <w:bCs/>
                <w:color w:val="auto"/>
                <w:sz w:val="21"/>
                <w:szCs w:val="21"/>
                <w:highlight w:val="none"/>
                <w:lang w:eastAsia="zh-CN"/>
              </w:rPr>
              <w:t>。</w:t>
            </w:r>
          </w:p>
          <w:p w14:paraId="7B67CE50">
            <w:pPr>
              <w:keepNext w:val="0"/>
              <w:keepLines w:val="0"/>
              <w:suppressLineNumbers w:val="0"/>
              <w:snapToGrid w:val="0"/>
              <w:spacing w:before="0" w:beforeAutospacing="0" w:after="0" w:afterAutospacing="0" w:line="240" w:lineRule="auto"/>
              <w:ind w:left="0" w:leftChars="0" w:right="0" w:rightChars="0" w:firstLine="0" w:firstLineChars="0"/>
              <w:contextualSpacing/>
              <w:jc w:val="left"/>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w:t>
            </w:r>
            <w:r>
              <w:rPr>
                <w:rFonts w:hint="eastAsia" w:ascii="宋体" w:hAnsi="宋体" w:eastAsia="宋体" w:cs="宋体"/>
                <w:b w:val="0"/>
                <w:bCs/>
                <w:color w:val="auto"/>
                <w:sz w:val="21"/>
                <w:szCs w:val="21"/>
                <w:highlight w:val="none"/>
              </w:rPr>
              <w:t>在履约保证金退还日期前，若</w:t>
            </w:r>
            <w:r>
              <w:rPr>
                <w:rFonts w:hint="eastAsia" w:ascii="宋体" w:hAnsi="宋体" w:eastAsia="宋体" w:cs="宋体"/>
                <w:b w:val="0"/>
                <w:bCs/>
                <w:color w:val="auto"/>
                <w:sz w:val="21"/>
                <w:szCs w:val="21"/>
                <w:highlight w:val="none"/>
                <w:lang w:val="en-US" w:eastAsia="zh-CN"/>
              </w:rPr>
              <w:t>中标人</w:t>
            </w:r>
            <w:r>
              <w:rPr>
                <w:rFonts w:hint="eastAsia" w:ascii="宋体" w:hAnsi="宋体" w:eastAsia="宋体" w:cs="宋体"/>
                <w:b w:val="0"/>
                <w:bCs/>
                <w:color w:val="auto"/>
                <w:sz w:val="21"/>
                <w:szCs w:val="21"/>
                <w:highlight w:val="none"/>
              </w:rPr>
              <w:t>的开户名称、开户银行、账号有变动的，请以书面形式通知采购人，否则由此产生的后果由</w:t>
            </w:r>
            <w:r>
              <w:rPr>
                <w:rFonts w:hint="eastAsia" w:ascii="宋体" w:hAnsi="宋体" w:eastAsia="宋体" w:cs="宋体"/>
                <w:b w:val="0"/>
                <w:bCs/>
                <w:color w:val="auto"/>
                <w:sz w:val="21"/>
                <w:szCs w:val="21"/>
                <w:highlight w:val="none"/>
                <w:lang w:val="en-US" w:eastAsia="zh-CN"/>
              </w:rPr>
              <w:t>中标人</w:t>
            </w:r>
            <w:r>
              <w:rPr>
                <w:rFonts w:hint="eastAsia" w:ascii="宋体" w:hAnsi="宋体" w:eastAsia="宋体" w:cs="宋体"/>
                <w:b w:val="0"/>
                <w:bCs/>
                <w:color w:val="auto"/>
                <w:sz w:val="21"/>
                <w:szCs w:val="21"/>
                <w:highlight w:val="none"/>
              </w:rPr>
              <w:t>自负。</w:t>
            </w:r>
          </w:p>
          <w:p w14:paraId="7B760E52">
            <w:pPr>
              <w:keepNext w:val="0"/>
              <w:keepLines w:val="0"/>
              <w:suppressLineNumbers w:val="0"/>
              <w:snapToGrid w:val="0"/>
              <w:spacing w:before="0" w:beforeAutospacing="0" w:after="0" w:afterAutospacing="0" w:line="240" w:lineRule="auto"/>
              <w:ind w:left="0" w:leftChars="0" w:right="0" w:rightChars="0" w:firstLine="0" w:firstLineChars="0"/>
              <w:contextualSpacing/>
              <w:jc w:val="left"/>
              <w:rPr>
                <w:rFonts w:ascii="宋体" w:hAnsi="宋体" w:eastAsia="宋体" w:cs="宋体"/>
                <w:b/>
                <w:color w:val="auto"/>
                <w:sz w:val="21"/>
                <w:szCs w:val="21"/>
                <w:highlight w:val="none"/>
              </w:rPr>
            </w:pPr>
            <w:r>
              <w:rPr>
                <w:rFonts w:hint="eastAsia" w:ascii="宋体" w:hAnsi="宋体" w:eastAsia="宋体" w:cs="宋体"/>
                <w:b/>
                <w:color w:val="auto"/>
                <w:sz w:val="21"/>
                <w:szCs w:val="21"/>
                <w:highlight w:val="none"/>
              </w:rPr>
              <w:t>注：</w:t>
            </w:r>
          </w:p>
          <w:p w14:paraId="548F4C6B">
            <w:pPr>
              <w:keepNext w:val="0"/>
              <w:keepLines w:val="0"/>
              <w:numPr>
                <w:ilvl w:val="0"/>
                <w:numId w:val="0"/>
              </w:numPr>
              <w:suppressLineNumbers w:val="0"/>
              <w:snapToGrid w:val="0"/>
              <w:spacing w:before="0" w:beforeAutospacing="0" w:after="0" w:afterAutospacing="0" w:line="240" w:lineRule="auto"/>
              <w:ind w:left="0" w:leftChars="0" w:right="0" w:rightChars="0" w:firstLine="0" w:firstLineChars="0"/>
              <w:contextualSpacing/>
              <w:jc w:val="left"/>
              <w:rPr>
                <w:rFonts w:hint="eastAsia" w:ascii="宋体" w:hAnsi="宋体" w:eastAsia="宋体" w:cs="宋体"/>
                <w:b/>
                <w:color w:val="auto"/>
                <w:sz w:val="21"/>
                <w:szCs w:val="21"/>
                <w:highlight w:val="none"/>
              </w:rPr>
            </w:pPr>
            <w:r>
              <w:rPr>
                <w:rFonts w:hint="eastAsia" w:ascii="宋体" w:hAnsi="宋体" w:eastAsia="宋体" w:cs="宋体"/>
                <w:b/>
                <w:color w:val="auto"/>
                <w:kern w:val="2"/>
                <w:sz w:val="21"/>
                <w:szCs w:val="21"/>
                <w:highlight w:val="none"/>
                <w:lang w:val="en-US" w:eastAsia="zh-CN" w:bidi="ar-SA"/>
              </w:rPr>
              <w:t>1.</w:t>
            </w:r>
            <w:r>
              <w:rPr>
                <w:rFonts w:hint="eastAsia" w:ascii="宋体" w:hAnsi="宋体" w:eastAsia="宋体" w:cs="宋体"/>
                <w:b/>
                <w:color w:val="auto"/>
                <w:sz w:val="21"/>
                <w:szCs w:val="21"/>
                <w:highlight w:val="none"/>
              </w:rPr>
              <w:t>履约保证金不足额缴纳的（包含保函额度不足的），或者不按规定提交方式提交的，或者</w:t>
            </w:r>
            <w:r>
              <w:rPr>
                <w:rFonts w:ascii="宋体" w:hAnsi="宋体" w:eastAsia="宋体" w:cs="宋体"/>
                <w:b/>
                <w:color w:val="auto"/>
                <w:sz w:val="21"/>
                <w:szCs w:val="21"/>
                <w:highlight w:val="none"/>
              </w:rPr>
              <w:t>未在规定</w:t>
            </w:r>
            <w:r>
              <w:rPr>
                <w:rFonts w:hint="eastAsia" w:ascii="宋体" w:hAnsi="宋体" w:eastAsia="宋体" w:cs="宋体"/>
                <w:b/>
                <w:color w:val="auto"/>
                <w:sz w:val="21"/>
                <w:szCs w:val="21"/>
                <w:highlight w:val="none"/>
              </w:rPr>
              <w:t>提交期限内缴纳</w:t>
            </w:r>
            <w:r>
              <w:rPr>
                <w:rFonts w:ascii="宋体" w:hAnsi="宋体" w:eastAsia="宋体" w:cs="宋体"/>
                <w:b/>
                <w:color w:val="auto"/>
                <w:sz w:val="21"/>
                <w:szCs w:val="21"/>
                <w:highlight w:val="none"/>
              </w:rPr>
              <w:t>的，</w:t>
            </w:r>
            <w:r>
              <w:rPr>
                <w:rFonts w:hint="eastAsia" w:ascii="宋体" w:hAnsi="宋体" w:eastAsia="宋体" w:cs="宋体"/>
                <w:b/>
                <w:color w:val="auto"/>
                <w:sz w:val="21"/>
                <w:szCs w:val="21"/>
                <w:highlight w:val="none"/>
              </w:rPr>
              <w:t>或者保函有效期低于合同履行期限（即合同中规定的当事人履行自己的义务，如交付标的物、价款或者报酬，履行劳务、完成工作的时间界限）的，不予签订合同。</w:t>
            </w:r>
          </w:p>
          <w:p w14:paraId="296DC71D">
            <w:pPr>
              <w:keepNext w:val="0"/>
              <w:keepLines w:val="0"/>
              <w:numPr>
                <w:ilvl w:val="0"/>
                <w:numId w:val="0"/>
              </w:numPr>
              <w:suppressLineNumbers w:val="0"/>
              <w:snapToGrid w:val="0"/>
              <w:spacing w:before="0" w:beforeAutospacing="0" w:after="0" w:afterAutospacing="0" w:line="240" w:lineRule="auto"/>
              <w:ind w:left="0" w:leftChars="0" w:right="0" w:rightChars="0" w:firstLine="0" w:firstLineChars="0"/>
              <w:contextualSpacing/>
              <w:jc w:val="left"/>
              <w:rPr>
                <w:rFonts w:hint="eastAsia" w:ascii="宋体" w:hAnsi="宋体" w:eastAsia="宋体" w:cs="宋体"/>
                <w:b/>
                <w:color w:val="auto"/>
                <w:kern w:val="2"/>
                <w:sz w:val="21"/>
                <w:szCs w:val="21"/>
                <w:highlight w:val="none"/>
                <w:lang w:val="en-US" w:eastAsia="zh-CN" w:bidi="ar-SA"/>
              </w:rPr>
            </w:pPr>
            <w:r>
              <w:rPr>
                <w:rFonts w:hint="eastAsia" w:ascii="宋体" w:hAnsi="宋体" w:eastAsia="宋体" w:cs="宋体"/>
                <w:b/>
                <w:color w:val="auto"/>
                <w:sz w:val="21"/>
                <w:szCs w:val="21"/>
                <w:highlight w:val="none"/>
              </w:rPr>
              <w:t>2.采用金融、担保机构出具保函的，必须为无条件保函，否则视为未按规定提交履约保证金。</w:t>
            </w:r>
          </w:p>
        </w:tc>
      </w:tr>
      <w:tr w14:paraId="375538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89" w:type="dxa"/>
            <w:tcBorders>
              <w:top w:val="single" w:color="auto" w:sz="4" w:space="0"/>
              <w:left w:val="single" w:color="auto" w:sz="4" w:space="0"/>
              <w:bottom w:val="single" w:color="auto" w:sz="4" w:space="0"/>
              <w:right w:val="single" w:color="auto" w:sz="4" w:space="0"/>
            </w:tcBorders>
            <w:noWrap/>
            <w:vAlign w:val="center"/>
          </w:tcPr>
          <w:p w14:paraId="1AD69825">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36.1</w:t>
            </w:r>
          </w:p>
        </w:tc>
        <w:tc>
          <w:tcPr>
            <w:tcW w:w="2445" w:type="dxa"/>
            <w:tcBorders>
              <w:top w:val="single" w:color="auto" w:sz="4" w:space="0"/>
              <w:left w:val="single" w:color="auto" w:sz="4" w:space="0"/>
              <w:bottom w:val="single" w:color="auto" w:sz="4" w:space="0"/>
              <w:right w:val="single" w:color="auto" w:sz="4" w:space="0"/>
            </w:tcBorders>
            <w:noWrap/>
            <w:vAlign w:val="center"/>
          </w:tcPr>
          <w:p w14:paraId="65968836">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bookmarkStart w:id="97" w:name="_40.1"/>
            <w:bookmarkEnd w:id="97"/>
            <w:r>
              <w:rPr>
                <w:rFonts w:hint="eastAsia" w:ascii="宋体" w:hAnsi="宋体" w:eastAsia="宋体" w:cs="宋体"/>
                <w:color w:val="auto"/>
                <w:sz w:val="21"/>
                <w:szCs w:val="21"/>
                <w:highlight w:val="none"/>
              </w:rPr>
              <w:t>签订合同携带的材料</w:t>
            </w:r>
          </w:p>
        </w:tc>
        <w:tc>
          <w:tcPr>
            <w:tcW w:w="5354" w:type="dxa"/>
            <w:tcBorders>
              <w:top w:val="single" w:color="auto" w:sz="4" w:space="0"/>
              <w:left w:val="single" w:color="auto" w:sz="4" w:space="0"/>
              <w:bottom w:val="single" w:color="auto" w:sz="4" w:space="0"/>
              <w:right w:val="single" w:color="auto" w:sz="4" w:space="0"/>
            </w:tcBorders>
            <w:noWrap/>
            <w:vAlign w:val="center"/>
          </w:tcPr>
          <w:p w14:paraId="6974C133">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电子采购合同需要中标人通过有效CA证书进行电子签名与签章（适用于签订电子合同的情形）</w:t>
            </w:r>
          </w:p>
          <w:p w14:paraId="2656A1B2">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委托代理人负责签订合同的，须携带有效的法定代表人授权委托书及其委托代理人身份证原件等其他资格证件。</w:t>
            </w:r>
          </w:p>
          <w:p w14:paraId="1D63098E">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法定代表人负责签订合同的，须携带法定代表人身份证明原件及身份证原件等其他证明材料。（适用于签订纸质合同的情形）</w:t>
            </w:r>
          </w:p>
        </w:tc>
      </w:tr>
      <w:tr w14:paraId="706A43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89" w:type="dxa"/>
            <w:vMerge w:val="restart"/>
            <w:tcBorders>
              <w:top w:val="single" w:color="auto" w:sz="4" w:space="0"/>
              <w:left w:val="single" w:color="auto" w:sz="4" w:space="0"/>
              <w:bottom w:val="single" w:color="auto" w:sz="4" w:space="0"/>
              <w:right w:val="single" w:color="auto" w:sz="4" w:space="0"/>
            </w:tcBorders>
            <w:noWrap/>
            <w:vAlign w:val="center"/>
          </w:tcPr>
          <w:p w14:paraId="0B2C1426">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38.2.1</w:t>
            </w:r>
          </w:p>
        </w:tc>
        <w:tc>
          <w:tcPr>
            <w:tcW w:w="2445" w:type="dxa"/>
            <w:tcBorders>
              <w:top w:val="single" w:color="auto" w:sz="4" w:space="0"/>
              <w:left w:val="single" w:color="auto" w:sz="4" w:space="0"/>
              <w:bottom w:val="single" w:color="auto" w:sz="4" w:space="0"/>
              <w:right w:val="single" w:color="auto" w:sz="4" w:space="0"/>
            </w:tcBorders>
            <w:noWrap/>
            <w:vAlign w:val="center"/>
          </w:tcPr>
          <w:p w14:paraId="2612DB19">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接收质疑函方式</w:t>
            </w:r>
          </w:p>
        </w:tc>
        <w:tc>
          <w:tcPr>
            <w:tcW w:w="5354" w:type="dxa"/>
            <w:tcBorders>
              <w:top w:val="single" w:color="auto" w:sz="4" w:space="0"/>
              <w:left w:val="single" w:color="auto" w:sz="4" w:space="0"/>
              <w:bottom w:val="single" w:color="auto" w:sz="4" w:space="0"/>
              <w:right w:val="single" w:color="auto" w:sz="4" w:space="0"/>
            </w:tcBorders>
            <w:noWrap/>
            <w:vAlign w:val="center"/>
          </w:tcPr>
          <w:p w14:paraId="5DA5F046">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以书面形式</w:t>
            </w:r>
          </w:p>
        </w:tc>
      </w:tr>
      <w:tr w14:paraId="2603CC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89" w:type="dxa"/>
            <w:vMerge w:val="continue"/>
            <w:tcBorders>
              <w:top w:val="single" w:color="auto" w:sz="4" w:space="0"/>
              <w:left w:val="single" w:color="auto" w:sz="4" w:space="0"/>
              <w:bottom w:val="single" w:color="auto" w:sz="4" w:space="0"/>
              <w:right w:val="single" w:color="auto" w:sz="4" w:space="0"/>
            </w:tcBorders>
            <w:noWrap/>
            <w:vAlign w:val="center"/>
          </w:tcPr>
          <w:p w14:paraId="7B5F45FF">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p>
        </w:tc>
        <w:tc>
          <w:tcPr>
            <w:tcW w:w="2445" w:type="dxa"/>
            <w:tcBorders>
              <w:top w:val="single" w:color="auto" w:sz="4" w:space="0"/>
              <w:left w:val="single" w:color="auto" w:sz="4" w:space="0"/>
              <w:bottom w:val="single" w:color="auto" w:sz="4" w:space="0"/>
              <w:right w:val="single" w:color="auto" w:sz="4" w:space="0"/>
            </w:tcBorders>
            <w:noWrap/>
            <w:vAlign w:val="center"/>
          </w:tcPr>
          <w:p w14:paraId="257AB478">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质疑联系部门及联系方式</w:t>
            </w:r>
          </w:p>
        </w:tc>
        <w:tc>
          <w:tcPr>
            <w:tcW w:w="5354" w:type="dxa"/>
            <w:tcBorders>
              <w:top w:val="single" w:color="auto" w:sz="4" w:space="0"/>
              <w:left w:val="single" w:color="auto" w:sz="4" w:space="0"/>
              <w:bottom w:val="single" w:color="auto" w:sz="4" w:space="0"/>
              <w:right w:val="single" w:color="auto" w:sz="4" w:space="0"/>
            </w:tcBorders>
            <w:noWrap/>
            <w:vAlign w:val="center"/>
          </w:tcPr>
          <w:p w14:paraId="1FD4DE9F">
            <w:pPr>
              <w:keepNext w:val="0"/>
              <w:keepLines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（1）名称：</w:t>
            </w:r>
            <w:r>
              <w:rPr>
                <w:rFonts w:hint="eastAsia" w:ascii="宋体" w:hAnsi="宋体" w:eastAsia="宋体" w:cs="宋体"/>
                <w:color w:val="auto"/>
                <w:sz w:val="21"/>
                <w:szCs w:val="21"/>
                <w:highlight w:val="none"/>
                <w:lang w:eastAsia="zh-CN"/>
              </w:rPr>
              <w:t>右江民族医学院</w:t>
            </w:r>
          </w:p>
          <w:p w14:paraId="42131097">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联系电话：</w:t>
            </w:r>
            <w:r>
              <w:rPr>
                <w:rFonts w:hint="eastAsia" w:ascii="宋体" w:hAnsi="宋体" w:eastAsia="宋体" w:cs="宋体"/>
                <w:color w:val="auto"/>
                <w:kern w:val="0"/>
                <w:sz w:val="21"/>
                <w:szCs w:val="21"/>
                <w:highlight w:val="none"/>
                <w:lang w:val="en-US" w:eastAsia="zh-CN"/>
              </w:rPr>
              <w:t>0776-2961007</w:t>
            </w:r>
          </w:p>
          <w:p w14:paraId="1BEBF0C3">
            <w:pPr>
              <w:keepNext w:val="0"/>
              <w:keepLines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sz w:val="21"/>
                <w:szCs w:val="21"/>
                <w:highlight w:val="none"/>
              </w:rPr>
              <w:t>通讯地址：</w:t>
            </w:r>
            <w:r>
              <w:rPr>
                <w:rFonts w:hint="eastAsia" w:ascii="宋体" w:hAnsi="宋体" w:eastAsia="宋体" w:cs="宋体"/>
                <w:color w:val="auto"/>
                <w:kern w:val="0"/>
                <w:sz w:val="21"/>
                <w:szCs w:val="21"/>
                <w:highlight w:val="none"/>
                <w:lang w:eastAsia="zh-CN"/>
              </w:rPr>
              <w:t>百色市城乡路98号</w:t>
            </w:r>
          </w:p>
          <w:p w14:paraId="2449259E">
            <w:pPr>
              <w:keepNext w:val="0"/>
              <w:keepLines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（2）名称：</w:t>
            </w:r>
            <w:r>
              <w:rPr>
                <w:rFonts w:hint="eastAsia" w:ascii="宋体" w:hAnsi="宋体" w:cs="宋体"/>
                <w:color w:val="auto"/>
                <w:sz w:val="21"/>
                <w:szCs w:val="21"/>
                <w:highlight w:val="none"/>
                <w:lang w:eastAsia="zh-CN"/>
              </w:rPr>
              <w:t>广西众联工程项目管理有限公司</w:t>
            </w:r>
          </w:p>
          <w:p w14:paraId="7CDCFC62">
            <w:pPr>
              <w:keepNext w:val="0"/>
              <w:keepLines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联系电话：</w:t>
            </w:r>
            <w:r>
              <w:rPr>
                <w:rFonts w:hint="eastAsia" w:ascii="宋体" w:hAnsi="宋体" w:cs="宋体"/>
                <w:color w:val="auto"/>
                <w:sz w:val="21"/>
                <w:szCs w:val="21"/>
                <w:highlight w:val="none"/>
                <w:lang w:eastAsia="zh-CN"/>
              </w:rPr>
              <w:t>0771-4308370</w:t>
            </w:r>
          </w:p>
          <w:p w14:paraId="7D3487A9">
            <w:pPr>
              <w:keepNext w:val="0"/>
              <w:keepLines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通讯地址：</w:t>
            </w:r>
            <w:r>
              <w:rPr>
                <w:rFonts w:hint="default" w:ascii="宋体" w:hAnsi="宋体" w:eastAsia="宋体"/>
                <w:color w:val="auto"/>
                <w:szCs w:val="21"/>
                <w:highlight w:val="none"/>
                <w:lang w:val="en-US" w:eastAsia="zh-CN"/>
              </w:rPr>
              <w:t>南宁市江南区白沙大道53号松宇时代14A层</w:t>
            </w:r>
          </w:p>
        </w:tc>
      </w:tr>
      <w:tr w14:paraId="5C1ED7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89" w:type="dxa"/>
            <w:vMerge w:val="continue"/>
            <w:tcBorders>
              <w:top w:val="single" w:color="auto" w:sz="4" w:space="0"/>
              <w:left w:val="single" w:color="auto" w:sz="4" w:space="0"/>
              <w:bottom w:val="single" w:color="auto" w:sz="4" w:space="0"/>
              <w:right w:val="single" w:color="auto" w:sz="4" w:space="0"/>
            </w:tcBorders>
            <w:noWrap/>
            <w:vAlign w:val="center"/>
          </w:tcPr>
          <w:p w14:paraId="2D4C35B1">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p>
        </w:tc>
        <w:tc>
          <w:tcPr>
            <w:tcW w:w="2445" w:type="dxa"/>
            <w:tcBorders>
              <w:top w:val="single" w:color="auto" w:sz="4" w:space="0"/>
              <w:left w:val="single" w:color="auto" w:sz="4" w:space="0"/>
              <w:bottom w:val="single" w:color="auto" w:sz="4" w:space="0"/>
              <w:right w:val="single" w:color="auto" w:sz="4" w:space="0"/>
            </w:tcBorders>
            <w:noWrap/>
            <w:vAlign w:val="center"/>
          </w:tcPr>
          <w:p w14:paraId="3F6404E0">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现场提交质疑办理业务时间</w:t>
            </w:r>
          </w:p>
        </w:tc>
        <w:tc>
          <w:tcPr>
            <w:tcW w:w="5354" w:type="dxa"/>
            <w:tcBorders>
              <w:top w:val="single" w:color="auto" w:sz="4" w:space="0"/>
              <w:left w:val="single" w:color="auto" w:sz="4" w:space="0"/>
              <w:bottom w:val="single" w:color="auto" w:sz="4" w:space="0"/>
              <w:right w:val="single" w:color="auto" w:sz="4" w:space="0"/>
            </w:tcBorders>
            <w:noWrap/>
            <w:vAlign w:val="center"/>
          </w:tcPr>
          <w:p w14:paraId="1E397C97">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质疑期内每个工作日（北京时间）上午8时00分到12时00分，</w:t>
            </w:r>
            <w:r>
              <w:rPr>
                <w:rFonts w:hint="eastAsia" w:ascii="宋体" w:hAnsi="宋体" w:eastAsia="宋体" w:cs="宋体"/>
                <w:color w:val="auto"/>
                <w:sz w:val="21"/>
                <w:szCs w:val="21"/>
                <w:highlight w:val="none"/>
                <w:lang w:eastAsia="zh-CN"/>
              </w:rPr>
              <w:t>下午3点</w:t>
            </w:r>
            <w:r>
              <w:rPr>
                <w:rFonts w:hint="eastAsia" w:ascii="宋体" w:hAnsi="宋体" w:eastAsia="宋体" w:cs="宋体"/>
                <w:color w:val="auto"/>
                <w:sz w:val="21"/>
                <w:szCs w:val="21"/>
                <w:highlight w:val="none"/>
              </w:rPr>
              <w:t>00分到18时00分。</w:t>
            </w:r>
          </w:p>
        </w:tc>
      </w:tr>
      <w:tr w14:paraId="557231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89" w:type="dxa"/>
            <w:tcBorders>
              <w:top w:val="nil"/>
              <w:left w:val="single" w:color="auto" w:sz="4" w:space="0"/>
              <w:bottom w:val="single" w:color="auto" w:sz="4" w:space="0"/>
              <w:right w:val="single" w:color="auto" w:sz="4" w:space="0"/>
            </w:tcBorders>
            <w:noWrap/>
            <w:vAlign w:val="center"/>
          </w:tcPr>
          <w:p w14:paraId="60353D60">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38.3.1</w:t>
            </w:r>
          </w:p>
        </w:tc>
        <w:tc>
          <w:tcPr>
            <w:tcW w:w="2445" w:type="dxa"/>
            <w:tcBorders>
              <w:top w:val="single" w:color="auto" w:sz="4" w:space="0"/>
              <w:left w:val="single" w:color="auto" w:sz="4" w:space="0"/>
              <w:bottom w:val="single" w:color="auto" w:sz="4" w:space="0"/>
              <w:right w:val="single" w:color="auto" w:sz="4" w:space="0"/>
            </w:tcBorders>
            <w:noWrap/>
            <w:vAlign w:val="center"/>
          </w:tcPr>
          <w:p w14:paraId="4FBAD54D">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投诉受理方式</w:t>
            </w:r>
          </w:p>
        </w:tc>
        <w:tc>
          <w:tcPr>
            <w:tcW w:w="5354" w:type="dxa"/>
            <w:tcBorders>
              <w:top w:val="single" w:color="auto" w:sz="4" w:space="0"/>
              <w:left w:val="single" w:color="auto" w:sz="4" w:space="0"/>
              <w:bottom w:val="single" w:color="auto" w:sz="4" w:space="0"/>
              <w:right w:val="single" w:color="auto" w:sz="4" w:space="0"/>
            </w:tcBorders>
            <w:noWrap/>
            <w:vAlign w:val="center"/>
          </w:tcPr>
          <w:p w14:paraId="7D7748DD">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受理方式：纸质方式受理，投诉书正、副本（经过质疑的事项才可投诉）。</w:t>
            </w:r>
          </w:p>
          <w:p w14:paraId="482BC614">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通讯方式：</w:t>
            </w:r>
          </w:p>
          <w:p w14:paraId="120D37BD">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名称：</w:t>
            </w:r>
            <w:bookmarkStart w:id="98" w:name="OLE_LINK209"/>
            <w:r>
              <w:rPr>
                <w:rFonts w:hint="eastAsia" w:ascii="宋体" w:hAnsi="宋体" w:eastAsia="宋体" w:cs="宋体"/>
                <w:color w:val="auto"/>
                <w:sz w:val="21"/>
                <w:szCs w:val="21"/>
                <w:highlight w:val="none"/>
              </w:rPr>
              <w:t>广西壮族自治区财政厅政府采购监督管理处</w:t>
            </w:r>
          </w:p>
          <w:bookmarkEnd w:id="98"/>
          <w:p w14:paraId="5FABB4DC">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地址：南宁市桃源路69号广西财政大厦7楼</w:t>
            </w:r>
          </w:p>
          <w:p w14:paraId="5CC31985">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联系电话：0771-5331544 </w:t>
            </w:r>
          </w:p>
        </w:tc>
      </w:tr>
      <w:tr w14:paraId="4EB5DB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89" w:type="dxa"/>
            <w:vMerge w:val="restart"/>
            <w:tcBorders>
              <w:top w:val="single" w:color="auto" w:sz="4" w:space="0"/>
              <w:left w:val="single" w:color="auto" w:sz="4" w:space="0"/>
              <w:bottom w:val="single" w:color="auto" w:sz="4" w:space="0"/>
              <w:right w:val="single" w:color="auto" w:sz="4" w:space="0"/>
            </w:tcBorders>
            <w:noWrap/>
            <w:vAlign w:val="center"/>
          </w:tcPr>
          <w:p w14:paraId="7789F019">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40</w:t>
            </w:r>
          </w:p>
        </w:tc>
        <w:tc>
          <w:tcPr>
            <w:tcW w:w="2445" w:type="dxa"/>
            <w:tcBorders>
              <w:top w:val="single" w:color="auto" w:sz="4" w:space="0"/>
              <w:left w:val="single" w:color="auto" w:sz="4" w:space="0"/>
              <w:bottom w:val="single" w:color="auto" w:sz="4" w:space="0"/>
              <w:right w:val="single" w:color="auto" w:sz="4" w:space="0"/>
            </w:tcBorders>
            <w:noWrap/>
            <w:vAlign w:val="center"/>
          </w:tcPr>
          <w:p w14:paraId="502B42A7">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bookmarkStart w:id="99" w:name="_42"/>
            <w:bookmarkEnd w:id="99"/>
            <w:bookmarkStart w:id="100" w:name="_41"/>
            <w:bookmarkEnd w:id="100"/>
            <w:r>
              <w:rPr>
                <w:rFonts w:hint="eastAsia" w:ascii="宋体" w:hAnsi="宋体" w:eastAsia="宋体" w:cs="宋体"/>
                <w:color w:val="auto"/>
                <w:sz w:val="21"/>
                <w:szCs w:val="21"/>
                <w:highlight w:val="none"/>
              </w:rPr>
              <w:t>采购代理服务费支付方式</w:t>
            </w:r>
          </w:p>
        </w:tc>
        <w:tc>
          <w:tcPr>
            <w:tcW w:w="5354" w:type="dxa"/>
            <w:tcBorders>
              <w:top w:val="single" w:color="auto" w:sz="4" w:space="0"/>
              <w:left w:val="single" w:color="auto" w:sz="4" w:space="0"/>
              <w:bottom w:val="single" w:color="auto" w:sz="4" w:space="0"/>
              <w:right w:val="single" w:color="auto" w:sz="4" w:space="0"/>
            </w:tcBorders>
            <w:noWrap/>
            <w:vAlign w:val="center"/>
          </w:tcPr>
          <w:p w14:paraId="54ECB40C">
            <w:pPr>
              <w:pStyle w:val="14"/>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highlight w:val="none"/>
                <w:lang w:eastAsia="zh-CN"/>
              </w:rPr>
              <w:t>☑</w:t>
            </w:r>
            <w:r>
              <w:rPr>
                <w:rFonts w:hint="eastAsia" w:ascii="宋体" w:hAnsi="宋体" w:eastAsia="宋体" w:cs="宋体"/>
                <w:color w:val="auto"/>
                <w:sz w:val="21"/>
                <w:highlight w:val="none"/>
              </w:rPr>
              <w:t>本项目</w:t>
            </w:r>
            <w:r>
              <w:rPr>
                <w:rFonts w:hint="eastAsia" w:ascii="宋体" w:hAnsi="宋体" w:eastAsia="宋体" w:cs="宋体"/>
                <w:color w:val="auto"/>
                <w:sz w:val="21"/>
                <w:highlight w:val="none"/>
                <w:lang w:eastAsia="zh-CN"/>
              </w:rPr>
              <w:t>采购</w:t>
            </w:r>
            <w:r>
              <w:rPr>
                <w:rFonts w:hint="eastAsia" w:ascii="宋体" w:hAnsi="宋体" w:eastAsia="宋体" w:cs="宋体"/>
                <w:color w:val="auto"/>
                <w:sz w:val="21"/>
                <w:highlight w:val="none"/>
              </w:rPr>
              <w:t>代理</w:t>
            </w:r>
            <w:r>
              <w:rPr>
                <w:rFonts w:hint="eastAsia" w:ascii="宋体" w:hAnsi="宋体" w:eastAsia="宋体" w:cs="宋体"/>
                <w:color w:val="auto"/>
                <w:sz w:val="21"/>
                <w:highlight w:val="none"/>
                <w:lang w:eastAsia="zh-CN"/>
              </w:rPr>
              <w:t>服务</w:t>
            </w:r>
            <w:r>
              <w:rPr>
                <w:rFonts w:hint="eastAsia" w:ascii="宋体" w:hAnsi="宋体" w:eastAsia="宋体" w:cs="宋体"/>
                <w:color w:val="auto"/>
                <w:sz w:val="21"/>
                <w:highlight w:val="none"/>
              </w:rPr>
              <w:t>费由</w:t>
            </w:r>
            <w:r>
              <w:rPr>
                <w:rFonts w:hint="eastAsia" w:ascii="宋体" w:hAnsi="宋体" w:eastAsia="宋体" w:cs="宋体"/>
                <w:color w:val="auto"/>
                <w:sz w:val="21"/>
                <w:highlight w:val="none"/>
                <w:u w:val="single"/>
                <w:lang w:eastAsia="zh-CN"/>
              </w:rPr>
              <w:t>中标</w:t>
            </w:r>
            <w:r>
              <w:rPr>
                <w:rFonts w:hint="eastAsia" w:ascii="宋体" w:hAnsi="宋体" w:eastAsia="宋体" w:cs="宋体"/>
                <w:color w:val="auto"/>
                <w:sz w:val="21"/>
                <w:highlight w:val="none"/>
                <w:u w:val="single"/>
              </w:rPr>
              <w:t>人</w:t>
            </w:r>
            <w:r>
              <w:rPr>
                <w:rFonts w:hint="eastAsia" w:ascii="宋体" w:hAnsi="宋体" w:eastAsia="宋体" w:cs="宋体"/>
                <w:color w:val="auto"/>
                <w:sz w:val="21"/>
                <w:highlight w:val="none"/>
              </w:rPr>
              <w:t>在</w:t>
            </w:r>
            <w:r>
              <w:rPr>
                <w:rFonts w:hint="eastAsia" w:ascii="宋体" w:hAnsi="宋体" w:eastAsia="宋体" w:cs="宋体"/>
                <w:color w:val="auto"/>
                <w:sz w:val="21"/>
                <w:highlight w:val="none"/>
                <w:lang w:val="en-US" w:eastAsia="zh-CN"/>
              </w:rPr>
              <w:t>签订合同</w:t>
            </w:r>
            <w:r>
              <w:rPr>
                <w:rFonts w:hint="eastAsia" w:ascii="宋体" w:hAnsi="宋体" w:eastAsia="宋体" w:cs="宋体"/>
                <w:color w:val="auto"/>
                <w:sz w:val="21"/>
                <w:highlight w:val="none"/>
              </w:rPr>
              <w:t>前，</w:t>
            </w:r>
            <w:r>
              <w:rPr>
                <w:rFonts w:hint="eastAsia" w:ascii="宋体" w:hAnsi="宋体" w:eastAsia="宋体" w:cs="宋体"/>
                <w:color w:val="auto"/>
                <w:sz w:val="21"/>
                <w:highlight w:val="none"/>
                <w:lang w:val="en-US" w:eastAsia="zh-CN"/>
              </w:rPr>
              <w:t>以银行转账、电汇等方式</w:t>
            </w:r>
            <w:r>
              <w:rPr>
                <w:rFonts w:hint="eastAsia" w:ascii="宋体" w:hAnsi="宋体" w:eastAsia="宋体" w:cs="宋体"/>
                <w:color w:val="auto"/>
                <w:sz w:val="21"/>
                <w:highlight w:val="none"/>
              </w:rPr>
              <w:t>一次性向采购代理机构支付。</w:t>
            </w:r>
          </w:p>
        </w:tc>
      </w:tr>
      <w:tr w14:paraId="35E387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89" w:type="dxa"/>
            <w:vMerge w:val="continue"/>
            <w:tcBorders>
              <w:top w:val="single" w:color="auto" w:sz="4" w:space="0"/>
              <w:left w:val="single" w:color="auto" w:sz="4" w:space="0"/>
              <w:bottom w:val="single" w:color="auto" w:sz="4" w:space="0"/>
              <w:right w:val="single" w:color="auto" w:sz="4" w:space="0"/>
            </w:tcBorders>
            <w:noWrap/>
            <w:vAlign w:val="center"/>
          </w:tcPr>
          <w:p w14:paraId="4DD54F5B">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p>
        </w:tc>
        <w:tc>
          <w:tcPr>
            <w:tcW w:w="2445" w:type="dxa"/>
            <w:tcBorders>
              <w:top w:val="single" w:color="auto" w:sz="4" w:space="0"/>
              <w:left w:val="single" w:color="auto" w:sz="4" w:space="0"/>
              <w:bottom w:val="single" w:color="auto" w:sz="4" w:space="0"/>
              <w:right w:val="single" w:color="auto" w:sz="4" w:space="0"/>
            </w:tcBorders>
            <w:noWrap/>
            <w:vAlign w:val="center"/>
          </w:tcPr>
          <w:p w14:paraId="5F83E9B8">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采购代理服务费收取标准</w:t>
            </w:r>
          </w:p>
        </w:tc>
        <w:tc>
          <w:tcPr>
            <w:tcW w:w="5354" w:type="dxa"/>
            <w:tcBorders>
              <w:top w:val="single" w:color="auto" w:sz="4" w:space="0"/>
              <w:left w:val="single" w:color="auto" w:sz="4" w:space="0"/>
              <w:bottom w:val="single" w:color="auto" w:sz="4" w:space="0"/>
              <w:right w:val="single" w:color="auto" w:sz="4" w:space="0"/>
            </w:tcBorders>
            <w:noWrap/>
            <w:vAlign w:val="center"/>
          </w:tcPr>
          <w:p w14:paraId="7AF76AEE">
            <w:pPr>
              <w:pStyle w:val="14"/>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u w:val="single"/>
              </w:rPr>
            </w:pPr>
            <w:bookmarkStart w:id="101" w:name="PO_3000001867_PM025"/>
            <w:r>
              <w:rPr>
                <w:rFonts w:hint="eastAsia" w:ascii="宋体" w:hAnsi="宋体" w:eastAsia="宋体" w:cs="宋体"/>
                <w:color w:val="auto"/>
                <w:sz w:val="21"/>
                <w:highlight w:val="none"/>
                <w:lang w:val="en-US" w:eastAsia="zh-CN"/>
              </w:rPr>
              <w:t>☑以分标（☑中标金额/□采购预算/□暂定中标金额/□其他</w:t>
            </w:r>
            <w:r>
              <w:rPr>
                <w:rFonts w:hint="eastAsia" w:ascii="宋体" w:hAnsi="宋体" w:eastAsia="宋体" w:cs="宋体"/>
                <w:color w:val="auto"/>
                <w:sz w:val="21"/>
                <w:highlight w:val="none"/>
                <w:u w:val="single"/>
                <w:lang w:val="en-US" w:eastAsia="zh-CN"/>
              </w:rPr>
              <w:t xml:space="preserve">   </w:t>
            </w:r>
            <w:r>
              <w:rPr>
                <w:rFonts w:hint="eastAsia" w:ascii="宋体" w:hAnsi="宋体" w:eastAsia="宋体" w:cs="宋体"/>
                <w:color w:val="auto"/>
                <w:sz w:val="21"/>
                <w:highlight w:val="none"/>
                <w:lang w:val="en-US" w:eastAsia="zh-CN"/>
              </w:rPr>
              <w:t>）为计费额，按本须知正文第40.2条规定的收费计算标准（</w:t>
            </w:r>
            <w:r>
              <w:rPr>
                <w:rFonts w:hint="eastAsia" w:ascii="宋体" w:hAnsi="宋体" w:eastAsia="宋体" w:cs="宋体"/>
                <w:b/>
                <w:bCs/>
                <w:color w:val="auto"/>
                <w:sz w:val="21"/>
                <w:highlight w:val="none"/>
                <w:lang w:val="en-US" w:eastAsia="zh-CN"/>
              </w:rPr>
              <w:t>服务类</w:t>
            </w:r>
            <w:r>
              <w:rPr>
                <w:rFonts w:hint="eastAsia" w:hAnsi="宋体" w:cs="宋体"/>
                <w:color w:val="auto"/>
                <w:sz w:val="21"/>
                <w:highlight w:val="none"/>
                <w:lang w:val="en-US" w:eastAsia="zh-CN"/>
              </w:rPr>
              <w:t>、</w:t>
            </w:r>
            <w:r>
              <w:rPr>
                <w:rFonts w:hint="eastAsia" w:ascii="宋体" w:hAnsi="宋体" w:eastAsia="宋体" w:cs="宋体"/>
                <w:b/>
                <w:bCs/>
                <w:color w:val="auto"/>
                <w:sz w:val="21"/>
                <w:highlight w:val="none"/>
                <w:lang w:val="en-US" w:eastAsia="zh-CN"/>
              </w:rPr>
              <w:t>货物类</w:t>
            </w:r>
            <w:r>
              <w:rPr>
                <w:rFonts w:hint="eastAsia" w:ascii="宋体" w:hAnsi="宋体" w:eastAsia="宋体" w:cs="宋体"/>
                <w:color w:val="auto"/>
                <w:sz w:val="21"/>
                <w:highlight w:val="none"/>
                <w:lang w:val="en-US" w:eastAsia="zh-CN"/>
              </w:rPr>
              <w:t>）采用差额定率累进法计算出收费基准价格，采购代理收费以（□收费基准价格/☑收费基准价格下浮</w:t>
            </w:r>
            <w:r>
              <w:rPr>
                <w:rFonts w:hint="eastAsia" w:ascii="宋体" w:hAnsi="宋体" w:eastAsia="宋体" w:cs="宋体"/>
                <w:color w:val="auto"/>
                <w:sz w:val="21"/>
                <w:highlight w:val="none"/>
                <w:u w:val="single"/>
                <w:lang w:val="en-US" w:eastAsia="zh-CN"/>
              </w:rPr>
              <w:t xml:space="preserve"> 30 %</w:t>
            </w:r>
            <w:r>
              <w:rPr>
                <w:rFonts w:hint="eastAsia" w:ascii="宋体" w:hAnsi="宋体" w:eastAsia="宋体" w:cs="宋体"/>
                <w:color w:val="auto"/>
                <w:sz w:val="21"/>
                <w:highlight w:val="none"/>
                <w:lang w:val="en-US" w:eastAsia="zh-CN"/>
              </w:rPr>
              <w:t>/□收费基准价格上浮</w:t>
            </w:r>
            <w:r>
              <w:rPr>
                <w:rFonts w:hint="eastAsia" w:ascii="宋体" w:hAnsi="宋体" w:eastAsia="宋体" w:cs="宋体"/>
                <w:color w:val="auto"/>
                <w:sz w:val="21"/>
                <w:highlight w:val="none"/>
                <w:u w:val="single"/>
                <w:lang w:val="en-US" w:eastAsia="zh-CN"/>
              </w:rPr>
              <w:t xml:space="preserve">   %</w:t>
            </w:r>
            <w:r>
              <w:rPr>
                <w:rFonts w:hint="eastAsia" w:ascii="宋体" w:hAnsi="宋体" w:eastAsia="宋体" w:cs="宋体"/>
                <w:color w:val="auto"/>
                <w:sz w:val="21"/>
                <w:highlight w:val="none"/>
                <w:lang w:val="en-US" w:eastAsia="zh-CN"/>
              </w:rPr>
              <w:t>）收取。</w:t>
            </w:r>
            <w:bookmarkEnd w:id="101"/>
          </w:p>
        </w:tc>
      </w:tr>
      <w:tr w14:paraId="4240D8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89" w:type="dxa"/>
            <w:vMerge w:val="continue"/>
            <w:tcBorders>
              <w:top w:val="single" w:color="auto" w:sz="4" w:space="0"/>
              <w:left w:val="single" w:color="auto" w:sz="4" w:space="0"/>
              <w:bottom w:val="single" w:color="auto" w:sz="4" w:space="0"/>
              <w:right w:val="single" w:color="auto" w:sz="4" w:space="0"/>
            </w:tcBorders>
            <w:noWrap/>
            <w:vAlign w:val="center"/>
          </w:tcPr>
          <w:p w14:paraId="43F8F75B">
            <w:pPr>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p>
        </w:tc>
        <w:tc>
          <w:tcPr>
            <w:tcW w:w="2445" w:type="dxa"/>
            <w:tcBorders>
              <w:top w:val="single" w:color="auto" w:sz="4" w:space="0"/>
              <w:left w:val="single" w:color="auto" w:sz="4" w:space="0"/>
              <w:bottom w:val="single" w:color="auto" w:sz="4" w:space="0"/>
              <w:right w:val="single" w:color="auto" w:sz="4" w:space="0"/>
            </w:tcBorders>
            <w:noWrap/>
            <w:vAlign w:val="center"/>
          </w:tcPr>
          <w:p w14:paraId="19CD5E03">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采购代理服务费收款账户信息</w:t>
            </w:r>
          </w:p>
        </w:tc>
        <w:tc>
          <w:tcPr>
            <w:tcW w:w="5354" w:type="dxa"/>
            <w:tcBorders>
              <w:top w:val="single" w:color="auto" w:sz="4" w:space="0"/>
              <w:left w:val="single" w:color="auto" w:sz="4" w:space="0"/>
              <w:bottom w:val="single" w:color="auto" w:sz="4" w:space="0"/>
              <w:right w:val="single" w:color="auto" w:sz="4" w:space="0"/>
            </w:tcBorders>
            <w:noWrap/>
            <w:vAlign w:val="center"/>
          </w:tcPr>
          <w:p w14:paraId="626654C0">
            <w:pPr>
              <w:pStyle w:val="14"/>
              <w:keepNext w:val="0"/>
              <w:keepLines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账户名称：</w:t>
            </w:r>
            <w:r>
              <w:rPr>
                <w:rFonts w:hint="eastAsia" w:hAnsi="宋体" w:cs="宋体"/>
                <w:color w:val="auto"/>
                <w:sz w:val="21"/>
                <w:szCs w:val="21"/>
                <w:highlight w:val="none"/>
                <w:lang w:eastAsia="zh-CN"/>
              </w:rPr>
              <w:t>广西众联工程项目管理有限公司</w:t>
            </w:r>
            <w:r>
              <w:rPr>
                <w:rFonts w:hint="eastAsia" w:ascii="宋体" w:hAnsi="宋体" w:eastAsia="宋体" w:cs="宋体"/>
                <w:color w:val="auto"/>
                <w:sz w:val="21"/>
                <w:szCs w:val="21"/>
                <w:highlight w:val="none"/>
              </w:rPr>
              <w:t xml:space="preserve"> </w:t>
            </w:r>
          </w:p>
          <w:p w14:paraId="0CA4E29A">
            <w:pPr>
              <w:pStyle w:val="14"/>
              <w:keepNext w:val="0"/>
              <w:keepLines w:val="0"/>
              <w:suppressLineNumbers w:val="0"/>
              <w:snapToGrid w:val="0"/>
              <w:spacing w:before="0" w:beforeAutospacing="0" w:after="0" w:afterAutospacing="0"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开户银行：中国光大银行股份有限公司南宁民主支行</w:t>
            </w:r>
          </w:p>
          <w:p w14:paraId="4B68F932">
            <w:pPr>
              <w:pStyle w:val="14"/>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银行账号：</w:t>
            </w:r>
            <w:r>
              <w:rPr>
                <w:rFonts w:hint="eastAsia" w:ascii="宋体" w:hAnsi="宋体" w:cs="宋体"/>
                <w:color w:val="auto"/>
                <w:kern w:val="0"/>
                <w:szCs w:val="21"/>
                <w:highlight w:val="none"/>
                <w:lang w:bidi="ar"/>
              </w:rPr>
              <w:t>78900188000167866</w:t>
            </w:r>
          </w:p>
        </w:tc>
      </w:tr>
      <w:tr w14:paraId="2E4F30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89" w:type="dxa"/>
            <w:tcBorders>
              <w:top w:val="single" w:color="auto" w:sz="4" w:space="0"/>
              <w:left w:val="single" w:color="auto" w:sz="4" w:space="0"/>
              <w:bottom w:val="single" w:color="auto" w:sz="4" w:space="0"/>
              <w:right w:val="single" w:color="auto" w:sz="4" w:space="0"/>
            </w:tcBorders>
            <w:noWrap/>
            <w:vAlign w:val="center"/>
          </w:tcPr>
          <w:p w14:paraId="068821D4">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41.1</w:t>
            </w:r>
          </w:p>
        </w:tc>
        <w:tc>
          <w:tcPr>
            <w:tcW w:w="2445" w:type="dxa"/>
            <w:tcBorders>
              <w:top w:val="single" w:color="auto" w:sz="4" w:space="0"/>
              <w:left w:val="single" w:color="auto" w:sz="4" w:space="0"/>
              <w:bottom w:val="single" w:color="auto" w:sz="4" w:space="0"/>
              <w:right w:val="single" w:color="auto" w:sz="4" w:space="0"/>
            </w:tcBorders>
            <w:noWrap/>
            <w:vAlign w:val="center"/>
          </w:tcPr>
          <w:p w14:paraId="6BE3C557">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解释</w:t>
            </w:r>
          </w:p>
        </w:tc>
        <w:tc>
          <w:tcPr>
            <w:tcW w:w="5354" w:type="dxa"/>
            <w:tcBorders>
              <w:top w:val="single" w:color="auto" w:sz="4" w:space="0"/>
              <w:left w:val="single" w:color="auto" w:sz="4" w:space="0"/>
              <w:bottom w:val="single" w:color="auto" w:sz="4" w:space="0"/>
              <w:right w:val="single" w:color="auto" w:sz="4" w:space="0"/>
            </w:tcBorders>
            <w:noWrap/>
            <w:vAlign w:val="center"/>
          </w:tcPr>
          <w:p w14:paraId="0B172053">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b/>
                <w:color w:val="auto"/>
                <w:sz w:val="21"/>
                <w:szCs w:val="21"/>
                <w:highlight w:val="none"/>
              </w:rPr>
            </w:pPr>
            <w:r>
              <w:rPr>
                <w:rFonts w:hint="eastAsia" w:ascii="宋体" w:hAnsi="宋体" w:eastAsia="宋体" w:cs="宋体"/>
                <w:b/>
                <w:color w:val="auto"/>
                <w:sz w:val="21"/>
                <w:szCs w:val="21"/>
                <w:highlight w:val="none"/>
              </w:rPr>
              <w:t>解释：</w:t>
            </w:r>
            <w:r>
              <w:rPr>
                <w:rFonts w:hint="eastAsia" w:ascii="宋体" w:hAnsi="宋体" w:eastAsia="宋体" w:cs="宋体"/>
                <w:color w:val="auto"/>
                <w:sz w:val="21"/>
                <w:szCs w:val="21"/>
                <w:highlight w:val="none"/>
              </w:rPr>
              <w:t>构成本招标文件的各个组成文件应互为解释，互为说明。除招标文件中有特别规定外，仅适用于招标投标阶段的规定，按更正公告（澄清公告）、招标公告、采购需求、投标人须知、评标方法和评标标准、拟签订的合同文本、投标文件格式的先后顺序解释。同一组成文件中就同一事项的规定或者约定不一致的，以编排顺序在后者为准。同一组成文件不同版本之间有不一致的，以形成时间在后者为准。更正公告（澄清公告）与同步更新的招标文件不一致时以更正公告（澄清公告）为准。按本款前述规定仍不能形成结论的</w:t>
            </w:r>
            <w:r>
              <w:rPr>
                <w:rFonts w:hint="eastAsia" w:ascii="宋体" w:hAnsi="宋体" w:eastAsia="宋体" w:cs="宋体"/>
                <w:b/>
                <w:color w:val="auto"/>
                <w:sz w:val="21"/>
                <w:szCs w:val="21"/>
                <w:highlight w:val="none"/>
              </w:rPr>
              <w:t>，由采购人或者采购代理机构负责解释。</w:t>
            </w:r>
          </w:p>
          <w:p w14:paraId="71E50BDA">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b/>
                <w:color w:val="auto"/>
                <w:sz w:val="21"/>
                <w:szCs w:val="21"/>
                <w:highlight w:val="none"/>
              </w:rPr>
            </w:pPr>
            <w:r>
              <w:rPr>
                <w:rFonts w:hint="eastAsia" w:ascii="宋体" w:hAnsi="宋体" w:eastAsia="宋体" w:cs="宋体"/>
                <w:b/>
                <w:color w:val="auto"/>
                <w:sz w:val="21"/>
                <w:szCs w:val="21"/>
                <w:highlight w:val="none"/>
              </w:rPr>
              <w:t>法律责任：</w:t>
            </w:r>
          </w:p>
          <w:p w14:paraId="3B203907">
            <w:pPr>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本采购文件根据《中华人民共和国政府采购法》、《中华人民共和国民法典》、《中华人民共和国政府采购法实施条例》、《政府采购货物和服务招标投标管理办法》等有关法律、法规编制，参与本项目的各政府采购当事人依法享有上述法律法规所赋予的权利与义务。</w:t>
            </w:r>
          </w:p>
        </w:tc>
      </w:tr>
      <w:tr w14:paraId="21F33D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89" w:type="dxa"/>
            <w:tcBorders>
              <w:top w:val="single" w:color="auto" w:sz="4" w:space="0"/>
              <w:left w:val="single" w:color="auto" w:sz="4" w:space="0"/>
              <w:bottom w:val="single" w:color="auto" w:sz="4" w:space="0"/>
              <w:right w:val="single" w:color="auto" w:sz="4" w:space="0"/>
            </w:tcBorders>
            <w:noWrap/>
            <w:vAlign w:val="center"/>
          </w:tcPr>
          <w:p w14:paraId="47071619">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41.2</w:t>
            </w:r>
          </w:p>
        </w:tc>
        <w:tc>
          <w:tcPr>
            <w:tcW w:w="2445" w:type="dxa"/>
            <w:tcBorders>
              <w:top w:val="single" w:color="auto" w:sz="4" w:space="0"/>
              <w:left w:val="single" w:color="auto" w:sz="4" w:space="0"/>
              <w:bottom w:val="single" w:color="auto" w:sz="4" w:space="0"/>
              <w:right w:val="single" w:color="auto" w:sz="4" w:space="0"/>
            </w:tcBorders>
            <w:noWrap/>
            <w:vAlign w:val="center"/>
          </w:tcPr>
          <w:p w14:paraId="6F9D61F6">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其他释义</w:t>
            </w:r>
          </w:p>
        </w:tc>
        <w:tc>
          <w:tcPr>
            <w:tcW w:w="5354" w:type="dxa"/>
            <w:tcBorders>
              <w:top w:val="single" w:color="auto" w:sz="4" w:space="0"/>
              <w:left w:val="single" w:color="auto" w:sz="4" w:space="0"/>
              <w:bottom w:val="single" w:color="auto" w:sz="4" w:space="0"/>
              <w:right w:val="single" w:color="auto" w:sz="4" w:space="0"/>
            </w:tcBorders>
            <w:noWrap/>
            <w:vAlign w:val="center"/>
          </w:tcPr>
          <w:p w14:paraId="4EEB8A88">
            <w:pPr>
              <w:pStyle w:val="10"/>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本招标文件中描述投标人的“公章”是指根据我国对公章的管理规定，用投标人法定主体行为名称制作的实物印章或投标人通过指定电子化政府采购平台办理数字证书（CA认证）获得的以法定主体行为名称制作的电子印章。除本招标文件有特殊规定外，投标人的财务章、部门章、分公司章、工会章、合同章、投标专用章、业务专用章及银行的转账章、现金收讫章、现金付讫章等其他形式印章均不能代替公章。</w:t>
            </w:r>
          </w:p>
          <w:p w14:paraId="41BADEE4">
            <w:pPr>
              <w:pStyle w:val="10"/>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2.本招标文件中描述投标人的“签字”是指投标人通过指定电子化政府采购平台办理数字证书（CA认证）获得的以投标人法定代表人或者委托代理人姓名制作的电子印章或手写签字。</w:t>
            </w:r>
          </w:p>
          <w:p w14:paraId="18796283">
            <w:pPr>
              <w:pStyle w:val="10"/>
              <w:keepNext w:val="0"/>
              <w:keepLines w:val="0"/>
              <w:suppressLineNumbers w:val="0"/>
              <w:tabs>
                <w:tab w:val="center" w:pos="4153"/>
                <w:tab w:val="right" w:pos="8306"/>
              </w:tabs>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3.本招标文件所称的“电子签章”“电子签名”，是指经广西政府采购云平台认可的CA认证的电子签名数据为表现形式的印章，可用于签署电子投标文件，电子印章与实物印章具有同等法律效力，不因其采用电子化表现形式而否定其法律效力。</w:t>
            </w:r>
          </w:p>
          <w:p w14:paraId="6235813E">
            <w:pPr>
              <w:pStyle w:val="10"/>
              <w:keepNext w:val="0"/>
              <w:keepLines w:val="0"/>
              <w:suppressLineNumbers w:val="0"/>
              <w:snapToGrid w:val="0"/>
              <w:spacing w:before="0" w:beforeAutospacing="0" w:after="0" w:afterAutospacing="0" w:line="240" w:lineRule="auto"/>
              <w:ind w:left="0" w:leftChars="0" w:right="0" w:rightChars="0" w:firstLine="0" w:firstLineChars="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4.投标人为其他组织或者自然人时，本招标文件规定的法定代表人指负责人或者自然人。本招标文件所称负责人是指参加投标的其他组织营业执照上的负责人，本招标文件所称自然人指参与投标的自然人本人。</w:t>
            </w:r>
          </w:p>
          <w:p w14:paraId="326F9F01">
            <w:pPr>
              <w:pStyle w:val="10"/>
              <w:keepNext w:val="0"/>
              <w:keepLines w:val="0"/>
              <w:suppressLineNumbers w:val="0"/>
              <w:snapToGrid w:val="0"/>
              <w:spacing w:before="0" w:beforeAutospacing="0" w:after="0" w:afterAutospacing="0" w:line="240" w:lineRule="auto"/>
              <w:ind w:left="0" w:right="0" w:firstLine="420" w:firstLineChars="2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5.自然人投标的，招标文件规定盖公章处由自然人摁手指指印。</w:t>
            </w:r>
          </w:p>
        </w:tc>
      </w:tr>
    </w:tbl>
    <w:p w14:paraId="2E3B2178">
      <w:pPr>
        <w:pStyle w:val="3"/>
        <w:ind w:firstLine="482"/>
        <w:jc w:val="center"/>
        <w:rPr>
          <w:rFonts w:ascii="宋体" w:hAnsi="宋体" w:eastAsia="宋体" w:cs="宋体"/>
          <w:color w:val="auto"/>
          <w:highlight w:val="none"/>
        </w:rPr>
      </w:pPr>
      <w:bookmarkStart w:id="102" w:name="_Toc21899"/>
      <w:bookmarkStart w:id="103" w:name="_Toc9224"/>
      <w:bookmarkStart w:id="104" w:name="_Toc21704"/>
      <w:bookmarkStart w:id="105" w:name="_Toc29181"/>
      <w:r>
        <w:rPr>
          <w:rFonts w:hint="eastAsia" w:ascii="宋体" w:hAnsi="宋体" w:eastAsia="宋体" w:cs="宋体"/>
          <w:color w:val="auto"/>
          <w:highlight w:val="none"/>
        </w:rPr>
        <w:br w:type="page"/>
      </w:r>
      <w:r>
        <w:rPr>
          <w:rFonts w:hint="eastAsia" w:ascii="宋体" w:hAnsi="宋体" w:eastAsia="宋体" w:cs="宋体"/>
          <w:color w:val="auto"/>
          <w:highlight w:val="none"/>
        </w:rPr>
        <w:t>第二节 投标人须知正文</w:t>
      </w:r>
      <w:bookmarkEnd w:id="102"/>
      <w:bookmarkEnd w:id="103"/>
      <w:bookmarkEnd w:id="104"/>
      <w:bookmarkEnd w:id="105"/>
    </w:p>
    <w:p w14:paraId="50AEA59E">
      <w:pPr>
        <w:pStyle w:val="4"/>
        <w:keepNext w:val="0"/>
        <w:keepLines w:val="0"/>
        <w:spacing w:line="400" w:lineRule="exact"/>
        <w:jc w:val="center"/>
        <w:rPr>
          <w:rFonts w:ascii="宋体" w:hAnsi="宋体" w:cs="宋体"/>
          <w:color w:val="auto"/>
          <w:highlight w:val="none"/>
        </w:rPr>
      </w:pPr>
      <w:bookmarkStart w:id="106" w:name="_Toc13703"/>
      <w:bookmarkStart w:id="107" w:name="_Toc2156"/>
      <w:bookmarkStart w:id="108" w:name="_Toc5656"/>
      <w:bookmarkStart w:id="109" w:name="_Toc9192"/>
      <w:r>
        <w:rPr>
          <w:rFonts w:hint="eastAsia" w:ascii="宋体" w:hAnsi="宋体" w:cs="宋体"/>
          <w:color w:val="auto"/>
          <w:highlight w:val="none"/>
        </w:rPr>
        <w:t>一、总  则</w:t>
      </w:r>
      <w:bookmarkEnd w:id="106"/>
      <w:bookmarkEnd w:id="107"/>
      <w:bookmarkEnd w:id="108"/>
      <w:bookmarkEnd w:id="109"/>
    </w:p>
    <w:p w14:paraId="0556C5CB">
      <w:pPr>
        <w:spacing w:line="360" w:lineRule="auto"/>
        <w:ind w:firstLine="480" w:firstLineChars="200"/>
        <w:rPr>
          <w:rFonts w:ascii="宋体" w:hAnsi="宋体" w:cs="宋体"/>
          <w:color w:val="auto"/>
          <w:sz w:val="24"/>
          <w:highlight w:val="none"/>
        </w:rPr>
      </w:pPr>
      <w:bookmarkStart w:id="110" w:name="_Toc254970527"/>
      <w:bookmarkStart w:id="111" w:name="_Toc254970668"/>
      <w:r>
        <w:rPr>
          <w:rFonts w:hint="eastAsia" w:ascii="宋体" w:hAnsi="宋体" w:cs="宋体"/>
          <w:color w:val="auto"/>
          <w:sz w:val="24"/>
          <w:highlight w:val="none"/>
        </w:rPr>
        <w:t>1.适用范围</w:t>
      </w:r>
      <w:bookmarkEnd w:id="110"/>
      <w:bookmarkEnd w:id="111"/>
    </w:p>
    <w:p w14:paraId="40BB0E1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1.1适用法律：本项目采购人、采购代理机构、投标人、评标委员会的相关行为均受《中华人民共和国政府采购法》、《中华人民共和国政府采购法实施条例》、《</w:t>
      </w:r>
      <w:r>
        <w:rPr>
          <w:rFonts w:ascii="宋体" w:hAnsi="宋体" w:cs="宋体"/>
          <w:color w:val="auto"/>
          <w:kern w:val="0"/>
          <w:szCs w:val="21"/>
          <w:highlight w:val="none"/>
        </w:rPr>
        <w:t>政府采购货物和服务招标投标管理办法</w:t>
      </w:r>
      <w:r>
        <w:rPr>
          <w:rFonts w:hint="eastAsia" w:ascii="宋体" w:hAnsi="宋体" w:cs="宋体"/>
          <w:color w:val="auto"/>
          <w:szCs w:val="21"/>
          <w:highlight w:val="none"/>
        </w:rPr>
        <w:t>》及本项目本级和上级财政部门政府采购有关规定的约束和保护。</w:t>
      </w:r>
    </w:p>
    <w:p w14:paraId="12507B5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1.2本招标文件</w:t>
      </w:r>
      <w:r>
        <w:rPr>
          <w:rFonts w:hint="eastAsia" w:ascii="宋体" w:hAnsi="宋体" w:cs="宋体"/>
          <w:color w:val="auto"/>
          <w:spacing w:val="-6"/>
          <w:szCs w:val="21"/>
          <w:highlight w:val="none"/>
        </w:rPr>
        <w:t>适用于本项目的所有采购程序和环节（法律、法规另有规定的，从其规定）。</w:t>
      </w:r>
    </w:p>
    <w:p w14:paraId="71CDB63B">
      <w:pPr>
        <w:spacing w:line="360" w:lineRule="auto"/>
        <w:ind w:firstLine="480" w:firstLineChars="200"/>
        <w:rPr>
          <w:rFonts w:ascii="宋体" w:hAnsi="宋体" w:cs="宋体"/>
          <w:color w:val="auto"/>
          <w:sz w:val="24"/>
          <w:highlight w:val="none"/>
        </w:rPr>
      </w:pPr>
      <w:bookmarkStart w:id="112" w:name="_Toc254970528"/>
      <w:bookmarkStart w:id="113" w:name="_Toc254970669"/>
      <w:r>
        <w:rPr>
          <w:rFonts w:hint="eastAsia" w:ascii="宋体" w:hAnsi="宋体" w:cs="宋体"/>
          <w:color w:val="auto"/>
          <w:sz w:val="24"/>
          <w:highlight w:val="none"/>
        </w:rPr>
        <w:t>2.定义</w:t>
      </w:r>
      <w:bookmarkEnd w:id="112"/>
      <w:bookmarkEnd w:id="113"/>
    </w:p>
    <w:p w14:paraId="7B47E49B">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2.1“采购人”是指依法进行政府采购的国家机关、事业单位、团体组织。</w:t>
      </w:r>
    </w:p>
    <w:p w14:paraId="6946FC90">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2.2“采购代理机构” 指政府采购集中采购机构和集中采购机构以外的采购代理机构。</w:t>
      </w:r>
    </w:p>
    <w:p w14:paraId="23D847AD">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2.3“供应商”是指向采购人提供货物、工程或者服务的法人、其他组织或者自然人。</w:t>
      </w:r>
    </w:p>
    <w:p w14:paraId="7D2F3561">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2.4“投标人”是指响应招标、参加投标竞争的法人、非法人组织或者自然人。</w:t>
      </w:r>
    </w:p>
    <w:p w14:paraId="3BE5A128">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2.5“货物”是指各种形态和种类的物品，包括原材料、燃料、设备、产品等。“服务”是指除货物和工程以外的其他政府采购对象。</w:t>
      </w:r>
    </w:p>
    <w:p w14:paraId="3A0EE819">
      <w:pPr>
        <w:pStyle w:val="6"/>
        <w:keepNext w:val="0"/>
        <w:keepLines w:val="0"/>
        <w:spacing w:before="0" w:after="0" w:line="360" w:lineRule="auto"/>
        <w:ind w:firstLine="420" w:firstLineChars="200"/>
        <w:rPr>
          <w:rFonts w:ascii="宋体" w:hAnsi="宋体" w:cs="宋体"/>
          <w:b w:val="0"/>
          <w:color w:val="auto"/>
          <w:sz w:val="21"/>
          <w:szCs w:val="21"/>
          <w:highlight w:val="none"/>
        </w:rPr>
      </w:pPr>
      <w:r>
        <w:rPr>
          <w:rFonts w:hint="eastAsia" w:ascii="宋体" w:hAnsi="宋体" w:cs="宋体"/>
          <w:b w:val="0"/>
          <w:color w:val="auto"/>
          <w:sz w:val="21"/>
          <w:szCs w:val="21"/>
          <w:highlight w:val="none"/>
        </w:rPr>
        <w:t>2.6“售后服务” 是指商品出售以后所提供的各种服务，包含但不限于投标人须承担的备品备件、包装、运输、装卸、保险、货到就位以及安装、调试、培训、保修以及其他各种服务。</w:t>
      </w:r>
    </w:p>
    <w:p w14:paraId="5EB70BC6">
      <w:pPr>
        <w:pStyle w:val="6"/>
        <w:keepNext w:val="0"/>
        <w:keepLines w:val="0"/>
        <w:spacing w:before="0" w:after="0" w:line="360" w:lineRule="auto"/>
        <w:rPr>
          <w:rFonts w:ascii="宋体" w:hAnsi="宋体" w:cs="宋体"/>
          <w:b w:val="0"/>
          <w:color w:val="auto"/>
          <w:sz w:val="21"/>
          <w:szCs w:val="21"/>
          <w:highlight w:val="none"/>
        </w:rPr>
      </w:pPr>
      <w:r>
        <w:rPr>
          <w:rFonts w:hint="eastAsia" w:ascii="宋体" w:hAnsi="宋体" w:cs="宋体"/>
          <w:b w:val="0"/>
          <w:color w:val="auto"/>
          <w:sz w:val="21"/>
          <w:szCs w:val="21"/>
          <w:highlight w:val="none"/>
        </w:rPr>
        <w:t xml:space="preserve">    2.7“书面形式”是指合同书、信件和数据电文（包括电报、电传、传真、电子数据交换和电子邮件）等可以有形地表现所载内容的形式。</w:t>
      </w:r>
    </w:p>
    <w:p w14:paraId="4CA46C28">
      <w:pPr>
        <w:pStyle w:val="6"/>
        <w:keepNext w:val="0"/>
        <w:keepLines w:val="0"/>
        <w:spacing w:before="0" w:after="0" w:line="360" w:lineRule="auto"/>
        <w:ind w:firstLine="420" w:firstLineChars="200"/>
        <w:rPr>
          <w:rFonts w:ascii="宋体" w:hAnsi="宋体" w:cs="宋体"/>
          <w:b w:val="0"/>
          <w:color w:val="auto"/>
          <w:sz w:val="21"/>
          <w:szCs w:val="21"/>
          <w:highlight w:val="none"/>
        </w:rPr>
      </w:pPr>
      <w:r>
        <w:rPr>
          <w:rFonts w:hint="eastAsia" w:ascii="宋体" w:hAnsi="宋体" w:cs="宋体"/>
          <w:b w:val="0"/>
          <w:color w:val="auto"/>
          <w:sz w:val="21"/>
          <w:szCs w:val="21"/>
          <w:highlight w:val="none"/>
        </w:rPr>
        <w:t>2.8“实质性要求”是指招标文件中已经指明不满足则投标无效的条款，或者不能负偏离的条款，或者采购需求中带“▲”或“★”的条款。</w:t>
      </w:r>
    </w:p>
    <w:p w14:paraId="41ADF691">
      <w:pPr>
        <w:snapToGrid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2.9 “正偏离”，是指投标文件对招标文件“采购需求”中有关条款作出的响应优于条款要求并有利于采购人的情形。</w:t>
      </w:r>
    </w:p>
    <w:p w14:paraId="026D42AF">
      <w:pPr>
        <w:snapToGrid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2.10“负偏离”，是指投标文件对招标文件“采购需求”中有关条款作出的响应不满足条款要求，导致采购人要求不能得到满足的情形。</w:t>
      </w:r>
    </w:p>
    <w:p w14:paraId="094492D1">
      <w:pPr>
        <w:snapToGrid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2.11“允许负偏离的条款”是指采购需求中的不属于“实质性要求”的条款。</w:t>
      </w:r>
    </w:p>
    <w:p w14:paraId="7080EFFD">
      <w:pPr>
        <w:spacing w:line="360" w:lineRule="auto"/>
        <w:ind w:firstLine="480" w:firstLineChars="200"/>
        <w:rPr>
          <w:rFonts w:ascii="宋体" w:hAnsi="宋体" w:cs="宋体"/>
          <w:color w:val="auto"/>
          <w:sz w:val="24"/>
          <w:highlight w:val="none"/>
        </w:rPr>
      </w:pPr>
      <w:bookmarkStart w:id="114" w:name="_Toc254970529"/>
      <w:bookmarkStart w:id="115" w:name="_Toc254970670"/>
      <w:r>
        <w:rPr>
          <w:rFonts w:hint="eastAsia" w:ascii="宋体" w:hAnsi="宋体" w:cs="宋体"/>
          <w:color w:val="auto"/>
          <w:sz w:val="24"/>
          <w:highlight w:val="none"/>
        </w:rPr>
        <w:t>3.</w:t>
      </w:r>
      <w:bookmarkEnd w:id="114"/>
      <w:bookmarkEnd w:id="115"/>
      <w:r>
        <w:rPr>
          <w:rFonts w:hint="eastAsia" w:ascii="宋体" w:hAnsi="宋体" w:cs="宋体"/>
          <w:color w:val="auto"/>
          <w:sz w:val="24"/>
          <w:highlight w:val="none"/>
        </w:rPr>
        <w:t>投标人的资格要求</w:t>
      </w:r>
    </w:p>
    <w:p w14:paraId="717AF5E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投标人的资格要求详见“招标公告”。</w:t>
      </w:r>
    </w:p>
    <w:p w14:paraId="005D5D24">
      <w:pPr>
        <w:spacing w:line="360" w:lineRule="auto"/>
        <w:ind w:firstLine="480" w:firstLineChars="200"/>
        <w:rPr>
          <w:rFonts w:ascii="宋体" w:hAnsi="宋体" w:cs="宋体"/>
          <w:color w:val="auto"/>
          <w:sz w:val="24"/>
          <w:highlight w:val="none"/>
        </w:rPr>
      </w:pPr>
      <w:bookmarkStart w:id="116" w:name="_Toc254970530"/>
      <w:bookmarkStart w:id="117" w:name="_Toc254970671"/>
      <w:r>
        <w:rPr>
          <w:rFonts w:hint="eastAsia" w:ascii="宋体" w:hAnsi="宋体" w:cs="宋体"/>
          <w:color w:val="auto"/>
          <w:sz w:val="24"/>
          <w:highlight w:val="none"/>
        </w:rPr>
        <w:t>4.投标委托</w:t>
      </w:r>
      <w:bookmarkEnd w:id="116"/>
      <w:bookmarkEnd w:id="117"/>
    </w:p>
    <w:p w14:paraId="10F19F1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投标人代表参加投标活动过程中必须携带个人有效身份证件。如投标人代表不是法定代表人，须持有法定代表人授权委托书（按第六章要求格式填写）。</w:t>
      </w:r>
    </w:p>
    <w:p w14:paraId="5FA2AF69">
      <w:pPr>
        <w:spacing w:line="360" w:lineRule="auto"/>
        <w:ind w:firstLine="480" w:firstLineChars="200"/>
        <w:rPr>
          <w:rFonts w:ascii="宋体" w:hAnsi="宋体" w:cs="宋体"/>
          <w:color w:val="auto"/>
          <w:sz w:val="24"/>
          <w:highlight w:val="none"/>
        </w:rPr>
      </w:pPr>
      <w:bookmarkStart w:id="118" w:name="_5.投标费用"/>
      <w:bookmarkEnd w:id="118"/>
      <w:bookmarkStart w:id="119" w:name="_Toc254970531"/>
      <w:bookmarkStart w:id="120" w:name="_Toc254970672"/>
      <w:r>
        <w:rPr>
          <w:rFonts w:hint="eastAsia" w:ascii="宋体" w:hAnsi="宋体" w:cs="宋体"/>
          <w:color w:val="auto"/>
          <w:sz w:val="24"/>
          <w:highlight w:val="none"/>
        </w:rPr>
        <w:t>5.投标费用</w:t>
      </w:r>
      <w:bookmarkEnd w:id="119"/>
      <w:bookmarkEnd w:id="120"/>
    </w:p>
    <w:p w14:paraId="7744C04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投标费用：投标人应承担参与本次采购活动有关的所有费用，包括但不限于勘查现场、编制投标文件、参加澄清说明、签订合同等，不论投标结果如何，均应自行承担。</w:t>
      </w:r>
    </w:p>
    <w:p w14:paraId="469D4D77">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6.联合体投标</w:t>
      </w:r>
    </w:p>
    <w:p w14:paraId="0BE2C0E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6.1本项目是否接受联合体投标，详见“投标人须知前附表”。</w:t>
      </w:r>
    </w:p>
    <w:p w14:paraId="7D6BA1E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6.2如接受联合体投标，联合体投标要求详见“投标人须知前附表”。</w:t>
      </w:r>
    </w:p>
    <w:p w14:paraId="372C6D2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6.3根据《政府采购促进中小企业发展管理办法》（财库[2020]46号）第九条、《广西壮族自治区财政厅关于贯彻落实政府采购支持中小企业发展政策的通知》（桂财采〔2022〕31号）规定，接受大中型企业与小微企业组成联合体的采购项目，对于联合协议约定小微企业的合同份额占到合同总金额 30%以上的，采购人、采购代理机构应当对联合体的报价给予4%-6%的扣除，用扣除后的价格参加评审。组成联合体的小微企业与联合体内其他企业、分包企业之间存在直接控股、管理关系的，不享受价格扣除优惠政策。</w:t>
      </w:r>
    </w:p>
    <w:p w14:paraId="3FAC6D58">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7.转包与分包             </w:t>
      </w:r>
    </w:p>
    <w:p w14:paraId="165021F4">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7.1 本项目不允许转包。</w:t>
      </w:r>
    </w:p>
    <w:p w14:paraId="5062EABC">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7.2本项目是否允许分包详见“投标人须知前附表”，本项目不允许违法分包。投标人根据招标文件的规定和采购项目的实际情况，拟在中标后将中标项目的非主体、非关键性工作分包的，应当在投标文件中载明分包承担主体，分包承担主体应当具备相应资质条件且不得再次分包。</w:t>
      </w:r>
    </w:p>
    <w:p w14:paraId="3AC9FBCD">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7.3根据《政府采购促进中小企业发展管理办法》（财库[2020]46号）第九条及《广西壮族自治区财政厅关于贯彻落实政府采购支持中小企业发展政策的通知》（桂财采〔2022〕31号）规定，允许大中型企业向一家或者多家小微企业分包的采购项目，对于分包意向协议约定小微企业的合同份额占到合同总金额 30%以上的，采购人、采购代理机构应当对大中型企业的报价给予 4%-6%的扣除，用扣除后的价格参加评审。接受分包的小微企业与分包企业之间存在直接控股、管理关系的，不享受价格扣除优惠政策。</w:t>
      </w:r>
    </w:p>
    <w:p w14:paraId="576F50EC">
      <w:pPr>
        <w:spacing w:line="360" w:lineRule="auto"/>
        <w:ind w:firstLine="480" w:firstLineChars="200"/>
        <w:rPr>
          <w:rFonts w:ascii="宋体" w:hAnsi="宋体" w:cs="宋体"/>
          <w:color w:val="auto"/>
          <w:sz w:val="24"/>
          <w:highlight w:val="none"/>
        </w:rPr>
      </w:pPr>
      <w:bookmarkStart w:id="121" w:name="_Toc254970532"/>
      <w:bookmarkStart w:id="122" w:name="_Toc254970673"/>
      <w:r>
        <w:rPr>
          <w:rFonts w:hint="eastAsia" w:ascii="宋体" w:hAnsi="宋体" w:cs="宋体"/>
          <w:color w:val="auto"/>
          <w:sz w:val="24"/>
          <w:highlight w:val="none"/>
        </w:rPr>
        <w:t>8.特别说明：</w:t>
      </w:r>
      <w:bookmarkEnd w:id="121"/>
      <w:bookmarkEnd w:id="122"/>
      <w:bookmarkStart w:id="123" w:name="_8.1提供相同品牌产品且通过资格审查、符合性审查的不同投标人参加同一合"/>
      <w:bookmarkEnd w:id="123"/>
    </w:p>
    <w:p w14:paraId="3ACD9361">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8.1</w:t>
      </w:r>
      <w:r>
        <w:rPr>
          <w:rFonts w:hint="eastAsia" w:ascii="宋体" w:hAnsi="宋体"/>
          <w:b w:val="0"/>
          <w:color w:val="auto"/>
          <w:sz w:val="21"/>
          <w:szCs w:val="21"/>
          <w:highlight w:val="none"/>
        </w:rPr>
        <w:t>如果本招标文件要求提供投标人或制造商的资格、信誉、荣誉、业绩与企业认证等材料的，资格、信誉、荣誉、业绩与企业认证等必须为投标人或者制造商所拥有或自身获得。</w:t>
      </w:r>
    </w:p>
    <w:p w14:paraId="2C279BA0">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8.2投标人应仔细阅读招标文件的所有内容，按照招标文件的要求提交投标文件，并对所提供的全部资料的真实性承担法律责任。</w:t>
      </w:r>
    </w:p>
    <w:p w14:paraId="76979355">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8.3投标人在投标活动中提供任何虚假材料，将报监管部门查处；中标后发现的，中标人须依照《中华人民共和国消费者权益保护法》规定赔偿采购人，且民事赔偿并不免除违法投标人的行政与刑事责任。</w:t>
      </w:r>
    </w:p>
    <w:p w14:paraId="1BBA3FB3">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8.4采用最低评标价法的采购项目，提供相同品牌产品的不同投标人参加同一合同项下投标的，以其中通过资格审查、符合性审查且报价最低的参加评标；报价相同的，由采购人或者采购人委托评标委员会按照招标文件“投标人须知前附表”规定的方式确定一个参加评标的投标人，招标文件未规定的采取随机抽取方式确定，其他投标无效。</w:t>
      </w:r>
    </w:p>
    <w:p w14:paraId="05122E81">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投标人须知前附表”规定的方式确定一个投标人获得中标人推荐资格，招标文件未规定的采取随机抽取方式确定，其他同品牌投标人不作为中标候选人。</w:t>
      </w:r>
    </w:p>
    <w:p w14:paraId="40925B94">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非单一产品采购项目，采购人应当根据采购项目技术构成、产品价格比重等合理确定核心产品，并在招标文件中载明。多家投标人提供的核心产品品牌相同的，按前两款规定处理。</w:t>
      </w:r>
    </w:p>
    <w:p w14:paraId="605CD73D">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9.回避与串通投标</w:t>
      </w:r>
    </w:p>
    <w:p w14:paraId="425180A0">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9.1在政府采购活动中，采购人员及相关人员与供应商有下列利害关系之一的，应当回避：</w:t>
      </w:r>
    </w:p>
    <w:p w14:paraId="54B3928D">
      <w:pPr>
        <w:spacing w:line="360" w:lineRule="auto"/>
        <w:ind w:firstLine="422" w:firstLineChars="200"/>
        <w:rPr>
          <w:rFonts w:ascii="宋体" w:hAnsi="宋体" w:cs="宋体"/>
          <w:b/>
          <w:bCs/>
          <w:color w:val="auto"/>
          <w:highlight w:val="none"/>
        </w:rPr>
      </w:pPr>
      <w:r>
        <w:rPr>
          <w:rFonts w:hint="eastAsia" w:ascii="宋体" w:hAnsi="宋体" w:cs="宋体"/>
          <w:b/>
          <w:bCs/>
          <w:color w:val="auto"/>
          <w:highlight w:val="none"/>
        </w:rPr>
        <w:t>（1）参加采购活动前3年内与供应商存在劳动关系。</w:t>
      </w:r>
    </w:p>
    <w:p w14:paraId="0FEC3D22">
      <w:pPr>
        <w:spacing w:line="360" w:lineRule="auto"/>
        <w:ind w:firstLine="422" w:firstLineChars="200"/>
        <w:rPr>
          <w:rFonts w:ascii="宋体" w:hAnsi="宋体" w:cs="宋体"/>
          <w:b/>
          <w:bCs/>
          <w:color w:val="auto"/>
          <w:highlight w:val="none"/>
        </w:rPr>
      </w:pPr>
      <w:r>
        <w:rPr>
          <w:rFonts w:hint="eastAsia" w:ascii="宋体" w:hAnsi="宋体" w:cs="宋体"/>
          <w:b/>
          <w:bCs/>
          <w:color w:val="auto"/>
          <w:highlight w:val="none"/>
        </w:rPr>
        <w:t>（2）参加采购活动前3年内担任供应商的董事、监事。</w:t>
      </w:r>
    </w:p>
    <w:p w14:paraId="19A004CC">
      <w:pPr>
        <w:spacing w:line="360" w:lineRule="auto"/>
        <w:ind w:firstLine="422" w:firstLineChars="200"/>
        <w:rPr>
          <w:rFonts w:ascii="宋体" w:hAnsi="宋体" w:cs="宋体"/>
          <w:b/>
          <w:bCs/>
          <w:color w:val="auto"/>
          <w:highlight w:val="none"/>
        </w:rPr>
      </w:pPr>
      <w:r>
        <w:rPr>
          <w:rFonts w:hint="eastAsia" w:ascii="宋体" w:hAnsi="宋体" w:cs="宋体"/>
          <w:b/>
          <w:bCs/>
          <w:color w:val="auto"/>
          <w:highlight w:val="none"/>
        </w:rPr>
        <w:t>（3）参加采购活动前3年内是供应商的控股股东或者实际控制人。</w:t>
      </w:r>
    </w:p>
    <w:p w14:paraId="0B93F2C8">
      <w:pPr>
        <w:spacing w:line="360" w:lineRule="auto"/>
        <w:ind w:firstLine="422" w:firstLineChars="200"/>
        <w:rPr>
          <w:rFonts w:ascii="宋体" w:hAnsi="宋体" w:cs="宋体"/>
          <w:b/>
          <w:bCs/>
          <w:color w:val="auto"/>
          <w:highlight w:val="none"/>
        </w:rPr>
      </w:pPr>
      <w:r>
        <w:rPr>
          <w:rFonts w:hint="eastAsia" w:ascii="宋体" w:hAnsi="宋体" w:cs="宋体"/>
          <w:b/>
          <w:bCs/>
          <w:color w:val="auto"/>
          <w:highlight w:val="none"/>
        </w:rPr>
        <w:t>（4）与供应商的法定代表人或者负责人有夫妻、直系血亲、三代以内旁系血亲或者近姻亲关系。</w:t>
      </w:r>
    </w:p>
    <w:p w14:paraId="1EA57344">
      <w:pPr>
        <w:spacing w:line="360" w:lineRule="auto"/>
        <w:ind w:firstLine="422" w:firstLineChars="200"/>
        <w:rPr>
          <w:rFonts w:ascii="宋体" w:hAnsi="宋体" w:cs="宋体"/>
          <w:b/>
          <w:bCs/>
          <w:color w:val="auto"/>
          <w:highlight w:val="none"/>
        </w:rPr>
      </w:pPr>
      <w:r>
        <w:rPr>
          <w:rFonts w:hint="eastAsia" w:ascii="宋体" w:hAnsi="宋体" w:cs="宋体"/>
          <w:b/>
          <w:bCs/>
          <w:color w:val="auto"/>
          <w:highlight w:val="none"/>
        </w:rPr>
        <w:t>（5）与供应商有其他可能影响政府采购活动公平、公正进行的关系。</w:t>
      </w:r>
    </w:p>
    <w:p w14:paraId="4B037670">
      <w:pPr>
        <w:spacing w:line="360" w:lineRule="auto"/>
        <w:ind w:firstLine="422" w:firstLineChars="200"/>
        <w:rPr>
          <w:rFonts w:ascii="宋体" w:hAnsi="宋体" w:cs="宋体"/>
          <w:b/>
          <w:bCs/>
          <w:color w:val="auto"/>
          <w:highlight w:val="none"/>
        </w:rPr>
      </w:pPr>
      <w:r>
        <w:rPr>
          <w:rFonts w:hint="eastAsia" w:ascii="宋体" w:hAnsi="宋体" w:cs="宋体"/>
          <w:b/>
          <w:bCs/>
          <w:color w:val="auto"/>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3831CDF1">
      <w:pPr>
        <w:spacing w:line="360" w:lineRule="auto"/>
        <w:ind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9.2有下列情形之一的视为投标人相互串通投标，投标文件将被视为无效：</w:t>
      </w:r>
    </w:p>
    <w:p w14:paraId="505D1F71">
      <w:pPr>
        <w:tabs>
          <w:tab w:val="center" w:pos="4153"/>
          <w:tab w:val="right" w:pos="8306"/>
        </w:tabs>
        <w:spacing w:line="360" w:lineRule="auto"/>
        <w:ind w:firstLine="422" w:firstLineChars="200"/>
        <w:rPr>
          <w:rFonts w:ascii="宋体" w:hAnsi="宋体" w:cs="宋体"/>
          <w:b/>
          <w:color w:val="auto"/>
          <w:highlight w:val="none"/>
        </w:rPr>
      </w:pPr>
      <w:r>
        <w:rPr>
          <w:rFonts w:hint="eastAsia" w:ascii="宋体" w:hAnsi="宋体" w:cs="宋体"/>
          <w:b/>
          <w:color w:val="auto"/>
          <w:highlight w:val="none"/>
        </w:rPr>
        <w:t>（1）不同投标人的投标文件由同一单位或者个人编制；或不同投标人报名的IP地址一致的。</w:t>
      </w:r>
    </w:p>
    <w:p w14:paraId="1D25FB13">
      <w:pPr>
        <w:tabs>
          <w:tab w:val="center" w:pos="4153"/>
          <w:tab w:val="right" w:pos="8306"/>
        </w:tabs>
        <w:spacing w:line="360" w:lineRule="auto"/>
        <w:ind w:firstLine="422" w:firstLineChars="200"/>
        <w:rPr>
          <w:rFonts w:ascii="宋体" w:hAnsi="宋体" w:cs="宋体"/>
          <w:b/>
          <w:color w:val="auto"/>
          <w:highlight w:val="none"/>
        </w:rPr>
      </w:pPr>
      <w:r>
        <w:rPr>
          <w:rFonts w:hint="eastAsia" w:ascii="宋体" w:hAnsi="宋体" w:cs="宋体"/>
          <w:b/>
          <w:color w:val="auto"/>
          <w:highlight w:val="none"/>
        </w:rPr>
        <w:t>（2）不同投标人委托同一单位或者个人办理投标事宜。</w:t>
      </w:r>
    </w:p>
    <w:p w14:paraId="1131A2CB">
      <w:pPr>
        <w:tabs>
          <w:tab w:val="center" w:pos="4153"/>
          <w:tab w:val="right" w:pos="8306"/>
        </w:tabs>
        <w:spacing w:line="360" w:lineRule="auto"/>
        <w:ind w:firstLine="422" w:firstLineChars="200"/>
        <w:rPr>
          <w:rFonts w:ascii="宋体" w:hAnsi="宋体" w:cs="宋体"/>
          <w:b/>
          <w:color w:val="auto"/>
          <w:highlight w:val="none"/>
        </w:rPr>
      </w:pPr>
      <w:r>
        <w:rPr>
          <w:rFonts w:hint="eastAsia" w:ascii="宋体" w:hAnsi="宋体" w:cs="宋体"/>
          <w:b/>
          <w:color w:val="auto"/>
          <w:highlight w:val="none"/>
        </w:rPr>
        <w:t>（3）不同的投标人的投标文件载明的项目管理员为同一个人。</w:t>
      </w:r>
    </w:p>
    <w:p w14:paraId="08E9E0EC">
      <w:pPr>
        <w:tabs>
          <w:tab w:val="center" w:pos="4153"/>
          <w:tab w:val="right" w:pos="8306"/>
        </w:tabs>
        <w:spacing w:line="360" w:lineRule="auto"/>
        <w:ind w:firstLine="422" w:firstLineChars="200"/>
        <w:rPr>
          <w:rFonts w:ascii="宋体" w:hAnsi="宋体" w:cs="宋体"/>
          <w:b/>
          <w:color w:val="auto"/>
          <w:highlight w:val="none"/>
        </w:rPr>
      </w:pPr>
      <w:r>
        <w:rPr>
          <w:rFonts w:hint="eastAsia" w:ascii="宋体" w:hAnsi="宋体" w:cs="宋体"/>
          <w:b/>
          <w:color w:val="auto"/>
          <w:highlight w:val="none"/>
        </w:rPr>
        <w:t>（4）不同投标人的电子投标文件异常一致或者投标报价呈规律性差异。</w:t>
      </w:r>
    </w:p>
    <w:p w14:paraId="17D00BB3">
      <w:pPr>
        <w:tabs>
          <w:tab w:val="center" w:pos="4153"/>
          <w:tab w:val="right" w:pos="8306"/>
        </w:tabs>
        <w:spacing w:line="360" w:lineRule="auto"/>
        <w:ind w:firstLine="422" w:firstLineChars="200"/>
        <w:rPr>
          <w:rFonts w:ascii="宋体" w:hAnsi="宋体" w:cs="宋体"/>
          <w:b/>
          <w:color w:val="auto"/>
          <w:highlight w:val="none"/>
        </w:rPr>
      </w:pPr>
      <w:r>
        <w:rPr>
          <w:rFonts w:hint="eastAsia" w:ascii="宋体" w:hAnsi="宋体" w:cs="宋体"/>
          <w:b/>
          <w:color w:val="auto"/>
          <w:highlight w:val="none"/>
        </w:rPr>
        <w:t>（5）不同投标人的投标文件相互混装。</w:t>
      </w:r>
    </w:p>
    <w:p w14:paraId="455C1F46">
      <w:pPr>
        <w:tabs>
          <w:tab w:val="center" w:pos="4153"/>
          <w:tab w:val="right" w:pos="8306"/>
        </w:tabs>
        <w:spacing w:line="360" w:lineRule="auto"/>
        <w:ind w:firstLine="422" w:firstLineChars="200"/>
        <w:rPr>
          <w:rFonts w:ascii="宋体" w:hAnsi="宋体" w:cs="宋体"/>
          <w:b/>
          <w:color w:val="auto"/>
          <w:highlight w:val="none"/>
        </w:rPr>
      </w:pPr>
      <w:r>
        <w:rPr>
          <w:rFonts w:hint="eastAsia" w:ascii="宋体" w:hAnsi="宋体" w:cs="宋体"/>
          <w:b/>
          <w:color w:val="auto"/>
          <w:highlight w:val="none"/>
        </w:rPr>
        <w:t>（6）不同投标人的投标保证金从同一单位或者个人账户转出。</w:t>
      </w:r>
    </w:p>
    <w:p w14:paraId="62CD9781">
      <w:pPr>
        <w:spacing w:line="360" w:lineRule="auto"/>
        <w:ind w:firstLine="422" w:firstLineChars="200"/>
        <w:rPr>
          <w:rFonts w:ascii="宋体" w:hAnsi="宋体" w:cs="宋体"/>
          <w:b/>
          <w:bCs/>
          <w:color w:val="auto"/>
          <w:szCs w:val="21"/>
          <w:highlight w:val="none"/>
        </w:rPr>
      </w:pPr>
      <w:r>
        <w:rPr>
          <w:rFonts w:hint="eastAsia" w:ascii="宋体" w:hAnsi="宋体" w:cs="宋体"/>
          <w:b/>
          <w:color w:val="auto"/>
          <w:highlight w:val="none"/>
        </w:rPr>
        <w:t>9.3供应商有下列情形之一的，属于恶意串通</w:t>
      </w:r>
      <w:r>
        <w:rPr>
          <w:rFonts w:hint="eastAsia" w:ascii="宋体" w:hAnsi="宋体" w:cs="宋体"/>
          <w:b/>
          <w:bCs/>
          <w:color w:val="auto"/>
          <w:szCs w:val="21"/>
          <w:highlight w:val="none"/>
        </w:rPr>
        <w:t>行为，将报同级监督管理部门：</w:t>
      </w:r>
    </w:p>
    <w:p w14:paraId="71F6E343">
      <w:pPr>
        <w:spacing w:line="360" w:lineRule="auto"/>
        <w:ind w:firstLine="422" w:firstLineChars="200"/>
        <w:rPr>
          <w:rFonts w:ascii="宋体" w:hAnsi="宋体" w:cs="宋体"/>
          <w:b/>
          <w:bCs/>
          <w:color w:val="auto"/>
          <w:highlight w:val="none"/>
        </w:rPr>
      </w:pPr>
      <w:r>
        <w:rPr>
          <w:rFonts w:hint="eastAsia" w:ascii="宋体" w:hAnsi="宋体" w:cs="宋体"/>
          <w:b/>
          <w:bCs/>
          <w:color w:val="auto"/>
          <w:highlight w:val="none"/>
        </w:rPr>
        <w:t>（1）供应商直接或者间接从采购人或者采购代理机构处获得其他供应商的相关信息并修改其投标文件。</w:t>
      </w:r>
    </w:p>
    <w:p w14:paraId="7CE7C362">
      <w:pPr>
        <w:spacing w:line="360" w:lineRule="auto"/>
        <w:ind w:firstLine="422" w:firstLineChars="200"/>
        <w:rPr>
          <w:rFonts w:ascii="宋体" w:hAnsi="宋体" w:cs="宋体"/>
          <w:b/>
          <w:bCs/>
          <w:color w:val="auto"/>
          <w:highlight w:val="none"/>
        </w:rPr>
      </w:pPr>
      <w:r>
        <w:rPr>
          <w:rFonts w:hint="eastAsia" w:ascii="宋体" w:hAnsi="宋体" w:cs="宋体"/>
          <w:b/>
          <w:bCs/>
          <w:color w:val="auto"/>
          <w:highlight w:val="none"/>
        </w:rPr>
        <w:t>（2）供应商按照采购人或者采购代理机构的授意撤换、修改投标文件。</w:t>
      </w:r>
    </w:p>
    <w:p w14:paraId="2F82E694">
      <w:pPr>
        <w:spacing w:line="360" w:lineRule="auto"/>
        <w:ind w:firstLine="422" w:firstLineChars="200"/>
        <w:rPr>
          <w:rFonts w:ascii="宋体" w:hAnsi="宋体" w:cs="宋体"/>
          <w:b/>
          <w:bCs/>
          <w:color w:val="auto"/>
          <w:highlight w:val="none"/>
        </w:rPr>
      </w:pPr>
      <w:r>
        <w:rPr>
          <w:rFonts w:hint="eastAsia" w:ascii="宋体" w:hAnsi="宋体" w:cs="宋体"/>
          <w:b/>
          <w:bCs/>
          <w:color w:val="auto"/>
          <w:highlight w:val="none"/>
        </w:rPr>
        <w:t>（3）供应商之间协商报价、技术方案等投标文件的实质性内容。</w:t>
      </w:r>
    </w:p>
    <w:p w14:paraId="15FB977E">
      <w:pPr>
        <w:spacing w:line="360" w:lineRule="auto"/>
        <w:ind w:firstLine="422" w:firstLineChars="200"/>
        <w:rPr>
          <w:rFonts w:ascii="宋体" w:hAnsi="宋体" w:cs="宋体"/>
          <w:b/>
          <w:bCs/>
          <w:color w:val="auto"/>
          <w:highlight w:val="none"/>
        </w:rPr>
      </w:pPr>
      <w:r>
        <w:rPr>
          <w:rFonts w:hint="eastAsia" w:ascii="宋体" w:hAnsi="宋体" w:cs="宋体"/>
          <w:b/>
          <w:bCs/>
          <w:color w:val="auto"/>
          <w:highlight w:val="none"/>
        </w:rPr>
        <w:t>（4）属于同一集团、协会、商会等组织成员的供应商按照该组织要求协同参加政府采购活动。</w:t>
      </w:r>
    </w:p>
    <w:p w14:paraId="06B9335C">
      <w:pPr>
        <w:spacing w:line="360" w:lineRule="auto"/>
        <w:ind w:firstLine="422" w:firstLineChars="200"/>
        <w:rPr>
          <w:rFonts w:ascii="宋体" w:hAnsi="宋体" w:cs="宋体"/>
          <w:b/>
          <w:bCs/>
          <w:color w:val="auto"/>
          <w:highlight w:val="none"/>
        </w:rPr>
      </w:pPr>
      <w:r>
        <w:rPr>
          <w:rFonts w:hint="eastAsia" w:ascii="宋体" w:hAnsi="宋体" w:cs="宋体"/>
          <w:b/>
          <w:bCs/>
          <w:color w:val="auto"/>
          <w:highlight w:val="none"/>
        </w:rPr>
        <w:t>（5）供应商之间事先约定一致抬高或者压低投标报价，或者在招标项目中事先约定轮流以高价位或者低价位中标，或者事先约定由某一特定供应商中标，然后再参加投标。</w:t>
      </w:r>
    </w:p>
    <w:p w14:paraId="355085A3">
      <w:pPr>
        <w:spacing w:line="360" w:lineRule="auto"/>
        <w:ind w:firstLine="422" w:firstLineChars="200"/>
        <w:rPr>
          <w:rFonts w:ascii="宋体" w:hAnsi="宋体" w:cs="宋体"/>
          <w:b/>
          <w:bCs/>
          <w:color w:val="auto"/>
          <w:highlight w:val="none"/>
        </w:rPr>
      </w:pPr>
      <w:r>
        <w:rPr>
          <w:rFonts w:hint="eastAsia" w:ascii="宋体" w:hAnsi="宋体" w:cs="宋体"/>
          <w:b/>
          <w:bCs/>
          <w:color w:val="auto"/>
          <w:highlight w:val="none"/>
        </w:rPr>
        <w:t>（6）供应商之间商定部分供应商放弃参加政府采购活动或者放弃中标。</w:t>
      </w:r>
    </w:p>
    <w:p w14:paraId="0FF75707">
      <w:pPr>
        <w:spacing w:line="360" w:lineRule="auto"/>
        <w:ind w:firstLine="422" w:firstLineChars="200"/>
        <w:rPr>
          <w:rFonts w:ascii="宋体" w:hAnsi="宋体" w:cs="宋体"/>
          <w:b/>
          <w:bCs/>
          <w:color w:val="auto"/>
          <w:highlight w:val="none"/>
        </w:rPr>
      </w:pPr>
      <w:r>
        <w:rPr>
          <w:rFonts w:hint="eastAsia" w:ascii="宋体" w:hAnsi="宋体" w:cs="宋体"/>
          <w:b/>
          <w:bCs/>
          <w:color w:val="auto"/>
          <w:highlight w:val="none"/>
        </w:rPr>
        <w:t>（7）供应商与采购人或者采购代理机构之间、供应商相互之间，为谋求特定供应商中标或者排斥其他供应商的其他串通行为。</w:t>
      </w:r>
    </w:p>
    <w:p w14:paraId="1E1C80D1">
      <w:pPr>
        <w:pStyle w:val="14"/>
        <w:snapToGrid w:val="0"/>
        <w:spacing w:line="360" w:lineRule="auto"/>
        <w:ind w:left="2" w:leftChars="1" w:firstLine="422" w:firstLineChars="200"/>
        <w:rPr>
          <w:rFonts w:hAnsi="宋体" w:cs="宋体"/>
          <w:b/>
          <w:color w:val="auto"/>
          <w:highlight w:val="none"/>
        </w:rPr>
      </w:pPr>
    </w:p>
    <w:p w14:paraId="5C284D7C">
      <w:pPr>
        <w:pStyle w:val="4"/>
        <w:keepNext w:val="0"/>
        <w:keepLines w:val="0"/>
        <w:spacing w:line="400" w:lineRule="exact"/>
        <w:jc w:val="center"/>
        <w:rPr>
          <w:rFonts w:ascii="宋体" w:hAnsi="宋体" w:cs="宋体"/>
          <w:color w:val="auto"/>
          <w:highlight w:val="none"/>
        </w:rPr>
      </w:pPr>
      <w:bookmarkStart w:id="124" w:name="_Toc254970534"/>
      <w:bookmarkStart w:id="125" w:name="_Toc25441"/>
      <w:bookmarkStart w:id="126" w:name="_Toc254970675"/>
      <w:bookmarkStart w:id="127" w:name="_Toc22070"/>
      <w:bookmarkStart w:id="128" w:name="_Toc22960"/>
      <w:bookmarkStart w:id="129" w:name="_Toc4100"/>
      <w:r>
        <w:rPr>
          <w:rFonts w:hint="eastAsia" w:ascii="宋体" w:hAnsi="宋体" w:cs="宋体"/>
          <w:color w:val="auto"/>
          <w:highlight w:val="none"/>
        </w:rPr>
        <w:t>二、招标文件</w:t>
      </w:r>
      <w:bookmarkEnd w:id="124"/>
      <w:bookmarkEnd w:id="125"/>
      <w:bookmarkEnd w:id="126"/>
      <w:bookmarkEnd w:id="127"/>
      <w:bookmarkEnd w:id="128"/>
      <w:bookmarkEnd w:id="129"/>
    </w:p>
    <w:p w14:paraId="14A636C8">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10.招标文件的组成</w:t>
      </w:r>
    </w:p>
    <w:p w14:paraId="176902F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第一章 招标公告</w:t>
      </w:r>
    </w:p>
    <w:p w14:paraId="0C165AE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第二章 采购需求 </w:t>
      </w:r>
    </w:p>
    <w:p w14:paraId="5E08660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第三章 投标人须知</w:t>
      </w:r>
    </w:p>
    <w:p w14:paraId="08959E8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第四章 评标方法和评标标准</w:t>
      </w:r>
    </w:p>
    <w:p w14:paraId="78EB4C9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第五章 拟签订的合同文本</w:t>
      </w:r>
    </w:p>
    <w:p w14:paraId="3E72CC2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第六章 投标文件格式</w:t>
      </w:r>
    </w:p>
    <w:p w14:paraId="58D45AC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第七章 质疑、投诉材料格式</w:t>
      </w:r>
    </w:p>
    <w:p w14:paraId="2CFCD223">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根据本章第11.1项的规定对招标文件所做的澄清、修改，构成招标文件的组成部分。当招标文件与招标文件的澄清和修改就同一内容的表述不一致时，以最后澄清或修改公告为准。</w:t>
      </w:r>
    </w:p>
    <w:p w14:paraId="12EE9006">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11.招标文件的澄清、修改 、现场考察和答疑会</w:t>
      </w:r>
    </w:p>
    <w:p w14:paraId="0524AB11">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 xml:space="preserve"> 11.1采购人或者采购代理机构可以对已发出的招标文件进行必要的澄清或者修改，但不得改变采购标的和资格条件。澄清或者修改应当在原招标公告发布媒体上发布澄清公告。澄清或者修改的内容为招标文件的组成部分。</w:t>
      </w:r>
    </w:p>
    <w:p w14:paraId="7429CD74">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11.2 投标人应认真审阅本招标文件，如有疑问，或发现其中有误或有要求不合理的，应在投标人须知前附表规定的</w:t>
      </w:r>
      <w:r>
        <w:rPr>
          <w:rFonts w:hint="eastAsia" w:ascii="宋体" w:hAnsi="宋体" w:cs="宋体"/>
          <w:color w:val="auto"/>
          <w:kern w:val="0"/>
          <w:szCs w:val="21"/>
          <w:highlight w:val="none"/>
        </w:rPr>
        <w:t>投标截止时间</w:t>
      </w:r>
      <w:r>
        <w:rPr>
          <w:rFonts w:hint="eastAsia" w:ascii="宋体" w:hAnsi="宋体" w:cs="宋体"/>
          <w:color w:val="auto"/>
          <w:highlight w:val="none"/>
        </w:rPr>
        <w:t>前以书面形式要求采购人或采购代理机构对招标文件予以澄清。否则，由此产生的后果由投标人自行负责。</w:t>
      </w:r>
    </w:p>
    <w:p w14:paraId="68AACBFE">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11.3 采购人或者采购代理机构可以对已发出的招标文件进行必要的澄清或者修改。澄清或者修改的内容可能影响投标文件编制的，采购人或者采购代理机构应当在投标截止时间至少15日前，以书面形式通知(在“</w:t>
      </w:r>
      <w:r>
        <w:rPr>
          <w:rFonts w:hint="eastAsia" w:ascii="宋体" w:hAnsi="宋体" w:cs="宋体"/>
          <w:color w:val="auto"/>
          <w:szCs w:val="21"/>
          <w:highlight w:val="none"/>
        </w:rPr>
        <w:t>投标人须知前附表”</w:t>
      </w:r>
      <w:r>
        <w:rPr>
          <w:rFonts w:hint="eastAsia" w:ascii="宋体" w:hAnsi="宋体" w:cs="宋体"/>
          <w:color w:val="auto"/>
          <w:highlight w:val="none"/>
        </w:rPr>
        <w:t>规定的政府采购信息发布媒体上发布更正公告及平台短信通知)所有获取招标文件的潜在投标人。不足15日的，采购人或者采购代理机构应当顺延提交投标文件的截止时间。澄清或者更正公告在招标公告发布媒体上发布，一经发布，视作已以书面形式通知所有获取招标文件的潜在投标人，不再另行通知，所有潜在投标人应密切关注招标公告发布媒体，因未能及时获知，由此产生的后果均应自行承担。</w:t>
      </w:r>
    </w:p>
    <w:p w14:paraId="3E4D3414">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11.4 采购人和采购代理机构可以视采购具体情况，变更投标截止时间和开标时间，将变更时间将在“</w:t>
      </w:r>
      <w:r>
        <w:rPr>
          <w:rFonts w:hint="eastAsia" w:ascii="宋体" w:hAnsi="宋体" w:cs="宋体"/>
          <w:color w:val="auto"/>
          <w:szCs w:val="21"/>
          <w:highlight w:val="none"/>
        </w:rPr>
        <w:t>投标人须知前附表”</w:t>
      </w:r>
      <w:r>
        <w:rPr>
          <w:rFonts w:hint="eastAsia" w:ascii="宋体" w:hAnsi="宋体" w:cs="宋体"/>
          <w:color w:val="auto"/>
          <w:kern w:val="0"/>
          <w:szCs w:val="21"/>
          <w:highlight w:val="none"/>
        </w:rPr>
        <w:t>规定的政府采购信息发布媒体上</w:t>
      </w:r>
      <w:r>
        <w:rPr>
          <w:rFonts w:hint="eastAsia" w:ascii="宋体" w:hAnsi="宋体" w:cs="宋体"/>
          <w:color w:val="auto"/>
          <w:highlight w:val="none"/>
        </w:rPr>
        <w:t>发布更正公告。</w:t>
      </w:r>
    </w:p>
    <w:p w14:paraId="5BD3623F">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11.</w:t>
      </w:r>
      <w:bookmarkStart w:id="130" w:name="_Hlk53134511"/>
      <w:r>
        <w:rPr>
          <w:rFonts w:hint="eastAsia" w:ascii="宋体" w:hAnsi="宋体" w:cs="宋体"/>
          <w:color w:val="auto"/>
          <w:highlight w:val="none"/>
        </w:rPr>
        <w:t>5采购人或者采购代理机构可以在招标文件提供期限截止后，组织已获取招标文件的潜在投标人现场考察或者召开开标前答疑会，具体详见“投标人须知前附表”。</w:t>
      </w:r>
    </w:p>
    <w:bookmarkEnd w:id="130"/>
    <w:p w14:paraId="3E2E3AC4">
      <w:pPr>
        <w:pStyle w:val="4"/>
        <w:keepNext w:val="0"/>
        <w:keepLines w:val="0"/>
        <w:spacing w:line="400" w:lineRule="exact"/>
        <w:jc w:val="center"/>
        <w:rPr>
          <w:rFonts w:ascii="宋体" w:hAnsi="宋体" w:cs="宋体"/>
          <w:color w:val="auto"/>
          <w:highlight w:val="none"/>
        </w:rPr>
      </w:pPr>
      <w:bookmarkStart w:id="131" w:name="_Toc254970676"/>
      <w:bookmarkStart w:id="132" w:name="_Toc23467"/>
      <w:bookmarkStart w:id="133" w:name="_Toc254970535"/>
      <w:bookmarkStart w:id="134" w:name="_Toc32490"/>
    </w:p>
    <w:p w14:paraId="50427AB7">
      <w:pPr>
        <w:pStyle w:val="4"/>
        <w:keepNext w:val="0"/>
        <w:keepLines w:val="0"/>
        <w:spacing w:line="400" w:lineRule="exact"/>
        <w:jc w:val="center"/>
        <w:rPr>
          <w:rFonts w:ascii="宋体" w:hAnsi="宋体" w:cs="宋体"/>
          <w:color w:val="auto"/>
          <w:highlight w:val="none"/>
        </w:rPr>
      </w:pPr>
      <w:bookmarkStart w:id="135" w:name="_Toc13166"/>
      <w:bookmarkStart w:id="136" w:name="_Toc7612"/>
      <w:r>
        <w:rPr>
          <w:rFonts w:hint="eastAsia" w:ascii="宋体" w:hAnsi="宋体" w:cs="宋体"/>
          <w:color w:val="auto"/>
          <w:highlight w:val="none"/>
        </w:rPr>
        <w:t>三、投标文件的编制</w:t>
      </w:r>
      <w:bookmarkEnd w:id="131"/>
      <w:bookmarkEnd w:id="132"/>
      <w:bookmarkEnd w:id="133"/>
      <w:bookmarkEnd w:id="134"/>
      <w:bookmarkEnd w:id="135"/>
      <w:bookmarkEnd w:id="136"/>
    </w:p>
    <w:p w14:paraId="17258376">
      <w:pPr>
        <w:spacing w:line="360" w:lineRule="auto"/>
        <w:ind w:firstLine="480" w:firstLineChars="200"/>
        <w:rPr>
          <w:rFonts w:ascii="宋体" w:hAnsi="宋体" w:cs="宋体"/>
          <w:color w:val="auto"/>
          <w:sz w:val="24"/>
          <w:highlight w:val="none"/>
        </w:rPr>
      </w:pPr>
      <w:bookmarkStart w:id="137" w:name="_Toc254970677"/>
      <w:bookmarkStart w:id="138" w:name="_Toc254970536"/>
      <w:r>
        <w:rPr>
          <w:rFonts w:hint="eastAsia" w:ascii="宋体" w:hAnsi="宋体" w:cs="宋体"/>
          <w:color w:val="auto"/>
          <w:sz w:val="24"/>
          <w:highlight w:val="none"/>
        </w:rPr>
        <w:t>12.投标文件的编制原则</w:t>
      </w:r>
    </w:p>
    <w:p w14:paraId="53ABC7D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投标人必须按照招标文件的要求编制投标文件。投标文件必须对招标文件提出的要求和条件作出明确响应。</w:t>
      </w:r>
    </w:p>
    <w:p w14:paraId="3D8590C7">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13.投标文件的组成</w:t>
      </w:r>
      <w:bookmarkEnd w:id="137"/>
      <w:bookmarkEnd w:id="138"/>
    </w:p>
    <w:p w14:paraId="4028480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13.1投标文件由报价文件、资格证明文件、商务文件、技术文件四部分组成。</w:t>
      </w:r>
    </w:p>
    <w:p w14:paraId="59911043">
      <w:pPr>
        <w:spacing w:line="360" w:lineRule="auto"/>
        <w:ind w:firstLine="420" w:firstLineChars="200"/>
        <w:rPr>
          <w:rFonts w:ascii="宋体" w:hAnsi="宋体" w:cs="宋体"/>
          <w:bCs/>
          <w:color w:val="auto"/>
          <w:szCs w:val="21"/>
          <w:highlight w:val="none"/>
        </w:rPr>
      </w:pPr>
      <w:bookmarkStart w:id="139" w:name="_13.1报价文件:_具体材料见“投标人须知前附表”。"/>
      <w:bookmarkEnd w:id="139"/>
      <w:bookmarkStart w:id="140" w:name="_13.2资格证明文件：具体材料见“投标人须知前附表”。"/>
      <w:bookmarkEnd w:id="140"/>
      <w:r>
        <w:rPr>
          <w:rFonts w:hint="eastAsia" w:ascii="宋体" w:hAnsi="宋体" w:cs="宋体"/>
          <w:bCs/>
          <w:color w:val="auto"/>
          <w:szCs w:val="21"/>
          <w:highlight w:val="none"/>
        </w:rPr>
        <w:t>（1）资格证明文件：具体材料见“投标人须知前附表”。</w:t>
      </w:r>
    </w:p>
    <w:p w14:paraId="62D127B2">
      <w:pPr>
        <w:spacing w:line="360" w:lineRule="auto"/>
        <w:ind w:firstLine="420" w:firstLineChars="200"/>
        <w:rPr>
          <w:rFonts w:ascii="宋体" w:hAnsi="宋体" w:cs="宋体"/>
          <w:bCs/>
          <w:color w:val="auto"/>
          <w:szCs w:val="21"/>
          <w:highlight w:val="none"/>
        </w:rPr>
      </w:pPr>
      <w:bookmarkStart w:id="141" w:name="_13.3商务文件:_具体材料见“投标人须知前附表”。"/>
      <w:bookmarkEnd w:id="141"/>
      <w:r>
        <w:rPr>
          <w:rFonts w:hint="eastAsia" w:ascii="宋体" w:hAnsi="宋体" w:cs="宋体"/>
          <w:bCs/>
          <w:color w:val="auto"/>
          <w:szCs w:val="21"/>
          <w:highlight w:val="none"/>
        </w:rPr>
        <w:t>（2）商务文件：具体材料见“投标人须知前附表”。</w:t>
      </w:r>
    </w:p>
    <w:p w14:paraId="2A7E5B55">
      <w:pPr>
        <w:spacing w:line="360" w:lineRule="auto"/>
        <w:ind w:firstLine="420" w:firstLineChars="200"/>
        <w:rPr>
          <w:rFonts w:ascii="宋体" w:hAnsi="宋体" w:cs="宋体"/>
          <w:bCs/>
          <w:color w:val="auto"/>
          <w:szCs w:val="21"/>
          <w:highlight w:val="none"/>
        </w:rPr>
      </w:pPr>
      <w:bookmarkStart w:id="142" w:name="_13.4技术文件：具体材料见“投标人须知前附表”。"/>
      <w:bookmarkEnd w:id="142"/>
      <w:r>
        <w:rPr>
          <w:rFonts w:hint="eastAsia" w:ascii="宋体" w:hAnsi="宋体" w:cs="宋体"/>
          <w:bCs/>
          <w:color w:val="auto"/>
          <w:szCs w:val="21"/>
          <w:highlight w:val="none"/>
        </w:rPr>
        <w:t xml:space="preserve">（3）技术文件：具体材料见“投标人须知前附表”。 </w:t>
      </w:r>
    </w:p>
    <w:p w14:paraId="250004CF">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（4）报价文件： 具体材料见“投标人须知前附表”。</w:t>
      </w:r>
    </w:p>
    <w:p w14:paraId="3EC6B4E7">
      <w:pPr>
        <w:spacing w:line="360" w:lineRule="auto"/>
        <w:ind w:firstLine="420" w:firstLineChars="200"/>
        <w:rPr>
          <w:rFonts w:ascii="宋体" w:hAnsi="宋体" w:cs="宋体"/>
          <w:bCs/>
          <w:color w:val="auto"/>
          <w:szCs w:val="21"/>
          <w:highlight w:val="none"/>
        </w:rPr>
      </w:pPr>
      <w:bookmarkStart w:id="143" w:name="_13.5投标文件电子版：具体材料见“投标人须知前附表”。"/>
      <w:bookmarkEnd w:id="143"/>
      <w:r>
        <w:rPr>
          <w:rFonts w:hint="eastAsia" w:ascii="宋体" w:hAnsi="宋体" w:cs="宋体"/>
          <w:bCs/>
          <w:color w:val="auto"/>
          <w:szCs w:val="21"/>
          <w:highlight w:val="none"/>
        </w:rPr>
        <w:t>13.2投标文件电子版：具体要求见本节19.投标文件编制。</w:t>
      </w:r>
    </w:p>
    <w:p w14:paraId="6120BAFB">
      <w:pPr>
        <w:spacing w:line="360" w:lineRule="auto"/>
        <w:ind w:firstLine="480" w:firstLineChars="200"/>
        <w:rPr>
          <w:rFonts w:ascii="宋体" w:hAnsi="宋体" w:cs="宋体"/>
          <w:color w:val="auto"/>
          <w:sz w:val="24"/>
          <w:highlight w:val="none"/>
        </w:rPr>
      </w:pPr>
      <w:bookmarkStart w:id="144" w:name="_Toc254970678"/>
      <w:bookmarkStart w:id="145" w:name="_Toc254970537"/>
      <w:r>
        <w:rPr>
          <w:rFonts w:hint="eastAsia" w:ascii="宋体" w:hAnsi="宋体" w:cs="宋体"/>
          <w:color w:val="auto"/>
          <w:sz w:val="24"/>
          <w:highlight w:val="none"/>
        </w:rPr>
        <w:t>14.投标文件的语言及计量</w:t>
      </w:r>
      <w:bookmarkEnd w:id="144"/>
      <w:bookmarkEnd w:id="145"/>
    </w:p>
    <w:p w14:paraId="460EBF62">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14.1语言文字</w:t>
      </w:r>
    </w:p>
    <w:p w14:paraId="347FA0A8">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投标文件以及投标人与采购人就有关投标事宜的所有来往函电，均应以中文书写（除专用术语外，与招标投标有关的语言均使用中文。必要时专用术语应附有中文注释）。投标人提交的支持文件和印刷的文献可以使用别的语言，但其相应内容应同时附中文翻译文本，在解释投标文件时以中文翻译文本为主。对不同文字文本投标文件的解释发生异议的，以中文文本为准。</w:t>
      </w:r>
    </w:p>
    <w:p w14:paraId="74FBFC08">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14.2投标计量单位</w:t>
      </w:r>
    </w:p>
    <w:p w14:paraId="19CF5F74">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招标文件已有明确规定的，使用招标文件规定的计量单位。招标文件没有规定的，应采用中华人民共和国法定计量单位，货币种类为人民币，</w:t>
      </w:r>
      <w:r>
        <w:rPr>
          <w:rFonts w:hint="eastAsia" w:ascii="宋体" w:hAnsi="宋体" w:cs="宋体"/>
          <w:b/>
          <w:color w:val="auto"/>
          <w:szCs w:val="21"/>
          <w:highlight w:val="none"/>
        </w:rPr>
        <w:t>否则视同未响应</w:t>
      </w:r>
      <w:r>
        <w:rPr>
          <w:rFonts w:hint="eastAsia" w:ascii="宋体" w:hAnsi="宋体" w:cs="宋体"/>
          <w:bCs/>
          <w:color w:val="auto"/>
          <w:szCs w:val="21"/>
          <w:highlight w:val="none"/>
        </w:rPr>
        <w:t>。</w:t>
      </w:r>
    </w:p>
    <w:p w14:paraId="641A1998">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15.投标的风险</w:t>
      </w:r>
    </w:p>
    <w:p w14:paraId="7F7A241E">
      <w:pPr>
        <w:pStyle w:val="10"/>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投标文件分为资格文件、商务文件、技术文件、报价文件四部分（其中：商务文件与技术文件合并编辑成一个电子文档）。各投标人在编制投标文件时请按照招标文件规定的格式进行，混乱的编排导致投标文件被误读或评标委员会查找不到有效文件是投标人的风险。投标人没有按照招标文件要求提供全部资料，或者投标人没有对招标文件作出实质性响应是投标人的风险，可能导致其投标被拒绝。</w:t>
      </w:r>
    </w:p>
    <w:p w14:paraId="4F5A81FB">
      <w:pPr>
        <w:spacing w:line="360" w:lineRule="auto"/>
        <w:ind w:firstLine="480" w:firstLineChars="200"/>
        <w:rPr>
          <w:rFonts w:ascii="宋体" w:hAnsi="宋体" w:cs="宋体"/>
          <w:color w:val="auto"/>
          <w:sz w:val="24"/>
          <w:highlight w:val="none"/>
        </w:rPr>
      </w:pPr>
      <w:bookmarkStart w:id="146" w:name="_Toc254970538"/>
      <w:bookmarkStart w:id="147" w:name="_Toc254970679"/>
      <w:r>
        <w:rPr>
          <w:rFonts w:hint="eastAsia" w:ascii="宋体" w:hAnsi="宋体" w:cs="宋体"/>
          <w:color w:val="auto"/>
          <w:sz w:val="24"/>
          <w:highlight w:val="none"/>
        </w:rPr>
        <w:t>16.投标报价</w:t>
      </w:r>
      <w:bookmarkEnd w:id="146"/>
      <w:bookmarkEnd w:id="147"/>
    </w:p>
    <w:p w14:paraId="7E2060AC">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16.1投标报价应按“第六章　投标文件格式”中“开标一览表”格式填写。</w:t>
      </w:r>
    </w:p>
    <w:p w14:paraId="1A00DD25">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16.2投标报价具体包括内容详见“投标人须知前附表”。</w:t>
      </w:r>
    </w:p>
    <w:p w14:paraId="0708DE3D">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16.3投标人必须就所投项目/每个分标的全部内容分别作完整唯一总价报价，不得存在漏项报价；投标人必须就所投项目/分标的单项内容作唯一报价。</w:t>
      </w:r>
    </w:p>
    <w:p w14:paraId="30CDFEDA">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17.投标有效期</w:t>
      </w:r>
    </w:p>
    <w:p w14:paraId="5CFC33FF">
      <w:pPr>
        <w:spacing w:line="360" w:lineRule="auto"/>
        <w:ind w:firstLine="420" w:firstLineChars="200"/>
        <w:rPr>
          <w:rFonts w:ascii="宋体" w:hAnsi="宋体" w:cs="宋体"/>
          <w:bCs/>
          <w:color w:val="auto"/>
          <w:szCs w:val="21"/>
          <w:highlight w:val="none"/>
        </w:rPr>
      </w:pPr>
      <w:bookmarkStart w:id="148" w:name="_17.1投标有效期应按“投标人须知中的前附表”规定的期限。"/>
      <w:bookmarkEnd w:id="148"/>
      <w:r>
        <w:rPr>
          <w:rFonts w:hint="eastAsia" w:ascii="宋体" w:hAnsi="宋体" w:cs="宋体"/>
          <w:bCs/>
          <w:color w:val="auto"/>
          <w:szCs w:val="21"/>
          <w:highlight w:val="none"/>
        </w:rPr>
        <w:t>17.1投标有效期是指为保证采购人有足够的时间在开标后完成评标、定标、合同签订等工作而要求投标人提交的投标文件在一定时间内保持有效的期限。</w:t>
      </w:r>
    </w:p>
    <w:p w14:paraId="1E1380E4">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17.2</w:t>
      </w:r>
      <w:bookmarkStart w:id="149" w:name="_Toc254970540"/>
      <w:bookmarkStart w:id="150" w:name="_Toc254970681"/>
      <w:r>
        <w:rPr>
          <w:rFonts w:hint="eastAsia" w:ascii="宋体" w:hAnsi="宋体" w:cs="宋体"/>
          <w:bCs/>
          <w:color w:val="auto"/>
          <w:szCs w:val="21"/>
          <w:highlight w:val="none"/>
        </w:rPr>
        <w:t xml:space="preserve"> 投标有效期应按规定的期限作出承诺，具体详见“投标人须知前附表”。</w:t>
      </w:r>
    </w:p>
    <w:p w14:paraId="2A49FDE2">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17.3投标人的投标文件在投标有效期内均保持有效。</w:t>
      </w:r>
      <w:bookmarkEnd w:id="149"/>
      <w:bookmarkEnd w:id="150"/>
    </w:p>
    <w:p w14:paraId="6C3AA841">
      <w:pPr>
        <w:spacing w:line="360" w:lineRule="auto"/>
        <w:ind w:firstLine="480" w:firstLineChars="200"/>
        <w:rPr>
          <w:rFonts w:ascii="宋体" w:hAnsi="宋体" w:cs="宋体"/>
          <w:color w:val="auto"/>
          <w:sz w:val="24"/>
          <w:highlight w:val="none"/>
        </w:rPr>
      </w:pPr>
      <w:bookmarkStart w:id="151" w:name="_18.投标保证金"/>
      <w:bookmarkEnd w:id="151"/>
      <w:bookmarkStart w:id="152" w:name="_Toc254970541"/>
      <w:bookmarkStart w:id="153" w:name="_Toc254970682"/>
      <w:r>
        <w:rPr>
          <w:rFonts w:hint="eastAsia" w:ascii="宋体" w:hAnsi="宋体" w:cs="宋体"/>
          <w:color w:val="auto"/>
          <w:sz w:val="24"/>
          <w:highlight w:val="none"/>
        </w:rPr>
        <w:t>18.投标保证金</w:t>
      </w:r>
      <w:bookmarkEnd w:id="152"/>
      <w:bookmarkEnd w:id="153"/>
    </w:p>
    <w:p w14:paraId="7D91EBA1">
      <w:pPr>
        <w:snapToGrid w:val="0"/>
        <w:spacing w:line="360" w:lineRule="auto"/>
        <w:ind w:firstLine="420" w:firstLineChars="200"/>
        <w:rPr>
          <w:rFonts w:ascii="宋体" w:hAnsi="宋体" w:cs="宋体"/>
          <w:color w:val="auto"/>
          <w:szCs w:val="21"/>
          <w:highlight w:val="none"/>
        </w:rPr>
      </w:pPr>
      <w:bookmarkStart w:id="154" w:name="_Toc254970683"/>
      <w:bookmarkStart w:id="155" w:name="_Toc254970542"/>
      <w:r>
        <w:rPr>
          <w:rFonts w:hint="eastAsia" w:ascii="宋体" w:hAnsi="宋体" w:cs="宋体"/>
          <w:color w:val="auto"/>
          <w:szCs w:val="21"/>
          <w:highlight w:val="none"/>
        </w:rPr>
        <w:t>18.1投标人须按“投标人须知前附表” 的规定提交投标保证金。</w:t>
      </w:r>
    </w:p>
    <w:p w14:paraId="745AA8DB">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18.2投标保证金的退还</w:t>
      </w:r>
    </w:p>
    <w:p w14:paraId="7B97DCAB">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18.2.1未中标人的投标保证金自中标通知书发出之日起5个工作日内退还，退还方式如下：</w:t>
      </w:r>
    </w:p>
    <w:p w14:paraId="2D74BC36">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（1）采用银行转账方式的，以转账方式退回到投标人银行账户。</w:t>
      </w:r>
    </w:p>
    <w:p w14:paraId="09736C3D">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（2）采用支票、汇票、本票或者金融机构、担保机构出具的保函等方式的，由投标人代表持相关授权证明材料至采购代理机构办理支票、汇票、本票或者金融机构、担保机构出具的保函等原件退还手续。 </w:t>
      </w:r>
    </w:p>
    <w:p w14:paraId="5ED7D434">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18.2.2中标人的投标保证金自采购合同签订之日起5个工作日内退还，退还方式同本须知正文第18.2.1，或者转为中标人的履约保证金。 </w:t>
      </w:r>
    </w:p>
    <w:p w14:paraId="6EC2F928">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18.3除逾期退还投标保证金和终止招标的情形以外，投标保证金不计息。</w:t>
      </w:r>
    </w:p>
    <w:p w14:paraId="6D2E3CC1">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18.4投标人有下列情形之一的，投标保证金将不予退还： </w:t>
      </w:r>
    </w:p>
    <w:p w14:paraId="0473C836">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（1）投标人在投标有效期内撤销投标文件的；</w:t>
      </w:r>
    </w:p>
    <w:p w14:paraId="608EDF56">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（2）未按规定提交履约保证金的；</w:t>
      </w:r>
    </w:p>
    <w:p w14:paraId="66D96834">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（3）投标人在投标过程中弄虚作假，提供虚假材料的；</w:t>
      </w:r>
    </w:p>
    <w:p w14:paraId="0512FDDC">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（4）中标人无正当理由不与采购人签订合同的；</w:t>
      </w:r>
    </w:p>
    <w:p w14:paraId="47B983EF">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（5）投标人出现本章第9.2、9.3情形的；</w:t>
      </w:r>
    </w:p>
    <w:p w14:paraId="4040FF6C">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（6）其他严重扰乱招投标程序的。</w:t>
      </w:r>
    </w:p>
    <w:p w14:paraId="0073AC18">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19.投标文件的</w:t>
      </w:r>
      <w:bookmarkEnd w:id="154"/>
      <w:bookmarkEnd w:id="155"/>
      <w:r>
        <w:rPr>
          <w:rFonts w:hint="eastAsia" w:ascii="宋体" w:hAnsi="宋体" w:cs="宋体"/>
          <w:color w:val="auto"/>
          <w:sz w:val="24"/>
          <w:highlight w:val="none"/>
        </w:rPr>
        <w:t>编制</w:t>
      </w:r>
    </w:p>
    <w:p w14:paraId="0555C23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19.1投标文件编制要求详见“投标人须知前附表”。投标人应按本招标文件规定的格式和顺序编制投标文件并标注页码，投标文件内容不完整、编排混乱导致投标文件被误读、漏读或者查找不到相关内容的，由此引发的后果由投标人承担。</w:t>
      </w:r>
      <w:bookmarkStart w:id="156" w:name="_19.2投标文件应按报价文件、资格证明文件、商务文件、技术文件分别编制"/>
      <w:bookmarkEnd w:id="156"/>
    </w:p>
    <w:p w14:paraId="68234D12">
      <w:pPr>
        <w:pStyle w:val="74"/>
        <w:snapToGrid w:val="0"/>
        <w:spacing w:before="0"/>
        <w:ind w:firstLine="420"/>
        <w:rPr>
          <w:rFonts w:ascii="宋体" w:hAnsi="宋体" w:cs="宋体"/>
          <w:color w:val="auto"/>
          <w:sz w:val="21"/>
          <w:szCs w:val="21"/>
          <w:highlight w:val="none"/>
        </w:rPr>
      </w:pPr>
      <w:r>
        <w:rPr>
          <w:rFonts w:hint="eastAsia" w:ascii="宋体" w:hAnsi="宋体" w:cs="宋体"/>
          <w:color w:val="auto"/>
          <w:sz w:val="21"/>
          <w:szCs w:val="21"/>
          <w:highlight w:val="none"/>
        </w:rPr>
        <w:t>19.2投标文件按照招标文件第六章格式要求进行签署、盖章。投标人的投标文件未按照招标文件要求签署、盖章的，</w:t>
      </w:r>
      <w:r>
        <w:rPr>
          <w:rFonts w:hint="eastAsia" w:ascii="宋体" w:hAnsi="宋体" w:cs="宋体"/>
          <w:b/>
          <w:color w:val="auto"/>
          <w:sz w:val="21"/>
          <w:szCs w:val="21"/>
          <w:highlight w:val="none"/>
        </w:rPr>
        <w:t>其投标无效。</w:t>
      </w:r>
    </w:p>
    <w:p w14:paraId="39D9073A">
      <w:pPr>
        <w:pStyle w:val="74"/>
        <w:snapToGrid w:val="0"/>
        <w:spacing w:before="0"/>
        <w:ind w:firstLine="420"/>
        <w:rPr>
          <w:rFonts w:ascii="宋体" w:hAnsi="宋体" w:cs="宋体"/>
          <w:color w:val="auto"/>
          <w:sz w:val="21"/>
          <w:szCs w:val="21"/>
          <w:highlight w:val="none"/>
        </w:rPr>
      </w:pPr>
      <w:r>
        <w:rPr>
          <w:rFonts w:hint="eastAsia" w:ascii="宋体" w:hAnsi="宋体" w:cs="宋体"/>
          <w:color w:val="auto"/>
          <w:sz w:val="21"/>
          <w:szCs w:val="21"/>
          <w:highlight w:val="none"/>
        </w:rPr>
        <w:t>19.3为确保网上操作合法、有效和安全，投标人应当在投标截止时间前完成在广西政府采购云平台的身份认证，确保在电子投标过程中能够对相关数据电文进行加密和使用电子签名。</w:t>
      </w:r>
    </w:p>
    <w:p w14:paraId="18E810E2">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19.4投标文件中标注的投标人名称应与主体资格证明（如营业执照、事业单位法人证书、执业许可证、自然人身份证等）及公章一致，</w:t>
      </w:r>
      <w:r>
        <w:rPr>
          <w:rFonts w:hint="eastAsia" w:ascii="宋体" w:hAnsi="宋体" w:cs="宋体"/>
          <w:b/>
          <w:bCs/>
          <w:color w:val="auto"/>
          <w:szCs w:val="21"/>
          <w:highlight w:val="none"/>
        </w:rPr>
        <w:t>否则作无效投标处理</w:t>
      </w:r>
      <w:r>
        <w:rPr>
          <w:rFonts w:hint="eastAsia" w:ascii="宋体" w:hAnsi="宋体" w:cs="宋体"/>
          <w:b/>
          <w:color w:val="auto"/>
          <w:szCs w:val="21"/>
          <w:highlight w:val="none"/>
        </w:rPr>
        <w:t>。</w:t>
      </w:r>
    </w:p>
    <w:p w14:paraId="7898A354">
      <w:pPr>
        <w:spacing w:line="360" w:lineRule="auto"/>
        <w:ind w:firstLine="420" w:firstLineChars="200"/>
        <w:rPr>
          <w:rFonts w:ascii="宋体" w:hAnsi="宋体" w:cs="宋体"/>
          <w:b/>
          <w:color w:val="auto"/>
          <w:szCs w:val="21"/>
          <w:highlight w:val="none"/>
        </w:rPr>
      </w:pPr>
      <w:r>
        <w:rPr>
          <w:rFonts w:hint="eastAsia" w:ascii="宋体" w:hAnsi="宋体" w:cs="宋体"/>
          <w:color w:val="auto"/>
          <w:szCs w:val="21"/>
          <w:highlight w:val="none"/>
        </w:rPr>
        <w:t xml:space="preserve"> 19.5投标文件应避免涂改、行间插字或者删除</w:t>
      </w:r>
      <w:r>
        <w:rPr>
          <w:rFonts w:hint="eastAsia" w:ascii="宋体" w:hAnsi="宋体" w:cs="宋体"/>
          <w:b/>
          <w:color w:val="auto"/>
          <w:szCs w:val="21"/>
          <w:highlight w:val="none"/>
        </w:rPr>
        <w:t>。</w:t>
      </w:r>
    </w:p>
    <w:p w14:paraId="06CA21AA">
      <w:pPr>
        <w:spacing w:line="360" w:lineRule="auto"/>
        <w:ind w:firstLine="520" w:firstLineChars="248"/>
        <w:rPr>
          <w:rFonts w:ascii="宋体" w:hAnsi="宋体" w:cs="宋体"/>
          <w:color w:val="auto"/>
          <w:highlight w:val="none"/>
        </w:rPr>
      </w:pPr>
      <w:r>
        <w:rPr>
          <w:rFonts w:hint="eastAsia" w:ascii="宋体" w:hAnsi="宋体" w:cs="宋体"/>
          <w:color w:val="auto"/>
          <w:highlight w:val="none"/>
        </w:rPr>
        <w:t>19.6 对招标文件的实质性要求和条件作出响应是指投标人必须对招标文件中标注为实质性要求和条件的</w:t>
      </w:r>
      <w:r>
        <w:rPr>
          <w:rFonts w:hint="eastAsia" w:ascii="宋体" w:hAnsi="宋体" w:cs="宋体"/>
          <w:color w:val="auto"/>
          <w:szCs w:val="21"/>
          <w:highlight w:val="none"/>
        </w:rPr>
        <w:t>技术需求和配置</w:t>
      </w:r>
      <w:r>
        <w:rPr>
          <w:rFonts w:hint="eastAsia" w:ascii="宋体" w:hAnsi="宋体" w:cs="宋体"/>
          <w:color w:val="auto"/>
          <w:highlight w:val="none"/>
        </w:rPr>
        <w:t>、商务条款及其它内容</w:t>
      </w:r>
      <w:r>
        <w:rPr>
          <w:rFonts w:hint="eastAsia" w:ascii="宋体" w:hAnsi="宋体" w:cs="宋体"/>
          <w:b/>
          <w:color w:val="auto"/>
          <w:highlight w:val="none"/>
        </w:rPr>
        <w:t>作出满足或者优于原要求和条件的承诺</w:t>
      </w:r>
      <w:r>
        <w:rPr>
          <w:rFonts w:hint="eastAsia" w:ascii="宋体" w:hAnsi="宋体" w:cs="宋体"/>
          <w:color w:val="auto"/>
          <w:highlight w:val="none"/>
        </w:rPr>
        <w:t>。</w:t>
      </w:r>
    </w:p>
    <w:p w14:paraId="34A6F6D9">
      <w:pPr>
        <w:spacing w:line="360" w:lineRule="auto"/>
        <w:ind w:firstLine="422" w:firstLineChars="200"/>
        <w:rPr>
          <w:rFonts w:ascii="宋体" w:hAnsi="宋体" w:cs="宋体"/>
          <w:b/>
          <w:color w:val="auto"/>
          <w:szCs w:val="21"/>
          <w:highlight w:val="none"/>
          <w:u w:val="single"/>
        </w:rPr>
      </w:pPr>
      <w:r>
        <w:rPr>
          <w:rFonts w:hint="eastAsia" w:ascii="宋体" w:hAnsi="宋体" w:cs="宋体"/>
          <w:b/>
          <w:color w:val="auto"/>
          <w:szCs w:val="21"/>
          <w:highlight w:val="none"/>
          <w:u w:val="single"/>
        </w:rPr>
        <w:t>19.7本项目为全流程电子化项目，异常情况见“第二节 投标人须知正文”中“四、24.2开标程序”。</w:t>
      </w:r>
    </w:p>
    <w:p w14:paraId="4CBA6192">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20.备份投标文件</w:t>
      </w:r>
    </w:p>
    <w:p w14:paraId="78AE168C">
      <w:pPr>
        <w:spacing w:line="360" w:lineRule="auto"/>
        <w:ind w:firstLine="420" w:firstLineChars="200"/>
        <w:rPr>
          <w:rFonts w:ascii="宋体" w:hAnsi="宋体" w:cs="宋体"/>
          <w:color w:val="auto"/>
          <w:sz w:val="24"/>
          <w:highlight w:val="none"/>
        </w:rPr>
      </w:pPr>
      <w:r>
        <w:rPr>
          <w:rFonts w:hint="eastAsia" w:ascii="宋体" w:hAnsi="宋体" w:cs="宋体"/>
          <w:bCs/>
          <w:color w:val="auto"/>
          <w:szCs w:val="21"/>
          <w:highlight w:val="none"/>
        </w:rPr>
        <w:t>详见“投标人须知前附表”。</w:t>
      </w:r>
    </w:p>
    <w:p w14:paraId="5E2CAA0D">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21.投标文件的提交</w:t>
      </w:r>
    </w:p>
    <w:p w14:paraId="2AB8D74C">
      <w:pPr>
        <w:spacing w:line="360" w:lineRule="auto"/>
        <w:ind w:firstLine="420" w:firstLineChars="200"/>
        <w:rPr>
          <w:rFonts w:ascii="宋体" w:hAnsi="宋体" w:cs="宋体"/>
          <w:b/>
          <w:color w:val="auto"/>
          <w:highlight w:val="none"/>
        </w:rPr>
      </w:pPr>
      <w:bookmarkStart w:id="157" w:name="_21.1投标人必须在“投标人须知中的前附表”规定的投标文件接收时间和投"/>
      <w:bookmarkEnd w:id="157"/>
      <w:r>
        <w:rPr>
          <w:rFonts w:hint="eastAsia" w:ascii="宋体" w:hAnsi="宋体" w:cs="宋体"/>
          <w:bCs/>
          <w:color w:val="auto"/>
          <w:szCs w:val="21"/>
          <w:highlight w:val="none"/>
        </w:rPr>
        <w:t>21.1投标人必须在“投标人须知前附表”规定的投标文件接收时间和投标地点提交电子版投标文件。电子投标文件应在制作完成后，在投标截止时间前通过有效数字证书（CA认证锁）进行电子签章、加密，然后通过网络将加密的电子投标文件递交至</w:t>
      </w:r>
      <w:r>
        <w:rPr>
          <w:rFonts w:hint="eastAsia" w:ascii="宋体" w:hAnsi="宋体" w:cs="宋体"/>
          <w:color w:val="auto"/>
          <w:highlight w:val="none"/>
        </w:rPr>
        <w:t>广西政府采购云平台</w:t>
      </w:r>
      <w:r>
        <w:rPr>
          <w:rFonts w:hint="eastAsia" w:ascii="宋体" w:hAnsi="宋体" w:cs="宋体"/>
          <w:bCs/>
          <w:color w:val="auto"/>
          <w:szCs w:val="21"/>
          <w:highlight w:val="none"/>
        </w:rPr>
        <w:t xml:space="preserve">。 </w:t>
      </w:r>
    </w:p>
    <w:p w14:paraId="3C76D228">
      <w:pPr>
        <w:spacing w:line="360" w:lineRule="auto"/>
        <w:ind w:firstLine="422" w:firstLineChars="200"/>
        <w:rPr>
          <w:rFonts w:ascii="宋体" w:hAnsi="宋体" w:cs="宋体"/>
          <w:b/>
          <w:color w:val="auto"/>
          <w:szCs w:val="20"/>
          <w:highlight w:val="none"/>
        </w:rPr>
      </w:pPr>
      <w:r>
        <w:rPr>
          <w:rFonts w:hint="eastAsia" w:ascii="宋体" w:hAnsi="宋体" w:cs="宋体"/>
          <w:b/>
          <w:color w:val="auto"/>
          <w:szCs w:val="21"/>
          <w:highlight w:val="none"/>
        </w:rPr>
        <w:t>21.2未在规定时间内提交或者未按照招标文件要求密封或者标记的电子投标文件，广西政府采购云平台将拒收。</w:t>
      </w:r>
    </w:p>
    <w:p w14:paraId="43A3840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21.3电子版投标文件提交方式见“招标公告”</w:t>
      </w:r>
      <w:r>
        <w:rPr>
          <w:rFonts w:hint="eastAsia" w:ascii="宋体" w:hAnsi="宋体" w:cs="宋体"/>
          <w:b w:val="0"/>
          <w:bCs/>
          <w:color w:val="auto"/>
          <w:szCs w:val="21"/>
          <w:highlight w:val="none"/>
        </w:rPr>
        <w:t>。</w:t>
      </w:r>
    </w:p>
    <w:p w14:paraId="0570F81C">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22. 投标文件的补充、修改、撤回</w:t>
      </w:r>
      <w:bookmarkStart w:id="158" w:name="_Toc254970684"/>
      <w:bookmarkStart w:id="159" w:name="_Toc254970543"/>
    </w:p>
    <w:p w14:paraId="6F5AF404">
      <w:pPr>
        <w:spacing w:line="360" w:lineRule="auto"/>
        <w:ind w:firstLine="420" w:firstLineChars="200"/>
        <w:rPr>
          <w:rFonts w:ascii="宋体" w:hAnsi="宋体" w:cs="宋体"/>
          <w:color w:val="auto"/>
          <w:sz w:val="24"/>
          <w:highlight w:val="none"/>
        </w:rPr>
      </w:pPr>
      <w:r>
        <w:rPr>
          <w:rFonts w:hint="eastAsia" w:ascii="宋体" w:hAnsi="宋体" w:cs="宋体"/>
          <w:color w:val="auto"/>
          <w:szCs w:val="21"/>
          <w:highlight w:val="none"/>
        </w:rPr>
        <w:t>22.1 投标人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提交的投标文件，广西政府采购云平台将拒收。</w:t>
      </w:r>
    </w:p>
    <w:p w14:paraId="1B0DAE87">
      <w:pPr>
        <w:pStyle w:val="74"/>
        <w:spacing w:before="0"/>
        <w:ind w:firstLine="420"/>
        <w:rPr>
          <w:rFonts w:ascii="宋体" w:hAnsi="宋体" w:cs="宋体"/>
          <w:color w:val="auto"/>
          <w:sz w:val="21"/>
          <w:szCs w:val="21"/>
          <w:highlight w:val="none"/>
        </w:rPr>
      </w:pPr>
      <w:r>
        <w:rPr>
          <w:rFonts w:hint="eastAsia" w:ascii="宋体" w:hAnsi="宋体" w:cs="宋体"/>
          <w:color w:val="auto"/>
          <w:sz w:val="21"/>
          <w:szCs w:val="21"/>
          <w:highlight w:val="none"/>
        </w:rPr>
        <w:t>22.2广西政府采购云平台收到投标文件，将妥善保存并即时向投标人发出确认回执通知。在投标截止时间前，除投标人补充、修改或者撤回投标文件外，任何单位和个人不得解密或提取投标文件。</w:t>
      </w:r>
    </w:p>
    <w:bookmarkEnd w:id="158"/>
    <w:bookmarkEnd w:id="159"/>
    <w:p w14:paraId="1B3D16C5">
      <w:pPr>
        <w:pStyle w:val="12"/>
        <w:snapToGrid w:val="0"/>
        <w:spacing w:line="400" w:lineRule="exact"/>
        <w:ind w:firstLine="303"/>
        <w:rPr>
          <w:rFonts w:hAnsi="宋体" w:cs="宋体"/>
          <w:snapToGrid w:val="0"/>
          <w:color w:val="auto"/>
          <w:sz w:val="21"/>
          <w:szCs w:val="21"/>
          <w:highlight w:val="none"/>
        </w:rPr>
      </w:pPr>
    </w:p>
    <w:p w14:paraId="620D94E7">
      <w:pPr>
        <w:pStyle w:val="4"/>
        <w:keepNext w:val="0"/>
        <w:keepLines w:val="0"/>
        <w:spacing w:line="400" w:lineRule="exact"/>
        <w:jc w:val="center"/>
        <w:rPr>
          <w:rFonts w:ascii="宋体" w:hAnsi="宋体" w:cs="宋体"/>
          <w:color w:val="auto"/>
          <w:highlight w:val="none"/>
        </w:rPr>
      </w:pPr>
      <w:bookmarkStart w:id="160" w:name="_Toc254970544"/>
      <w:bookmarkStart w:id="161" w:name="_Toc20620"/>
      <w:bookmarkStart w:id="162" w:name="_Toc254970685"/>
      <w:bookmarkStart w:id="163" w:name="_Toc20871"/>
      <w:bookmarkStart w:id="164" w:name="_Toc6762"/>
      <w:bookmarkStart w:id="165" w:name="_Toc13173"/>
      <w:r>
        <w:rPr>
          <w:rFonts w:hint="eastAsia" w:ascii="宋体" w:hAnsi="宋体" w:cs="宋体"/>
          <w:color w:val="auto"/>
          <w:highlight w:val="none"/>
        </w:rPr>
        <w:t>四、开    标</w:t>
      </w:r>
      <w:bookmarkEnd w:id="160"/>
      <w:bookmarkEnd w:id="161"/>
      <w:bookmarkEnd w:id="162"/>
      <w:bookmarkEnd w:id="163"/>
      <w:bookmarkEnd w:id="164"/>
      <w:bookmarkEnd w:id="165"/>
    </w:p>
    <w:p w14:paraId="5D07ABE3">
      <w:pPr>
        <w:spacing w:line="360" w:lineRule="auto"/>
        <w:ind w:firstLine="480" w:firstLineChars="200"/>
        <w:rPr>
          <w:rFonts w:ascii="宋体" w:hAnsi="宋体" w:cs="宋体"/>
          <w:color w:val="auto"/>
          <w:sz w:val="24"/>
          <w:highlight w:val="none"/>
        </w:rPr>
      </w:pPr>
      <w:bookmarkStart w:id="166" w:name="_23.开标时间和地点"/>
      <w:bookmarkEnd w:id="166"/>
      <w:r>
        <w:rPr>
          <w:rFonts w:hint="eastAsia" w:ascii="宋体" w:hAnsi="宋体" w:cs="宋体"/>
          <w:color w:val="auto"/>
          <w:sz w:val="24"/>
          <w:highlight w:val="none"/>
        </w:rPr>
        <w:t>23.开标时间和地点</w:t>
      </w:r>
    </w:p>
    <w:p w14:paraId="2ECA9234">
      <w:pP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23.1开标时间及地点详见“投标人须知前附表”</w:t>
      </w:r>
    </w:p>
    <w:p w14:paraId="652AD257">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23.2如</w:t>
      </w:r>
      <w:r>
        <w:rPr>
          <w:rFonts w:hint="eastAsia" w:ascii="宋体" w:hAnsi="宋体" w:cs="宋体"/>
          <w:bCs/>
          <w:color w:val="auto"/>
          <w:highlight w:val="none"/>
        </w:rPr>
        <w:t>投标人成功解密投标文件，但未在广西政府采购云平台电子开标大厅参加开标的，视同认可开标过程和结果，</w:t>
      </w:r>
      <w:r>
        <w:rPr>
          <w:rFonts w:hint="eastAsia" w:ascii="宋体" w:hAnsi="宋体" w:cs="宋体"/>
          <w:color w:val="auto"/>
          <w:highlight w:val="none"/>
        </w:rPr>
        <w:t>由此产生的后果由投标人自行负责。 投标人不足3家的，不得开标。</w:t>
      </w:r>
    </w:p>
    <w:p w14:paraId="4B1EF068">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24.开标程序</w:t>
      </w:r>
    </w:p>
    <w:p w14:paraId="00D0C7E7">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24.1开标形式：</w:t>
      </w:r>
    </w:p>
    <w:p w14:paraId="7B3280BD">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（1）开标的准备工作由采购代理机构负责落实，采购代理机构必须基于广西政府采购云平台依法抽取评审专家，如采购代理机构未按规定抽取专家的，视为本次开评标无效，应当重新采购。</w:t>
      </w:r>
    </w:p>
    <w:p w14:paraId="20BC903E">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2）采购代理机构将按照招标文件规定的时间通过广西政府采购云平台组织线上开标活动、开启投标文件，所有投标人均应当准时在线参加。投标人如不参加开标大会的，视同认可开标结果，事后不得对采购相关人员、开标过程和开标结果提出异议，同时投标人因未在线参加开标而导致投标文件无法按时解密等一切后果由投标人自己承担。</w:t>
      </w:r>
    </w:p>
    <w:p w14:paraId="4D47AB64">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24.2开标程序：</w:t>
      </w:r>
    </w:p>
    <w:p w14:paraId="75056E98">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1）解密电子投标文件。广西政府采购云平台按开标时间自动提取所有投标文件。采购代理机构依托广西政府采购云平台向各投标人发出电子加密投标文件【开始解密】通知，由投标人在规定的时间内自行将投标文件在线解密。投标人的法定代表人或其委托代理人须携带加密时所用的CA锁准时登录到广西政府采购云平台电子开标大厅签到并对电子投标文件在线解密。投标文件未按时解密的，均视为无效投标。</w:t>
      </w:r>
    </w:p>
    <w:p w14:paraId="360DB365">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（解密异常情况处理：详见本章29.3 电子交易活动的中止。）</w:t>
      </w:r>
    </w:p>
    <w:p w14:paraId="6114B1E0">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（2）电子唱标。投标文件解密结束，各投标人报价均在广西政府采购云平台远程不见面开标大厅展示。</w:t>
      </w:r>
    </w:p>
    <w:p w14:paraId="4E31C62B">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（3）开标过程由采购代理机构如实记录，并电子留痕，由参加电子开标的各投标人代表对电子开标记录在开标记录公布后15分钟内进行当场校核及勘误，并线上确认，未确认的视同认可开标结果。</w:t>
      </w:r>
    </w:p>
    <w:p w14:paraId="5423929E">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4）投标人代表对开标过程和开标记录有疑义，以及认为采购人、采购代理机构相关工作人员有需要回避的情形的，应当场提出在线询问或者回避申请。采购人、采购代理机构对投标人代表提出的询问或者回避申请应当及时处理。</w:t>
      </w:r>
    </w:p>
    <w:p w14:paraId="49DE63E9">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（5）开标结束。</w:t>
      </w:r>
    </w:p>
    <w:p w14:paraId="5B3A3C7A">
      <w:pPr>
        <w:pStyle w:val="14"/>
        <w:snapToGrid w:val="0"/>
        <w:spacing w:line="440" w:lineRule="exact"/>
        <w:ind w:firstLine="422" w:firstLineChars="200"/>
        <w:rPr>
          <w:rFonts w:hAnsi="宋体" w:cs="宋体"/>
          <w:color w:val="auto"/>
          <w:szCs w:val="21"/>
          <w:highlight w:val="none"/>
        </w:rPr>
      </w:pPr>
      <w:r>
        <w:rPr>
          <w:rFonts w:hint="eastAsia" w:hAnsi="宋体" w:cs="宋体"/>
          <w:b/>
          <w:bCs/>
          <w:color w:val="auto"/>
          <w:szCs w:val="21"/>
          <w:highlight w:val="none"/>
        </w:rPr>
        <w:t>特别说明：</w:t>
      </w:r>
      <w:r>
        <w:rPr>
          <w:rFonts w:hint="eastAsia" w:hAnsi="宋体" w:cs="宋体"/>
          <w:color w:val="auto"/>
          <w:szCs w:val="21"/>
          <w:highlight w:val="none"/>
        </w:rPr>
        <w:t>如遇广西政府采购云平台电子化开标或评审程序调整的，按调整后执行。</w:t>
      </w:r>
    </w:p>
    <w:p w14:paraId="40D4E34E">
      <w:pPr>
        <w:pStyle w:val="8"/>
        <w:ind w:left="0"/>
        <w:rPr>
          <w:rFonts w:ascii="宋体" w:hAnsi="宋体" w:cs="宋体"/>
          <w:color w:val="auto"/>
          <w:highlight w:val="none"/>
        </w:rPr>
      </w:pPr>
      <w:bookmarkStart w:id="167" w:name="_Toc30961"/>
      <w:bookmarkStart w:id="168" w:name="_Toc29757"/>
      <w:bookmarkStart w:id="169" w:name="_Toc31687"/>
      <w:bookmarkStart w:id="170" w:name="_Toc10935"/>
    </w:p>
    <w:p w14:paraId="7073589B">
      <w:pPr>
        <w:pStyle w:val="4"/>
        <w:keepNext w:val="0"/>
        <w:keepLines w:val="0"/>
        <w:spacing w:line="360" w:lineRule="auto"/>
        <w:jc w:val="center"/>
        <w:rPr>
          <w:rFonts w:ascii="宋体" w:hAnsi="宋体" w:cs="宋体"/>
          <w:color w:val="auto"/>
          <w:highlight w:val="none"/>
        </w:rPr>
      </w:pPr>
      <w:r>
        <w:rPr>
          <w:rFonts w:hint="eastAsia" w:ascii="宋体" w:hAnsi="宋体" w:cs="宋体"/>
          <w:color w:val="auto"/>
          <w:highlight w:val="none"/>
        </w:rPr>
        <w:t>五、资格审查</w:t>
      </w:r>
      <w:bookmarkEnd w:id="167"/>
      <w:bookmarkEnd w:id="168"/>
      <w:bookmarkEnd w:id="169"/>
      <w:bookmarkEnd w:id="170"/>
    </w:p>
    <w:p w14:paraId="7E5EC0A6">
      <w:pPr>
        <w:pStyle w:val="6"/>
        <w:keepNext w:val="0"/>
        <w:keepLines w:val="0"/>
        <w:spacing w:before="0" w:after="0" w:line="360" w:lineRule="auto"/>
        <w:ind w:firstLine="482" w:firstLineChars="200"/>
        <w:rPr>
          <w:rFonts w:ascii="宋体" w:hAnsi="宋体" w:cs="宋体"/>
          <w:color w:val="auto"/>
          <w:sz w:val="24"/>
          <w:highlight w:val="none"/>
        </w:rPr>
      </w:pPr>
      <w:r>
        <w:rPr>
          <w:rFonts w:hint="eastAsia" w:ascii="宋体" w:hAnsi="宋体" w:cs="宋体"/>
          <w:color w:val="auto"/>
          <w:sz w:val="24"/>
          <w:highlight w:val="none"/>
        </w:rPr>
        <w:t>25.资格审查</w:t>
      </w:r>
    </w:p>
    <w:p w14:paraId="40D20026">
      <w:pPr>
        <w:spacing w:line="360" w:lineRule="auto"/>
        <w:ind w:firstLine="422" w:firstLineChars="200"/>
        <w:rPr>
          <w:rFonts w:ascii="宋体" w:hAnsi="宋体" w:cs="宋体"/>
          <w:b/>
          <w:bCs/>
          <w:color w:val="auto"/>
          <w:szCs w:val="20"/>
          <w:highlight w:val="none"/>
        </w:rPr>
      </w:pPr>
      <w:r>
        <w:rPr>
          <w:rFonts w:hint="eastAsia" w:ascii="宋体" w:hAnsi="宋体" w:cs="宋体"/>
          <w:b/>
          <w:bCs/>
          <w:color w:val="auto"/>
          <w:szCs w:val="20"/>
          <w:highlight w:val="none"/>
        </w:rPr>
        <w:t>25.1开标结束后，采购人或采购代理机构依法通过电子投标文件对投标人的资格进行线上审查。</w:t>
      </w:r>
    </w:p>
    <w:p w14:paraId="5AA03937">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25.2资格审查标准为本“招标文件”中“投标人须知前附表”13.1点载明对投标人资格要求的条件。本项目资格审查采用合格制，凡符合招标文件规定的投标人资格要求的投标人均通过资格审查。</w:t>
      </w:r>
    </w:p>
    <w:p w14:paraId="27404120">
      <w:pPr>
        <w:spacing w:line="360" w:lineRule="auto"/>
        <w:ind w:firstLine="422" w:firstLineChars="200"/>
        <w:rPr>
          <w:rFonts w:ascii="宋体" w:hAnsi="宋体" w:cs="宋体"/>
          <w:b/>
          <w:bCs/>
          <w:color w:val="auto"/>
          <w:szCs w:val="20"/>
          <w:highlight w:val="none"/>
        </w:rPr>
      </w:pPr>
      <w:bookmarkStart w:id="171" w:name="_25.3_投标人有下列情形之一的，资格审查不通过而导致其投标无效："/>
      <w:bookmarkEnd w:id="171"/>
      <w:r>
        <w:rPr>
          <w:rFonts w:hint="eastAsia" w:ascii="宋体" w:hAnsi="宋体" w:cs="宋体"/>
          <w:b/>
          <w:bCs/>
          <w:color w:val="auto"/>
          <w:szCs w:val="20"/>
          <w:highlight w:val="none"/>
        </w:rPr>
        <w:t>25.3投标人有下列情形之一的，资格审查不通过，作无效投标处理：</w:t>
      </w:r>
    </w:p>
    <w:p w14:paraId="53D9BE30">
      <w:pPr>
        <w:spacing w:line="360" w:lineRule="auto"/>
        <w:ind w:firstLine="420" w:firstLineChars="200"/>
        <w:rPr>
          <w:rFonts w:ascii="宋体" w:hAnsi="宋体" w:cs="宋体"/>
          <w:color w:val="auto"/>
          <w:highlight w:val="none"/>
        </w:rPr>
      </w:pPr>
      <w:r>
        <w:rPr>
          <w:rFonts w:hint="eastAsia" w:hAnsi="宋体"/>
          <w:color w:val="auto"/>
          <w:highlight w:val="none"/>
        </w:rPr>
        <w:t>（1）不具备招标文件中规定的资格要求的。（注：其中信用查询规则见“投标人须知前附表”，广西政府采购云平台已与“信用中国”平台做接口，</w:t>
      </w:r>
      <w:r>
        <w:rPr>
          <w:rFonts w:hint="eastAsia" w:ascii="宋体" w:hAnsi="宋体" w:cs="宋体"/>
          <w:color w:val="auto"/>
          <w:szCs w:val="20"/>
          <w:highlight w:val="none"/>
        </w:rPr>
        <w:t>采购人或者采购代理机构</w:t>
      </w:r>
      <w:r>
        <w:rPr>
          <w:rFonts w:hint="eastAsia" w:ascii="宋体" w:hAnsi="宋体" w:cs="宋体"/>
          <w:color w:val="auto"/>
          <w:highlight w:val="none"/>
        </w:rPr>
        <w:t>可直接在线查询）</w:t>
      </w:r>
    </w:p>
    <w:p w14:paraId="1A38C7EB">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（2）投标文件未提供任一项“投标人须知前附表”资格证明文件规定的“必须提供”的文件资料的。</w:t>
      </w:r>
    </w:p>
    <w:p w14:paraId="0A296B5A">
      <w:pPr>
        <w:spacing w:line="360" w:lineRule="auto"/>
        <w:ind w:firstLine="420" w:firstLineChars="200"/>
        <w:rPr>
          <w:color w:val="auto"/>
          <w:highlight w:val="none"/>
        </w:rPr>
      </w:pPr>
      <w:r>
        <w:rPr>
          <w:rFonts w:hint="eastAsia" w:ascii="宋体" w:hAnsi="宋体" w:cs="宋体"/>
          <w:color w:val="auto"/>
          <w:highlight w:val="none"/>
        </w:rPr>
        <w:t>（3）投标文件提供的资格证明文件出现任一项不符合“投标人须知前附表”资格证明文件规定的“必须提供”的文件资料要求或者无效的。</w:t>
      </w:r>
    </w:p>
    <w:p w14:paraId="44D0154B">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（4）同一合同项下的不同供应商，单位负责人为同一人或者存在直接控股、管理关系的；为本项目提供过整体设计、规范编制或者项目管理、监理、检测等服务的。</w:t>
      </w:r>
    </w:p>
    <w:p w14:paraId="170B3377">
      <w:pPr>
        <w:pStyle w:val="6"/>
        <w:keepNext w:val="0"/>
        <w:keepLines w:val="0"/>
        <w:spacing w:before="0" w:after="0" w:line="360" w:lineRule="auto"/>
        <w:ind w:firstLine="420" w:firstLineChars="200"/>
        <w:rPr>
          <w:rFonts w:ascii="宋体" w:hAnsi="宋体" w:cs="宋体"/>
          <w:b w:val="0"/>
          <w:bCs w:val="0"/>
          <w:color w:val="auto"/>
          <w:sz w:val="21"/>
          <w:szCs w:val="20"/>
          <w:highlight w:val="none"/>
        </w:rPr>
      </w:pPr>
      <w:r>
        <w:rPr>
          <w:rFonts w:hint="eastAsia" w:ascii="宋体" w:hAnsi="宋体" w:cs="宋体"/>
          <w:b w:val="0"/>
          <w:bCs w:val="0"/>
          <w:color w:val="auto"/>
          <w:sz w:val="21"/>
          <w:szCs w:val="20"/>
          <w:highlight w:val="none"/>
        </w:rPr>
        <w:t>25.4资格审查的合格投标人不足3家的，不得评标。</w:t>
      </w:r>
    </w:p>
    <w:p w14:paraId="4AB4C4E8">
      <w:pPr>
        <w:pStyle w:val="4"/>
        <w:keepNext w:val="0"/>
        <w:keepLines w:val="0"/>
        <w:spacing w:line="360" w:lineRule="auto"/>
        <w:jc w:val="center"/>
        <w:rPr>
          <w:rFonts w:ascii="宋体" w:hAnsi="宋体" w:cs="宋体"/>
          <w:color w:val="auto"/>
          <w:highlight w:val="none"/>
        </w:rPr>
      </w:pPr>
      <w:bookmarkStart w:id="172" w:name="_Toc17458"/>
      <w:bookmarkStart w:id="173" w:name="_Toc29675"/>
      <w:bookmarkStart w:id="174" w:name="_Toc23135"/>
      <w:bookmarkStart w:id="175" w:name="_Toc10753"/>
    </w:p>
    <w:p w14:paraId="312ADDAE">
      <w:pPr>
        <w:pStyle w:val="4"/>
        <w:keepNext w:val="0"/>
        <w:keepLines w:val="0"/>
        <w:spacing w:line="360" w:lineRule="auto"/>
        <w:jc w:val="center"/>
        <w:rPr>
          <w:rFonts w:ascii="宋体" w:hAnsi="宋体" w:cs="宋体"/>
          <w:color w:val="auto"/>
          <w:highlight w:val="none"/>
        </w:rPr>
      </w:pPr>
      <w:r>
        <w:rPr>
          <w:rFonts w:hint="eastAsia" w:ascii="宋体" w:hAnsi="宋体" w:cs="宋体"/>
          <w:color w:val="auto"/>
          <w:highlight w:val="none"/>
        </w:rPr>
        <w:t>六、评   标</w:t>
      </w:r>
      <w:bookmarkEnd w:id="172"/>
      <w:bookmarkEnd w:id="173"/>
      <w:bookmarkEnd w:id="174"/>
      <w:bookmarkEnd w:id="175"/>
    </w:p>
    <w:p w14:paraId="464DB5B1">
      <w:pPr>
        <w:spacing w:line="360" w:lineRule="auto"/>
        <w:ind w:firstLine="480" w:firstLineChars="200"/>
        <w:rPr>
          <w:rFonts w:ascii="宋体" w:hAnsi="宋体" w:cs="宋体"/>
          <w:color w:val="auto"/>
          <w:sz w:val="24"/>
          <w:highlight w:val="none"/>
        </w:rPr>
      </w:pPr>
      <w:bookmarkStart w:id="176" w:name="_26.组建评标委员会"/>
      <w:bookmarkEnd w:id="176"/>
      <w:r>
        <w:rPr>
          <w:rFonts w:hint="eastAsia" w:ascii="宋体" w:hAnsi="宋体" w:cs="宋体"/>
          <w:color w:val="auto"/>
          <w:sz w:val="24"/>
          <w:highlight w:val="none"/>
        </w:rPr>
        <w:t>26.组建评标委员会</w:t>
      </w:r>
    </w:p>
    <w:p w14:paraId="46333D03">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评标委员会由采购人代表和评审专家组成，人数为5人以上单数，其中评审专家不得少于成员总数的三分之二。</w:t>
      </w:r>
    </w:p>
    <w:p w14:paraId="065BD1A4">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参加过采购项目前期咨询论证的专家，不得参加该采购项目的评审活动。</w:t>
      </w:r>
    </w:p>
    <w:p w14:paraId="23F1469C">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27.评标的依据</w:t>
      </w:r>
    </w:p>
    <w:p w14:paraId="703DFB95">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评标委员会以招标文件为依据对投标文件进行评审，“第四章 评标方法和评标标准”没有规定的方法、评审因素和标准，不作为评标依据。</w:t>
      </w:r>
    </w:p>
    <w:p w14:paraId="1A9E64B8">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28.评标原则</w:t>
      </w:r>
    </w:p>
    <w:p w14:paraId="1546135B">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28.1评标原则。评标委员会评标时必须公平、公正、客观，不带任何倾向性和启发性。不得向外界透露任何与评标有关的内容。任何单位和个人不得干扰、影响评标的正常进行。评标委员会及有关工作人员不得私下与投标人接触，不得收受利害关系人的财物或者其他好处。</w:t>
      </w:r>
    </w:p>
    <w:p w14:paraId="47B6F004">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28.2评标的保密。采购人、采购代理机构应当采取必要措施，保证评标在严格保密（封闭式评标）的情况下进行。除采购人代表、评标现场组织人员外，采购人的其他工作人员以及与评标工作无关的人员不得进入评标现场。有关人员对评标情况以及在评标过程中获悉的国家秘密、商业秘密负有保密责任。</w:t>
      </w:r>
    </w:p>
    <w:p w14:paraId="26E181C1">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28.3评标过程的监控。本项目电子评标过程实行网上留痕、全程录音、录像监控，投标人在评标过程中所进行的试图影响评标结果的不公正活动，可能导致其投标作无效处理。</w:t>
      </w:r>
    </w:p>
    <w:p w14:paraId="465FB380">
      <w:pPr>
        <w:pStyle w:val="17"/>
        <w:spacing w:line="360" w:lineRule="auto"/>
        <w:ind w:firstLine="420" w:firstLineChars="200"/>
        <w:rPr>
          <w:rFonts w:ascii="宋体" w:hAnsi="宋体" w:cs="宋体"/>
          <w:color w:val="auto"/>
          <w:sz w:val="21"/>
          <w:szCs w:val="21"/>
          <w:highlight w:val="none"/>
        </w:rPr>
      </w:pPr>
      <w:r>
        <w:rPr>
          <w:rFonts w:hint="eastAsia" w:ascii="宋体" w:hAnsi="宋体" w:cs="宋体"/>
          <w:color w:val="auto"/>
          <w:sz w:val="21"/>
          <w:szCs w:val="24"/>
          <w:highlight w:val="none"/>
        </w:rPr>
        <w:t>28.4</w:t>
      </w:r>
      <w:r>
        <w:rPr>
          <w:rFonts w:hint="eastAsia" w:ascii="宋体" w:hAnsi="宋体" w:cs="宋体"/>
          <w:color w:val="auto"/>
          <w:sz w:val="21"/>
          <w:szCs w:val="21"/>
          <w:highlight w:val="none"/>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7AA4E56D">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29.评标方法和评标标准</w:t>
      </w:r>
    </w:p>
    <w:p w14:paraId="246C44C0">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29.1本项目的评标方法详见“投标人须知前附表”。</w:t>
      </w:r>
    </w:p>
    <w:p w14:paraId="72CADE27">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29.2 评标委员会按照</w:t>
      </w:r>
      <w:r>
        <w:rPr>
          <w:rFonts w:hint="eastAsia" w:ascii="宋体" w:hAnsi="宋体" w:cs="宋体"/>
          <w:b/>
          <w:color w:val="auto"/>
          <w:highlight w:val="none"/>
        </w:rPr>
        <w:t>“第四章 评标方法和评标标准”</w:t>
      </w:r>
      <w:r>
        <w:rPr>
          <w:rFonts w:hint="eastAsia" w:ascii="宋体" w:hAnsi="宋体" w:cs="宋体"/>
          <w:color w:val="auto"/>
          <w:highlight w:val="none"/>
        </w:rPr>
        <w:t>规定的方法、评审因素、标准和程序对投标文件进行评审。</w:t>
      </w:r>
    </w:p>
    <w:p w14:paraId="6DBA0BAD">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29.3 电子交易活动的中止。采购过程中出现以下情形，导致电子交易平台无法正常运行，或者无法保证电子交易的公平、公正和安全时，采购机构可中止电子交易活动：</w:t>
      </w:r>
    </w:p>
    <w:p w14:paraId="08928BEB">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 xml:space="preserve">（1）电子交易平台发生故障而无法登录访问的。 </w:t>
      </w:r>
    </w:p>
    <w:p w14:paraId="2A7B63CA">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（2）电子交易平台应用或数据库出现错误，不能进行正常操作的。</w:t>
      </w:r>
    </w:p>
    <w:p w14:paraId="030C2213">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（3）电子交易平台发现严重安全漏洞，有潜在泄密危险的。</w:t>
      </w:r>
    </w:p>
    <w:p w14:paraId="33EA362E">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 xml:space="preserve">（4）病毒发作导致不能进行正常操作的。 </w:t>
      </w:r>
    </w:p>
    <w:p w14:paraId="2555F97C">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（5）其他无法保证电子交易的公平、公正和安全的情况。</w:t>
      </w:r>
    </w:p>
    <w:p w14:paraId="668A95A0">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29.4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154C6F1C">
      <w:pPr>
        <w:spacing w:line="360" w:lineRule="auto"/>
        <w:ind w:firstLine="420" w:firstLineChars="200"/>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29.5</w:t>
      </w:r>
      <w:r>
        <w:rPr>
          <w:rFonts w:hint="eastAsia" w:ascii="宋体" w:hAnsi="宋体" w:cs="宋体"/>
          <w:color w:val="auto"/>
          <w:highlight w:val="none"/>
        </w:rPr>
        <w:t>在招标采购中，出现下列情形之一的，应予废标：</w:t>
      </w:r>
      <w:r>
        <w:rPr>
          <w:rFonts w:hint="eastAsia" w:ascii="宋体" w:hAnsi="宋体" w:cs="宋体"/>
          <w:color w:val="auto"/>
          <w:highlight w:val="none"/>
        </w:rPr>
        <w:br w:type="textWrapping"/>
      </w:r>
      <w:r>
        <w:rPr>
          <w:rFonts w:hint="eastAsia" w:ascii="宋体" w:hAnsi="宋体" w:cs="宋体"/>
          <w:color w:val="auto"/>
          <w:highlight w:val="none"/>
        </w:rPr>
        <w:t>  （一）符合专业条件的供应商或者对招标文件作实质响应的供应商不足三家的；</w:t>
      </w:r>
      <w:r>
        <w:rPr>
          <w:rFonts w:hint="eastAsia" w:ascii="宋体" w:hAnsi="宋体" w:cs="宋体"/>
          <w:color w:val="auto"/>
          <w:highlight w:val="none"/>
        </w:rPr>
        <w:br w:type="textWrapping"/>
      </w:r>
      <w:r>
        <w:rPr>
          <w:rFonts w:hint="eastAsia" w:ascii="宋体" w:hAnsi="宋体" w:cs="宋体"/>
          <w:color w:val="auto"/>
          <w:highlight w:val="none"/>
        </w:rPr>
        <w:t>  （二）出现影响采购公正的违法、违规行为的；</w:t>
      </w:r>
      <w:r>
        <w:rPr>
          <w:rFonts w:hint="eastAsia" w:ascii="宋体" w:hAnsi="宋体" w:cs="宋体"/>
          <w:color w:val="auto"/>
          <w:highlight w:val="none"/>
        </w:rPr>
        <w:br w:type="textWrapping"/>
      </w:r>
      <w:r>
        <w:rPr>
          <w:rFonts w:hint="eastAsia" w:ascii="宋体" w:hAnsi="宋体" w:cs="宋体"/>
          <w:color w:val="auto"/>
          <w:highlight w:val="none"/>
        </w:rPr>
        <w:t>  （三）投标人的报价均超过了采购预算，采购人不能支付的；</w:t>
      </w:r>
      <w:r>
        <w:rPr>
          <w:rFonts w:hint="eastAsia" w:ascii="宋体" w:hAnsi="宋体" w:cs="宋体"/>
          <w:color w:val="auto"/>
          <w:highlight w:val="none"/>
        </w:rPr>
        <w:br w:type="textWrapping"/>
      </w:r>
      <w:r>
        <w:rPr>
          <w:rFonts w:hint="eastAsia" w:ascii="宋体" w:hAnsi="宋体" w:cs="宋体"/>
          <w:color w:val="auto"/>
          <w:highlight w:val="none"/>
        </w:rPr>
        <w:t>  （四）因重大变故，采购任务取消的。</w:t>
      </w:r>
      <w:r>
        <w:rPr>
          <w:rFonts w:hint="eastAsia" w:ascii="宋体" w:hAnsi="宋体" w:cs="宋体"/>
          <w:color w:val="auto"/>
          <w:highlight w:val="none"/>
        </w:rPr>
        <w:br w:type="textWrapping"/>
      </w:r>
    </w:p>
    <w:p w14:paraId="495B775A">
      <w:pPr>
        <w:pStyle w:val="14"/>
        <w:snapToGrid w:val="0"/>
        <w:spacing w:line="400" w:lineRule="exact"/>
        <w:ind w:firstLine="420" w:firstLineChars="200"/>
        <w:rPr>
          <w:rFonts w:hAnsi="宋体" w:cs="宋体"/>
          <w:color w:val="auto"/>
          <w:highlight w:val="none"/>
        </w:rPr>
      </w:pPr>
    </w:p>
    <w:p w14:paraId="6CB9E585">
      <w:pPr>
        <w:pStyle w:val="4"/>
        <w:keepNext w:val="0"/>
        <w:keepLines w:val="0"/>
        <w:spacing w:line="400" w:lineRule="exact"/>
        <w:jc w:val="center"/>
        <w:rPr>
          <w:rFonts w:ascii="宋体" w:hAnsi="宋体" w:cs="宋体"/>
          <w:color w:val="auto"/>
          <w:highlight w:val="none"/>
        </w:rPr>
      </w:pPr>
      <w:bookmarkStart w:id="177" w:name="_Toc254970546"/>
      <w:bookmarkStart w:id="178" w:name="_Toc254970687"/>
      <w:bookmarkStart w:id="179" w:name="_Toc16461"/>
      <w:bookmarkStart w:id="180" w:name="_Toc6053"/>
      <w:bookmarkStart w:id="181" w:name="_Toc11609"/>
      <w:bookmarkStart w:id="182" w:name="_Toc20927"/>
      <w:r>
        <w:rPr>
          <w:rFonts w:hint="eastAsia" w:ascii="宋体" w:hAnsi="宋体" w:cs="宋体"/>
          <w:color w:val="auto"/>
          <w:highlight w:val="none"/>
        </w:rPr>
        <w:t>七、</w:t>
      </w:r>
      <w:bookmarkEnd w:id="177"/>
      <w:bookmarkEnd w:id="178"/>
      <w:r>
        <w:rPr>
          <w:rFonts w:hint="eastAsia" w:ascii="宋体" w:hAnsi="宋体" w:cs="宋体"/>
          <w:color w:val="auto"/>
          <w:highlight w:val="none"/>
        </w:rPr>
        <w:t>中标和合同</w:t>
      </w:r>
      <w:bookmarkEnd w:id="179"/>
      <w:bookmarkEnd w:id="180"/>
      <w:bookmarkEnd w:id="181"/>
      <w:bookmarkEnd w:id="182"/>
    </w:p>
    <w:p w14:paraId="539DE854">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30.确定中标人</w:t>
      </w:r>
    </w:p>
    <w:p w14:paraId="6AA5B3CA">
      <w:pPr>
        <w:spacing w:line="360" w:lineRule="auto"/>
        <w:ind w:firstLine="420" w:firstLineChars="200"/>
        <w:rPr>
          <w:rFonts w:ascii="宋体" w:hAnsi="宋体" w:cs="宋体"/>
          <w:b/>
          <w:bCs/>
          <w:color w:val="auto"/>
          <w:szCs w:val="21"/>
          <w:highlight w:val="none"/>
        </w:rPr>
      </w:pPr>
      <w:r>
        <w:rPr>
          <w:rFonts w:hint="eastAsia" w:ascii="宋体" w:hAnsi="宋体" w:cs="宋体"/>
          <w:color w:val="auto"/>
          <w:szCs w:val="21"/>
          <w:highlight w:val="none"/>
        </w:rPr>
        <w:t>30.1</w:t>
      </w:r>
      <w:r>
        <w:rPr>
          <w:rFonts w:hint="eastAsia" w:ascii="宋体" w:hAnsi="宋体" w:cs="宋体"/>
          <w:color w:val="auto"/>
          <w:highlight w:val="none"/>
        </w:rPr>
        <w:t>采购人在收到评标委员会出具的评标报告之日起5个工作日内在评标报告推荐的中标候选人名单中按顺序确定中标人。采购人也可以事先授权评标委员会直接确定中标人。</w:t>
      </w:r>
      <w:r>
        <w:rPr>
          <w:rFonts w:ascii="宋体" w:hAnsi="宋体" w:cs="宋体"/>
          <w:color w:val="auto"/>
          <w:highlight w:val="none"/>
        </w:rPr>
        <w:t>中标候选人并列的，由采购人或者采购人委托评标委员会按照</w:t>
      </w:r>
      <w:r>
        <w:rPr>
          <w:rFonts w:hint="eastAsia" w:ascii="宋体" w:hAnsi="宋体" w:cs="宋体"/>
          <w:color w:val="auto"/>
          <w:highlight w:val="none"/>
        </w:rPr>
        <w:t>“投标人须知前附表”</w:t>
      </w:r>
      <w:r>
        <w:rPr>
          <w:rFonts w:ascii="宋体" w:hAnsi="宋体" w:cs="宋体"/>
          <w:color w:val="auto"/>
          <w:highlight w:val="none"/>
        </w:rPr>
        <w:t>规定的方式确定中标人</w:t>
      </w:r>
      <w:r>
        <w:rPr>
          <w:rFonts w:hint="eastAsia" w:ascii="宋体" w:hAnsi="宋体" w:cs="宋体"/>
          <w:color w:val="auto"/>
          <w:highlight w:val="none"/>
        </w:rPr>
        <w:t>。</w:t>
      </w:r>
      <w:r>
        <w:rPr>
          <w:rFonts w:ascii="宋体" w:hAnsi="宋体" w:cs="宋体"/>
          <w:color w:val="auto"/>
          <w:highlight w:val="none"/>
        </w:rPr>
        <w:t>招标文件未规定的，采取随机抽取的方式确定。</w:t>
      </w:r>
    </w:p>
    <w:p w14:paraId="3F5A472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30.2采购人、采购代理机构认为供应商对采购过程、中标结果提出的质疑成立且影响或者可能影响中标结果的，合格供应商符合法定数量时，可以从合格的中标候选人中另行确定中标人的，应当依法另行确定中标人。否则应当重新开展采购活动。</w:t>
      </w:r>
    </w:p>
    <w:p w14:paraId="359612C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30.3中标人无正当理由拒签合同的，根据《中华人民共和国政府采购法》第七十七条第一款规定处理。</w:t>
      </w:r>
    </w:p>
    <w:p w14:paraId="12CE4DB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30.4根据《中华人民共</w:t>
      </w:r>
      <w:r>
        <w:rPr>
          <w:rFonts w:hint="eastAsia" w:ascii="宋体" w:hAnsi="宋体" w:eastAsia="宋体" w:cs="宋体"/>
          <w:color w:val="auto"/>
          <w:szCs w:val="21"/>
          <w:highlight w:val="none"/>
        </w:rPr>
        <w:t>和国民法典》第五百六十三条，因不可抗力致使不能实</w:t>
      </w:r>
      <w:r>
        <w:rPr>
          <w:rFonts w:hint="eastAsia" w:ascii="宋体" w:hAnsi="宋体" w:cs="宋体"/>
          <w:color w:val="auto"/>
          <w:szCs w:val="21"/>
          <w:highlight w:val="none"/>
        </w:rPr>
        <w:t>现合同目的的，当事人可以解除合同。</w:t>
      </w:r>
    </w:p>
    <w:p w14:paraId="42FF5D67">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31. 结果公告</w:t>
      </w:r>
    </w:p>
    <w:p w14:paraId="0DBD3C2A">
      <w:pPr>
        <w:spacing w:line="360" w:lineRule="auto"/>
        <w:ind w:firstLine="420" w:firstLineChars="200"/>
        <w:rPr>
          <w:rFonts w:ascii="宋体" w:hAnsi="宋体" w:cs="宋体"/>
          <w:color w:val="auto"/>
          <w:highlight w:val="none"/>
        </w:rPr>
      </w:pPr>
      <w:r>
        <w:rPr>
          <w:rFonts w:hint="eastAsia" w:ascii="宋体" w:hAnsi="宋体" w:cs="宋体"/>
          <w:color w:val="auto"/>
          <w:szCs w:val="21"/>
          <w:highlight w:val="none"/>
        </w:rPr>
        <w:t>31.1</w:t>
      </w:r>
      <w:r>
        <w:rPr>
          <w:rFonts w:hint="eastAsia" w:ascii="宋体" w:hAnsi="宋体" w:cs="宋体"/>
          <w:color w:val="auto"/>
          <w:highlight w:val="none"/>
        </w:rPr>
        <w:t>在中标人确定之日起2个工作日内，由采购代理机构</w:t>
      </w:r>
      <w:r>
        <w:rPr>
          <w:rFonts w:hint="eastAsia" w:ascii="宋体" w:hAnsi="宋体" w:cs="宋体"/>
          <w:color w:val="auto"/>
          <w:szCs w:val="21"/>
          <w:highlight w:val="none"/>
        </w:rPr>
        <w:t>在招标公告发布媒体上</w:t>
      </w:r>
      <w:r>
        <w:rPr>
          <w:rFonts w:hint="eastAsia" w:ascii="宋体" w:hAnsi="宋体" w:cs="宋体"/>
          <w:color w:val="auto"/>
          <w:highlight w:val="none"/>
        </w:rPr>
        <w:t>发布中标结果公告，中标结果公告期限为1个工作日，发布中标结果公告的同时向中标人发出中标通知书。</w:t>
      </w:r>
      <w:r>
        <w:rPr>
          <w:rFonts w:hint="eastAsia" w:ascii="宋体" w:hAnsi="宋体" w:cs="宋体"/>
          <w:color w:val="auto"/>
          <w:szCs w:val="21"/>
          <w:highlight w:val="none"/>
        </w:rPr>
        <w:t>采购代理机构发出中标通知书前，应当对中标人信用进行核实，对列入失信被执行人、</w:t>
      </w:r>
      <w:r>
        <w:rPr>
          <w:rFonts w:hint="eastAsia" w:ascii="宋体" w:hAnsi="宋体" w:cs="宋体"/>
          <w:color w:val="auto"/>
          <w:szCs w:val="21"/>
          <w:highlight w:val="none"/>
          <w:lang w:eastAsia="zh-CN"/>
        </w:rPr>
        <w:t>重大税收违法失信主体名单</w:t>
      </w:r>
      <w:r>
        <w:rPr>
          <w:rFonts w:hint="eastAsia" w:ascii="宋体" w:hAnsi="宋体" w:cs="宋体"/>
          <w:color w:val="auto"/>
          <w:szCs w:val="21"/>
          <w:highlight w:val="none"/>
        </w:rPr>
        <w:t>、政府采购严重违法失信行为记录名单及其他不符合《中华人民共和国政府采购法》第二十二条规定条件的投标人，取消其中标资格，并依法确定排名第二的中标候选人为中标人。排名第二的中标候选人因前款规定的同样原因被取消中标资格的，采购人可以依法确定排名第三的中标候选人为中标人，以此类推。</w:t>
      </w:r>
    </w:p>
    <w:p w14:paraId="2D7C12B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以上信息查询记录及相关证据与采购文件一并保存。</w:t>
      </w:r>
    </w:p>
    <w:p w14:paraId="567A9A8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31.2中小企业在政府采购活动过程中，请根据企业的真实情况出具《中小企业声明函》。依法享受中小企业扶持政策的，采购人或者采购代理机构在公告中标结果时，同时公告其《中小企业声明函》，接受社会监督。</w:t>
      </w:r>
    </w:p>
    <w:p w14:paraId="32EDC652">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32.发出中标通知书</w:t>
      </w:r>
    </w:p>
    <w:p w14:paraId="371C06F2">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32.1在发布中标公告的同时，采购代理机构向中标人通过广西政府采购云平台发出电子中标通知书。</w:t>
      </w:r>
    </w:p>
    <w:p w14:paraId="395BC9F4">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32.2对未通过资格审查的投标人，采购人或采购代理机构应当告知其未通过的原因。采用综合评分办法评审的，采购人或采购机构还应当告知未中标人本人的评审得分与排序。</w:t>
      </w:r>
    </w:p>
    <w:p w14:paraId="49F0C798">
      <w:pPr>
        <w:spacing w:line="360" w:lineRule="auto"/>
        <w:ind w:firstLine="480" w:firstLineChars="200"/>
        <w:rPr>
          <w:rFonts w:ascii="宋体" w:hAnsi="宋体" w:cs="宋体"/>
          <w:bCs/>
          <w:color w:val="auto"/>
          <w:sz w:val="24"/>
          <w:highlight w:val="none"/>
        </w:rPr>
      </w:pPr>
      <w:r>
        <w:rPr>
          <w:rFonts w:hint="eastAsia" w:ascii="宋体" w:hAnsi="宋体" w:cs="宋体"/>
          <w:bCs/>
          <w:color w:val="auto"/>
          <w:sz w:val="24"/>
          <w:highlight w:val="none"/>
        </w:rPr>
        <w:t>33. 无义务解释未中标原因</w:t>
      </w:r>
    </w:p>
    <w:p w14:paraId="399E61FE">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采购代理机构无义务向未中标的投标人解释未中标原因和退还投标文件。</w:t>
      </w:r>
    </w:p>
    <w:p w14:paraId="5E5DA8E1">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34.合同授予标准</w:t>
      </w:r>
    </w:p>
    <w:p w14:paraId="77494D3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合同将授予被确定实质上响应招标文件要求，具备履行合同能力的中标人（招标文件另有约定多名中标人的除外）。</w:t>
      </w:r>
    </w:p>
    <w:p w14:paraId="59C01A97">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35.履约保证金</w:t>
      </w:r>
    </w:p>
    <w:p w14:paraId="02B50F69">
      <w:pPr>
        <w:pStyle w:val="6"/>
        <w:keepNext w:val="0"/>
        <w:keepLines w:val="0"/>
        <w:spacing w:before="0" w:after="0" w:line="360" w:lineRule="auto"/>
        <w:ind w:firstLine="315" w:firstLineChars="150"/>
        <w:rPr>
          <w:rFonts w:ascii="宋体" w:hAnsi="宋体" w:cs="宋体"/>
          <w:b w:val="0"/>
          <w:color w:val="auto"/>
          <w:sz w:val="21"/>
          <w:szCs w:val="21"/>
          <w:highlight w:val="none"/>
        </w:rPr>
      </w:pPr>
      <w:bookmarkStart w:id="183" w:name="_39.1中标人须于签订合同前按本须知前附表规定的金额转账或电汇到指定账"/>
      <w:bookmarkEnd w:id="183"/>
      <w:r>
        <w:rPr>
          <w:rFonts w:hint="eastAsia" w:ascii="宋体" w:hAnsi="宋体" w:cs="宋体"/>
          <w:b w:val="0"/>
          <w:color w:val="auto"/>
          <w:sz w:val="21"/>
          <w:szCs w:val="21"/>
          <w:highlight w:val="none"/>
        </w:rPr>
        <w:t xml:space="preserve"> 35.1 履约保证金的金额、提交方式、退付的时间和条件详见 “投标人须知前附表”。中标人未按规定提交履约保证金的，视为拒绝与采购人签订合同，采购人可以按照评标报告推荐的中标候选人名单排序，依法确定下一候选人为中标人，也可以重新开展政府采购活动。</w:t>
      </w:r>
    </w:p>
    <w:p w14:paraId="015FB32A">
      <w:pPr>
        <w:pStyle w:val="6"/>
        <w:keepNext w:val="0"/>
        <w:keepLines w:val="0"/>
        <w:spacing w:before="0" w:after="0" w:line="360" w:lineRule="auto"/>
        <w:ind w:firstLine="315" w:firstLineChars="150"/>
        <w:rPr>
          <w:rFonts w:ascii="宋体" w:hAnsi="宋体" w:cs="宋体"/>
          <w:b w:val="0"/>
          <w:color w:val="auto"/>
          <w:sz w:val="21"/>
          <w:szCs w:val="21"/>
          <w:highlight w:val="none"/>
        </w:rPr>
      </w:pPr>
      <w:r>
        <w:rPr>
          <w:rFonts w:hint="eastAsia" w:ascii="宋体" w:hAnsi="宋体" w:cs="宋体"/>
          <w:b w:val="0"/>
          <w:color w:val="auto"/>
          <w:sz w:val="21"/>
          <w:szCs w:val="21"/>
          <w:highlight w:val="none"/>
        </w:rPr>
        <w:t xml:space="preserve"> 35.2签订合同后，如中标人不按双方签订的合同规定履约，则没收其全部履约保证金，履约保证金不足以赔偿损失的，按实际损失赔偿。</w:t>
      </w:r>
    </w:p>
    <w:p w14:paraId="64A297E7">
      <w:pPr>
        <w:pStyle w:val="6"/>
        <w:keepNext w:val="0"/>
        <w:keepLines w:val="0"/>
        <w:spacing w:before="0" w:after="0" w:line="360" w:lineRule="auto"/>
        <w:ind w:firstLine="420" w:firstLineChars="200"/>
        <w:rPr>
          <w:rFonts w:ascii="宋体" w:hAnsi="宋体" w:cs="宋体"/>
          <w:b w:val="0"/>
          <w:color w:val="auto"/>
          <w:sz w:val="21"/>
          <w:szCs w:val="21"/>
          <w:highlight w:val="none"/>
        </w:rPr>
      </w:pPr>
      <w:r>
        <w:rPr>
          <w:rFonts w:hint="eastAsia" w:ascii="宋体" w:hAnsi="宋体" w:cs="宋体"/>
          <w:b w:val="0"/>
          <w:color w:val="auto"/>
          <w:sz w:val="21"/>
          <w:szCs w:val="21"/>
          <w:highlight w:val="none"/>
        </w:rPr>
        <w:t>35.3在履约保证金退还日期前，若中标人的开户名称、开户银行、账号有变动的，请以书面形式通知履约保证金收取单位，否则由此产生的后果由中标人自行承担。</w:t>
      </w:r>
    </w:p>
    <w:p w14:paraId="11EEBD9B">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36.签订合同</w:t>
      </w:r>
    </w:p>
    <w:p w14:paraId="04A78E9C">
      <w:pPr>
        <w:spacing w:line="360" w:lineRule="auto"/>
        <w:ind w:firstLine="420" w:firstLineChars="200"/>
        <w:rPr>
          <w:rFonts w:ascii="宋体" w:hAnsi="宋体" w:cs="宋体"/>
          <w:color w:val="auto"/>
          <w:szCs w:val="21"/>
          <w:highlight w:val="none"/>
        </w:rPr>
      </w:pPr>
      <w:bookmarkStart w:id="184" w:name="_40.1投标人接到中标通知书后，按须知前附表规定向采购人出示相关资格证"/>
      <w:bookmarkEnd w:id="184"/>
      <w:r>
        <w:rPr>
          <w:rFonts w:hint="eastAsia" w:ascii="宋体" w:hAnsi="宋体" w:cs="宋体"/>
          <w:color w:val="auto"/>
          <w:szCs w:val="21"/>
          <w:highlight w:val="none"/>
        </w:rPr>
        <w:t>36.1中标人在中标通知书发出之日起，按规定的日期、时间、地点，由法定代表人或其授权代表与采购人代表签订采购合同。如中标人为联合体的，由联合体成员各方法定代表人或其授权代表与采购人代表签订合同，签订携带资料详见“投标人须知前附表”。（适用于签订纸质合同的情形）</w:t>
      </w:r>
    </w:p>
    <w:p w14:paraId="0B4A60E6">
      <w:pPr>
        <w:spacing w:line="360" w:lineRule="auto"/>
        <w:ind w:firstLine="420" w:firstLineChars="200"/>
        <w:rPr>
          <w:rFonts w:ascii="宋体" w:hAnsi="宋体"/>
          <w:color w:val="auto"/>
          <w:szCs w:val="21"/>
          <w:highlight w:val="none"/>
          <w:lang w:val="zh-CN"/>
        </w:rPr>
      </w:pPr>
      <w:r>
        <w:rPr>
          <w:rFonts w:hint="eastAsia" w:ascii="宋体" w:hAnsi="宋体"/>
          <w:color w:val="auto"/>
          <w:szCs w:val="21"/>
          <w:highlight w:val="none"/>
          <w:lang w:val="zh-CN"/>
        </w:rPr>
        <w:t>36.2采购合同由采购人与中标人根据招标文件、投标文件等内容通过政府采购电子交易平台在线签订，自动备案。（适用于签订电子合同的情形）</w:t>
      </w:r>
    </w:p>
    <w:p w14:paraId="6FE0EBE7">
      <w:pPr>
        <w:spacing w:line="360" w:lineRule="auto"/>
        <w:ind w:firstLine="420" w:firstLineChars="200"/>
        <w:rPr>
          <w:rFonts w:ascii="宋体" w:hAnsi="宋体"/>
          <w:color w:val="auto"/>
          <w:szCs w:val="21"/>
          <w:highlight w:val="none"/>
          <w:lang w:val="zh-CN"/>
        </w:rPr>
      </w:pPr>
      <w:r>
        <w:rPr>
          <w:rFonts w:hint="eastAsia" w:ascii="宋体" w:hAnsi="宋体"/>
          <w:color w:val="auto"/>
          <w:szCs w:val="21"/>
          <w:highlight w:val="none"/>
          <w:lang w:val="zh-CN"/>
        </w:rPr>
        <w:t>采购合同由采购人与中标人根据招标文件、投标文件等内容签订。（适用于签订纸质合同的情形）</w:t>
      </w:r>
    </w:p>
    <w:p w14:paraId="2377A9A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36.3签订合同时间：按中标通知书规定的时间与采购人签订合同。</w:t>
      </w:r>
    </w:p>
    <w:p w14:paraId="0AC6991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36.4中标人拒绝与采购人签订合同的，采购人可以按照评审报告推荐的中标候选人名单排序，依法确定下一候选人为中标人，也可以重新开展政府采购活动。如采购人无正当理由拒签合同的，给中标人造成损失的，中标人可追究采购人承担相应的法律责任。</w:t>
      </w:r>
    </w:p>
    <w:p w14:paraId="2AC5CA9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36.5政府采购合同是政府采购项目验收的依据，中标人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0B8F709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36.6采购人或中标人不得单方面向合同另一方提出任何招标文件没有约定的条件或不合理的要求，作为签订合同的条件。也不得协商另行订立背离招标文件和合同实质性内容的协议。</w:t>
      </w:r>
    </w:p>
    <w:p w14:paraId="16BC190C">
      <w:pPr>
        <w:spacing w:line="360" w:lineRule="auto"/>
        <w:ind w:firstLine="420" w:firstLineChars="200"/>
        <w:rPr>
          <w:rFonts w:ascii="宋体" w:hAnsi="宋体" w:cs="宋体"/>
          <w:b/>
          <w:color w:val="auto"/>
          <w:szCs w:val="21"/>
          <w:highlight w:val="none"/>
        </w:rPr>
      </w:pPr>
      <w:r>
        <w:rPr>
          <w:rFonts w:hint="eastAsia" w:ascii="宋体" w:hAnsi="宋体" w:cs="宋体"/>
          <w:color w:val="auto"/>
          <w:szCs w:val="21"/>
          <w:highlight w:val="none"/>
        </w:rPr>
        <w:t>36.7如签订合同并生效后，中标人无故拒绝或延期，除按照合同条款处理外，将承担相应的法律责任。</w:t>
      </w:r>
    </w:p>
    <w:p w14:paraId="743867CC">
      <w:pPr>
        <w:spacing w:line="360" w:lineRule="auto"/>
        <w:ind w:firstLine="480" w:firstLineChars="200"/>
        <w:rPr>
          <w:rFonts w:ascii="宋体" w:hAnsi="宋体" w:cs="宋体"/>
          <w:color w:val="auto"/>
          <w:sz w:val="24"/>
          <w:highlight w:val="none"/>
        </w:rPr>
      </w:pPr>
      <w:bookmarkStart w:id="185" w:name="_41.政府采购合同公告"/>
      <w:bookmarkEnd w:id="185"/>
      <w:r>
        <w:rPr>
          <w:rFonts w:hint="eastAsia" w:ascii="宋体" w:hAnsi="宋体" w:cs="宋体"/>
          <w:color w:val="auto"/>
          <w:sz w:val="24"/>
          <w:highlight w:val="none"/>
        </w:rPr>
        <w:t>37.政府采购合同公告</w:t>
      </w:r>
    </w:p>
    <w:p w14:paraId="0D0A9343">
      <w:pPr>
        <w:spacing w:line="360" w:lineRule="auto"/>
        <w:ind w:firstLine="420" w:firstLineChars="200"/>
        <w:rPr>
          <w:rFonts w:ascii="宋体" w:hAnsi="宋体" w:cs="宋体"/>
          <w:color w:val="auto"/>
          <w:highlight w:val="none"/>
        </w:rPr>
      </w:pPr>
      <w:r>
        <w:rPr>
          <w:rFonts w:hint="eastAsia" w:cs="宋体"/>
          <w:color w:val="auto"/>
          <w:kern w:val="1"/>
          <w:highlight w:val="none"/>
        </w:rPr>
        <w:t>采购人应当自政府采购合同签订之日起2个工作日内，将政府采购合同</w:t>
      </w:r>
      <w:r>
        <w:rPr>
          <w:rFonts w:hint="eastAsia" w:ascii="宋体" w:hAnsi="宋体" w:cs="宋体"/>
          <w:bCs/>
          <w:color w:val="auto"/>
          <w:kern w:val="1"/>
          <w:highlight w:val="none"/>
        </w:rPr>
        <w:t>在</w:t>
      </w:r>
      <w:r>
        <w:rPr>
          <w:rFonts w:hint="eastAsia"/>
          <w:color w:val="auto"/>
          <w:highlight w:val="none"/>
        </w:rPr>
        <w:t>省级以上人民政府财政部门指定的</w:t>
      </w:r>
      <w:r>
        <w:rPr>
          <w:rFonts w:hint="eastAsia" w:ascii="宋体" w:hAnsi="宋体" w:cs="宋体"/>
          <w:bCs/>
          <w:color w:val="auto"/>
          <w:kern w:val="1"/>
          <w:highlight w:val="none"/>
        </w:rPr>
        <w:t>媒体上</w:t>
      </w:r>
      <w:r>
        <w:rPr>
          <w:rFonts w:hint="eastAsia" w:cs="宋体"/>
          <w:color w:val="auto"/>
          <w:kern w:val="1"/>
          <w:highlight w:val="none"/>
        </w:rPr>
        <w:t>公告，</w:t>
      </w:r>
      <w:r>
        <w:rPr>
          <w:rFonts w:cs="宋体"/>
          <w:color w:val="auto"/>
          <w:kern w:val="1"/>
          <w:highlight w:val="none"/>
        </w:rPr>
        <w:t>但政府采购合同中涉及国家秘密、商业秘密的内容除外。</w:t>
      </w:r>
    </w:p>
    <w:p w14:paraId="40C2D0D2">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38. 询问、质疑和投诉</w:t>
      </w:r>
    </w:p>
    <w:p w14:paraId="6DC7FABF">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38.1询问</w:t>
      </w:r>
    </w:p>
    <w:p w14:paraId="167188A2">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38.1.1供应商在开标前对政府采购活动事项有疑问的，可以向采购人或采购代理机构项目负责人提出询问。</w:t>
      </w:r>
    </w:p>
    <w:p w14:paraId="5ED69AF2">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38.1.2采购人或采购人委托的采购代理机构自受理询问之日起3个工作日内对供应商依法提出的询问作出答复，</w:t>
      </w:r>
      <w:r>
        <w:rPr>
          <w:rFonts w:hint="eastAsia" w:ascii="宋体" w:hAnsi="宋体" w:cs="宋体"/>
          <w:color w:val="auto"/>
          <w:highlight w:val="none"/>
        </w:rPr>
        <w:t>但答复内容不得涉及商业秘密</w:t>
      </w:r>
      <w:r>
        <w:rPr>
          <w:rFonts w:hint="eastAsia" w:ascii="宋体" w:hAnsi="宋体" w:cs="宋体"/>
          <w:bCs/>
          <w:color w:val="auto"/>
          <w:szCs w:val="21"/>
          <w:highlight w:val="none"/>
        </w:rPr>
        <w:t>。</w:t>
      </w:r>
    </w:p>
    <w:p w14:paraId="4B43F7EA">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38.1.3 询问事项可能影响中标结果的，采购人应当暂停签订合同，已经签订合同的，应当中止履行合同。</w:t>
      </w:r>
    </w:p>
    <w:p w14:paraId="7060A10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38.2质疑</w:t>
      </w:r>
    </w:p>
    <w:p w14:paraId="53E1D20E">
      <w:pPr>
        <w:spacing w:line="360" w:lineRule="auto"/>
        <w:ind w:firstLine="420" w:firstLineChars="200"/>
        <w:rPr>
          <w:rFonts w:ascii="宋体" w:hAnsi="宋体" w:cs="宋体"/>
          <w:b/>
          <w:color w:val="auto"/>
          <w:szCs w:val="21"/>
          <w:highlight w:val="none"/>
        </w:rPr>
      </w:pPr>
      <w:r>
        <w:rPr>
          <w:rFonts w:hint="eastAsia" w:ascii="宋体" w:hAnsi="宋体" w:cs="宋体"/>
          <w:bCs/>
          <w:color w:val="auto"/>
          <w:szCs w:val="21"/>
          <w:highlight w:val="none"/>
        </w:rPr>
        <w:t>38.2.1</w:t>
      </w:r>
      <w:r>
        <w:rPr>
          <w:rFonts w:hint="eastAsia" w:ascii="宋体" w:hAnsi="宋体" w:cs="宋体"/>
          <w:b/>
          <w:color w:val="auto"/>
          <w:szCs w:val="21"/>
          <w:highlight w:val="none"/>
        </w:rPr>
        <w:t xml:space="preserve">供应商认为招标文件、采购过程或者中标结果使自己的合法权益受到损害的，必须在知道或者应知其权益受到损害之日起7个工作日内，以书面形式向采购人或采购代理机构提出质疑，质疑有效期结束后，采购人或采购代理机构不再受理该项目质疑。采购人、采购代理机构接收质疑函的方式、联系部门、联系电话和通讯地址等信息详见“投标人须知前附表”。具体质疑起算时间及处理方式如下： </w:t>
      </w:r>
    </w:p>
    <w:p w14:paraId="2186F16F">
      <w:pP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（1）潜在供应商依法获取招标文件后，认为采购文件使自己的权益受到损害的，应当在招标文件公告期限届满之日起7个工作日内提出质疑。</w:t>
      </w:r>
      <w:r>
        <w:rPr>
          <w:rFonts w:hint="eastAsia" w:ascii="宋体" w:hAnsi="宋体" w:cs="宋体"/>
          <w:color w:val="auto"/>
          <w:highlight w:val="none"/>
        </w:rPr>
        <w:t>委托代理协议无特殊约定的，</w:t>
      </w:r>
      <w:r>
        <w:rPr>
          <w:rFonts w:hint="eastAsia" w:ascii="宋体" w:hAnsi="宋体" w:cs="宋体"/>
          <w:bCs/>
          <w:color w:val="auto"/>
          <w:highlight w:val="none"/>
        </w:rPr>
        <w:t>对招标文件中采购需求（含资格要求、采购预算和评分办法）的质疑由采购人受理并负责答复。对招标文件中的采购执行程序的质疑由采购代理机构受理并负责答复。</w:t>
      </w:r>
    </w:p>
    <w:p w14:paraId="18BA1902">
      <w:pP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2）供应商认为采购过程使自己的权益受到损害的，应当在各采购程序环节结束之日起7个工作日内提出质疑。对采购过程中资格审查、符合性审查等具体评审情况的质疑应向采购人或采购代理机构提出，由采购人或采购代理机构受理并负责答复。对采购过程中采购执行程序的质疑由采购代理机构受理并负责答复。</w:t>
      </w:r>
    </w:p>
    <w:p w14:paraId="7A42ED5D">
      <w:pP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（3）供应商认为中标或者成交结果使自己的权益受到损害的，应当在中标或者成交结果公告期限届满之日起7个工作日内提出质疑，由采购人受理并负责答复。</w:t>
      </w:r>
    </w:p>
    <w:p w14:paraId="3E623FE1">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38.2.2供应商质疑实行实名制，其质疑应当有具体的质疑事项及事实根据，质疑应当坚持依法依规、诚实信用原则，不得进行虚假、恶意质疑。</w:t>
      </w:r>
    </w:p>
    <w:p w14:paraId="2A328472">
      <w:pPr>
        <w:spacing w:line="360" w:lineRule="auto"/>
        <w:ind w:firstLine="420" w:firstLineChars="200"/>
        <w:rPr>
          <w:rFonts w:ascii="宋体" w:hAnsi="宋体" w:cs="宋体"/>
          <w:bCs/>
          <w:color w:val="auto"/>
          <w:highlight w:val="none"/>
        </w:rPr>
      </w:pPr>
      <w:r>
        <w:rPr>
          <w:rFonts w:hint="eastAsia" w:ascii="宋体" w:hAnsi="宋体" w:cs="宋体"/>
          <w:bCs/>
          <w:color w:val="auto"/>
          <w:szCs w:val="21"/>
          <w:highlight w:val="none"/>
        </w:rPr>
        <w:t>38.2.3</w:t>
      </w:r>
      <w:r>
        <w:rPr>
          <w:rFonts w:hint="eastAsia" w:ascii="宋体" w:hAnsi="宋体" w:cs="宋体"/>
          <w:bCs/>
          <w:color w:val="auto"/>
          <w:highlight w:val="none"/>
        </w:rPr>
        <w:t xml:space="preserve"> 质疑供应商可以委托代理人办理质疑事务。委托代理人应熟悉相关业务情况。代理人办理质疑事务时，除提交质疑书外，还应当提交质疑供应商的授权委托书和委托代理人身份证明复印件</w:t>
      </w:r>
      <w:r>
        <w:rPr>
          <w:rFonts w:hint="eastAsia" w:ascii="宋体" w:hAnsi="宋体" w:cs="宋体"/>
          <w:color w:val="auto"/>
          <w:highlight w:val="none"/>
        </w:rPr>
        <w:t>。</w:t>
      </w:r>
    </w:p>
    <w:p w14:paraId="56C98219">
      <w:pPr>
        <w:spacing w:line="360" w:lineRule="auto"/>
        <w:ind w:firstLine="422" w:firstLineChars="200"/>
        <w:rPr>
          <w:rFonts w:ascii="宋体" w:hAnsi="宋体" w:cs="宋体"/>
          <w:b/>
          <w:bCs/>
          <w:color w:val="auto"/>
          <w:highlight w:val="none"/>
        </w:rPr>
      </w:pPr>
      <w:r>
        <w:rPr>
          <w:rFonts w:hint="eastAsia" w:ascii="宋体" w:hAnsi="宋体" w:cs="宋体"/>
          <w:b/>
          <w:bCs/>
          <w:color w:val="auto"/>
          <w:highlight w:val="none"/>
        </w:rPr>
        <w:t>38.2.4 质疑供应商提起质疑应当符合下列条件：</w:t>
      </w:r>
    </w:p>
    <w:p w14:paraId="07AE835A">
      <w:pP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（1）质疑供应商是参与所质疑</w:t>
      </w:r>
      <w:r>
        <w:rPr>
          <w:rFonts w:hint="eastAsia" w:ascii="宋体" w:hAnsi="宋体" w:cs="宋体"/>
          <w:bCs/>
          <w:color w:val="auto"/>
          <w:szCs w:val="21"/>
          <w:highlight w:val="none"/>
        </w:rPr>
        <w:t>项目</w:t>
      </w:r>
      <w:r>
        <w:rPr>
          <w:rFonts w:hint="eastAsia" w:ascii="宋体" w:hAnsi="宋体" w:cs="宋体"/>
          <w:bCs/>
          <w:color w:val="auto"/>
          <w:highlight w:val="none"/>
        </w:rPr>
        <w:t>采购活动的供应商（潜在供应商已依法获取可质疑的采购文件的，可以对该采购文件质疑）。</w:t>
      </w:r>
    </w:p>
    <w:p w14:paraId="67DFA864">
      <w:pP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（2）质疑函内容符合本章第38.2.5项的规定。</w:t>
      </w:r>
    </w:p>
    <w:p w14:paraId="6CD3B379">
      <w:pP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（3）在质疑有效期限内提起质疑。</w:t>
      </w:r>
    </w:p>
    <w:p w14:paraId="66E42C5B">
      <w:pP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 xml:space="preserve">（4）属于所质疑的采购人或采购人委托的采购代理机构组织的采购活动。 </w:t>
      </w:r>
    </w:p>
    <w:p w14:paraId="33404101">
      <w:pP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（5）供应商对同一采购程序环节的质疑应当在质疑有效期内一次性提出。</w:t>
      </w:r>
    </w:p>
    <w:p w14:paraId="6CDDE865">
      <w:pP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（6）供应商提交质疑应当提交必要的证明材料，证明材料应以合法手段取得。</w:t>
      </w:r>
    </w:p>
    <w:p w14:paraId="52E3AA8F">
      <w:pPr>
        <w:spacing w:line="360" w:lineRule="auto"/>
        <w:ind w:firstLine="420" w:firstLineChars="200"/>
        <w:rPr>
          <w:rFonts w:ascii="宋体" w:hAnsi="宋体" w:cs="宋体"/>
          <w:color w:val="auto"/>
          <w:highlight w:val="none"/>
        </w:rPr>
      </w:pPr>
      <w:r>
        <w:rPr>
          <w:rFonts w:hint="eastAsia" w:ascii="宋体" w:hAnsi="宋体" w:cs="宋体"/>
          <w:bCs/>
          <w:color w:val="auto"/>
          <w:highlight w:val="none"/>
        </w:rPr>
        <w:t>（7）财政部门规定的其他条件。</w:t>
      </w:r>
    </w:p>
    <w:p w14:paraId="6EC1CE90">
      <w:pPr>
        <w:spacing w:line="360" w:lineRule="auto"/>
        <w:ind w:firstLine="422" w:firstLineChars="200"/>
        <w:rPr>
          <w:rFonts w:ascii="宋体" w:hAnsi="宋体" w:cs="宋体"/>
          <w:b/>
          <w:color w:val="auto"/>
          <w:szCs w:val="21"/>
          <w:highlight w:val="none"/>
        </w:rPr>
      </w:pPr>
      <w:bookmarkStart w:id="186" w:name="_9.2质疑、投诉应当采用书面形式，质疑函、投诉书均应明确阐述招标文件、"/>
      <w:bookmarkEnd w:id="186"/>
      <w:r>
        <w:rPr>
          <w:rFonts w:hint="eastAsia" w:ascii="宋体" w:hAnsi="宋体" w:cs="宋体"/>
          <w:b/>
          <w:bCs/>
          <w:color w:val="auto"/>
          <w:szCs w:val="21"/>
          <w:highlight w:val="none"/>
        </w:rPr>
        <w:t xml:space="preserve"> 38.2.5 </w:t>
      </w:r>
      <w:r>
        <w:rPr>
          <w:rFonts w:hint="eastAsia" w:ascii="宋体" w:hAnsi="宋体" w:cs="宋体"/>
          <w:b/>
          <w:color w:val="auto"/>
          <w:highlight w:val="none"/>
        </w:rPr>
        <w:t>供应商提出质疑应当提交质疑函和必要的证明材料，针对同一采购程序环节的质疑必须在法定质疑期内一次性提出。质疑函应当包括下列内容（质疑函格式后附）</w:t>
      </w:r>
      <w:r>
        <w:rPr>
          <w:rFonts w:hint="eastAsia" w:ascii="宋体" w:hAnsi="宋体" w:cs="宋体"/>
          <w:bCs/>
          <w:color w:val="auto"/>
          <w:highlight w:val="none"/>
        </w:rPr>
        <w:t>：</w:t>
      </w:r>
    </w:p>
    <w:p w14:paraId="5B33E573">
      <w:pP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（1）供应商的姓名或者名称、地址、邮编、联系人及联系电话。</w:t>
      </w:r>
    </w:p>
    <w:p w14:paraId="5E3D4567">
      <w:pP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（2）质疑项目的名称、编号。</w:t>
      </w:r>
    </w:p>
    <w:p w14:paraId="7DA78709">
      <w:pP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（3）具体、明确的质疑事项和与质疑事项相关的请求。</w:t>
      </w:r>
    </w:p>
    <w:p w14:paraId="1118666D">
      <w:pP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（4）事实依据（列明权益受到损害的事实和理由）。</w:t>
      </w:r>
    </w:p>
    <w:p w14:paraId="5E95622A">
      <w:pP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（5）必要的法律依据。</w:t>
      </w:r>
    </w:p>
    <w:p w14:paraId="308C5553">
      <w:pP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（6）提出质疑的日期。</w:t>
      </w:r>
    </w:p>
    <w:p w14:paraId="0E1BD5AC">
      <w:pP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供应商为自然人的，应当由本人签字。供应商为法人或者其他组织的，应当由法定代表人、主要负责人，或者其委托代理人签字或者盖章，并加盖公章。</w:t>
      </w:r>
    </w:p>
    <w:p w14:paraId="76FE422B">
      <w:pPr>
        <w:spacing w:line="360" w:lineRule="auto"/>
        <w:ind w:firstLine="422" w:firstLineChars="200"/>
        <w:rPr>
          <w:rFonts w:ascii="宋体" w:hAnsi="宋体" w:cs="宋体"/>
          <w:b/>
          <w:color w:val="auto"/>
          <w:szCs w:val="20"/>
          <w:highlight w:val="none"/>
        </w:rPr>
      </w:pPr>
      <w:r>
        <w:rPr>
          <w:rFonts w:hint="eastAsia" w:ascii="宋体" w:hAnsi="宋体" w:cs="宋体"/>
          <w:b/>
          <w:color w:val="auto"/>
          <w:szCs w:val="20"/>
          <w:highlight w:val="none"/>
        </w:rPr>
        <w:t>38.2.6采购人或采购人委托的采购代理机构在收到质疑函后7个工作日内作出答复，并以书面形式通知质疑供应商及其他有关供应商。对不符合质疑条件的质疑，答复不予受理，并说明理由。对符合质疑条件的质疑，对质疑事项作出答复。</w:t>
      </w:r>
    </w:p>
    <w:p w14:paraId="2100F74D">
      <w:pPr>
        <w:spacing w:line="360" w:lineRule="auto"/>
        <w:ind w:firstLine="420" w:firstLineChars="200"/>
        <w:rPr>
          <w:rFonts w:ascii="宋体" w:hAnsi="宋体" w:cs="宋体"/>
          <w:bCs/>
          <w:color w:val="auto"/>
          <w:szCs w:val="21"/>
          <w:highlight w:val="none"/>
        </w:rPr>
      </w:pPr>
      <w:r>
        <w:rPr>
          <w:rFonts w:hint="eastAsia" w:ascii="宋体" w:hAnsi="宋体" w:cs="宋体"/>
          <w:color w:val="auto"/>
          <w:szCs w:val="21"/>
          <w:highlight w:val="none"/>
        </w:rPr>
        <w:t>3</w:t>
      </w:r>
      <w:r>
        <w:rPr>
          <w:rFonts w:hint="eastAsia" w:ascii="宋体" w:hAnsi="宋体" w:cs="宋体"/>
          <w:bCs/>
          <w:color w:val="auto"/>
          <w:szCs w:val="21"/>
          <w:highlight w:val="none"/>
        </w:rPr>
        <w:t>8.2.7采购人、采购代理机构认为供应商质疑不成立，或者成立但未对中标结果构成影响的，继续开展采购活动。认为供应商质疑成立且影响或者可能影响中标结果的，按照下列情况处理：</w:t>
      </w:r>
    </w:p>
    <w:p w14:paraId="73CE87EB">
      <w:pPr>
        <w:spacing w:line="360" w:lineRule="auto"/>
        <w:ind w:firstLine="420" w:firstLineChars="200"/>
        <w:jc w:val="left"/>
        <w:rPr>
          <w:rFonts w:ascii="宋体" w:hAnsi="宋体" w:cs="宋体"/>
          <w:bCs/>
          <w:color w:val="auto"/>
          <w:highlight w:val="none"/>
        </w:rPr>
      </w:pPr>
      <w:r>
        <w:rPr>
          <w:rFonts w:hint="eastAsia" w:ascii="宋体" w:hAnsi="宋体" w:cs="宋体"/>
          <w:bCs/>
          <w:color w:val="auto"/>
          <w:highlight w:val="none"/>
        </w:rPr>
        <w:t>（一）对招标文件提出的质疑，依法通过澄清或者修改可以继续开展采购活动的，澄清或者修改招标文件后继续开展采购活动。否则应当修改招标文件后重新开展采购活动。</w:t>
      </w:r>
    </w:p>
    <w:p w14:paraId="4D902E27">
      <w:pPr>
        <w:spacing w:line="360" w:lineRule="auto"/>
        <w:ind w:firstLine="420" w:firstLineChars="200"/>
        <w:jc w:val="left"/>
        <w:rPr>
          <w:rFonts w:ascii="宋体" w:hAnsi="宋体" w:cs="宋体"/>
          <w:bCs/>
          <w:color w:val="auto"/>
          <w:highlight w:val="none"/>
        </w:rPr>
      </w:pPr>
      <w:r>
        <w:rPr>
          <w:rFonts w:hint="eastAsia" w:ascii="宋体" w:hAnsi="宋体" w:cs="宋体"/>
          <w:bCs/>
          <w:color w:val="auto"/>
          <w:highlight w:val="none"/>
        </w:rPr>
        <w:t>（二）对采购过程、中标结果提出的质疑，合格供应商符合法定数量时，可以从合格的中标候选人中另行确定中标供应商的，应当依法另行确定中标供应商。否则应当重新开展采购活动。</w:t>
      </w:r>
    </w:p>
    <w:p w14:paraId="5F41948E">
      <w:pP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质疑答复导致中标结果改变的，采购人或者采购代理机构应当将有关情况书面报告</w:t>
      </w:r>
      <w:r>
        <w:rPr>
          <w:rFonts w:hint="eastAsia" w:ascii="宋体" w:hAnsi="宋体" w:cs="宋体"/>
          <w:color w:val="auto"/>
          <w:szCs w:val="21"/>
          <w:highlight w:val="none"/>
        </w:rPr>
        <w:t>本级财政部门</w:t>
      </w:r>
      <w:r>
        <w:rPr>
          <w:rFonts w:hint="eastAsia" w:ascii="宋体" w:hAnsi="宋体" w:cs="宋体"/>
          <w:bCs/>
          <w:color w:val="auto"/>
          <w:highlight w:val="none"/>
        </w:rPr>
        <w:t>。</w:t>
      </w:r>
    </w:p>
    <w:p w14:paraId="67FE6DAB">
      <w:pPr>
        <w:spacing w:line="360" w:lineRule="auto"/>
        <w:ind w:firstLine="422" w:firstLineChars="200"/>
        <w:rPr>
          <w:rFonts w:ascii="宋体" w:hAnsi="宋体" w:cs="宋体"/>
          <w:b/>
          <w:color w:val="auto"/>
          <w:highlight w:val="none"/>
        </w:rPr>
      </w:pPr>
      <w:r>
        <w:rPr>
          <w:rFonts w:hint="eastAsia" w:ascii="宋体" w:hAnsi="宋体" w:cs="宋体"/>
          <w:b/>
          <w:color w:val="auto"/>
          <w:highlight w:val="none"/>
        </w:rPr>
        <w:t>38.3投诉</w:t>
      </w:r>
    </w:p>
    <w:p w14:paraId="622A6B6D">
      <w:pPr>
        <w:spacing w:line="360" w:lineRule="auto"/>
        <w:ind w:firstLine="422" w:firstLineChars="200"/>
        <w:rPr>
          <w:rFonts w:ascii="宋体" w:hAnsi="宋体" w:cs="宋体"/>
          <w:bCs/>
          <w:color w:val="auto"/>
          <w:highlight w:val="none"/>
        </w:rPr>
      </w:pPr>
      <w:r>
        <w:rPr>
          <w:rFonts w:hint="eastAsia" w:ascii="宋体" w:hAnsi="宋体" w:cs="宋体"/>
          <w:b/>
          <w:color w:val="auto"/>
          <w:highlight w:val="none"/>
        </w:rPr>
        <w:t>38.3</w:t>
      </w:r>
      <w:r>
        <w:rPr>
          <w:rFonts w:hint="eastAsia" w:ascii="宋体" w:hAnsi="宋体" w:cs="宋体"/>
          <w:bCs/>
          <w:color w:val="auto"/>
          <w:highlight w:val="none"/>
        </w:rPr>
        <w:t>.</w:t>
      </w:r>
      <w:r>
        <w:rPr>
          <w:rFonts w:hint="eastAsia" w:ascii="宋体" w:hAnsi="宋体" w:cs="宋体"/>
          <w:b/>
          <w:bCs/>
          <w:color w:val="auto"/>
          <w:highlight w:val="none"/>
        </w:rPr>
        <w:t xml:space="preserve">1 </w:t>
      </w:r>
      <w:r>
        <w:rPr>
          <w:rFonts w:hint="eastAsia" w:ascii="宋体" w:hAnsi="宋体" w:cs="宋体"/>
          <w:bCs/>
          <w:color w:val="auto"/>
          <w:highlight w:val="none"/>
        </w:rPr>
        <w:t xml:space="preserve"> 供应商认为采购文件、采购过程、中标和成交结果使自己的合法权益受到损害的，应当首先依法向采购人或采购人委托的</w:t>
      </w:r>
      <w:r>
        <w:rPr>
          <w:rFonts w:hint="eastAsia" w:ascii="宋体" w:hAnsi="宋体" w:cs="宋体"/>
          <w:color w:val="auto"/>
          <w:highlight w:val="none"/>
        </w:rPr>
        <w:t>采购代理机构</w:t>
      </w:r>
      <w:r>
        <w:rPr>
          <w:rFonts w:hint="eastAsia" w:ascii="宋体" w:hAnsi="宋体" w:cs="宋体"/>
          <w:bCs/>
          <w:color w:val="auto"/>
          <w:highlight w:val="none"/>
        </w:rPr>
        <w:t>提出质疑。对采购人或</w:t>
      </w:r>
      <w:r>
        <w:rPr>
          <w:rFonts w:hint="eastAsia" w:ascii="宋体" w:hAnsi="宋体" w:cs="宋体"/>
          <w:color w:val="auto"/>
          <w:highlight w:val="none"/>
        </w:rPr>
        <w:t>采购代理机构</w:t>
      </w:r>
      <w:r>
        <w:rPr>
          <w:rFonts w:hint="eastAsia" w:ascii="宋体" w:hAnsi="宋体" w:cs="宋体"/>
          <w:bCs/>
          <w:color w:val="auto"/>
          <w:highlight w:val="none"/>
        </w:rPr>
        <w:t>的答复不满意，或者采购人或</w:t>
      </w:r>
      <w:r>
        <w:rPr>
          <w:rFonts w:hint="eastAsia" w:ascii="宋体" w:hAnsi="宋体" w:cs="宋体"/>
          <w:color w:val="auto"/>
          <w:highlight w:val="none"/>
        </w:rPr>
        <w:t>采购代理机构</w:t>
      </w:r>
      <w:r>
        <w:rPr>
          <w:rFonts w:hint="eastAsia" w:ascii="宋体" w:hAnsi="宋体" w:cs="宋体"/>
          <w:bCs/>
          <w:color w:val="auto"/>
          <w:highlight w:val="none"/>
        </w:rPr>
        <w:t>未在规定期限内做出答复的，供应商可以在答复期满后15个工作日内向本级财政部门提起投诉，投诉联系方式见“投标人须知前附表”。</w:t>
      </w:r>
    </w:p>
    <w:p w14:paraId="307FF820">
      <w:pPr>
        <w:spacing w:line="360" w:lineRule="auto"/>
        <w:ind w:firstLine="422" w:firstLineChars="200"/>
        <w:rPr>
          <w:rFonts w:ascii="宋体" w:hAnsi="宋体" w:cs="宋体"/>
          <w:b/>
          <w:color w:val="auto"/>
          <w:highlight w:val="none"/>
        </w:rPr>
      </w:pPr>
      <w:r>
        <w:rPr>
          <w:rFonts w:hint="eastAsia" w:ascii="宋体" w:hAnsi="宋体" w:cs="宋体"/>
          <w:b/>
          <w:color w:val="auto"/>
          <w:highlight w:val="none"/>
        </w:rPr>
        <w:t>38.3.2  投诉人投诉时，应当提交投诉书，并按照被投诉采购人、采购代理机构和与投诉事项有关的供应商数量提供投诉书的副本。投诉书</w:t>
      </w:r>
      <w:r>
        <w:rPr>
          <w:rFonts w:hint="eastAsia" w:ascii="宋体" w:hAnsi="宋体" w:cs="宋体"/>
          <w:b/>
          <w:color w:val="auto"/>
          <w:szCs w:val="21"/>
          <w:highlight w:val="none"/>
        </w:rPr>
        <w:t>应当包括下列主要内容</w:t>
      </w:r>
      <w:r>
        <w:rPr>
          <w:rFonts w:hint="eastAsia" w:ascii="宋体" w:hAnsi="宋体" w:cs="宋体"/>
          <w:b/>
          <w:color w:val="auto"/>
          <w:highlight w:val="none"/>
        </w:rPr>
        <w:t>（如材料中有外文资料应同时附上对应的中文译本）（投诉书格式后附）</w:t>
      </w:r>
      <w:r>
        <w:rPr>
          <w:rFonts w:hint="eastAsia" w:ascii="宋体" w:hAnsi="宋体" w:cs="宋体"/>
          <w:b/>
          <w:color w:val="auto"/>
          <w:szCs w:val="21"/>
          <w:highlight w:val="none"/>
        </w:rPr>
        <w:t>：</w:t>
      </w:r>
    </w:p>
    <w:p w14:paraId="1B3C7F7B">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 xml:space="preserve">（1）投诉人和被投诉人的名称、地址、邮编、联系人及联系电话等。 </w:t>
      </w:r>
    </w:p>
    <w:p w14:paraId="1E87AF8C">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 xml:space="preserve">（2）质疑和质疑答复情况及相关证明材料。 </w:t>
      </w:r>
    </w:p>
    <w:p w14:paraId="0E406C9E">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（3）具体、明确的投诉事项和与投诉事项相关的投诉请求。</w:t>
      </w:r>
    </w:p>
    <w:p w14:paraId="3BDD5C3D">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（4）事实依据。</w:t>
      </w:r>
    </w:p>
    <w:p w14:paraId="31A4B1F5">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（5）法律依据。</w:t>
      </w:r>
    </w:p>
    <w:p w14:paraId="550041EB">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（6）提起投诉的日期。</w:t>
      </w:r>
    </w:p>
    <w:p w14:paraId="7258EDB5">
      <w:pP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投诉人为自然人的，应当由本人签字。投诉人为法人或者其他组织的，应当由法定代表人、主要负责人，或者其授权代表签字或者盖章，并加盖公章。</w:t>
      </w:r>
    </w:p>
    <w:p w14:paraId="15333AC2">
      <w:pPr>
        <w:spacing w:line="360" w:lineRule="auto"/>
        <w:ind w:firstLine="422" w:firstLineChars="200"/>
        <w:rPr>
          <w:rFonts w:ascii="宋体" w:hAnsi="宋体" w:cs="宋体"/>
          <w:bCs/>
          <w:color w:val="auto"/>
          <w:highlight w:val="none"/>
        </w:rPr>
      </w:pPr>
      <w:r>
        <w:rPr>
          <w:rFonts w:hint="eastAsia" w:ascii="宋体" w:hAnsi="宋体" w:cs="宋体"/>
          <w:b/>
          <w:color w:val="auto"/>
          <w:highlight w:val="none"/>
        </w:rPr>
        <w:t xml:space="preserve">38.3.3  </w:t>
      </w:r>
      <w:r>
        <w:rPr>
          <w:rFonts w:hint="eastAsia" w:ascii="宋体" w:hAnsi="宋体" w:cs="宋体"/>
          <w:color w:val="auto"/>
          <w:highlight w:val="none"/>
        </w:rPr>
        <w:t>投诉人可以委托代理人办理投诉事务。</w:t>
      </w:r>
      <w:r>
        <w:rPr>
          <w:rFonts w:hint="eastAsia" w:ascii="宋体" w:hAnsi="宋体" w:cs="宋体"/>
          <w:bCs/>
          <w:color w:val="auto"/>
          <w:highlight w:val="none"/>
        </w:rPr>
        <w:t>委托代理人应熟悉相关业务情况。</w:t>
      </w:r>
      <w:r>
        <w:rPr>
          <w:rFonts w:hint="eastAsia" w:ascii="宋体" w:hAnsi="宋体" w:cs="宋体"/>
          <w:color w:val="auto"/>
          <w:highlight w:val="none"/>
        </w:rPr>
        <w:t>代理人办理投诉事务时，除提交投诉书外，还应当提交投诉人的授权委托书和委托代理人身份证明复印件。</w:t>
      </w:r>
    </w:p>
    <w:p w14:paraId="70891470">
      <w:pPr>
        <w:spacing w:line="360" w:lineRule="auto"/>
        <w:ind w:firstLine="422" w:firstLineChars="200"/>
        <w:rPr>
          <w:rFonts w:ascii="宋体" w:hAnsi="宋体" w:cs="宋体"/>
          <w:color w:val="auto"/>
          <w:highlight w:val="none"/>
        </w:rPr>
      </w:pPr>
      <w:r>
        <w:rPr>
          <w:rFonts w:hint="eastAsia" w:ascii="宋体" w:hAnsi="宋体" w:cs="宋体"/>
          <w:b/>
          <w:color w:val="auto"/>
          <w:highlight w:val="none"/>
        </w:rPr>
        <w:t>38.3.4</w:t>
      </w:r>
      <w:r>
        <w:rPr>
          <w:rFonts w:hint="eastAsia" w:ascii="宋体" w:hAnsi="宋体" w:cs="宋体"/>
          <w:color w:val="auto"/>
          <w:highlight w:val="none"/>
        </w:rPr>
        <w:t xml:space="preserve">  投诉人提起投诉应当符合下列条件：</w:t>
      </w:r>
    </w:p>
    <w:p w14:paraId="6B977510">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（1）投诉人是参与所投诉政府采购活动的供应商。</w:t>
      </w:r>
    </w:p>
    <w:p w14:paraId="4AD04150">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（2）提起投诉前已依法进行质疑。</w:t>
      </w:r>
    </w:p>
    <w:p w14:paraId="42AB98E2">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（3）投诉书内容符合本章第38.3.2项的规定。</w:t>
      </w:r>
    </w:p>
    <w:p w14:paraId="7AA033A3">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（4）在投诉有效期限内提起投诉。</w:t>
      </w:r>
    </w:p>
    <w:p w14:paraId="5D64CAB4">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（5）同一投诉事项未经财政部门投诉处理。</w:t>
      </w:r>
    </w:p>
    <w:p w14:paraId="46D109BE">
      <w:pPr>
        <w:pStyle w:val="14"/>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（6）国务院财政部门规定的其他条件。</w:t>
      </w:r>
    </w:p>
    <w:p w14:paraId="40D533B4">
      <w:pPr>
        <w:pStyle w:val="4"/>
        <w:ind w:firstLine="4498" w:firstLineChars="1400"/>
        <w:rPr>
          <w:rFonts w:ascii="宋体" w:hAnsi="宋体" w:cs="宋体"/>
          <w:color w:val="auto"/>
          <w:highlight w:val="none"/>
        </w:rPr>
      </w:pPr>
      <w:bookmarkStart w:id="187" w:name="_Toc22303"/>
      <w:bookmarkStart w:id="188" w:name="_Toc18873"/>
      <w:bookmarkStart w:id="189" w:name="_Toc28886"/>
      <w:bookmarkStart w:id="190" w:name="_Toc17335"/>
      <w:r>
        <w:rPr>
          <w:rFonts w:hint="eastAsia" w:ascii="宋体" w:hAnsi="宋体" w:cs="宋体"/>
          <w:color w:val="auto"/>
          <w:highlight w:val="none"/>
        </w:rPr>
        <w:t>八、验收</w:t>
      </w:r>
      <w:bookmarkEnd w:id="187"/>
      <w:bookmarkEnd w:id="188"/>
      <w:bookmarkEnd w:id="189"/>
      <w:bookmarkEnd w:id="190"/>
    </w:p>
    <w:p w14:paraId="61FBEF2E">
      <w:pPr>
        <w:spacing w:line="360" w:lineRule="auto"/>
        <w:ind w:firstLine="422" w:firstLineChars="200"/>
        <w:rPr>
          <w:rFonts w:ascii="宋体" w:hAnsi="宋体" w:cs="宋体"/>
          <w:b/>
          <w:color w:val="auto"/>
          <w:highlight w:val="none"/>
        </w:rPr>
      </w:pPr>
      <w:r>
        <w:rPr>
          <w:rFonts w:hint="eastAsia" w:ascii="宋体" w:hAnsi="宋体" w:cs="宋体"/>
          <w:b/>
          <w:color w:val="auto"/>
          <w:highlight w:val="none"/>
        </w:rPr>
        <w:t>39.验收</w:t>
      </w:r>
    </w:p>
    <w:p w14:paraId="6C0A5B0C">
      <w:pPr>
        <w:tabs>
          <w:tab w:val="left" w:pos="0"/>
        </w:tabs>
        <w:spacing w:line="360" w:lineRule="auto"/>
        <w:ind w:firstLine="315"/>
        <w:rPr>
          <w:rFonts w:ascii="宋体" w:hAnsi="宋体" w:cs="宋体"/>
          <w:color w:val="auto"/>
          <w:highlight w:val="none"/>
        </w:rPr>
      </w:pPr>
      <w:r>
        <w:rPr>
          <w:rFonts w:hint="eastAsia" w:ascii="宋体" w:hAnsi="宋体" w:cs="宋体"/>
          <w:color w:val="auto"/>
          <w:highlight w:val="none"/>
        </w:rPr>
        <w:t>39.1采购人组织对中标人履约的验收。大型或者复杂的政府采购项目，应当邀请国家认可的质量检测机构参加验收工作。验收方成员应当在验收书上签字，并承担相应的法律责任。如果发现与合同中要求不符，中标人须承担由此发生的一切损失和费用，并接受相应的处理。</w:t>
      </w:r>
    </w:p>
    <w:p w14:paraId="3CBD1FE9">
      <w:pPr>
        <w:tabs>
          <w:tab w:val="left" w:pos="0"/>
        </w:tabs>
        <w:spacing w:line="360" w:lineRule="auto"/>
        <w:ind w:firstLine="315"/>
        <w:rPr>
          <w:rFonts w:ascii="宋体" w:hAnsi="宋体" w:cs="宋体"/>
          <w:color w:val="auto"/>
          <w:highlight w:val="none"/>
        </w:rPr>
      </w:pPr>
      <w:r>
        <w:rPr>
          <w:rFonts w:hint="eastAsia" w:ascii="宋体" w:hAnsi="宋体" w:cs="宋体"/>
          <w:color w:val="auto"/>
          <w:highlight w:val="none"/>
        </w:rPr>
        <w:t>39.2采购人可以邀请参加本项目的其他投标人或者第三方机构参与验收。参与验收的投标人或者第三方机构的意见作为验收书的参考资料一并存档。</w:t>
      </w:r>
    </w:p>
    <w:p w14:paraId="6246A68D">
      <w:pPr>
        <w:tabs>
          <w:tab w:val="left" w:pos="0"/>
        </w:tabs>
        <w:spacing w:line="360" w:lineRule="auto"/>
        <w:ind w:firstLine="315"/>
        <w:rPr>
          <w:rFonts w:ascii="宋体" w:hAnsi="宋体" w:cs="宋体"/>
          <w:color w:val="auto"/>
          <w:highlight w:val="none"/>
        </w:rPr>
      </w:pPr>
      <w:r>
        <w:rPr>
          <w:rFonts w:hint="eastAsia" w:ascii="宋体" w:hAnsi="宋体" w:cs="宋体"/>
          <w:color w:val="auto"/>
          <w:highlight w:val="none"/>
        </w:rPr>
        <w:t>39.3严格按照采购合同开展履约验收。采购人成立验收小组，按照采购合同的约定对中标人履约情况进行验收。验收时，按照采购合同的约定对每一项技术、货物</w:t>
      </w:r>
      <w:r>
        <w:rPr>
          <w:rFonts w:hint="eastAsia"/>
          <w:color w:val="auto"/>
          <w:highlight w:val="none"/>
        </w:rPr>
        <w:t>或服务</w:t>
      </w:r>
      <w:r>
        <w:rPr>
          <w:rFonts w:hint="eastAsia" w:ascii="宋体" w:hAnsi="宋体" w:cs="宋体"/>
          <w:color w:val="auto"/>
          <w:highlight w:val="none"/>
        </w:rPr>
        <w:t>、安全标准的履约情况进行确认。验收结束后，应当出具验收书，列明各项标准的验收情况及项目总体评价，由验收双方共同签署。验收结果与采购合同约定的资金支付及履约保证金（如有）返还条件挂钩。履约验收的各项资料应当存档备查。</w:t>
      </w:r>
    </w:p>
    <w:p w14:paraId="682E11D0">
      <w:pPr>
        <w:tabs>
          <w:tab w:val="left" w:pos="0"/>
        </w:tabs>
        <w:spacing w:line="360" w:lineRule="auto"/>
        <w:ind w:firstLine="315"/>
        <w:rPr>
          <w:rFonts w:ascii="宋体" w:hAnsi="宋体" w:cs="宋体"/>
          <w:color w:val="auto"/>
          <w:highlight w:val="none"/>
        </w:rPr>
      </w:pPr>
      <w:r>
        <w:rPr>
          <w:rFonts w:hint="eastAsia" w:ascii="宋体" w:hAnsi="宋体" w:cs="宋体"/>
          <w:color w:val="auto"/>
          <w:highlight w:val="none"/>
        </w:rPr>
        <w:t>39.4验收合格的项目，采购人将根据采购合同的约定及时向中标人支付采购资金。验收不合格的项目，采购人将依法及时处理。采购合同的履行、违约责任和解决争议的方式等适用《中华人民共和国民法典》。中标人在履约过程中有政府采购法律法规规定的违法违规情形的，采购人应当及时报告本级财政部门。</w:t>
      </w:r>
    </w:p>
    <w:p w14:paraId="1D852275">
      <w:pPr>
        <w:pStyle w:val="4"/>
        <w:keepNext w:val="0"/>
        <w:keepLines w:val="0"/>
        <w:spacing w:line="360" w:lineRule="auto"/>
        <w:jc w:val="center"/>
        <w:rPr>
          <w:rFonts w:ascii="宋体" w:hAnsi="宋体" w:cs="宋体"/>
          <w:color w:val="auto"/>
          <w:highlight w:val="none"/>
        </w:rPr>
      </w:pPr>
      <w:bookmarkStart w:id="191" w:name="_八、其他事项"/>
      <w:bookmarkEnd w:id="191"/>
      <w:bookmarkStart w:id="192" w:name="_Toc13415"/>
      <w:bookmarkStart w:id="193" w:name="_Toc22183"/>
      <w:bookmarkStart w:id="194" w:name="_Toc18658"/>
      <w:bookmarkStart w:id="195" w:name="_Toc30046"/>
    </w:p>
    <w:p w14:paraId="4FEA5CE8">
      <w:pPr>
        <w:pStyle w:val="4"/>
        <w:keepNext w:val="0"/>
        <w:keepLines w:val="0"/>
        <w:spacing w:line="360" w:lineRule="auto"/>
        <w:jc w:val="center"/>
        <w:rPr>
          <w:rFonts w:ascii="宋体" w:hAnsi="宋体" w:cs="宋体"/>
          <w:color w:val="auto"/>
          <w:highlight w:val="none"/>
        </w:rPr>
      </w:pPr>
      <w:r>
        <w:rPr>
          <w:rFonts w:hint="eastAsia" w:ascii="宋体" w:hAnsi="宋体" w:cs="宋体"/>
          <w:color w:val="auto"/>
          <w:highlight w:val="none"/>
        </w:rPr>
        <w:t>九、其他事项</w:t>
      </w:r>
      <w:bookmarkEnd w:id="192"/>
      <w:bookmarkEnd w:id="193"/>
      <w:bookmarkEnd w:id="194"/>
      <w:bookmarkEnd w:id="195"/>
    </w:p>
    <w:p w14:paraId="2CAC0AFC">
      <w:pPr>
        <w:spacing w:line="360" w:lineRule="auto"/>
        <w:ind w:firstLine="480" w:firstLineChars="200"/>
        <w:rPr>
          <w:rFonts w:ascii="宋体" w:hAnsi="宋体" w:cs="宋体"/>
          <w:color w:val="auto"/>
          <w:sz w:val="24"/>
          <w:highlight w:val="none"/>
        </w:rPr>
      </w:pPr>
      <w:bookmarkStart w:id="196" w:name="_42.代理服务费"/>
      <w:bookmarkEnd w:id="196"/>
      <w:r>
        <w:rPr>
          <w:rFonts w:hint="eastAsia" w:ascii="宋体" w:hAnsi="宋体" w:cs="宋体"/>
          <w:color w:val="auto"/>
          <w:sz w:val="24"/>
          <w:highlight w:val="none"/>
        </w:rPr>
        <w:t>40.采购代理服务费</w:t>
      </w:r>
    </w:p>
    <w:p w14:paraId="7C642082">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40.1采购代理服务费收费标准参照国家发展计划委员会《招标代理服务费管理暂行办法》（计价格〔2002〕1980号）、《国家发展改革委关于降低部分建设项目收费标准规范收费行为等有关问题的通知》（发改价格〔2011〕534号）的规定采用差额定率累进法计算后下浮</w:t>
      </w:r>
      <w:r>
        <w:rPr>
          <w:rFonts w:hint="eastAsia" w:ascii="宋体" w:hAnsi="宋体" w:cs="宋体"/>
          <w:bCs/>
          <w:color w:val="auto"/>
          <w:szCs w:val="21"/>
          <w:highlight w:val="none"/>
          <w:lang w:val="en-US" w:eastAsia="zh-CN"/>
        </w:rPr>
        <w:t>3</w:t>
      </w:r>
      <w:r>
        <w:rPr>
          <w:rFonts w:hint="eastAsia" w:ascii="宋体" w:hAnsi="宋体" w:cs="宋体"/>
          <w:bCs/>
          <w:color w:val="auto"/>
          <w:szCs w:val="21"/>
          <w:highlight w:val="none"/>
        </w:rPr>
        <w:t>0%向中标人收取</w:t>
      </w:r>
      <w:r>
        <w:rPr>
          <w:rFonts w:hint="eastAsia" w:ascii="宋体" w:hAnsi="宋体" w:cs="宋体"/>
          <w:bCs/>
          <w:color w:val="auto"/>
          <w:szCs w:val="21"/>
          <w:highlight w:val="none"/>
          <w:lang w:eastAsia="zh-CN"/>
        </w:rPr>
        <w:t>。</w:t>
      </w:r>
      <w:r>
        <w:rPr>
          <w:rFonts w:hint="eastAsia" w:ascii="宋体" w:hAnsi="宋体" w:cs="宋体"/>
          <w:bCs/>
          <w:color w:val="auto"/>
          <w:szCs w:val="21"/>
          <w:highlight w:val="none"/>
        </w:rPr>
        <w:t>采购代理服务费缴费账户详见“投标人须知前附表”。以项目中标总金额为计费额，</w:t>
      </w:r>
      <w:r>
        <w:rPr>
          <w:rFonts w:hint="eastAsia" w:ascii="宋体" w:hAnsi="宋体" w:cs="宋体"/>
          <w:bCs/>
          <w:color w:val="auto"/>
          <w:szCs w:val="21"/>
          <w:highlight w:val="none"/>
          <w:lang w:val="en-US" w:eastAsia="zh-CN"/>
        </w:rPr>
        <w:t>具体</w:t>
      </w:r>
      <w:r>
        <w:rPr>
          <w:rFonts w:hint="eastAsia" w:ascii="宋体" w:hAnsi="宋体" w:cs="宋体"/>
          <w:bCs/>
          <w:color w:val="auto"/>
          <w:szCs w:val="21"/>
          <w:highlight w:val="none"/>
        </w:rPr>
        <w:t>按本须知正文第40.2条规定收取。</w:t>
      </w:r>
    </w:p>
    <w:p w14:paraId="02403A51">
      <w:pPr>
        <w:pStyle w:val="6"/>
        <w:keepNext w:val="0"/>
        <w:keepLines w:val="0"/>
        <w:spacing w:before="0" w:after="0" w:line="360" w:lineRule="auto"/>
        <w:ind w:left="420" w:leftChars="200"/>
        <w:rPr>
          <w:rFonts w:ascii="宋体" w:hAnsi="宋体" w:cs="宋体"/>
          <w:b w:val="0"/>
          <w:color w:val="auto"/>
          <w:sz w:val="21"/>
          <w:szCs w:val="21"/>
          <w:highlight w:val="none"/>
        </w:rPr>
      </w:pPr>
      <w:r>
        <w:rPr>
          <w:rFonts w:hint="eastAsia" w:ascii="宋体" w:hAnsi="宋体" w:cs="宋体"/>
          <w:b w:val="0"/>
          <w:color w:val="auto"/>
          <w:sz w:val="21"/>
          <w:szCs w:val="21"/>
          <w:highlight w:val="none"/>
        </w:rPr>
        <w:t>40.2采购代理服务费收费标准：</w:t>
      </w:r>
    </w:p>
    <w:tbl>
      <w:tblPr>
        <w:tblStyle w:val="28"/>
        <w:tblW w:w="8477"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2"/>
        <w:gridCol w:w="1659"/>
        <w:gridCol w:w="1687"/>
        <w:gridCol w:w="1659"/>
      </w:tblGrid>
      <w:tr w14:paraId="5B44F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l2br w:val="single" w:color="auto" w:sz="4" w:space="0"/>
            </w:tcBorders>
            <w:noWrap/>
          </w:tcPr>
          <w:p w14:paraId="4A1458BB">
            <w:pPr>
              <w:keepNext w:val="0"/>
              <w:keepLines w:val="0"/>
              <w:suppressLineNumbers w:val="0"/>
              <w:spacing w:before="0" w:beforeAutospacing="0" w:after="0" w:afterAutospacing="0" w:line="360" w:lineRule="auto"/>
              <w:ind w:left="0" w:right="0"/>
              <w:rPr>
                <w:rFonts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xml:space="preserve"> 费率</w:t>
            </w:r>
          </w:p>
          <w:p w14:paraId="665028E9">
            <w:pPr>
              <w:keepNext w:val="0"/>
              <w:keepLines w:val="0"/>
              <w:suppressLineNumbers w:val="0"/>
              <w:spacing w:before="0" w:beforeAutospacing="0" w:after="0" w:afterAutospacing="0" w:line="360" w:lineRule="auto"/>
              <w:ind w:left="0" w:right="0"/>
              <w:rPr>
                <w:rFonts w:ascii="宋体" w:hAnsi="宋体" w:cs="宋体"/>
                <w:color w:val="auto"/>
                <w:szCs w:val="21"/>
                <w:highlight w:val="none"/>
              </w:rPr>
            </w:pPr>
            <w:r>
              <w:rPr>
                <w:rFonts w:hint="eastAsia" w:ascii="宋体" w:hAnsi="宋体" w:cs="宋体"/>
                <w:color w:val="auto"/>
                <w:szCs w:val="21"/>
                <w:highlight w:val="none"/>
              </w:rPr>
              <w:t>中标金额</w:t>
            </w:r>
          </w:p>
        </w:tc>
        <w:tc>
          <w:tcPr>
            <w:tcW w:w="1659" w:type="dxa"/>
            <w:noWrap/>
            <w:vAlign w:val="center"/>
          </w:tcPr>
          <w:p w14:paraId="7BBDED0D">
            <w:pPr>
              <w:keepNext w:val="0"/>
              <w:keepLines w:val="0"/>
              <w:suppressLineNumbers w:val="0"/>
              <w:spacing w:before="0" w:beforeAutospacing="0" w:after="0" w:afterAutospacing="0" w:line="360" w:lineRule="auto"/>
              <w:ind w:left="0" w:right="0" w:firstLine="105" w:firstLineChars="50"/>
              <w:jc w:val="center"/>
              <w:rPr>
                <w:rFonts w:ascii="宋体" w:hAnsi="宋体" w:cs="宋体"/>
                <w:color w:val="auto"/>
                <w:szCs w:val="21"/>
                <w:highlight w:val="none"/>
              </w:rPr>
            </w:pPr>
            <w:r>
              <w:rPr>
                <w:rFonts w:hint="eastAsia" w:ascii="宋体" w:hAnsi="宋体" w:cs="宋体"/>
                <w:color w:val="auto"/>
                <w:szCs w:val="21"/>
                <w:highlight w:val="none"/>
              </w:rPr>
              <w:t>货物类</w:t>
            </w:r>
          </w:p>
        </w:tc>
        <w:tc>
          <w:tcPr>
            <w:tcW w:w="1687" w:type="dxa"/>
            <w:noWrap/>
            <w:vAlign w:val="center"/>
          </w:tcPr>
          <w:p w14:paraId="38CECA66">
            <w:pPr>
              <w:keepNext w:val="0"/>
              <w:keepLines w:val="0"/>
              <w:suppressLineNumbers w:val="0"/>
              <w:spacing w:before="0" w:beforeAutospacing="0" w:after="0" w:afterAutospacing="0" w:line="360" w:lineRule="auto"/>
              <w:ind w:left="0" w:right="0"/>
              <w:jc w:val="center"/>
              <w:rPr>
                <w:rFonts w:ascii="宋体" w:hAnsi="宋体" w:cs="宋体"/>
                <w:color w:val="auto"/>
                <w:szCs w:val="21"/>
                <w:highlight w:val="none"/>
              </w:rPr>
            </w:pPr>
            <w:r>
              <w:rPr>
                <w:rFonts w:hint="eastAsia" w:ascii="宋体" w:hAnsi="宋体" w:cs="宋体"/>
                <w:color w:val="auto"/>
                <w:szCs w:val="21"/>
                <w:highlight w:val="none"/>
              </w:rPr>
              <w:t>服务类</w:t>
            </w:r>
          </w:p>
        </w:tc>
        <w:tc>
          <w:tcPr>
            <w:tcW w:w="1659" w:type="dxa"/>
            <w:noWrap/>
            <w:vAlign w:val="center"/>
          </w:tcPr>
          <w:p w14:paraId="24494C70">
            <w:pPr>
              <w:keepNext w:val="0"/>
              <w:keepLines w:val="0"/>
              <w:suppressLineNumbers w:val="0"/>
              <w:spacing w:before="0" w:beforeAutospacing="0" w:after="0" w:afterAutospacing="0" w:line="360" w:lineRule="auto"/>
              <w:ind w:left="0" w:right="0"/>
              <w:jc w:val="center"/>
              <w:rPr>
                <w:rFonts w:ascii="宋体" w:hAnsi="宋体" w:cs="宋体"/>
                <w:color w:val="auto"/>
                <w:szCs w:val="21"/>
                <w:highlight w:val="none"/>
              </w:rPr>
            </w:pPr>
            <w:r>
              <w:rPr>
                <w:rFonts w:hint="eastAsia" w:ascii="宋体" w:hAnsi="宋体" w:cs="宋体"/>
                <w:color w:val="auto"/>
                <w:szCs w:val="21"/>
                <w:highlight w:val="none"/>
              </w:rPr>
              <w:t>工程类</w:t>
            </w:r>
          </w:p>
        </w:tc>
      </w:tr>
      <w:tr w14:paraId="5EA7A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tcPr>
          <w:p w14:paraId="7729D305">
            <w:pPr>
              <w:keepNext w:val="0"/>
              <w:keepLines w:val="0"/>
              <w:suppressLineNumbers w:val="0"/>
              <w:spacing w:before="0" w:beforeAutospacing="0" w:after="0" w:afterAutospacing="0" w:line="360" w:lineRule="auto"/>
              <w:ind w:left="0" w:right="0"/>
              <w:rPr>
                <w:rFonts w:ascii="宋体" w:hAnsi="宋体" w:cs="宋体"/>
                <w:color w:val="auto"/>
                <w:szCs w:val="21"/>
                <w:highlight w:val="none"/>
              </w:rPr>
            </w:pPr>
            <w:r>
              <w:rPr>
                <w:rFonts w:hint="eastAsia" w:ascii="宋体" w:hAnsi="宋体" w:cs="宋体"/>
                <w:color w:val="auto"/>
                <w:szCs w:val="21"/>
                <w:highlight w:val="none"/>
              </w:rPr>
              <w:t>100万元以下</w:t>
            </w:r>
          </w:p>
        </w:tc>
        <w:tc>
          <w:tcPr>
            <w:tcW w:w="1659" w:type="dxa"/>
            <w:noWrap/>
          </w:tcPr>
          <w:p w14:paraId="1B87CC80">
            <w:pPr>
              <w:keepNext w:val="0"/>
              <w:keepLines w:val="0"/>
              <w:suppressLineNumbers w:val="0"/>
              <w:spacing w:before="0" w:beforeAutospacing="0" w:after="0" w:afterAutospacing="0" w:line="360" w:lineRule="auto"/>
              <w:ind w:left="0" w:right="0"/>
              <w:jc w:val="center"/>
              <w:rPr>
                <w:rFonts w:ascii="宋体" w:hAnsi="宋体" w:cs="宋体"/>
                <w:color w:val="auto"/>
                <w:szCs w:val="21"/>
                <w:highlight w:val="none"/>
              </w:rPr>
            </w:pPr>
            <w:r>
              <w:rPr>
                <w:rFonts w:hint="eastAsia" w:ascii="宋体" w:hAnsi="宋体" w:cs="宋体"/>
                <w:color w:val="auto"/>
                <w:kern w:val="0"/>
                <w:szCs w:val="21"/>
                <w:highlight w:val="none"/>
              </w:rPr>
              <w:t>1.5%</w:t>
            </w:r>
          </w:p>
        </w:tc>
        <w:tc>
          <w:tcPr>
            <w:tcW w:w="1687" w:type="dxa"/>
            <w:noWrap/>
          </w:tcPr>
          <w:p w14:paraId="46338090">
            <w:pPr>
              <w:keepNext w:val="0"/>
              <w:keepLines w:val="0"/>
              <w:suppressLineNumbers w:val="0"/>
              <w:spacing w:before="0" w:beforeAutospacing="0" w:after="0" w:afterAutospacing="0" w:line="360" w:lineRule="auto"/>
              <w:ind w:left="0" w:right="0" w:firstLine="210" w:firstLineChars="100"/>
              <w:jc w:val="center"/>
              <w:rPr>
                <w:rFonts w:ascii="宋体" w:hAnsi="宋体" w:cs="宋体"/>
                <w:color w:val="auto"/>
                <w:szCs w:val="21"/>
                <w:highlight w:val="none"/>
              </w:rPr>
            </w:pPr>
            <w:r>
              <w:rPr>
                <w:rFonts w:hint="eastAsia" w:ascii="宋体" w:hAnsi="宋体" w:cs="宋体"/>
                <w:color w:val="auto"/>
                <w:kern w:val="0"/>
                <w:szCs w:val="21"/>
                <w:highlight w:val="none"/>
              </w:rPr>
              <w:t>1.5%</w:t>
            </w:r>
          </w:p>
        </w:tc>
        <w:tc>
          <w:tcPr>
            <w:tcW w:w="1659" w:type="dxa"/>
            <w:noWrap/>
          </w:tcPr>
          <w:p w14:paraId="1A7688E6">
            <w:pPr>
              <w:keepNext w:val="0"/>
              <w:keepLines w:val="0"/>
              <w:suppressLineNumbers w:val="0"/>
              <w:spacing w:before="0" w:beforeAutospacing="0" w:after="0" w:afterAutospacing="0" w:line="360" w:lineRule="auto"/>
              <w:ind w:left="0" w:right="0" w:firstLine="210" w:firstLineChars="100"/>
              <w:jc w:val="center"/>
              <w:rPr>
                <w:rFonts w:ascii="宋体" w:hAnsi="宋体" w:cs="宋体"/>
                <w:color w:val="auto"/>
                <w:szCs w:val="21"/>
                <w:highlight w:val="none"/>
              </w:rPr>
            </w:pPr>
            <w:r>
              <w:rPr>
                <w:rFonts w:hint="eastAsia" w:ascii="宋体" w:hAnsi="宋体" w:cs="宋体"/>
                <w:color w:val="auto"/>
                <w:kern w:val="0"/>
                <w:szCs w:val="21"/>
                <w:highlight w:val="none"/>
              </w:rPr>
              <w:t>1.0%</w:t>
            </w:r>
          </w:p>
        </w:tc>
      </w:tr>
      <w:tr w14:paraId="5CF16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tcPr>
          <w:p w14:paraId="16EBEFA4">
            <w:pPr>
              <w:keepNext w:val="0"/>
              <w:keepLines w:val="0"/>
              <w:suppressLineNumbers w:val="0"/>
              <w:spacing w:before="0" w:beforeAutospacing="0" w:after="0" w:afterAutospacing="0" w:line="360" w:lineRule="auto"/>
              <w:ind w:left="0" w:right="0"/>
              <w:rPr>
                <w:rFonts w:ascii="宋体" w:hAnsi="宋体" w:cs="宋体"/>
                <w:color w:val="auto"/>
                <w:szCs w:val="21"/>
                <w:highlight w:val="none"/>
              </w:rPr>
            </w:pPr>
            <w:r>
              <w:rPr>
                <w:rFonts w:hint="eastAsia" w:ascii="宋体" w:hAnsi="宋体" w:cs="宋体"/>
                <w:color w:val="auto"/>
                <w:szCs w:val="21"/>
                <w:highlight w:val="none"/>
              </w:rPr>
              <w:t>100～500万元</w:t>
            </w:r>
          </w:p>
        </w:tc>
        <w:tc>
          <w:tcPr>
            <w:tcW w:w="1659" w:type="dxa"/>
            <w:noWrap/>
          </w:tcPr>
          <w:p w14:paraId="5CFB8D56">
            <w:pPr>
              <w:keepNext w:val="0"/>
              <w:keepLines w:val="0"/>
              <w:suppressLineNumbers w:val="0"/>
              <w:spacing w:before="0" w:beforeAutospacing="0" w:after="0" w:afterAutospacing="0" w:line="360" w:lineRule="auto"/>
              <w:ind w:left="0" w:right="0" w:firstLine="210" w:firstLineChars="100"/>
              <w:jc w:val="center"/>
              <w:rPr>
                <w:rFonts w:ascii="宋体" w:hAnsi="宋体" w:cs="宋体"/>
                <w:color w:val="auto"/>
                <w:szCs w:val="21"/>
                <w:highlight w:val="none"/>
              </w:rPr>
            </w:pPr>
            <w:r>
              <w:rPr>
                <w:rFonts w:hint="eastAsia" w:ascii="宋体" w:hAnsi="宋体" w:cs="宋体"/>
                <w:color w:val="auto"/>
                <w:kern w:val="0"/>
                <w:szCs w:val="21"/>
                <w:highlight w:val="none"/>
              </w:rPr>
              <w:t>1.1%</w:t>
            </w:r>
          </w:p>
        </w:tc>
        <w:tc>
          <w:tcPr>
            <w:tcW w:w="1687" w:type="dxa"/>
            <w:noWrap/>
          </w:tcPr>
          <w:p w14:paraId="6D6E551E">
            <w:pPr>
              <w:keepNext w:val="0"/>
              <w:keepLines w:val="0"/>
              <w:suppressLineNumbers w:val="0"/>
              <w:spacing w:before="0" w:beforeAutospacing="0" w:after="0" w:afterAutospacing="0" w:line="360" w:lineRule="auto"/>
              <w:ind w:left="0" w:right="0" w:firstLine="210" w:firstLineChars="100"/>
              <w:jc w:val="center"/>
              <w:rPr>
                <w:rFonts w:ascii="宋体" w:hAnsi="宋体" w:cs="宋体"/>
                <w:color w:val="auto"/>
                <w:szCs w:val="21"/>
                <w:highlight w:val="none"/>
              </w:rPr>
            </w:pPr>
            <w:r>
              <w:rPr>
                <w:rFonts w:hint="eastAsia" w:ascii="宋体" w:hAnsi="宋体" w:cs="宋体"/>
                <w:color w:val="auto"/>
                <w:kern w:val="0"/>
                <w:szCs w:val="21"/>
                <w:highlight w:val="none"/>
              </w:rPr>
              <w:t>0.8%</w:t>
            </w:r>
          </w:p>
        </w:tc>
        <w:tc>
          <w:tcPr>
            <w:tcW w:w="1659" w:type="dxa"/>
            <w:noWrap/>
          </w:tcPr>
          <w:p w14:paraId="37687F8A">
            <w:pPr>
              <w:keepNext w:val="0"/>
              <w:keepLines w:val="0"/>
              <w:suppressLineNumbers w:val="0"/>
              <w:spacing w:before="0" w:beforeAutospacing="0" w:after="0" w:afterAutospacing="0" w:line="360" w:lineRule="auto"/>
              <w:ind w:left="0" w:right="0" w:firstLine="210" w:firstLineChars="100"/>
              <w:jc w:val="center"/>
              <w:rPr>
                <w:rFonts w:ascii="宋体" w:hAnsi="宋体" w:cs="宋体"/>
                <w:color w:val="auto"/>
                <w:szCs w:val="21"/>
                <w:highlight w:val="none"/>
              </w:rPr>
            </w:pPr>
            <w:r>
              <w:rPr>
                <w:rFonts w:hint="eastAsia" w:ascii="宋体" w:hAnsi="宋体" w:cs="宋体"/>
                <w:color w:val="auto"/>
                <w:kern w:val="0"/>
                <w:szCs w:val="21"/>
                <w:highlight w:val="none"/>
              </w:rPr>
              <w:t>0.7%</w:t>
            </w:r>
          </w:p>
        </w:tc>
      </w:tr>
      <w:tr w14:paraId="3D842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tcPr>
          <w:p w14:paraId="730058FB">
            <w:pPr>
              <w:keepNext w:val="0"/>
              <w:keepLines w:val="0"/>
              <w:suppressLineNumbers w:val="0"/>
              <w:spacing w:before="0" w:beforeAutospacing="0" w:after="0" w:afterAutospacing="0" w:line="360" w:lineRule="auto"/>
              <w:ind w:left="0" w:right="0"/>
              <w:rPr>
                <w:rFonts w:ascii="宋体" w:hAnsi="宋体" w:cs="宋体"/>
                <w:color w:val="auto"/>
                <w:szCs w:val="21"/>
                <w:highlight w:val="none"/>
              </w:rPr>
            </w:pPr>
            <w:r>
              <w:rPr>
                <w:rFonts w:hint="eastAsia" w:ascii="宋体" w:hAnsi="宋体" w:cs="宋体"/>
                <w:color w:val="auto"/>
                <w:szCs w:val="21"/>
                <w:highlight w:val="none"/>
              </w:rPr>
              <w:t>500～1000万元</w:t>
            </w:r>
          </w:p>
        </w:tc>
        <w:tc>
          <w:tcPr>
            <w:tcW w:w="1659" w:type="dxa"/>
            <w:noWrap/>
          </w:tcPr>
          <w:p w14:paraId="562C0D5D">
            <w:pPr>
              <w:keepNext w:val="0"/>
              <w:keepLines w:val="0"/>
              <w:suppressLineNumbers w:val="0"/>
              <w:spacing w:before="0" w:beforeAutospacing="0" w:after="0" w:afterAutospacing="0" w:line="360" w:lineRule="auto"/>
              <w:ind w:left="0" w:right="0"/>
              <w:jc w:val="center"/>
              <w:rPr>
                <w:rFonts w:ascii="宋体" w:hAnsi="宋体" w:cs="宋体"/>
                <w:color w:val="auto"/>
                <w:szCs w:val="21"/>
                <w:highlight w:val="none"/>
              </w:rPr>
            </w:pPr>
            <w:r>
              <w:rPr>
                <w:rFonts w:hint="eastAsia" w:ascii="宋体" w:hAnsi="宋体" w:cs="宋体"/>
                <w:color w:val="auto"/>
                <w:kern w:val="0"/>
                <w:szCs w:val="21"/>
                <w:highlight w:val="none"/>
              </w:rPr>
              <w:t>0.8%</w:t>
            </w:r>
          </w:p>
        </w:tc>
        <w:tc>
          <w:tcPr>
            <w:tcW w:w="1687" w:type="dxa"/>
            <w:noWrap/>
          </w:tcPr>
          <w:p w14:paraId="4F7E5A4E">
            <w:pPr>
              <w:keepNext w:val="0"/>
              <w:keepLines w:val="0"/>
              <w:suppressLineNumbers w:val="0"/>
              <w:spacing w:before="0" w:beforeAutospacing="0" w:after="0" w:afterAutospacing="0" w:line="360" w:lineRule="auto"/>
              <w:ind w:left="0" w:right="0" w:firstLine="210" w:firstLineChars="100"/>
              <w:jc w:val="center"/>
              <w:rPr>
                <w:rFonts w:ascii="宋体" w:hAnsi="宋体" w:cs="宋体"/>
                <w:color w:val="auto"/>
                <w:szCs w:val="21"/>
                <w:highlight w:val="none"/>
              </w:rPr>
            </w:pPr>
            <w:r>
              <w:rPr>
                <w:rFonts w:hint="eastAsia" w:ascii="宋体" w:hAnsi="宋体" w:cs="宋体"/>
                <w:color w:val="auto"/>
                <w:kern w:val="0"/>
                <w:szCs w:val="21"/>
                <w:highlight w:val="none"/>
              </w:rPr>
              <w:t>0.45%</w:t>
            </w:r>
          </w:p>
        </w:tc>
        <w:tc>
          <w:tcPr>
            <w:tcW w:w="1659" w:type="dxa"/>
            <w:noWrap/>
          </w:tcPr>
          <w:p w14:paraId="15E0257E">
            <w:pPr>
              <w:keepNext w:val="0"/>
              <w:keepLines w:val="0"/>
              <w:suppressLineNumbers w:val="0"/>
              <w:spacing w:before="0" w:beforeAutospacing="0" w:after="0" w:afterAutospacing="0" w:line="360" w:lineRule="auto"/>
              <w:ind w:left="0" w:right="0" w:firstLine="210" w:firstLineChars="100"/>
              <w:jc w:val="center"/>
              <w:rPr>
                <w:rFonts w:ascii="宋体" w:hAnsi="宋体" w:cs="宋体"/>
                <w:color w:val="auto"/>
                <w:szCs w:val="21"/>
                <w:highlight w:val="none"/>
              </w:rPr>
            </w:pPr>
            <w:r>
              <w:rPr>
                <w:rFonts w:hint="eastAsia" w:ascii="宋体" w:hAnsi="宋体" w:cs="宋体"/>
                <w:color w:val="auto"/>
                <w:kern w:val="0"/>
                <w:szCs w:val="21"/>
                <w:highlight w:val="none"/>
              </w:rPr>
              <w:t>0.55%</w:t>
            </w:r>
          </w:p>
        </w:tc>
      </w:tr>
      <w:tr w14:paraId="1B3EE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tcPr>
          <w:p w14:paraId="10549A7C">
            <w:pPr>
              <w:keepNext w:val="0"/>
              <w:keepLines w:val="0"/>
              <w:suppressLineNumbers w:val="0"/>
              <w:spacing w:before="0" w:beforeAutospacing="0" w:after="0" w:afterAutospacing="0" w:line="360" w:lineRule="auto"/>
              <w:ind w:left="0" w:right="0"/>
              <w:rPr>
                <w:rFonts w:ascii="宋体" w:hAnsi="宋体" w:cs="宋体"/>
                <w:color w:val="auto"/>
                <w:szCs w:val="21"/>
                <w:highlight w:val="none"/>
              </w:rPr>
            </w:pPr>
            <w:r>
              <w:rPr>
                <w:rFonts w:hint="eastAsia" w:ascii="宋体" w:hAnsi="宋体" w:cs="宋体"/>
                <w:color w:val="auto"/>
                <w:szCs w:val="21"/>
                <w:highlight w:val="none"/>
              </w:rPr>
              <w:t>1000～5000万元</w:t>
            </w:r>
          </w:p>
        </w:tc>
        <w:tc>
          <w:tcPr>
            <w:tcW w:w="1659" w:type="dxa"/>
            <w:noWrap/>
          </w:tcPr>
          <w:p w14:paraId="277E3EEF">
            <w:pPr>
              <w:keepNext w:val="0"/>
              <w:keepLines w:val="0"/>
              <w:suppressLineNumbers w:val="0"/>
              <w:spacing w:before="0" w:beforeAutospacing="0" w:after="0" w:afterAutospacing="0" w:line="360" w:lineRule="auto"/>
              <w:ind w:left="0" w:right="0" w:firstLine="210" w:firstLineChars="100"/>
              <w:jc w:val="center"/>
              <w:rPr>
                <w:rFonts w:ascii="宋体" w:hAnsi="宋体" w:cs="宋体"/>
                <w:color w:val="auto"/>
                <w:szCs w:val="21"/>
                <w:highlight w:val="none"/>
              </w:rPr>
            </w:pPr>
            <w:r>
              <w:rPr>
                <w:rFonts w:hint="eastAsia" w:ascii="宋体" w:hAnsi="宋体" w:cs="宋体"/>
                <w:color w:val="auto"/>
                <w:kern w:val="0"/>
                <w:szCs w:val="21"/>
                <w:highlight w:val="none"/>
              </w:rPr>
              <w:t>0.5%</w:t>
            </w:r>
          </w:p>
        </w:tc>
        <w:tc>
          <w:tcPr>
            <w:tcW w:w="1687" w:type="dxa"/>
            <w:noWrap/>
          </w:tcPr>
          <w:p w14:paraId="529AE788">
            <w:pPr>
              <w:keepNext w:val="0"/>
              <w:keepLines w:val="0"/>
              <w:suppressLineNumbers w:val="0"/>
              <w:spacing w:before="0" w:beforeAutospacing="0" w:after="0" w:afterAutospacing="0" w:line="360" w:lineRule="auto"/>
              <w:ind w:left="0" w:right="0" w:firstLine="210" w:firstLineChars="100"/>
              <w:jc w:val="center"/>
              <w:rPr>
                <w:rFonts w:ascii="宋体" w:hAnsi="宋体" w:cs="宋体"/>
                <w:color w:val="auto"/>
                <w:szCs w:val="21"/>
                <w:highlight w:val="none"/>
              </w:rPr>
            </w:pPr>
            <w:r>
              <w:rPr>
                <w:rFonts w:hint="eastAsia" w:ascii="宋体" w:hAnsi="宋体" w:cs="宋体"/>
                <w:color w:val="auto"/>
                <w:kern w:val="0"/>
                <w:szCs w:val="21"/>
                <w:highlight w:val="none"/>
              </w:rPr>
              <w:t>0.25%</w:t>
            </w:r>
          </w:p>
        </w:tc>
        <w:tc>
          <w:tcPr>
            <w:tcW w:w="1659" w:type="dxa"/>
            <w:noWrap/>
          </w:tcPr>
          <w:p w14:paraId="785B6CB2">
            <w:pPr>
              <w:keepNext w:val="0"/>
              <w:keepLines w:val="0"/>
              <w:suppressLineNumbers w:val="0"/>
              <w:spacing w:before="0" w:beforeAutospacing="0" w:after="0" w:afterAutospacing="0" w:line="360" w:lineRule="auto"/>
              <w:ind w:left="0" w:right="0" w:firstLine="210" w:firstLineChars="100"/>
              <w:jc w:val="center"/>
              <w:rPr>
                <w:rFonts w:ascii="宋体" w:hAnsi="宋体" w:cs="宋体"/>
                <w:color w:val="auto"/>
                <w:szCs w:val="21"/>
                <w:highlight w:val="none"/>
              </w:rPr>
            </w:pPr>
            <w:r>
              <w:rPr>
                <w:rFonts w:hint="eastAsia" w:ascii="宋体" w:hAnsi="宋体" w:cs="宋体"/>
                <w:color w:val="auto"/>
                <w:kern w:val="0"/>
                <w:szCs w:val="21"/>
                <w:highlight w:val="none"/>
              </w:rPr>
              <w:t>0.35%</w:t>
            </w:r>
          </w:p>
        </w:tc>
      </w:tr>
      <w:tr w14:paraId="018EB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tcPr>
          <w:p w14:paraId="74963877">
            <w:pPr>
              <w:keepNext w:val="0"/>
              <w:keepLines w:val="0"/>
              <w:suppressLineNumbers w:val="0"/>
              <w:spacing w:before="0" w:beforeAutospacing="0" w:after="0" w:afterAutospacing="0" w:line="360" w:lineRule="auto"/>
              <w:ind w:left="0" w:right="0"/>
              <w:rPr>
                <w:rFonts w:ascii="宋体" w:hAnsi="宋体" w:cs="宋体"/>
                <w:color w:val="auto"/>
                <w:szCs w:val="21"/>
                <w:highlight w:val="none"/>
              </w:rPr>
            </w:pPr>
            <w:r>
              <w:rPr>
                <w:rFonts w:hint="eastAsia" w:ascii="宋体" w:hAnsi="宋体" w:cs="宋体"/>
                <w:color w:val="auto"/>
                <w:szCs w:val="21"/>
                <w:highlight w:val="none"/>
              </w:rPr>
              <w:t>5000万元～1亿元</w:t>
            </w:r>
          </w:p>
        </w:tc>
        <w:tc>
          <w:tcPr>
            <w:tcW w:w="1659" w:type="dxa"/>
            <w:noWrap/>
          </w:tcPr>
          <w:p w14:paraId="739627A5">
            <w:pPr>
              <w:keepNext w:val="0"/>
              <w:keepLines w:val="0"/>
              <w:suppressLineNumbers w:val="0"/>
              <w:spacing w:before="0" w:beforeAutospacing="0" w:after="0" w:afterAutospacing="0" w:line="360" w:lineRule="auto"/>
              <w:ind w:left="0" w:right="0" w:firstLine="210" w:firstLineChars="100"/>
              <w:jc w:val="center"/>
              <w:rPr>
                <w:rFonts w:ascii="宋体" w:hAnsi="宋体" w:cs="宋体"/>
                <w:color w:val="auto"/>
                <w:szCs w:val="21"/>
                <w:highlight w:val="none"/>
              </w:rPr>
            </w:pPr>
            <w:r>
              <w:rPr>
                <w:rFonts w:hint="eastAsia" w:ascii="宋体" w:hAnsi="宋体" w:cs="宋体"/>
                <w:color w:val="auto"/>
                <w:kern w:val="0"/>
                <w:szCs w:val="21"/>
                <w:highlight w:val="none"/>
              </w:rPr>
              <w:t>0.25%</w:t>
            </w:r>
          </w:p>
        </w:tc>
        <w:tc>
          <w:tcPr>
            <w:tcW w:w="1687" w:type="dxa"/>
            <w:noWrap/>
          </w:tcPr>
          <w:p w14:paraId="5920A17A">
            <w:pPr>
              <w:keepNext w:val="0"/>
              <w:keepLines w:val="0"/>
              <w:suppressLineNumbers w:val="0"/>
              <w:spacing w:before="0" w:beforeAutospacing="0" w:after="0" w:afterAutospacing="0" w:line="360" w:lineRule="auto"/>
              <w:ind w:left="0" w:right="0" w:firstLine="210" w:firstLineChars="100"/>
              <w:jc w:val="center"/>
              <w:rPr>
                <w:rFonts w:ascii="宋体" w:hAnsi="宋体" w:cs="宋体"/>
                <w:color w:val="auto"/>
                <w:szCs w:val="21"/>
                <w:highlight w:val="none"/>
              </w:rPr>
            </w:pPr>
            <w:r>
              <w:rPr>
                <w:rFonts w:hint="eastAsia" w:ascii="宋体" w:hAnsi="宋体" w:cs="宋体"/>
                <w:color w:val="auto"/>
                <w:kern w:val="0"/>
                <w:szCs w:val="21"/>
                <w:highlight w:val="none"/>
              </w:rPr>
              <w:t>0.1%</w:t>
            </w:r>
          </w:p>
        </w:tc>
        <w:tc>
          <w:tcPr>
            <w:tcW w:w="1659" w:type="dxa"/>
            <w:noWrap/>
          </w:tcPr>
          <w:p w14:paraId="7594C11C">
            <w:pPr>
              <w:keepNext w:val="0"/>
              <w:keepLines w:val="0"/>
              <w:suppressLineNumbers w:val="0"/>
              <w:spacing w:before="0" w:beforeAutospacing="0" w:after="0" w:afterAutospacing="0" w:line="360" w:lineRule="auto"/>
              <w:ind w:left="0" w:right="0" w:firstLine="210" w:firstLineChars="100"/>
              <w:jc w:val="center"/>
              <w:rPr>
                <w:rFonts w:ascii="宋体" w:hAnsi="宋体" w:cs="宋体"/>
                <w:color w:val="auto"/>
                <w:szCs w:val="21"/>
                <w:highlight w:val="none"/>
              </w:rPr>
            </w:pPr>
            <w:r>
              <w:rPr>
                <w:rFonts w:hint="eastAsia" w:ascii="宋体" w:hAnsi="宋体" w:cs="宋体"/>
                <w:color w:val="auto"/>
                <w:kern w:val="0"/>
                <w:szCs w:val="21"/>
                <w:highlight w:val="none"/>
              </w:rPr>
              <w:t>0.2%</w:t>
            </w:r>
          </w:p>
        </w:tc>
      </w:tr>
      <w:tr w14:paraId="671AC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tcPr>
          <w:p w14:paraId="6EEF9C63">
            <w:pPr>
              <w:keepNext w:val="0"/>
              <w:keepLines w:val="0"/>
              <w:suppressLineNumbers w:val="0"/>
              <w:spacing w:before="0" w:beforeAutospacing="0" w:after="0" w:afterAutospacing="0" w:line="360" w:lineRule="auto"/>
              <w:ind w:left="0" w:right="0"/>
              <w:rPr>
                <w:rFonts w:ascii="宋体" w:hAnsi="宋体" w:cs="宋体"/>
                <w:color w:val="auto"/>
                <w:szCs w:val="21"/>
                <w:highlight w:val="none"/>
              </w:rPr>
            </w:pPr>
            <w:r>
              <w:rPr>
                <w:rFonts w:hint="eastAsia" w:ascii="宋体" w:hAnsi="宋体" w:cs="宋体"/>
                <w:color w:val="auto"/>
                <w:szCs w:val="21"/>
                <w:highlight w:val="none"/>
              </w:rPr>
              <w:t>1～5亿元</w:t>
            </w:r>
          </w:p>
        </w:tc>
        <w:tc>
          <w:tcPr>
            <w:tcW w:w="1659" w:type="dxa"/>
            <w:noWrap/>
          </w:tcPr>
          <w:p w14:paraId="67BD8073">
            <w:pPr>
              <w:keepNext w:val="0"/>
              <w:keepLines w:val="0"/>
              <w:suppressLineNumbers w:val="0"/>
              <w:spacing w:before="0" w:beforeAutospacing="0" w:after="0" w:afterAutospacing="0" w:line="360" w:lineRule="auto"/>
              <w:ind w:left="0" w:right="0" w:firstLine="210" w:firstLineChars="100"/>
              <w:jc w:val="center"/>
              <w:rPr>
                <w:rFonts w:ascii="宋体" w:hAnsi="宋体" w:cs="宋体"/>
                <w:color w:val="auto"/>
                <w:szCs w:val="21"/>
                <w:highlight w:val="none"/>
              </w:rPr>
            </w:pPr>
            <w:r>
              <w:rPr>
                <w:rFonts w:hint="eastAsia" w:ascii="宋体" w:hAnsi="宋体" w:cs="宋体"/>
                <w:color w:val="auto"/>
                <w:szCs w:val="21"/>
                <w:highlight w:val="none"/>
              </w:rPr>
              <w:t>0.05%</w:t>
            </w:r>
          </w:p>
        </w:tc>
        <w:tc>
          <w:tcPr>
            <w:tcW w:w="1687" w:type="dxa"/>
            <w:noWrap/>
          </w:tcPr>
          <w:p w14:paraId="581C2A69">
            <w:pPr>
              <w:keepNext w:val="0"/>
              <w:keepLines w:val="0"/>
              <w:suppressLineNumbers w:val="0"/>
              <w:spacing w:before="0" w:beforeAutospacing="0" w:after="0" w:afterAutospacing="0" w:line="360" w:lineRule="auto"/>
              <w:ind w:left="0" w:right="0"/>
              <w:jc w:val="center"/>
              <w:rPr>
                <w:rFonts w:ascii="宋体" w:hAnsi="宋体" w:cs="宋体"/>
                <w:color w:val="auto"/>
                <w:szCs w:val="21"/>
                <w:highlight w:val="none"/>
              </w:rPr>
            </w:pPr>
            <w:r>
              <w:rPr>
                <w:rFonts w:hint="eastAsia" w:ascii="宋体" w:hAnsi="宋体" w:cs="宋体"/>
                <w:color w:val="auto"/>
                <w:szCs w:val="21"/>
                <w:highlight w:val="none"/>
              </w:rPr>
              <w:t>0.05%</w:t>
            </w:r>
          </w:p>
        </w:tc>
        <w:tc>
          <w:tcPr>
            <w:tcW w:w="1659" w:type="dxa"/>
            <w:noWrap/>
          </w:tcPr>
          <w:p w14:paraId="4F0CD107">
            <w:pPr>
              <w:keepNext w:val="0"/>
              <w:keepLines w:val="0"/>
              <w:suppressLineNumbers w:val="0"/>
              <w:spacing w:before="0" w:beforeAutospacing="0" w:after="0" w:afterAutospacing="0" w:line="360" w:lineRule="auto"/>
              <w:ind w:left="0" w:right="0"/>
              <w:jc w:val="center"/>
              <w:rPr>
                <w:rFonts w:ascii="宋体" w:hAnsi="宋体" w:cs="宋体"/>
                <w:color w:val="auto"/>
                <w:szCs w:val="21"/>
                <w:highlight w:val="none"/>
              </w:rPr>
            </w:pPr>
            <w:r>
              <w:rPr>
                <w:rFonts w:hint="eastAsia" w:ascii="宋体" w:hAnsi="宋体" w:cs="宋体"/>
                <w:color w:val="auto"/>
                <w:szCs w:val="21"/>
                <w:highlight w:val="none"/>
              </w:rPr>
              <w:t>0.05%</w:t>
            </w:r>
          </w:p>
        </w:tc>
      </w:tr>
      <w:tr w14:paraId="6CEE1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tcPr>
          <w:p w14:paraId="137A416A">
            <w:pPr>
              <w:keepNext w:val="0"/>
              <w:keepLines w:val="0"/>
              <w:suppressLineNumbers w:val="0"/>
              <w:spacing w:before="0" w:beforeAutospacing="0" w:after="0" w:afterAutospacing="0" w:line="360" w:lineRule="auto"/>
              <w:ind w:left="0" w:right="0"/>
              <w:rPr>
                <w:rFonts w:ascii="宋体" w:hAnsi="宋体" w:cs="宋体"/>
                <w:color w:val="auto"/>
                <w:szCs w:val="21"/>
                <w:highlight w:val="none"/>
              </w:rPr>
            </w:pPr>
            <w:r>
              <w:rPr>
                <w:rFonts w:hint="eastAsia" w:ascii="宋体" w:hAnsi="宋体" w:cs="宋体"/>
                <w:color w:val="auto"/>
                <w:szCs w:val="21"/>
                <w:highlight w:val="none"/>
              </w:rPr>
              <w:t>5～10亿元</w:t>
            </w:r>
          </w:p>
        </w:tc>
        <w:tc>
          <w:tcPr>
            <w:tcW w:w="1659" w:type="dxa"/>
            <w:noWrap/>
          </w:tcPr>
          <w:p w14:paraId="3C21839C">
            <w:pPr>
              <w:keepNext w:val="0"/>
              <w:keepLines w:val="0"/>
              <w:suppressLineNumbers w:val="0"/>
              <w:spacing w:before="0" w:beforeAutospacing="0" w:after="0" w:afterAutospacing="0" w:line="360" w:lineRule="auto"/>
              <w:ind w:left="0" w:right="0" w:firstLine="105" w:firstLineChars="50"/>
              <w:jc w:val="center"/>
              <w:rPr>
                <w:rFonts w:ascii="宋体" w:hAnsi="宋体" w:cs="宋体"/>
                <w:color w:val="auto"/>
                <w:szCs w:val="21"/>
                <w:highlight w:val="none"/>
              </w:rPr>
            </w:pPr>
            <w:r>
              <w:rPr>
                <w:rFonts w:hint="eastAsia" w:ascii="宋体" w:hAnsi="宋体" w:cs="宋体"/>
                <w:color w:val="auto"/>
                <w:szCs w:val="21"/>
                <w:highlight w:val="none"/>
              </w:rPr>
              <w:t>0.035%</w:t>
            </w:r>
          </w:p>
        </w:tc>
        <w:tc>
          <w:tcPr>
            <w:tcW w:w="1687" w:type="dxa"/>
            <w:noWrap/>
          </w:tcPr>
          <w:p w14:paraId="25FE558E">
            <w:pPr>
              <w:keepNext w:val="0"/>
              <w:keepLines w:val="0"/>
              <w:suppressLineNumbers w:val="0"/>
              <w:spacing w:before="0" w:beforeAutospacing="0" w:after="0" w:afterAutospacing="0" w:line="360" w:lineRule="auto"/>
              <w:ind w:left="0" w:right="0"/>
              <w:jc w:val="center"/>
              <w:rPr>
                <w:rFonts w:ascii="宋体" w:hAnsi="宋体" w:cs="宋体"/>
                <w:color w:val="auto"/>
                <w:szCs w:val="21"/>
                <w:highlight w:val="none"/>
              </w:rPr>
            </w:pPr>
            <w:r>
              <w:rPr>
                <w:rFonts w:hint="eastAsia" w:ascii="宋体" w:hAnsi="宋体" w:cs="宋体"/>
                <w:color w:val="auto"/>
                <w:szCs w:val="21"/>
                <w:highlight w:val="none"/>
              </w:rPr>
              <w:t>0.035%</w:t>
            </w:r>
          </w:p>
        </w:tc>
        <w:tc>
          <w:tcPr>
            <w:tcW w:w="1659" w:type="dxa"/>
            <w:noWrap/>
          </w:tcPr>
          <w:p w14:paraId="4E1CC3CE">
            <w:pPr>
              <w:keepNext w:val="0"/>
              <w:keepLines w:val="0"/>
              <w:suppressLineNumbers w:val="0"/>
              <w:spacing w:before="0" w:beforeAutospacing="0" w:after="0" w:afterAutospacing="0" w:line="360" w:lineRule="auto"/>
              <w:ind w:left="0" w:right="0" w:firstLine="105" w:firstLineChars="50"/>
              <w:jc w:val="center"/>
              <w:rPr>
                <w:rFonts w:ascii="宋体" w:hAnsi="宋体" w:cs="宋体"/>
                <w:color w:val="auto"/>
                <w:szCs w:val="21"/>
                <w:highlight w:val="none"/>
              </w:rPr>
            </w:pPr>
            <w:r>
              <w:rPr>
                <w:rFonts w:hint="eastAsia" w:ascii="宋体" w:hAnsi="宋体" w:cs="宋体"/>
                <w:color w:val="auto"/>
                <w:szCs w:val="21"/>
                <w:highlight w:val="none"/>
              </w:rPr>
              <w:t>0.035%</w:t>
            </w:r>
          </w:p>
        </w:tc>
      </w:tr>
      <w:tr w14:paraId="57B0B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tcPr>
          <w:p w14:paraId="4EC925E2">
            <w:pPr>
              <w:keepNext w:val="0"/>
              <w:keepLines w:val="0"/>
              <w:suppressLineNumbers w:val="0"/>
              <w:spacing w:before="0" w:beforeAutospacing="0" w:after="0" w:afterAutospacing="0" w:line="360" w:lineRule="auto"/>
              <w:ind w:left="0" w:right="0"/>
              <w:rPr>
                <w:rFonts w:ascii="宋体" w:hAnsi="宋体" w:cs="宋体"/>
                <w:color w:val="auto"/>
                <w:szCs w:val="21"/>
                <w:highlight w:val="none"/>
              </w:rPr>
            </w:pPr>
            <w:r>
              <w:rPr>
                <w:rFonts w:hint="eastAsia" w:ascii="宋体" w:hAnsi="宋体" w:cs="宋体"/>
                <w:color w:val="auto"/>
                <w:szCs w:val="21"/>
                <w:highlight w:val="none"/>
              </w:rPr>
              <w:t>10～50亿元</w:t>
            </w:r>
          </w:p>
        </w:tc>
        <w:tc>
          <w:tcPr>
            <w:tcW w:w="1659" w:type="dxa"/>
            <w:noWrap/>
          </w:tcPr>
          <w:p w14:paraId="6254E5E8">
            <w:pPr>
              <w:keepNext w:val="0"/>
              <w:keepLines w:val="0"/>
              <w:suppressLineNumbers w:val="0"/>
              <w:spacing w:before="0" w:beforeAutospacing="0" w:after="0" w:afterAutospacing="0" w:line="360" w:lineRule="auto"/>
              <w:ind w:left="0" w:right="0" w:firstLine="105" w:firstLineChars="50"/>
              <w:jc w:val="center"/>
              <w:rPr>
                <w:rFonts w:ascii="宋体" w:hAnsi="宋体" w:cs="宋体"/>
                <w:color w:val="auto"/>
                <w:szCs w:val="21"/>
                <w:highlight w:val="none"/>
              </w:rPr>
            </w:pPr>
            <w:r>
              <w:rPr>
                <w:rFonts w:hint="eastAsia" w:ascii="宋体" w:hAnsi="宋体" w:cs="宋体"/>
                <w:color w:val="auto"/>
                <w:szCs w:val="21"/>
                <w:highlight w:val="none"/>
              </w:rPr>
              <w:t>0.008%</w:t>
            </w:r>
          </w:p>
        </w:tc>
        <w:tc>
          <w:tcPr>
            <w:tcW w:w="1687" w:type="dxa"/>
            <w:noWrap/>
          </w:tcPr>
          <w:p w14:paraId="212D8B6D">
            <w:pPr>
              <w:keepNext w:val="0"/>
              <w:keepLines w:val="0"/>
              <w:suppressLineNumbers w:val="0"/>
              <w:spacing w:before="0" w:beforeAutospacing="0" w:after="0" w:afterAutospacing="0" w:line="360" w:lineRule="auto"/>
              <w:ind w:left="0" w:right="0" w:firstLine="210" w:firstLineChars="100"/>
              <w:jc w:val="center"/>
              <w:rPr>
                <w:rFonts w:ascii="宋体" w:hAnsi="宋体" w:cs="宋体"/>
                <w:color w:val="auto"/>
                <w:szCs w:val="21"/>
                <w:highlight w:val="none"/>
              </w:rPr>
            </w:pPr>
            <w:r>
              <w:rPr>
                <w:rFonts w:hint="eastAsia" w:ascii="宋体" w:hAnsi="宋体" w:cs="宋体"/>
                <w:color w:val="auto"/>
                <w:szCs w:val="21"/>
                <w:highlight w:val="none"/>
              </w:rPr>
              <w:t>0.008%</w:t>
            </w:r>
          </w:p>
        </w:tc>
        <w:tc>
          <w:tcPr>
            <w:tcW w:w="1659" w:type="dxa"/>
            <w:noWrap/>
          </w:tcPr>
          <w:p w14:paraId="5290399B">
            <w:pPr>
              <w:keepNext w:val="0"/>
              <w:keepLines w:val="0"/>
              <w:suppressLineNumbers w:val="0"/>
              <w:spacing w:before="0" w:beforeAutospacing="0" w:after="0" w:afterAutospacing="0" w:line="360" w:lineRule="auto"/>
              <w:ind w:left="0" w:right="0" w:firstLine="105" w:firstLineChars="50"/>
              <w:jc w:val="center"/>
              <w:rPr>
                <w:rFonts w:ascii="宋体" w:hAnsi="宋体" w:cs="宋体"/>
                <w:color w:val="auto"/>
                <w:szCs w:val="21"/>
                <w:highlight w:val="none"/>
              </w:rPr>
            </w:pPr>
            <w:r>
              <w:rPr>
                <w:rFonts w:hint="eastAsia" w:ascii="宋体" w:hAnsi="宋体" w:cs="宋体"/>
                <w:color w:val="auto"/>
                <w:szCs w:val="21"/>
                <w:highlight w:val="none"/>
              </w:rPr>
              <w:t>0.008%</w:t>
            </w:r>
          </w:p>
        </w:tc>
      </w:tr>
      <w:tr w14:paraId="3710D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tcPr>
          <w:p w14:paraId="554E33D3">
            <w:pPr>
              <w:keepNext w:val="0"/>
              <w:keepLines w:val="0"/>
              <w:suppressLineNumbers w:val="0"/>
              <w:spacing w:before="0" w:beforeAutospacing="0" w:after="0" w:afterAutospacing="0" w:line="360" w:lineRule="auto"/>
              <w:ind w:left="0" w:right="0"/>
              <w:rPr>
                <w:rFonts w:ascii="宋体" w:hAnsi="宋体" w:cs="宋体"/>
                <w:color w:val="auto"/>
                <w:szCs w:val="21"/>
                <w:highlight w:val="none"/>
              </w:rPr>
            </w:pPr>
            <w:r>
              <w:rPr>
                <w:rFonts w:hint="eastAsia" w:ascii="宋体" w:hAnsi="宋体" w:cs="宋体"/>
                <w:color w:val="auto"/>
                <w:szCs w:val="21"/>
                <w:highlight w:val="none"/>
              </w:rPr>
              <w:t>50～100亿元</w:t>
            </w:r>
          </w:p>
        </w:tc>
        <w:tc>
          <w:tcPr>
            <w:tcW w:w="1659" w:type="dxa"/>
            <w:noWrap/>
          </w:tcPr>
          <w:p w14:paraId="4DF1B57F">
            <w:pPr>
              <w:keepNext w:val="0"/>
              <w:keepLines w:val="0"/>
              <w:suppressLineNumbers w:val="0"/>
              <w:spacing w:before="0" w:beforeAutospacing="0" w:after="0" w:afterAutospacing="0" w:line="360" w:lineRule="auto"/>
              <w:ind w:left="0" w:right="0"/>
              <w:jc w:val="center"/>
              <w:rPr>
                <w:rFonts w:ascii="宋体" w:hAnsi="宋体" w:cs="宋体"/>
                <w:color w:val="auto"/>
                <w:szCs w:val="21"/>
                <w:highlight w:val="none"/>
              </w:rPr>
            </w:pPr>
            <w:r>
              <w:rPr>
                <w:rFonts w:hint="eastAsia" w:ascii="宋体" w:hAnsi="宋体" w:cs="宋体"/>
                <w:color w:val="auto"/>
                <w:szCs w:val="21"/>
                <w:highlight w:val="none"/>
              </w:rPr>
              <w:t>0.006%</w:t>
            </w:r>
          </w:p>
        </w:tc>
        <w:tc>
          <w:tcPr>
            <w:tcW w:w="1687" w:type="dxa"/>
            <w:noWrap/>
          </w:tcPr>
          <w:p w14:paraId="739D0386">
            <w:pPr>
              <w:keepNext w:val="0"/>
              <w:keepLines w:val="0"/>
              <w:suppressLineNumbers w:val="0"/>
              <w:spacing w:before="0" w:beforeAutospacing="0" w:after="0" w:afterAutospacing="0" w:line="360" w:lineRule="auto"/>
              <w:ind w:left="0" w:right="0" w:firstLine="210" w:firstLineChars="100"/>
              <w:jc w:val="center"/>
              <w:rPr>
                <w:rFonts w:ascii="宋体" w:hAnsi="宋体" w:cs="宋体"/>
                <w:color w:val="auto"/>
                <w:szCs w:val="21"/>
                <w:highlight w:val="none"/>
              </w:rPr>
            </w:pPr>
            <w:r>
              <w:rPr>
                <w:rFonts w:hint="eastAsia" w:ascii="宋体" w:hAnsi="宋体" w:cs="宋体"/>
                <w:color w:val="auto"/>
                <w:szCs w:val="21"/>
                <w:highlight w:val="none"/>
              </w:rPr>
              <w:t>0.006%</w:t>
            </w:r>
          </w:p>
        </w:tc>
        <w:tc>
          <w:tcPr>
            <w:tcW w:w="1659" w:type="dxa"/>
            <w:noWrap/>
          </w:tcPr>
          <w:p w14:paraId="7A6CAC30">
            <w:pPr>
              <w:keepNext w:val="0"/>
              <w:keepLines w:val="0"/>
              <w:suppressLineNumbers w:val="0"/>
              <w:spacing w:before="0" w:beforeAutospacing="0" w:after="0" w:afterAutospacing="0" w:line="360" w:lineRule="auto"/>
              <w:ind w:left="0" w:right="0" w:firstLine="105" w:firstLineChars="50"/>
              <w:jc w:val="center"/>
              <w:rPr>
                <w:rFonts w:ascii="宋体" w:hAnsi="宋体" w:cs="宋体"/>
                <w:color w:val="auto"/>
                <w:szCs w:val="21"/>
                <w:highlight w:val="none"/>
              </w:rPr>
            </w:pPr>
            <w:r>
              <w:rPr>
                <w:rFonts w:hint="eastAsia" w:ascii="宋体" w:hAnsi="宋体" w:cs="宋体"/>
                <w:color w:val="auto"/>
                <w:szCs w:val="21"/>
                <w:highlight w:val="none"/>
              </w:rPr>
              <w:t>0.006%</w:t>
            </w:r>
          </w:p>
        </w:tc>
      </w:tr>
      <w:tr w14:paraId="52F64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tcPr>
          <w:p w14:paraId="3FBA6E60">
            <w:pPr>
              <w:keepNext w:val="0"/>
              <w:keepLines w:val="0"/>
              <w:suppressLineNumbers w:val="0"/>
              <w:spacing w:before="0" w:beforeAutospacing="0" w:after="0" w:afterAutospacing="0" w:line="360" w:lineRule="auto"/>
              <w:ind w:left="0" w:right="0"/>
              <w:rPr>
                <w:rFonts w:ascii="宋体" w:hAnsi="宋体" w:cs="宋体"/>
                <w:color w:val="auto"/>
                <w:szCs w:val="21"/>
                <w:highlight w:val="none"/>
              </w:rPr>
            </w:pPr>
            <w:r>
              <w:rPr>
                <w:rFonts w:hint="eastAsia" w:ascii="宋体" w:hAnsi="宋体" w:cs="宋体"/>
                <w:color w:val="auto"/>
                <w:szCs w:val="21"/>
                <w:highlight w:val="none"/>
              </w:rPr>
              <w:t>100亿元以上</w:t>
            </w:r>
          </w:p>
        </w:tc>
        <w:tc>
          <w:tcPr>
            <w:tcW w:w="1659" w:type="dxa"/>
            <w:noWrap/>
          </w:tcPr>
          <w:p w14:paraId="298BF87F">
            <w:pPr>
              <w:keepNext w:val="0"/>
              <w:keepLines w:val="0"/>
              <w:suppressLineNumbers w:val="0"/>
              <w:spacing w:before="0" w:beforeAutospacing="0" w:after="0" w:afterAutospacing="0" w:line="360" w:lineRule="auto"/>
              <w:ind w:left="0" w:right="0"/>
              <w:jc w:val="center"/>
              <w:rPr>
                <w:rFonts w:ascii="宋体" w:hAnsi="宋体" w:cs="宋体"/>
                <w:color w:val="auto"/>
                <w:szCs w:val="21"/>
                <w:highlight w:val="none"/>
              </w:rPr>
            </w:pPr>
            <w:r>
              <w:rPr>
                <w:rFonts w:hint="eastAsia" w:ascii="宋体" w:hAnsi="宋体" w:cs="宋体"/>
                <w:color w:val="auto"/>
                <w:szCs w:val="21"/>
                <w:highlight w:val="none"/>
              </w:rPr>
              <w:t>0.004%</w:t>
            </w:r>
          </w:p>
        </w:tc>
        <w:tc>
          <w:tcPr>
            <w:tcW w:w="1687" w:type="dxa"/>
            <w:noWrap/>
          </w:tcPr>
          <w:p w14:paraId="0B17A3E1">
            <w:pPr>
              <w:keepNext w:val="0"/>
              <w:keepLines w:val="0"/>
              <w:suppressLineNumbers w:val="0"/>
              <w:spacing w:before="0" w:beforeAutospacing="0" w:after="0" w:afterAutospacing="0" w:line="360" w:lineRule="auto"/>
              <w:ind w:left="0" w:right="0" w:firstLine="210" w:firstLineChars="100"/>
              <w:jc w:val="center"/>
              <w:rPr>
                <w:rFonts w:ascii="宋体" w:hAnsi="宋体" w:cs="宋体"/>
                <w:color w:val="auto"/>
                <w:szCs w:val="21"/>
                <w:highlight w:val="none"/>
              </w:rPr>
            </w:pPr>
            <w:r>
              <w:rPr>
                <w:rFonts w:hint="eastAsia" w:ascii="宋体" w:hAnsi="宋体" w:cs="宋体"/>
                <w:color w:val="auto"/>
                <w:szCs w:val="21"/>
                <w:highlight w:val="none"/>
              </w:rPr>
              <w:t>0.004%</w:t>
            </w:r>
          </w:p>
        </w:tc>
        <w:tc>
          <w:tcPr>
            <w:tcW w:w="1659" w:type="dxa"/>
            <w:noWrap/>
          </w:tcPr>
          <w:p w14:paraId="5604E429">
            <w:pPr>
              <w:keepNext w:val="0"/>
              <w:keepLines w:val="0"/>
              <w:suppressLineNumbers w:val="0"/>
              <w:spacing w:before="0" w:beforeAutospacing="0" w:after="0" w:afterAutospacing="0" w:line="360" w:lineRule="auto"/>
              <w:ind w:left="0" w:right="0" w:firstLine="105" w:firstLineChars="50"/>
              <w:jc w:val="center"/>
              <w:rPr>
                <w:rFonts w:ascii="宋体" w:hAnsi="宋体" w:cs="宋体"/>
                <w:color w:val="auto"/>
                <w:szCs w:val="21"/>
                <w:highlight w:val="none"/>
              </w:rPr>
            </w:pPr>
            <w:r>
              <w:rPr>
                <w:rFonts w:hint="eastAsia" w:ascii="宋体" w:hAnsi="宋体" w:cs="宋体"/>
                <w:color w:val="auto"/>
                <w:szCs w:val="21"/>
                <w:highlight w:val="none"/>
              </w:rPr>
              <w:t>0.004%</w:t>
            </w:r>
          </w:p>
        </w:tc>
      </w:tr>
    </w:tbl>
    <w:p w14:paraId="0D09DCF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注: </w:t>
      </w:r>
    </w:p>
    <w:p w14:paraId="5C65F95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（1）按本表费率计算的收费为采购代理的收费基准价格；</w:t>
      </w:r>
    </w:p>
    <w:p w14:paraId="5AE80DA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（2）采购代理收费按差额定率累进法计算。</w:t>
      </w:r>
    </w:p>
    <w:p w14:paraId="4158784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例如：某货物采购代理业务中标金额或者暂定价为</w:t>
      </w:r>
      <w:r>
        <w:rPr>
          <w:rFonts w:hint="eastAsia" w:ascii="宋体" w:hAnsi="宋体" w:cs="宋体"/>
          <w:color w:val="auto"/>
          <w:szCs w:val="21"/>
          <w:highlight w:val="none"/>
          <w:lang w:val="en-US" w:eastAsia="zh-CN"/>
        </w:rPr>
        <w:t>200</w:t>
      </w:r>
      <w:r>
        <w:rPr>
          <w:rFonts w:hint="eastAsia" w:ascii="宋体" w:hAnsi="宋体" w:cs="宋体"/>
          <w:color w:val="auto"/>
          <w:szCs w:val="21"/>
          <w:highlight w:val="none"/>
        </w:rPr>
        <w:t>万元，计算采购代理收费额如下：</w:t>
      </w:r>
    </w:p>
    <w:p w14:paraId="7BC20866">
      <w:pPr>
        <w:spacing w:line="360" w:lineRule="auto"/>
        <w:ind w:firstLine="420" w:firstLineChars="200"/>
        <w:rPr>
          <w:rFonts w:ascii="宋体" w:hAnsi="宋体" w:cs="宋体"/>
          <w:color w:val="auto"/>
          <w:szCs w:val="21"/>
          <w:highlight w:val="none"/>
        </w:rPr>
      </w:pPr>
      <w:bookmarkStart w:id="197" w:name="OLE_LINK211"/>
      <w:r>
        <w:rPr>
          <w:rFonts w:hint="eastAsia" w:ascii="宋体" w:hAnsi="宋体" w:cs="宋体"/>
          <w:color w:val="auto"/>
          <w:szCs w:val="21"/>
          <w:highlight w:val="none"/>
        </w:rPr>
        <w:t>100 万元×l.5 ％＝ 1.5 万元</w:t>
      </w:r>
    </w:p>
    <w:p w14:paraId="0442C82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200</w:t>
      </w:r>
      <w:r>
        <w:rPr>
          <w:rFonts w:hint="eastAsia" w:ascii="宋体" w:hAnsi="宋体" w:cs="宋体"/>
          <w:color w:val="auto"/>
          <w:szCs w:val="21"/>
          <w:highlight w:val="none"/>
        </w:rPr>
        <w:t xml:space="preserve"> － 100 ）万元 </w:t>
      </w:r>
      <w:bookmarkStart w:id="198" w:name="OLE_LINK186"/>
      <w:r>
        <w:rPr>
          <w:rFonts w:hint="eastAsia" w:ascii="宋体" w:hAnsi="宋体" w:cs="宋体"/>
          <w:color w:val="auto"/>
          <w:szCs w:val="21"/>
          <w:highlight w:val="none"/>
        </w:rPr>
        <w:t>×</w:t>
      </w:r>
      <w:bookmarkEnd w:id="198"/>
      <w:r>
        <w:rPr>
          <w:rFonts w:hint="eastAsia" w:ascii="宋体" w:hAnsi="宋体" w:cs="宋体"/>
          <w:color w:val="auto"/>
          <w:szCs w:val="21"/>
          <w:highlight w:val="none"/>
        </w:rPr>
        <w:t>1.1％＝1.1万元</w:t>
      </w:r>
    </w:p>
    <w:p w14:paraId="1117FB97">
      <w:pPr>
        <w:spacing w:line="360" w:lineRule="auto"/>
        <w:ind w:firstLine="420" w:firstLineChars="200"/>
        <w:rPr>
          <w:rFonts w:ascii="宋体" w:hAnsi="宋体" w:cs="宋体"/>
          <w:color w:val="auto"/>
          <w:sz w:val="24"/>
          <w:highlight w:val="none"/>
        </w:rPr>
      </w:pPr>
      <w:r>
        <w:rPr>
          <w:rFonts w:hint="eastAsia" w:ascii="宋体" w:hAnsi="宋体" w:cs="宋体"/>
          <w:color w:val="auto"/>
          <w:szCs w:val="20"/>
          <w:highlight w:val="none"/>
        </w:rPr>
        <w:t>合计收费＝</w:t>
      </w:r>
      <w:r>
        <w:rPr>
          <w:rFonts w:hint="eastAsia" w:ascii="宋体" w:hAnsi="宋体" w:cs="宋体"/>
          <w:color w:val="auto"/>
          <w:szCs w:val="20"/>
          <w:highlight w:val="none"/>
          <w:lang w:eastAsia="zh-CN"/>
        </w:rPr>
        <w:t>（</w:t>
      </w:r>
      <w:r>
        <w:rPr>
          <w:rFonts w:hint="eastAsia" w:ascii="宋体" w:hAnsi="宋体" w:cs="宋体"/>
          <w:color w:val="auto"/>
          <w:szCs w:val="20"/>
          <w:highlight w:val="none"/>
        </w:rPr>
        <w:t>1.5+1.1</w:t>
      </w:r>
      <w:r>
        <w:rPr>
          <w:rFonts w:hint="eastAsia" w:ascii="宋体" w:hAnsi="宋体" w:cs="宋体"/>
          <w:color w:val="auto"/>
          <w:szCs w:val="20"/>
          <w:highlight w:val="none"/>
          <w:lang w:eastAsia="zh-CN"/>
        </w:rPr>
        <w:t>）</w:t>
      </w:r>
      <w:r>
        <w:rPr>
          <w:rFonts w:hint="eastAsia" w:ascii="宋体" w:hAnsi="宋体" w:cs="宋体"/>
          <w:color w:val="auto"/>
          <w:szCs w:val="21"/>
          <w:highlight w:val="none"/>
        </w:rPr>
        <w:t>×</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1-30</w:t>
      </w:r>
      <w:r>
        <w:rPr>
          <w:rFonts w:hint="eastAsia" w:ascii="宋体" w:hAnsi="宋体" w:cs="宋体"/>
          <w:color w:val="auto"/>
          <w:szCs w:val="20"/>
          <w:highlight w:val="none"/>
          <w:lang w:val="en-US" w:eastAsia="zh-CN"/>
        </w:rPr>
        <w:t>%</w:t>
      </w:r>
      <w:r>
        <w:rPr>
          <w:rFonts w:hint="eastAsia" w:ascii="宋体" w:hAnsi="宋体" w:cs="宋体"/>
          <w:color w:val="auto"/>
          <w:szCs w:val="21"/>
          <w:highlight w:val="none"/>
          <w:lang w:eastAsia="zh-CN"/>
        </w:rPr>
        <w:t>）</w:t>
      </w:r>
      <w:r>
        <w:rPr>
          <w:rFonts w:hint="eastAsia" w:ascii="宋体" w:hAnsi="宋体" w:cs="宋体"/>
          <w:color w:val="auto"/>
          <w:szCs w:val="20"/>
          <w:highlight w:val="none"/>
        </w:rPr>
        <w:t xml:space="preserve">＝ </w:t>
      </w:r>
      <w:r>
        <w:rPr>
          <w:rFonts w:hint="eastAsia" w:ascii="宋体" w:hAnsi="宋体" w:cs="宋体"/>
          <w:color w:val="auto"/>
          <w:szCs w:val="20"/>
          <w:highlight w:val="none"/>
          <w:lang w:val="en-US" w:eastAsia="zh-CN"/>
        </w:rPr>
        <w:t>1.82</w:t>
      </w:r>
      <w:r>
        <w:rPr>
          <w:rFonts w:hint="eastAsia" w:ascii="宋体" w:hAnsi="宋体" w:cs="宋体"/>
          <w:color w:val="auto"/>
          <w:szCs w:val="20"/>
          <w:highlight w:val="none"/>
        </w:rPr>
        <w:t>（万元）</w:t>
      </w:r>
    </w:p>
    <w:bookmarkEnd w:id="197"/>
    <w:p w14:paraId="4306EA20">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41. 需要补充的其他内容</w:t>
      </w:r>
    </w:p>
    <w:p w14:paraId="3DECB98F">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41.1本招标文件解释规则详见“投标人须知前附表”。</w:t>
      </w:r>
    </w:p>
    <w:p w14:paraId="58C55E77">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41.2 其他事项详见“投标人须知前附表”。</w:t>
      </w:r>
    </w:p>
    <w:p w14:paraId="0C5AC395">
      <w:pPr>
        <w:pStyle w:val="14"/>
        <w:spacing w:before="120" w:after="120" w:line="360" w:lineRule="auto"/>
        <w:ind w:firstLine="420" w:firstLineChars="200"/>
        <w:contextualSpacing/>
        <w:rPr>
          <w:rFonts w:hAnsi="宋体" w:cs="宋体"/>
          <w:color w:val="auto"/>
          <w:highlight w:val="none"/>
        </w:rPr>
      </w:pPr>
      <w:r>
        <w:rPr>
          <w:rFonts w:hint="eastAsia" w:hAnsi="宋体" w:cs="宋体"/>
          <w:color w:val="auto"/>
          <w:highlight w:val="none"/>
        </w:rPr>
        <w:t>41.3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投标人提供的货物由中小企业制造，即货物由中小企业生产且使用该中小企业商号或者注册商标，不对其中涉及的工程承建商和服务的承接商作出要求的，享受本文件规定的中小企业扶持政策。</w:t>
      </w:r>
    </w:p>
    <w:p w14:paraId="25B74802">
      <w:pPr>
        <w:pStyle w:val="14"/>
        <w:spacing w:before="120" w:after="120" w:line="360" w:lineRule="auto"/>
        <w:ind w:firstLine="420" w:firstLineChars="200"/>
        <w:contextualSpacing/>
        <w:rPr>
          <w:rFonts w:hAnsi="宋体" w:cs="宋体"/>
          <w:color w:val="auto"/>
          <w:highlight w:val="none"/>
        </w:rPr>
      </w:pPr>
      <w:r>
        <w:rPr>
          <w:rFonts w:hint="eastAsia" w:hAnsi="宋体" w:cs="宋体"/>
          <w:color w:val="auto"/>
          <w:highlight w:val="none"/>
        </w:rPr>
        <w:t>在货物采购项目中，投标人提供的货物既有中小企业制造货物，也有大型企业制造货物的，不享受本文件规定的中小企业扶持政策。以联合体形式参加政府采购活动，联合体各方均为中小企业的，联合体视同中小企业。其中，联合体各方均为小微企业的，联合体视同小微企业。</w:t>
      </w:r>
    </w:p>
    <w:p w14:paraId="53989C55">
      <w:pPr>
        <w:pStyle w:val="14"/>
        <w:spacing w:before="120" w:after="120" w:line="360" w:lineRule="auto"/>
        <w:ind w:firstLine="420" w:firstLineChars="200"/>
        <w:contextualSpacing/>
        <w:rPr>
          <w:rFonts w:hAnsi="宋体" w:cs="宋体"/>
          <w:color w:val="auto"/>
          <w:highlight w:val="none"/>
        </w:rPr>
      </w:pPr>
      <w:r>
        <w:rPr>
          <w:rFonts w:hint="eastAsia" w:hAnsi="宋体" w:cs="宋体"/>
          <w:color w:val="auto"/>
          <w:highlight w:val="none"/>
        </w:rPr>
        <w:t>依据本文件规定享受扶持政策获得政府采购合同的，小微企业不得将合同分包给大中型企业，中型企业不得将合同分包给大型企业。</w:t>
      </w:r>
    </w:p>
    <w:p w14:paraId="4C1E5F63">
      <w:pPr>
        <w:widowControl/>
        <w:ind w:firstLine="420" w:firstLineChars="200"/>
        <w:rPr>
          <w:rFonts w:ascii="宋体" w:hAnsi="宋体" w:cs="宋体"/>
          <w:color w:val="auto"/>
          <w:highlight w:val="none"/>
        </w:rPr>
      </w:pPr>
    </w:p>
    <w:p w14:paraId="5431029B">
      <w:pPr>
        <w:spacing w:line="360" w:lineRule="auto"/>
        <w:ind w:firstLine="420" w:firstLineChars="200"/>
        <w:jc w:val="left"/>
        <w:rPr>
          <w:rFonts w:ascii="宋体" w:hAnsi="宋体" w:cs="宋体"/>
          <w:color w:val="auto"/>
          <w:highlight w:val="none"/>
        </w:rPr>
      </w:pPr>
      <w:r>
        <w:rPr>
          <w:rFonts w:hint="eastAsia" w:ascii="宋体" w:hAnsi="宋体" w:cs="宋体"/>
          <w:color w:val="auto"/>
          <w:highlight w:val="none"/>
        </w:rPr>
        <w:br w:type="page"/>
      </w:r>
      <w:bookmarkStart w:id="199" w:name="_Toc532545043"/>
    </w:p>
    <w:p w14:paraId="7960CBEF">
      <w:pPr>
        <w:pStyle w:val="2"/>
        <w:bidi w:val="0"/>
        <w:jc w:val="center"/>
        <w:rPr>
          <w:color w:val="auto"/>
          <w:sz w:val="36"/>
          <w:szCs w:val="36"/>
          <w:highlight w:val="none"/>
        </w:rPr>
      </w:pPr>
      <w:bookmarkStart w:id="200" w:name="_Toc5517"/>
      <w:bookmarkStart w:id="201" w:name="_Toc18150"/>
      <w:bookmarkStart w:id="202" w:name="_Toc25066"/>
      <w:bookmarkStart w:id="203" w:name="_Toc22348"/>
      <w:bookmarkStart w:id="204" w:name="_Toc29635"/>
      <w:r>
        <w:rPr>
          <w:rFonts w:hint="eastAsia"/>
          <w:color w:val="auto"/>
          <w:sz w:val="36"/>
          <w:szCs w:val="36"/>
          <w:highlight w:val="none"/>
        </w:rPr>
        <w:t xml:space="preserve">第四章  </w:t>
      </w:r>
      <w:bookmarkEnd w:id="199"/>
      <w:bookmarkEnd w:id="200"/>
      <w:bookmarkEnd w:id="201"/>
      <w:r>
        <w:rPr>
          <w:rFonts w:hint="eastAsia"/>
          <w:color w:val="auto"/>
          <w:sz w:val="36"/>
          <w:szCs w:val="36"/>
          <w:highlight w:val="none"/>
        </w:rPr>
        <w:t>评标方法和评标标准</w:t>
      </w:r>
      <w:bookmarkEnd w:id="202"/>
      <w:bookmarkEnd w:id="203"/>
      <w:bookmarkEnd w:id="204"/>
    </w:p>
    <w:p w14:paraId="68446F2F">
      <w:pPr>
        <w:pStyle w:val="14"/>
        <w:ind w:firstLine="482"/>
        <w:jc w:val="center"/>
        <w:outlineLvl w:val="1"/>
        <w:rPr>
          <w:rFonts w:hAnsi="宋体" w:cs="宋体"/>
          <w:b/>
          <w:bCs/>
          <w:color w:val="auto"/>
          <w:sz w:val="32"/>
          <w:szCs w:val="32"/>
          <w:highlight w:val="none"/>
        </w:rPr>
      </w:pPr>
      <w:bookmarkStart w:id="205" w:name="_Toc31286"/>
      <w:bookmarkStart w:id="206" w:name="_Toc18908"/>
      <w:bookmarkStart w:id="207" w:name="_Toc3364"/>
      <w:bookmarkStart w:id="208" w:name="_Toc2086"/>
      <w:r>
        <w:rPr>
          <w:rFonts w:hint="eastAsia" w:hAnsi="宋体" w:cs="宋体"/>
          <w:b/>
          <w:bCs/>
          <w:color w:val="auto"/>
          <w:sz w:val="32"/>
          <w:szCs w:val="32"/>
          <w:highlight w:val="none"/>
        </w:rPr>
        <w:t>第一节 评标方法</w:t>
      </w:r>
      <w:bookmarkEnd w:id="205"/>
      <w:bookmarkEnd w:id="206"/>
      <w:bookmarkEnd w:id="207"/>
      <w:bookmarkEnd w:id="208"/>
    </w:p>
    <w:p w14:paraId="60C54D18">
      <w:pPr>
        <w:pStyle w:val="14"/>
        <w:tabs>
          <w:tab w:val="left" w:pos="2472"/>
        </w:tabs>
        <w:spacing w:line="460" w:lineRule="exact"/>
        <w:ind w:firstLine="420" w:firstLineChars="200"/>
        <w:rPr>
          <w:rFonts w:hAnsi="宋体" w:cs="宋体"/>
          <w:color w:val="auto"/>
          <w:szCs w:val="21"/>
          <w:highlight w:val="none"/>
        </w:rPr>
      </w:pPr>
      <w:r>
        <w:rPr>
          <w:rFonts w:hint="eastAsia" w:hAnsi="宋体" w:cs="宋体"/>
          <w:color w:val="auto"/>
          <w:szCs w:val="21"/>
          <w:highlight w:val="none"/>
        </w:rPr>
        <w:t>本项目采用以下方式进行评审。</w:t>
      </w:r>
    </w:p>
    <w:p w14:paraId="175663D2">
      <w:pPr>
        <w:pStyle w:val="14"/>
        <w:tabs>
          <w:tab w:val="left" w:pos="2472"/>
        </w:tabs>
        <w:spacing w:line="460" w:lineRule="exact"/>
        <w:ind w:firstLine="420" w:firstLineChars="200"/>
        <w:rPr>
          <w:rFonts w:hAnsi="宋体" w:cs="宋体"/>
          <w:color w:val="auto"/>
          <w:sz w:val="24"/>
          <w:highlight w:val="none"/>
        </w:rPr>
      </w:pPr>
      <w:r>
        <w:rPr>
          <w:rFonts w:hint="eastAsia" w:hAnsi="宋体" w:cs="宋体"/>
          <w:color w:val="auto"/>
          <w:highlight w:val="none"/>
        </w:rPr>
        <w:t xml:space="preserve">综合评分法，是指投标文件满足招标文件全部实质性要求，且按照评审因素的量化指标评审得分最高的投标人为中标候选人的评标方法。 </w:t>
      </w:r>
    </w:p>
    <w:p w14:paraId="7DA51735">
      <w:pPr>
        <w:pStyle w:val="14"/>
        <w:spacing w:line="360" w:lineRule="auto"/>
        <w:ind w:firstLine="315"/>
        <w:rPr>
          <w:rFonts w:hAnsi="宋体" w:cs="宋体"/>
          <w:color w:val="auto"/>
          <w:highlight w:val="none"/>
        </w:rPr>
      </w:pPr>
    </w:p>
    <w:p w14:paraId="3F2DE30D">
      <w:pPr>
        <w:pStyle w:val="14"/>
        <w:tabs>
          <w:tab w:val="left" w:pos="2472"/>
        </w:tabs>
        <w:spacing w:line="460" w:lineRule="exact"/>
        <w:ind w:firstLine="482"/>
        <w:jc w:val="center"/>
        <w:outlineLvl w:val="1"/>
        <w:rPr>
          <w:rFonts w:hAnsi="宋体" w:cs="宋体"/>
          <w:b/>
          <w:bCs/>
          <w:color w:val="auto"/>
          <w:sz w:val="32"/>
          <w:szCs w:val="32"/>
          <w:highlight w:val="none"/>
        </w:rPr>
      </w:pPr>
      <w:bookmarkStart w:id="209" w:name="_Toc6695"/>
      <w:bookmarkStart w:id="210" w:name="_Toc13065"/>
      <w:bookmarkStart w:id="211" w:name="_Toc12508"/>
      <w:bookmarkStart w:id="212" w:name="_Toc13037"/>
      <w:r>
        <w:rPr>
          <w:rFonts w:hint="eastAsia" w:hAnsi="宋体" w:cs="宋体"/>
          <w:b/>
          <w:bCs/>
          <w:color w:val="auto"/>
          <w:sz w:val="32"/>
          <w:szCs w:val="32"/>
          <w:highlight w:val="none"/>
        </w:rPr>
        <w:t>第二节 评标程序</w:t>
      </w:r>
      <w:bookmarkEnd w:id="209"/>
      <w:bookmarkEnd w:id="210"/>
      <w:bookmarkEnd w:id="211"/>
      <w:bookmarkEnd w:id="212"/>
    </w:p>
    <w:p w14:paraId="4C1B0914">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1.符合性审查</w:t>
      </w:r>
    </w:p>
    <w:p w14:paraId="5A3D93D3">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评标委员会应当对符合资格的投标人的投标文件进行投标报价、商务、技术等实质性内容符合性审查，以确定其是否满足招标文件的实质性要求。</w:t>
      </w:r>
    </w:p>
    <w:p w14:paraId="492B0FF4">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2.符合性审查不通过而导致投标无效的情形</w:t>
      </w:r>
    </w:p>
    <w:p w14:paraId="408371D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投标人的投标文件中存在对招标文件的任何实质性要求和条件的负偏离，将被视为投标无效。</w:t>
      </w:r>
    </w:p>
    <w:p w14:paraId="0E680E88">
      <w:pPr>
        <w:spacing w:line="360" w:lineRule="auto"/>
        <w:ind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2.1在报价评审时，如发现下列情形之一的，将被视为投标无效：</w:t>
      </w:r>
    </w:p>
    <w:p w14:paraId="609E7D9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（1）投标文件未提供“投标人须知前附表”第13.1条规定中“必须提供”的文件资料的。</w:t>
      </w:r>
    </w:p>
    <w:p w14:paraId="45132CF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（2）未采用人民币报价或者未按照招标文件标明的币种报价的。</w:t>
      </w:r>
    </w:p>
    <w:p w14:paraId="0550376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（3）报价文件响应的标的数量及单位与招标文件要求实质性不一致的。</w:t>
      </w:r>
    </w:p>
    <w:p w14:paraId="5B6E438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lang w:eastAsia="zh-CN"/>
        </w:rPr>
        <w:t>）</w:t>
      </w:r>
      <w:r>
        <w:rPr>
          <w:rFonts w:hint="eastAsia" w:ascii="宋体" w:hAnsi="宋体" w:cs="宋体"/>
          <w:color w:val="auto"/>
          <w:szCs w:val="21"/>
          <w:highlight w:val="none"/>
        </w:rPr>
        <w:t>报价超出招标文件规定最高限价，或者超出采购预算</w:t>
      </w:r>
      <w:r>
        <w:rPr>
          <w:rFonts w:hint="eastAsia" w:ascii="宋体" w:hAnsi="宋体" w:cs="宋体"/>
          <w:color w:val="auto"/>
          <w:szCs w:val="21"/>
          <w:highlight w:val="none"/>
          <w:lang w:eastAsia="zh-CN"/>
        </w:rPr>
        <w:t>总</w:t>
      </w:r>
      <w:r>
        <w:rPr>
          <w:rFonts w:hint="eastAsia" w:ascii="宋体" w:hAnsi="宋体" w:cs="宋体"/>
          <w:color w:val="auto"/>
          <w:szCs w:val="21"/>
          <w:highlight w:val="none"/>
        </w:rPr>
        <w:t>金额</w:t>
      </w:r>
      <w:r>
        <w:rPr>
          <w:rFonts w:hint="eastAsia" w:ascii="宋体" w:hAnsi="宋体" w:cs="宋体"/>
          <w:color w:val="auto"/>
          <w:szCs w:val="21"/>
          <w:highlight w:val="none"/>
          <w:lang w:eastAsia="zh-CN"/>
        </w:rPr>
        <w:t>或分项预算金额</w:t>
      </w:r>
      <w:r>
        <w:rPr>
          <w:rFonts w:hint="eastAsia" w:ascii="宋体" w:hAnsi="宋体" w:cs="宋体"/>
          <w:color w:val="auto"/>
          <w:szCs w:val="21"/>
          <w:highlight w:val="none"/>
        </w:rPr>
        <w:t>的。</w:t>
      </w:r>
    </w:p>
    <w:p w14:paraId="6B96E2E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）投标人未就所投项目进行报价或者存在漏项报价。投标人未就所投</w:t>
      </w:r>
      <w:r>
        <w:rPr>
          <w:rFonts w:hint="eastAsia" w:cs="宋体"/>
          <w:color w:val="auto"/>
          <w:szCs w:val="21"/>
          <w:highlight w:val="none"/>
        </w:rPr>
        <w:t>项目</w:t>
      </w:r>
      <w:r>
        <w:rPr>
          <w:rFonts w:hint="eastAsia" w:ascii="宋体" w:hAnsi="宋体" w:cs="宋体"/>
          <w:color w:val="auto"/>
          <w:szCs w:val="21"/>
          <w:highlight w:val="none"/>
        </w:rPr>
        <w:t>的单项内容作唯一报价。投标人未就所投项目的全部内容作唯一总价报价。存在有选择、有条件报价的（招标文件允许有备选方案或者其他约定的除外）。</w:t>
      </w:r>
    </w:p>
    <w:p w14:paraId="7D8D5F9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）修正后的报价，投标人不确认的。</w:t>
      </w:r>
    </w:p>
    <w:p w14:paraId="3EE795E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）投标人属于本章第5条第（</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）项情形的。</w:t>
      </w:r>
    </w:p>
    <w:p w14:paraId="01BCE5AC">
      <w:pPr>
        <w:spacing w:line="360" w:lineRule="auto"/>
        <w:ind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2.2在商务评审时，如发现下列情形之一的，将被视为投标无效：</w:t>
      </w:r>
    </w:p>
    <w:p w14:paraId="019A2B7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（1）投标文件未按招标文件要求签署、盖章的。</w:t>
      </w:r>
    </w:p>
    <w:p w14:paraId="5F4D796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（2）委托代理人未能出具有效身份证明或者出具的身份证明与授权委托书中的信息不符的。 </w:t>
      </w:r>
    </w:p>
    <w:p w14:paraId="69D7D4F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（3）为无效投标保证金的或者未按照招标文件的规定提交投标保证金的。</w:t>
      </w:r>
    </w:p>
    <w:p w14:paraId="14C2E0B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（4）投标文件未提供“投标人须知前附表”第13.1条规定中“必须提供”或者“委托时必须提供”的文件资料的。</w:t>
      </w:r>
    </w:p>
    <w:p w14:paraId="4A3A2F3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（5）投标有效期、项目完成时间（交货时间、服务完成时间或者服务期等）、保修期</w:t>
      </w:r>
      <w:r>
        <w:rPr>
          <w:rFonts w:hint="eastAsia" w:ascii="宋体" w:hAnsi="宋体" w:cs="宋体"/>
          <w:color w:val="auto"/>
          <w:szCs w:val="21"/>
          <w:highlight w:val="none"/>
          <w:lang w:eastAsia="zh-CN"/>
        </w:rPr>
        <w:t>等</w:t>
      </w:r>
      <w:r>
        <w:rPr>
          <w:rFonts w:hint="eastAsia" w:ascii="宋体" w:hAnsi="宋体" w:cs="宋体"/>
          <w:color w:val="auto"/>
          <w:szCs w:val="21"/>
          <w:highlight w:val="none"/>
        </w:rPr>
        <w:t>招标文件中标“▲”的商务条款发生负偏离的。</w:t>
      </w:r>
    </w:p>
    <w:p w14:paraId="6968F60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（6）商务条款评审允许负偏离的条款数超过“投标人须知前附表”规定项数的。</w:t>
      </w:r>
    </w:p>
    <w:p w14:paraId="5E590DA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（7）投标文件的实质性内容未使用中文表述、使用计量单位不符合招标文件要求的。</w:t>
      </w:r>
    </w:p>
    <w:p w14:paraId="3F5F87B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（8）投标文件中的文件资料因填写不齐全或者内容虚假或者出现其他情形而导致被评标委员会认定无效的。</w:t>
      </w:r>
    </w:p>
    <w:p w14:paraId="6A13734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（9）投标文件含有采购人不能接受的附加条件的。</w:t>
      </w:r>
    </w:p>
    <w:p w14:paraId="5FC0223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（10）未响应招标文件实质性要求的。</w:t>
      </w:r>
    </w:p>
    <w:p w14:paraId="4B23F1B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（11）属于投标人须知正文第9.2条情形的。</w:t>
      </w:r>
    </w:p>
    <w:p w14:paraId="47AF71A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（12）法律、法规和招标文件规定的其他无效情形。</w:t>
      </w:r>
    </w:p>
    <w:p w14:paraId="35994F88">
      <w:pPr>
        <w:spacing w:line="360" w:lineRule="auto"/>
        <w:ind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2.3在技术评审时，如发现下列情形之一的，将被视为投标无效：</w:t>
      </w:r>
    </w:p>
    <w:p w14:paraId="6E47684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（1）不满足招标文件要求的货物内容、技术要求、安全、质量标准，或者与招标文件中标“▲”的技术参数及配置发生负偏离的。</w:t>
      </w:r>
    </w:p>
    <w:p w14:paraId="3F3FE36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（2）技术需求评审允许负偏离的条款数超过“投标人须知前附表”规定项数的。</w:t>
      </w:r>
    </w:p>
    <w:p w14:paraId="5C5667E8">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（3）投标文件未提供“投标人须知前附表”第13.1条规定中“必须提供”的文件资料的</w:t>
      </w:r>
      <w:r>
        <w:rPr>
          <w:rFonts w:hint="eastAsia" w:ascii="宋体" w:hAnsi="宋体" w:cs="宋体"/>
          <w:color w:val="auto"/>
          <w:szCs w:val="21"/>
          <w:highlight w:val="none"/>
          <w:lang w:eastAsia="zh-CN"/>
        </w:rPr>
        <w:t>。</w:t>
      </w:r>
    </w:p>
    <w:p w14:paraId="1ADE32E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（4）虚假投标，或者出现其他情形而导致被评标委员会认定无效的。</w:t>
      </w:r>
    </w:p>
    <w:p w14:paraId="7C8A9A6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（5）招标文件要求提供技术方案的，投标技术方案不明确，招标文件未允许但存在一个或者一个以上备选（替代）投标方案的。</w:t>
      </w:r>
    </w:p>
    <w:p w14:paraId="32684361">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3.澄清补正、说明或者补正</w:t>
      </w:r>
    </w:p>
    <w:p w14:paraId="45912DE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对投标文件中含义不明确、同类问题表述不一致或者有明显文字和计算错误的内容，评标委员会应在广西政府采购云平台发布电子澄清函，要求投标人在规定时间内作出必要的澄清、说明或者补正。投标人在广西政府采购云平台接收到电子澄清函后根据澄清函内容上传PDF格式回函，电子澄清答复函使用CA证书加盖投标人公章后在线上传至评标委员会。投标人的澄清、说明或者补正不得超出投标文件的范围或者改变投标文件的实质性内容。</w:t>
      </w:r>
      <w:r>
        <w:rPr>
          <w:rFonts w:hint="eastAsia" w:ascii="宋体" w:hAnsi="宋体" w:cs="宋体"/>
          <w:b/>
          <w:bCs/>
          <w:color w:val="auto"/>
          <w:szCs w:val="21"/>
          <w:highlight w:val="none"/>
        </w:rPr>
        <w:t>投标人未在规定时间内进行澄清、说明或者补正的，有可能对评审产生影响</w:t>
      </w:r>
      <w:r>
        <w:rPr>
          <w:rFonts w:hint="eastAsia" w:ascii="宋体" w:hAnsi="宋体" w:cs="宋体"/>
          <w:color w:val="auto"/>
          <w:szCs w:val="21"/>
          <w:highlight w:val="none"/>
        </w:rPr>
        <w:t>。</w:t>
      </w:r>
    </w:p>
    <w:p w14:paraId="44929D5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异常情况处理：如遇无法正常使用线上发送澄清函的情况，将启动书面形式办理。启动书面形式办理的情况下，评标委员会以书面形式要求投标人在规定时间内作出必要的澄清、说明或者补正。投标人的澄清、说明或者补正必须采用书面形式，并加盖公章，或者由法定代表人或者其授权的代表签字。</w:t>
      </w:r>
    </w:p>
    <w:p w14:paraId="30931BFE">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4.投标文件修正</w:t>
      </w:r>
    </w:p>
    <w:p w14:paraId="44F013B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4.1投标文件报价出现前后不一致的，按照下列规定修正： </w:t>
      </w:r>
    </w:p>
    <w:p w14:paraId="613EDE0C">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（1）报价文件中“开标一览表”内容与投标文件中相应内容不一致的，以“开标一览表”为准。</w:t>
      </w:r>
    </w:p>
    <w:p w14:paraId="7C4ED4DC">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（2）大写金额和小写金额不一致的，以大写金额为准。</w:t>
      </w:r>
    </w:p>
    <w:p w14:paraId="7AFCA99C">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（3）单价金额小数点或者百分比有明显错位的，以开标一览表的总价为准，并修改单价。</w:t>
      </w:r>
    </w:p>
    <w:p w14:paraId="40257C41">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（4）总价金额与按单价汇总金额不一致的，以单价金额计算结果为准。</w:t>
      </w:r>
    </w:p>
    <w:p w14:paraId="1AB61E17">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同时出现两种以上不一致的，按照以上（1）-（4）规定的顺序修正。</w:t>
      </w:r>
      <w:r>
        <w:rPr>
          <w:rFonts w:hint="eastAsia" w:ascii="宋体" w:hAnsi="宋体" w:cs="宋体"/>
          <w:b/>
          <w:bCs/>
          <w:color w:val="auto"/>
          <w:highlight w:val="none"/>
        </w:rPr>
        <w:t>修正后的报价经投标人确认后产生约束力，投标人不确认的，其投标无效</w:t>
      </w:r>
      <w:r>
        <w:rPr>
          <w:rFonts w:hint="eastAsia" w:ascii="宋体" w:hAnsi="宋体" w:cs="宋体"/>
          <w:color w:val="auto"/>
          <w:highlight w:val="none"/>
        </w:rPr>
        <w:t>。</w:t>
      </w:r>
    </w:p>
    <w:p w14:paraId="6EDCB674">
      <w:pPr>
        <w:spacing w:line="360" w:lineRule="auto"/>
        <w:ind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4.2经投标人确认修正后的报价若超过采购预算金额或者最高限价，投标人的投标文件作无效投标处理。</w:t>
      </w:r>
    </w:p>
    <w:p w14:paraId="5832D59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4.3经投标人确认修正后的报价作为签订合同的依据，并以此报价计算价格分。</w:t>
      </w:r>
    </w:p>
    <w:p w14:paraId="7C01A5AE">
      <w:pPr>
        <w:spacing w:line="360" w:lineRule="auto"/>
        <w:ind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5.比较与评价</w:t>
      </w:r>
    </w:p>
    <w:p w14:paraId="687E062D">
      <w:pPr>
        <w:tabs>
          <w:tab w:val="center" w:pos="4153"/>
          <w:tab w:val="right" w:pos="8306"/>
        </w:tabs>
        <w:spacing w:line="360" w:lineRule="auto"/>
        <w:ind w:firstLine="420" w:firstLineChars="200"/>
        <w:rPr>
          <w:color w:val="auto"/>
          <w:highlight w:val="none"/>
        </w:rPr>
      </w:pPr>
      <w:r>
        <w:rPr>
          <w:rFonts w:hint="eastAsia" w:ascii="宋体" w:hAnsi="宋体" w:cs="宋体"/>
          <w:color w:val="auto"/>
          <w:highlight w:val="none"/>
        </w:rPr>
        <w:t>（1）</w:t>
      </w:r>
      <w:r>
        <w:rPr>
          <w:rFonts w:hint="eastAsia" w:ascii="宋体" w:hAnsi="宋体" w:cs="宋体"/>
          <w:color w:val="auto"/>
          <w:szCs w:val="21"/>
          <w:highlight w:val="none"/>
        </w:rPr>
        <w:t>评审委员会成员要根据政府采购法律法规和招标文件所载明的评标方法、标准进行评审。对投标人的价格分等客观评分项的评分应当一致，对其他需要借助专业知识评判的主观评分项，应当严格按照评分细则公正评分。</w:t>
      </w:r>
    </w:p>
    <w:p w14:paraId="71232905">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（2）评标委员会按照招标文件中规定的评标方法和评标标准，对符合性审查合格的投标文件进行商务和技术评估，综合比较与评价。</w:t>
      </w:r>
    </w:p>
    <w:p w14:paraId="5B708406">
      <w:pPr>
        <w:spacing w:line="360" w:lineRule="auto"/>
        <w:ind w:firstLine="420" w:firstLineChars="200"/>
        <w:rPr>
          <w:rFonts w:hint="eastAsia" w:ascii="宋体" w:hAnsi="宋体" w:eastAsia="宋体" w:cs="宋体"/>
          <w:color w:val="auto"/>
          <w:highlight w:val="none"/>
        </w:rPr>
      </w:pPr>
      <w:r>
        <w:rPr>
          <w:rFonts w:hint="eastAsia" w:ascii="宋体" w:hAnsi="宋体" w:cs="宋体"/>
          <w:color w:val="auto"/>
          <w:highlight w:val="none"/>
        </w:rPr>
        <w:t>（3）评标委员</w:t>
      </w:r>
      <w:r>
        <w:rPr>
          <w:rFonts w:hint="eastAsia" w:ascii="宋体" w:hAnsi="宋体" w:eastAsia="宋体" w:cs="宋体"/>
          <w:color w:val="auto"/>
          <w:highlight w:val="none"/>
        </w:rPr>
        <w:t>会各成员独立对每个投标人的投标文件进行评价，并汇总每个投标人的得分。</w:t>
      </w:r>
    </w:p>
    <w:p w14:paraId="65CDE1AA">
      <w:pPr>
        <w:spacing w:line="360" w:lineRule="auto"/>
        <w:ind w:firstLine="422" w:firstLineChars="200"/>
        <w:rPr>
          <w:rFonts w:hint="eastAsia" w:ascii="宋体" w:hAnsi="宋体" w:eastAsia="宋体" w:cs="宋体"/>
          <w:b/>
          <w:bCs/>
          <w:color w:val="auto"/>
          <w:highlight w:val="none"/>
        </w:rPr>
      </w:pPr>
      <w:r>
        <w:rPr>
          <w:rFonts w:hint="eastAsia" w:ascii="宋体" w:hAnsi="宋体" w:eastAsia="宋体" w:cs="宋体"/>
          <w:b/>
          <w:bCs/>
          <w:color w:val="auto"/>
          <w:highlight w:val="none"/>
        </w:rPr>
        <w:t>（4）</w:t>
      </w:r>
      <w:r>
        <w:rPr>
          <w:rFonts w:hint="eastAsia" w:ascii="宋体" w:hAnsi="宋体" w:eastAsia="宋体" w:cs="宋体"/>
          <w:b/>
          <w:bCs/>
          <w:color w:val="auto"/>
          <w:highlight w:val="none"/>
          <w:lang w:eastAsia="zh-CN"/>
        </w:rPr>
        <w:t>根据《关于推动解决政府采购异常低价问题的通知》（财库〔2026〕2号），</w:t>
      </w:r>
      <w:r>
        <w:rPr>
          <w:rFonts w:hint="eastAsia" w:ascii="宋体" w:hAnsi="宋体" w:eastAsia="宋体" w:cs="宋体"/>
          <w:b/>
          <w:bCs/>
          <w:color w:val="auto"/>
          <w:highlight w:val="none"/>
          <w:lang w:val="en-US" w:eastAsia="zh-CN"/>
        </w:rPr>
        <w:t>政府采购评审中出现下列情形之一的，评标委员会应当启动异常低价投标审查程序：</w:t>
      </w:r>
    </w:p>
    <w:p w14:paraId="3D31EACD">
      <w:pPr>
        <w:spacing w:line="360" w:lineRule="auto"/>
        <w:ind w:firstLine="422" w:firstLineChars="200"/>
        <w:rPr>
          <w:rFonts w:hint="default"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①投标报价低于全部通过符合性审查供应商投标报价平均值50%的，即投标报价&lt;全部通过符合性审查供应商投标报价平均值×50%；</w:t>
      </w:r>
    </w:p>
    <w:p w14:paraId="7FD2FBE2">
      <w:pPr>
        <w:spacing w:line="360" w:lineRule="auto"/>
        <w:ind w:firstLine="422" w:firstLineChars="200"/>
        <w:rPr>
          <w:rFonts w:hint="default"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②投标报价低于通过符合性审查的次低报价供应商投标报价50%的，即投标报价&lt;通过符合性审查的次低报价供应商投标报价×50%；</w:t>
      </w:r>
    </w:p>
    <w:p w14:paraId="26B48EB4">
      <w:pPr>
        <w:spacing w:line="360" w:lineRule="auto"/>
        <w:ind w:firstLine="422" w:firstLineChars="200"/>
        <w:rPr>
          <w:rFonts w:hint="default"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③投标报价低于采购项目最高限价45%的，即投标报价&lt;采购项目最高限价×45%；</w:t>
      </w:r>
    </w:p>
    <w:p w14:paraId="66CDC9F1">
      <w:pPr>
        <w:spacing w:line="360" w:lineRule="auto"/>
        <w:ind w:firstLine="422" w:firstLineChars="200"/>
        <w:rPr>
          <w:rFonts w:hint="default"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④评审委员会基于专业判断，认为供应商报价过低，有可能影响产品质量或者不能诚信履约的其他情形。</w:t>
      </w:r>
    </w:p>
    <w:p w14:paraId="682FDFFE">
      <w:pPr>
        <w:spacing w:line="360" w:lineRule="auto"/>
        <w:ind w:firstLine="422" w:firstLineChars="200"/>
        <w:rPr>
          <w:rFonts w:hint="default"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评标委员会启动异常低价投标审查后，属于前述第①项至第④项情形的，应当要求相关供应商在合理的时间内对投标价格作出解释，提供项目具体成本测算等与报价合理性相关的书面说明及必要的证明材料，包括但不限于原材料成本、人工成本、制造费用等，给予相关供应商的合理时间一般不少于30分钟。其中，属于第③项情形，供应商已随投标（响应）文件一并提交相关书面说明及必要的证明材料的，在评审现场可不再重复提交。</w:t>
      </w:r>
    </w:p>
    <w:p w14:paraId="4D7B9EEB">
      <w:pPr>
        <w:spacing w:line="360" w:lineRule="auto"/>
        <w:ind w:firstLine="422" w:firstLineChars="200"/>
        <w:rPr>
          <w:rFonts w:hint="default"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评标委员会依据专业经验，参考同类项目中标（成交）价格、类似产品市场价格水平、行业人工费用标准、国家有关部门指导行业协会发布的行业平均成本等情况，对报价合理性进行判断。投标</w:t>
      </w:r>
      <w:r>
        <w:rPr>
          <w:rFonts w:hint="eastAsia" w:ascii="宋体" w:hAnsi="宋体" w:cs="宋体"/>
          <w:b/>
          <w:bCs/>
          <w:color w:val="auto"/>
          <w:highlight w:val="none"/>
          <w:lang w:val="en-US" w:eastAsia="zh-CN"/>
        </w:rPr>
        <w:t>人</w:t>
      </w:r>
      <w:r>
        <w:rPr>
          <w:rFonts w:hint="eastAsia" w:ascii="宋体" w:hAnsi="宋体" w:eastAsia="宋体" w:cs="宋体"/>
          <w:b/>
          <w:bCs/>
          <w:color w:val="auto"/>
          <w:highlight w:val="none"/>
          <w:lang w:val="en-US" w:eastAsia="zh-CN"/>
        </w:rPr>
        <w:t>不能提供书面说明、证明材料，或者提供的书面说明、证明材料不能证明其报价合理性的，评标委员会应当将其作为无效投标处理。</w:t>
      </w:r>
    </w:p>
    <w:p w14:paraId="0A5386AE">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（5）评标委员会按照招标文件中规定的评标方法和标准计算各投标人的报价得分。在评标过程中，不得去掉报价中的最高报价和最低报价。</w:t>
      </w:r>
    </w:p>
    <w:p w14:paraId="33915D9A">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（6）各投标人的得分为评标委员会各成员的有效评分的算术平均数。</w:t>
      </w:r>
    </w:p>
    <w:p w14:paraId="022AF80C">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（7）评标委员会按照招标文件中的规定推荐中标候选人。</w:t>
      </w:r>
    </w:p>
    <w:p w14:paraId="2FE6FF77">
      <w:pPr>
        <w:tabs>
          <w:tab w:val="center" w:pos="4153"/>
          <w:tab w:val="right" w:pos="8306"/>
        </w:tabs>
        <w:spacing w:line="360" w:lineRule="auto"/>
        <w:ind w:firstLine="420" w:firstLineChars="200"/>
        <w:rPr>
          <w:rFonts w:ascii="宋体" w:hAnsi="宋体" w:cs="宋体"/>
          <w:color w:val="auto"/>
          <w:highlight w:val="none"/>
        </w:rPr>
      </w:pPr>
      <w:r>
        <w:rPr>
          <w:rFonts w:hint="eastAsia" w:ascii="宋体" w:hAnsi="宋体" w:cs="宋体"/>
          <w:color w:val="auto"/>
          <w:highlight w:val="none"/>
        </w:rPr>
        <w:t>（8）起草并签署评标报告。评标委员会根据评标委员会各成员签字的原始评标记录和评标结果编写评标报告。评标委员会各成员均应当在评标报告上签字，对自己的评标意见承担法律责任。对评标过程中需要共同认定的事项存在争议的，应当按照少数服从多数的原则做出结论。持不同意见的评标委员会成员应当在评标报告上签署不同意见及理由，否则视为同意评标报告。</w:t>
      </w:r>
    </w:p>
    <w:p w14:paraId="1EFAB318">
      <w:pPr>
        <w:tabs>
          <w:tab w:val="center" w:pos="4153"/>
          <w:tab w:val="right" w:pos="8306"/>
        </w:tabs>
        <w:spacing w:line="360" w:lineRule="auto"/>
        <w:ind w:firstLine="422" w:firstLineChars="200"/>
        <w:rPr>
          <w:rFonts w:ascii="宋体" w:hAnsi="宋体" w:cs="宋体"/>
          <w:b/>
          <w:bCs/>
          <w:color w:val="auto"/>
          <w:highlight w:val="none"/>
        </w:rPr>
      </w:pPr>
      <w:r>
        <w:rPr>
          <w:rFonts w:hint="eastAsia" w:ascii="宋体" w:hAnsi="宋体" w:cs="宋体"/>
          <w:b/>
          <w:bCs/>
          <w:color w:val="auto"/>
          <w:highlight w:val="none"/>
        </w:rPr>
        <w:t>6.评审复核</w:t>
      </w:r>
    </w:p>
    <w:p w14:paraId="2ED3F3AB">
      <w:pPr>
        <w:tabs>
          <w:tab w:val="center" w:pos="4153"/>
          <w:tab w:val="right" w:pos="8306"/>
        </w:tabs>
        <w:spacing w:line="360" w:lineRule="auto"/>
        <w:ind w:firstLine="420" w:firstLineChars="200"/>
        <w:rPr>
          <w:rFonts w:ascii="宋体" w:hAnsi="宋体" w:cs="宋体"/>
          <w:color w:val="auto"/>
          <w:highlight w:val="none"/>
        </w:rPr>
      </w:pPr>
      <w:r>
        <w:rPr>
          <w:rFonts w:hint="eastAsia" w:ascii="宋体" w:hAnsi="宋体" w:cs="宋体"/>
          <w:color w:val="auto"/>
          <w:highlight w:val="none"/>
        </w:rPr>
        <w:t>6.1评标报告签署前，评标委员会要对评审结果进行复核，复核意见要体现在评标报告中。</w:t>
      </w:r>
    </w:p>
    <w:p w14:paraId="7EB57828">
      <w:pPr>
        <w:tabs>
          <w:tab w:val="center" w:pos="4153"/>
          <w:tab w:val="right" w:pos="8306"/>
        </w:tabs>
        <w:spacing w:line="360" w:lineRule="auto"/>
        <w:ind w:firstLine="420" w:firstLineChars="200"/>
        <w:rPr>
          <w:rFonts w:ascii="宋体" w:hAnsi="宋体" w:cs="宋体"/>
          <w:color w:val="auto"/>
          <w:highlight w:val="none"/>
        </w:rPr>
      </w:pPr>
      <w:r>
        <w:rPr>
          <w:rFonts w:hint="eastAsia" w:ascii="宋体" w:hAnsi="宋体" w:cs="宋体"/>
          <w:color w:val="auto"/>
          <w:highlight w:val="none"/>
        </w:rPr>
        <w:t>6.2评标结果汇总完成后，除下列情形外，任何人不得修改评标结果：</w:t>
      </w:r>
    </w:p>
    <w:p w14:paraId="4BA88063">
      <w:pPr>
        <w:tabs>
          <w:tab w:val="center" w:pos="4153"/>
          <w:tab w:val="right" w:pos="8306"/>
        </w:tabs>
        <w:spacing w:line="360" w:lineRule="auto"/>
        <w:ind w:firstLine="420" w:firstLineChars="200"/>
        <w:rPr>
          <w:rFonts w:ascii="宋体" w:hAnsi="宋体" w:cs="宋体"/>
          <w:color w:val="auto"/>
          <w:highlight w:val="none"/>
        </w:rPr>
      </w:pPr>
      <w:r>
        <w:rPr>
          <w:rFonts w:hint="eastAsia" w:ascii="宋体" w:hAnsi="宋体" w:cs="宋体"/>
          <w:color w:val="auto"/>
          <w:highlight w:val="none"/>
        </w:rPr>
        <w:t>　　（一）分值汇总计算错误的。</w:t>
      </w:r>
    </w:p>
    <w:p w14:paraId="2EF2A9C2">
      <w:pPr>
        <w:tabs>
          <w:tab w:val="center" w:pos="4153"/>
          <w:tab w:val="right" w:pos="8306"/>
        </w:tabs>
        <w:spacing w:line="360" w:lineRule="auto"/>
        <w:ind w:firstLine="420" w:firstLineChars="200"/>
        <w:rPr>
          <w:rFonts w:ascii="宋体" w:hAnsi="宋体" w:cs="宋体"/>
          <w:color w:val="auto"/>
          <w:highlight w:val="none"/>
        </w:rPr>
      </w:pPr>
      <w:r>
        <w:rPr>
          <w:rFonts w:hint="eastAsia" w:ascii="宋体" w:hAnsi="宋体" w:cs="宋体"/>
          <w:color w:val="auto"/>
          <w:highlight w:val="none"/>
        </w:rPr>
        <w:t>　　（二）分项评分超出评分标准范围的。</w:t>
      </w:r>
    </w:p>
    <w:p w14:paraId="2F9FFC8C">
      <w:pPr>
        <w:tabs>
          <w:tab w:val="center" w:pos="4153"/>
          <w:tab w:val="right" w:pos="8306"/>
        </w:tabs>
        <w:spacing w:line="360" w:lineRule="auto"/>
        <w:ind w:firstLine="420" w:firstLineChars="200"/>
        <w:rPr>
          <w:rFonts w:ascii="宋体" w:hAnsi="宋体" w:cs="宋体"/>
          <w:color w:val="auto"/>
          <w:highlight w:val="none"/>
        </w:rPr>
      </w:pPr>
      <w:r>
        <w:rPr>
          <w:rFonts w:hint="eastAsia" w:ascii="宋体" w:hAnsi="宋体" w:cs="宋体"/>
          <w:color w:val="auto"/>
          <w:highlight w:val="none"/>
        </w:rPr>
        <w:t>　　（三）评标委员会成员对客观评审因素评分不一致的。</w:t>
      </w:r>
    </w:p>
    <w:p w14:paraId="7BDA03F5">
      <w:pPr>
        <w:tabs>
          <w:tab w:val="center" w:pos="4153"/>
          <w:tab w:val="right" w:pos="8306"/>
        </w:tabs>
        <w:spacing w:line="360" w:lineRule="auto"/>
        <w:ind w:firstLine="420" w:firstLineChars="200"/>
        <w:rPr>
          <w:rFonts w:ascii="宋体" w:hAnsi="宋体" w:cs="宋体"/>
          <w:color w:val="auto"/>
          <w:highlight w:val="none"/>
        </w:rPr>
      </w:pPr>
      <w:r>
        <w:rPr>
          <w:rFonts w:hint="eastAsia" w:ascii="宋体" w:hAnsi="宋体" w:cs="宋体"/>
          <w:color w:val="auto"/>
          <w:highlight w:val="none"/>
        </w:rPr>
        <w:t>　　（四）经评标委员会认定评分畸高、畸低的。</w:t>
      </w:r>
    </w:p>
    <w:p w14:paraId="072B19E6">
      <w:pPr>
        <w:tabs>
          <w:tab w:val="center" w:pos="4153"/>
          <w:tab w:val="right" w:pos="8306"/>
        </w:tabs>
        <w:spacing w:line="360" w:lineRule="auto"/>
        <w:ind w:firstLine="420" w:firstLineChars="200"/>
        <w:rPr>
          <w:rFonts w:ascii="宋体" w:hAnsi="宋体" w:cs="宋体"/>
          <w:color w:val="auto"/>
          <w:highlight w:val="none"/>
        </w:rPr>
      </w:pPr>
      <w:r>
        <w:rPr>
          <w:rFonts w:hint="eastAsia" w:ascii="宋体" w:hAnsi="宋体" w:cs="宋体"/>
          <w:color w:val="auto"/>
          <w:highlight w:val="none"/>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03B21358">
      <w:pPr>
        <w:pStyle w:val="3"/>
        <w:numPr>
          <w:ilvl w:val="0"/>
          <w:numId w:val="1"/>
        </w:numPr>
        <w:ind w:firstLine="450"/>
        <w:jc w:val="center"/>
        <w:rPr>
          <w:rFonts w:hint="eastAsia" w:ascii="宋体" w:hAnsi="宋体" w:eastAsia="宋体" w:cs="宋体"/>
          <w:b/>
          <w:bCs w:val="0"/>
          <w:color w:val="auto"/>
          <w:sz w:val="30"/>
          <w:szCs w:val="30"/>
          <w:highlight w:val="none"/>
        </w:rPr>
      </w:pPr>
      <w:bookmarkStart w:id="213" w:name="_Toc17840"/>
      <w:bookmarkStart w:id="214" w:name="_Toc17655"/>
      <w:bookmarkStart w:id="215" w:name="_Toc25387"/>
      <w:bookmarkStart w:id="216" w:name="_Toc32041"/>
      <w:r>
        <w:rPr>
          <w:rFonts w:hint="eastAsia" w:ascii="宋体" w:hAnsi="宋体" w:eastAsia="宋体" w:cs="宋体"/>
          <w:b w:val="0"/>
          <w:color w:val="auto"/>
          <w:sz w:val="30"/>
          <w:szCs w:val="30"/>
          <w:highlight w:val="none"/>
        </w:rPr>
        <w:br w:type="page"/>
      </w:r>
      <w:r>
        <w:rPr>
          <w:rFonts w:hint="eastAsia" w:ascii="宋体" w:hAnsi="宋体" w:eastAsia="宋体" w:cs="宋体"/>
          <w:b/>
          <w:bCs w:val="0"/>
          <w:color w:val="auto"/>
          <w:sz w:val="30"/>
          <w:szCs w:val="30"/>
          <w:highlight w:val="none"/>
        </w:rPr>
        <w:t>评分标准</w:t>
      </w:r>
      <w:bookmarkEnd w:id="213"/>
      <w:bookmarkEnd w:id="214"/>
      <w:bookmarkEnd w:id="215"/>
      <w:bookmarkEnd w:id="216"/>
    </w:p>
    <w:p w14:paraId="389887F2">
      <w:pPr>
        <w:pStyle w:val="4"/>
        <w:keepNext w:val="0"/>
        <w:keepLines w:val="0"/>
        <w:spacing w:line="240" w:lineRule="auto"/>
        <w:jc w:val="center"/>
        <w:rPr>
          <w:rFonts w:hint="eastAsia" w:eastAsia="宋体"/>
          <w:color w:val="auto"/>
          <w:highlight w:val="none"/>
          <w:lang w:eastAsia="zh-CN"/>
        </w:rPr>
      </w:pPr>
      <w:bookmarkStart w:id="217" w:name="OLE_LINK144"/>
      <w:bookmarkStart w:id="218" w:name="OLE_LINK192"/>
      <w:r>
        <w:rPr>
          <w:rFonts w:hint="eastAsia"/>
          <w:color w:val="auto"/>
          <w:highlight w:val="none"/>
        </w:rPr>
        <w:t>综合评分法</w:t>
      </w:r>
      <w:r>
        <w:rPr>
          <w:rFonts w:hint="eastAsia"/>
          <w:color w:val="auto"/>
          <w:highlight w:val="none"/>
          <w:lang w:eastAsia="zh-CN"/>
        </w:rPr>
        <w:t>（</w:t>
      </w:r>
      <w:r>
        <w:rPr>
          <w:rFonts w:hint="eastAsia"/>
          <w:color w:val="auto"/>
          <w:highlight w:val="none"/>
          <w:lang w:val="en-US" w:eastAsia="zh-CN"/>
        </w:rPr>
        <w:t>分标1</w:t>
      </w:r>
      <w:r>
        <w:rPr>
          <w:rFonts w:hint="eastAsia"/>
          <w:color w:val="auto"/>
          <w:highlight w:val="none"/>
          <w:lang w:eastAsia="zh-CN"/>
        </w:rPr>
        <w:t>）</w:t>
      </w:r>
    </w:p>
    <w:bookmarkEnd w:id="217"/>
    <w:bookmarkEnd w:id="218"/>
    <w:tbl>
      <w:tblPr>
        <w:tblStyle w:val="29"/>
        <w:tblpPr w:leftFromText="180" w:rightFromText="180" w:vertAnchor="text" w:horzAnchor="page" w:tblpX="1220" w:tblpY="656"/>
        <w:tblOverlap w:val="never"/>
        <w:tblW w:w="93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3"/>
        <w:gridCol w:w="1101"/>
        <w:gridCol w:w="1259"/>
        <w:gridCol w:w="6253"/>
      </w:tblGrid>
      <w:tr w14:paraId="0736D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13" w:type="dxa"/>
            <w:noWrap w:val="0"/>
            <w:vAlign w:val="center"/>
          </w:tcPr>
          <w:p w14:paraId="6A325B94">
            <w:pPr>
              <w:keepNext w:val="0"/>
              <w:keepLines w:val="0"/>
              <w:suppressLineNumbers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sz w:val="21"/>
                <w:szCs w:val="21"/>
                <w:highlight w:val="none"/>
                <w:lang w:eastAsia="zh-CN"/>
              </w:rPr>
            </w:pPr>
            <w:bookmarkStart w:id="219" w:name="_Toc28332"/>
            <w:bookmarkStart w:id="220" w:name="_Toc30734"/>
            <w:bookmarkStart w:id="221" w:name="_Toc1251"/>
            <w:bookmarkStart w:id="222" w:name="_Toc5054"/>
            <w:r>
              <w:rPr>
                <w:rFonts w:hint="eastAsia" w:ascii="宋体" w:hAnsi="宋体" w:eastAsia="宋体" w:cs="宋体"/>
                <w:bCs/>
                <w:color w:val="auto"/>
                <w:sz w:val="21"/>
                <w:szCs w:val="21"/>
                <w:highlight w:val="none"/>
              </w:rPr>
              <w:t>序号</w:t>
            </w:r>
          </w:p>
        </w:tc>
        <w:tc>
          <w:tcPr>
            <w:tcW w:w="1101" w:type="dxa"/>
            <w:noWrap w:val="0"/>
            <w:vAlign w:val="center"/>
          </w:tcPr>
          <w:p w14:paraId="09B00C48">
            <w:pPr>
              <w:keepNext w:val="0"/>
              <w:keepLines w:val="0"/>
              <w:suppressLineNumbers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rPr>
              <w:t>评分类型</w:t>
            </w:r>
          </w:p>
        </w:tc>
        <w:tc>
          <w:tcPr>
            <w:tcW w:w="1259" w:type="dxa"/>
            <w:noWrap w:val="0"/>
            <w:vAlign w:val="center"/>
          </w:tcPr>
          <w:p w14:paraId="7622666A">
            <w:pPr>
              <w:keepNext w:val="0"/>
              <w:keepLines w:val="0"/>
              <w:suppressLineNumbers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rPr>
              <w:t>评审因素</w:t>
            </w:r>
          </w:p>
        </w:tc>
        <w:tc>
          <w:tcPr>
            <w:tcW w:w="6253" w:type="dxa"/>
            <w:noWrap w:val="0"/>
            <w:vAlign w:val="center"/>
          </w:tcPr>
          <w:p w14:paraId="42B7DA0A">
            <w:pPr>
              <w:keepNext w:val="0"/>
              <w:keepLines w:val="0"/>
              <w:suppressLineNumbers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rPr>
              <w:t>评标标准</w:t>
            </w:r>
          </w:p>
        </w:tc>
      </w:tr>
      <w:tr w14:paraId="19652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713" w:type="dxa"/>
            <w:noWrap w:val="0"/>
            <w:vAlign w:val="center"/>
          </w:tcPr>
          <w:p w14:paraId="781EA9F6">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101" w:type="dxa"/>
            <w:noWrap w:val="0"/>
            <w:vAlign w:val="center"/>
          </w:tcPr>
          <w:p w14:paraId="75084493">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价格分（</w:t>
            </w:r>
            <w:r>
              <w:rPr>
                <w:rFonts w:hint="eastAsia" w:ascii="宋体" w:hAnsi="宋体" w:cs="宋体"/>
                <w:color w:val="auto"/>
                <w:sz w:val="21"/>
                <w:szCs w:val="21"/>
                <w:highlight w:val="none"/>
                <w:lang w:val="en-US" w:eastAsia="zh-CN"/>
              </w:rPr>
              <w:t>满分</w:t>
            </w:r>
            <w:r>
              <w:rPr>
                <w:rFonts w:hint="eastAsia" w:ascii="宋体" w:hAnsi="宋体" w:eastAsia="宋体" w:cs="宋体"/>
                <w:color w:val="auto"/>
                <w:sz w:val="21"/>
                <w:szCs w:val="21"/>
                <w:highlight w:val="none"/>
                <w:lang w:val="en-US" w:eastAsia="zh-CN"/>
              </w:rPr>
              <w:t>30分</w:t>
            </w:r>
            <w:r>
              <w:rPr>
                <w:rFonts w:hint="eastAsia" w:ascii="宋体" w:hAnsi="宋体" w:eastAsia="宋体" w:cs="宋体"/>
                <w:color w:val="auto"/>
                <w:sz w:val="21"/>
                <w:szCs w:val="21"/>
                <w:highlight w:val="none"/>
                <w:lang w:eastAsia="zh-CN"/>
              </w:rPr>
              <w:t>）</w:t>
            </w:r>
          </w:p>
        </w:tc>
        <w:tc>
          <w:tcPr>
            <w:tcW w:w="1259" w:type="dxa"/>
            <w:noWrap w:val="0"/>
            <w:vAlign w:val="center"/>
          </w:tcPr>
          <w:p w14:paraId="3A60B96C">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价格分（</w:t>
            </w:r>
            <w:r>
              <w:rPr>
                <w:rFonts w:hint="eastAsia" w:ascii="宋体" w:hAnsi="宋体" w:eastAsia="宋体" w:cs="宋体"/>
                <w:color w:val="auto"/>
                <w:sz w:val="21"/>
                <w:szCs w:val="21"/>
                <w:highlight w:val="none"/>
                <w:lang w:val="en-US" w:eastAsia="zh-CN"/>
              </w:rPr>
              <w:t>30分</w:t>
            </w:r>
            <w:r>
              <w:rPr>
                <w:rFonts w:hint="eastAsia" w:ascii="宋体" w:hAnsi="宋体" w:eastAsia="宋体" w:cs="宋体"/>
                <w:color w:val="auto"/>
                <w:sz w:val="21"/>
                <w:szCs w:val="21"/>
                <w:highlight w:val="none"/>
                <w:lang w:eastAsia="zh-CN"/>
              </w:rPr>
              <w:t>）</w:t>
            </w:r>
          </w:p>
        </w:tc>
        <w:tc>
          <w:tcPr>
            <w:tcW w:w="6253" w:type="dxa"/>
            <w:noWrap w:val="0"/>
            <w:vAlign w:val="center"/>
          </w:tcPr>
          <w:p w14:paraId="22CD036F">
            <w:pPr>
              <w:keepNext w:val="0"/>
              <w:keepLines w:val="0"/>
              <w:suppressLineNumbers w:val="0"/>
              <w:snapToGrid w:val="0"/>
              <w:spacing w:before="0" w:beforeAutospacing="0" w:after="0" w:afterAutospacing="0" w:line="360" w:lineRule="auto"/>
              <w:ind w:left="0" w:right="0" w:firstLine="233" w:firstLineChars="111"/>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（1）评标报价为投标人的投标报价进行政策性扣除后的价格，评标报价只是作为评标时使用。最终中标人的中标金额等于投标报价。</w:t>
            </w:r>
          </w:p>
          <w:p w14:paraId="3705E2BC">
            <w:pPr>
              <w:keepNext w:val="0"/>
              <w:keepLines w:val="0"/>
              <w:suppressLineNumbers w:val="0"/>
              <w:snapToGrid w:val="0"/>
              <w:spacing w:before="0" w:beforeAutospacing="0" w:after="0" w:afterAutospacing="0" w:line="360" w:lineRule="auto"/>
              <w:ind w:left="0" w:right="0" w:firstLine="233" w:firstLineChars="111"/>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rPr>
              <w:t>（2）政策性扣除计算方法</w:t>
            </w:r>
            <w:r>
              <w:rPr>
                <w:rFonts w:hint="eastAsia" w:ascii="宋体" w:hAnsi="宋体" w:cs="宋体"/>
                <w:bCs/>
                <w:color w:val="auto"/>
                <w:sz w:val="21"/>
                <w:szCs w:val="21"/>
                <w:highlight w:val="none"/>
                <w:lang w:eastAsia="zh-CN"/>
              </w:rPr>
              <w:t>：</w:t>
            </w:r>
          </w:p>
          <w:p w14:paraId="4251AE82">
            <w:pPr>
              <w:keepNext w:val="0"/>
              <w:keepLines w:val="0"/>
              <w:suppressLineNumbers w:val="0"/>
              <w:snapToGrid w:val="0"/>
              <w:spacing w:before="0" w:beforeAutospacing="0" w:after="0" w:afterAutospacing="0" w:line="360" w:lineRule="auto"/>
              <w:ind w:left="0" w:right="0" w:firstLine="233" w:firstLineChars="111"/>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①根据《政府采购促进中小企业发展管理办法》（财库〔2020〕46号）及《广西壮族自治区财政厅关于持续优化政府采购营商环境推动高质量发展的通知》（桂财采〔2024〕55号）的规定，投标人在其投标文件中提供《中小企业声明函》，且其投标全部货物由小微企业制造的，对其投标报价给予10%的扣除，扣除后的价格为评标报价，即评标报价=投标报价×（1-10%）。除上述情况外，评标报价=投标报价。</w:t>
            </w:r>
          </w:p>
          <w:p w14:paraId="692B64E1">
            <w:pPr>
              <w:keepNext w:val="0"/>
              <w:keepLines w:val="0"/>
              <w:suppressLineNumbers w:val="0"/>
              <w:snapToGrid w:val="0"/>
              <w:spacing w:before="0" w:beforeAutospacing="0" w:after="0" w:afterAutospacing="0" w:line="360" w:lineRule="auto"/>
              <w:ind w:left="0" w:right="0" w:firstLine="233" w:firstLineChars="111"/>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②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14:paraId="167E4DA9">
            <w:pPr>
              <w:keepNext w:val="0"/>
              <w:keepLines w:val="0"/>
              <w:suppressLineNumbers w:val="0"/>
              <w:snapToGrid w:val="0"/>
              <w:spacing w:before="0" w:beforeAutospacing="0" w:after="0" w:afterAutospacing="0" w:line="360" w:lineRule="auto"/>
              <w:ind w:left="0" w:right="0" w:firstLine="233" w:firstLineChars="111"/>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③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25982473">
            <w:pPr>
              <w:keepNext w:val="0"/>
              <w:keepLines w:val="0"/>
              <w:suppressLineNumbers w:val="0"/>
              <w:snapToGrid w:val="0"/>
              <w:spacing w:before="0" w:beforeAutospacing="0" w:after="0" w:afterAutospacing="0" w:line="360" w:lineRule="auto"/>
              <w:ind w:left="0" w:right="0" w:firstLine="233" w:firstLineChars="111"/>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rPr>
              <w:t>④按照</w:t>
            </w:r>
            <w:r>
              <w:rPr>
                <w:rFonts w:hint="eastAsia" w:ascii="宋体" w:hAnsi="宋体" w:eastAsia="宋体" w:cs="宋体"/>
                <w:color w:val="auto"/>
                <w:highlight w:val="none"/>
              </w:rPr>
              <w:t>《国务院办公厅关于在政府采购中实施本国产品标准及相关政策的通</w:t>
            </w:r>
            <w:r>
              <w:rPr>
                <w:rFonts w:hint="eastAsia" w:ascii="宋体" w:hAnsi="宋体" w:cs="宋体"/>
                <w:color w:val="auto"/>
                <w:highlight w:val="none"/>
              </w:rPr>
              <w:t>知》（国办发〔2025〕34号）</w:t>
            </w:r>
            <w:r>
              <w:rPr>
                <w:rFonts w:hint="eastAsia" w:ascii="宋体" w:hAnsi="宋体" w:eastAsia="宋体" w:cs="宋体"/>
                <w:bCs/>
                <w:color w:val="auto"/>
                <w:sz w:val="21"/>
                <w:szCs w:val="21"/>
                <w:highlight w:val="none"/>
              </w:rPr>
              <w:t>的规定，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扣除后的价格为评标报价，即评标报价=投标报价×（1-</w:t>
            </w:r>
            <w:r>
              <w:rPr>
                <w:rFonts w:hint="eastAsia" w:ascii="宋体" w:hAnsi="宋体" w:eastAsia="宋体" w:cs="宋体"/>
                <w:bCs/>
                <w:color w:val="auto"/>
                <w:sz w:val="21"/>
                <w:szCs w:val="21"/>
                <w:highlight w:val="none"/>
                <w:lang w:val="en-US" w:eastAsia="zh-CN"/>
              </w:rPr>
              <w:t>2</w:t>
            </w:r>
            <w:r>
              <w:rPr>
                <w:rFonts w:hint="eastAsia" w:ascii="宋体" w:hAnsi="宋体" w:eastAsia="宋体" w:cs="宋体"/>
                <w:bCs/>
                <w:color w:val="auto"/>
                <w:sz w:val="21"/>
                <w:szCs w:val="21"/>
                <w:highlight w:val="none"/>
              </w:rPr>
              <w:t>0%）。供应商在其投标文件中提供《关于符合本国产品标准的声明函》或财政部会同有关部门规定的有关证明文件，该产品视为本国产品。供应商对声明</w:t>
            </w:r>
            <w:r>
              <w:rPr>
                <w:rFonts w:hint="eastAsia" w:ascii="宋体" w:hAnsi="宋体" w:eastAsia="宋体" w:cs="宋体"/>
                <w:bCs/>
                <w:color w:val="auto"/>
                <w:sz w:val="21"/>
                <w:szCs w:val="21"/>
                <w:highlight w:val="none"/>
                <w:lang w:eastAsia="zh-CN"/>
              </w:rPr>
              <w:t>及证明文件</w:t>
            </w:r>
            <w:r>
              <w:rPr>
                <w:rFonts w:hint="eastAsia" w:ascii="宋体" w:hAnsi="宋体" w:eastAsia="宋体" w:cs="宋体"/>
                <w:bCs/>
                <w:color w:val="auto"/>
                <w:sz w:val="21"/>
                <w:szCs w:val="21"/>
                <w:highlight w:val="none"/>
              </w:rPr>
              <w:t>的真实性负责</w:t>
            </w:r>
            <w:r>
              <w:rPr>
                <w:rFonts w:hint="eastAsia" w:ascii="宋体" w:hAnsi="宋体" w:eastAsia="宋体" w:cs="宋体"/>
                <w:bCs/>
                <w:color w:val="auto"/>
                <w:sz w:val="21"/>
                <w:szCs w:val="21"/>
                <w:highlight w:val="none"/>
                <w:lang w:eastAsia="zh-CN"/>
              </w:rPr>
              <w:t>。</w:t>
            </w:r>
          </w:p>
          <w:p w14:paraId="0949F944">
            <w:pPr>
              <w:keepNext w:val="0"/>
              <w:keepLines w:val="0"/>
              <w:suppressLineNumbers w:val="0"/>
              <w:snapToGrid w:val="0"/>
              <w:spacing w:before="0" w:beforeAutospacing="0" w:after="0" w:afterAutospacing="0" w:line="360" w:lineRule="auto"/>
              <w:ind w:left="0" w:right="0" w:firstLine="443" w:firstLineChars="211"/>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⑤供应商享受小微企业价格扣除政策的，可重复享受</w:t>
            </w:r>
            <w:r>
              <w:rPr>
                <w:rFonts w:hint="eastAsia" w:ascii="宋体" w:hAnsi="宋体" w:cs="宋体"/>
                <w:color w:val="auto"/>
                <w:highlight w:val="none"/>
              </w:rPr>
              <w:t>本国产品</w:t>
            </w:r>
            <w:r>
              <w:rPr>
                <w:rFonts w:hint="eastAsia" w:ascii="宋体" w:hAnsi="宋体" w:cs="宋体"/>
                <w:color w:val="auto"/>
                <w:highlight w:val="none"/>
                <w:lang w:eastAsia="zh-CN"/>
              </w:rPr>
              <w:t>价格扣除政策，即</w:t>
            </w:r>
            <w:r>
              <w:rPr>
                <w:rFonts w:hint="eastAsia" w:ascii="宋体" w:hAnsi="宋体" w:eastAsia="宋体" w:cs="宋体"/>
                <w:bCs/>
                <w:color w:val="auto"/>
                <w:sz w:val="21"/>
                <w:szCs w:val="21"/>
                <w:highlight w:val="none"/>
              </w:rPr>
              <w:t>评标报价</w:t>
            </w:r>
            <w:r>
              <w:rPr>
                <w:rFonts w:hint="eastAsia" w:ascii="宋体" w:hAnsi="宋体" w:cs="宋体"/>
                <w:color w:val="auto"/>
                <w:highlight w:val="none"/>
                <w:lang w:eastAsia="zh-CN"/>
              </w:rPr>
              <w:t>=投标报价</w:t>
            </w:r>
            <w:r>
              <w:rPr>
                <w:rFonts w:hint="eastAsia" w:ascii="宋体" w:hAnsi="宋体" w:eastAsia="宋体" w:cs="宋体"/>
                <w:bCs/>
                <w:color w:val="auto"/>
                <w:sz w:val="21"/>
                <w:szCs w:val="21"/>
                <w:highlight w:val="none"/>
              </w:rPr>
              <w:t>×</w:t>
            </w:r>
            <w:r>
              <w:rPr>
                <w:rFonts w:hint="eastAsia" w:ascii="宋体" w:hAnsi="宋体" w:cs="宋体"/>
                <w:color w:val="auto"/>
                <w:highlight w:val="none"/>
                <w:lang w:eastAsia="zh-CN"/>
              </w:rPr>
              <w:t>（</w:t>
            </w:r>
            <w:r>
              <w:rPr>
                <w:rFonts w:hint="eastAsia" w:ascii="宋体" w:hAnsi="宋体" w:cs="宋体"/>
                <w:color w:val="auto"/>
                <w:highlight w:val="none"/>
                <w:lang w:val="en-US" w:eastAsia="zh-CN"/>
              </w:rPr>
              <w:t>1－</w:t>
            </w:r>
            <w:r>
              <w:rPr>
                <w:rFonts w:hint="eastAsia" w:ascii="宋体" w:hAnsi="宋体" w:eastAsia="宋体" w:cs="宋体"/>
                <w:bCs/>
                <w:color w:val="auto"/>
                <w:sz w:val="21"/>
                <w:szCs w:val="21"/>
                <w:highlight w:val="none"/>
                <w:lang w:val="en-US" w:eastAsia="zh-CN"/>
              </w:rPr>
              <w:t>小微企业</w:t>
            </w:r>
            <w:r>
              <w:rPr>
                <w:rFonts w:hint="eastAsia" w:ascii="宋体" w:hAnsi="宋体" w:cs="宋体"/>
                <w:color w:val="auto"/>
                <w:highlight w:val="none"/>
                <w:lang w:eastAsia="zh-CN"/>
              </w:rPr>
              <w:t>价格</w:t>
            </w:r>
            <w:r>
              <w:rPr>
                <w:rFonts w:hint="eastAsia" w:ascii="宋体" w:hAnsi="宋体" w:eastAsia="宋体" w:cs="宋体"/>
                <w:bCs/>
                <w:color w:val="auto"/>
                <w:sz w:val="21"/>
                <w:szCs w:val="21"/>
                <w:highlight w:val="none"/>
                <w:lang w:val="en-US" w:eastAsia="zh-CN"/>
              </w:rPr>
              <w:t>扣除比例</w:t>
            </w:r>
            <w:r>
              <w:rPr>
                <w:rFonts w:hint="eastAsia" w:ascii="宋体" w:hAnsi="宋体" w:cs="宋体"/>
                <w:color w:val="auto"/>
                <w:highlight w:val="none"/>
                <w:lang w:eastAsia="zh-CN"/>
              </w:rPr>
              <w:t>-</w:t>
            </w:r>
            <w:r>
              <w:rPr>
                <w:rFonts w:hint="eastAsia" w:ascii="宋体" w:hAnsi="宋体" w:cs="宋体"/>
                <w:color w:val="auto"/>
                <w:highlight w:val="none"/>
                <w:lang w:val="en-US" w:eastAsia="zh-CN"/>
              </w:rPr>
              <w:t>本国产品</w:t>
            </w:r>
            <w:r>
              <w:rPr>
                <w:rFonts w:hint="eastAsia" w:ascii="宋体" w:hAnsi="宋体" w:cs="宋体"/>
                <w:color w:val="auto"/>
                <w:highlight w:val="none"/>
                <w:lang w:eastAsia="zh-CN"/>
              </w:rPr>
              <w:t>价格</w:t>
            </w:r>
            <w:r>
              <w:rPr>
                <w:rFonts w:hint="eastAsia" w:ascii="宋体" w:hAnsi="宋体" w:cs="宋体"/>
                <w:color w:val="auto"/>
                <w:highlight w:val="none"/>
                <w:lang w:val="en-US" w:eastAsia="zh-CN"/>
              </w:rPr>
              <w:t>扣除比例</w:t>
            </w:r>
            <w:r>
              <w:rPr>
                <w:rFonts w:hint="eastAsia" w:ascii="宋体" w:hAnsi="宋体" w:cs="宋体"/>
                <w:color w:val="auto"/>
                <w:highlight w:val="none"/>
                <w:lang w:eastAsia="zh-CN"/>
              </w:rPr>
              <w:t>），除上述情况外，</w:t>
            </w:r>
            <w:r>
              <w:rPr>
                <w:rFonts w:hint="eastAsia" w:ascii="宋体" w:hAnsi="宋体" w:eastAsia="宋体" w:cs="宋体"/>
                <w:bCs/>
                <w:color w:val="auto"/>
                <w:sz w:val="21"/>
                <w:szCs w:val="21"/>
                <w:highlight w:val="none"/>
              </w:rPr>
              <w:t>评标报价</w:t>
            </w:r>
            <w:r>
              <w:rPr>
                <w:rFonts w:hint="eastAsia" w:ascii="宋体" w:hAnsi="宋体" w:cs="宋体"/>
                <w:color w:val="auto"/>
                <w:highlight w:val="none"/>
                <w:lang w:eastAsia="zh-CN"/>
              </w:rPr>
              <w:t>=投标报价。</w:t>
            </w:r>
          </w:p>
          <w:p w14:paraId="56EF4EF5">
            <w:pPr>
              <w:keepNext w:val="0"/>
              <w:keepLines w:val="0"/>
              <w:suppressLineNumbers w:val="0"/>
              <w:snapToGrid w:val="0"/>
              <w:spacing w:before="0" w:beforeAutospacing="0" w:after="0" w:afterAutospacing="0" w:line="360" w:lineRule="auto"/>
              <w:ind w:left="0" w:right="0" w:firstLine="233" w:firstLineChars="111"/>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w:t>
            </w:r>
            <w:r>
              <w:rPr>
                <w:rFonts w:hint="eastAsia" w:ascii="宋体" w:hAnsi="宋体" w:eastAsia="宋体" w:cs="宋体"/>
                <w:bCs/>
                <w:color w:val="auto"/>
                <w:sz w:val="21"/>
                <w:szCs w:val="21"/>
                <w:highlight w:val="none"/>
                <w:lang w:val="en-US" w:eastAsia="zh-CN"/>
              </w:rPr>
              <w:t>3</w:t>
            </w:r>
            <w:r>
              <w:rPr>
                <w:rFonts w:hint="eastAsia" w:ascii="宋体" w:hAnsi="宋体" w:eastAsia="宋体" w:cs="宋体"/>
                <w:bCs/>
                <w:color w:val="auto"/>
                <w:sz w:val="21"/>
                <w:szCs w:val="21"/>
                <w:highlight w:val="none"/>
              </w:rPr>
              <w:t>）满足招标文件要求且评标报价最低的为评标基准价，其价格分为满分。</w:t>
            </w:r>
          </w:p>
          <w:p w14:paraId="0415DE47">
            <w:pPr>
              <w:keepNext w:val="0"/>
              <w:keepLines w:val="0"/>
              <w:suppressLineNumbers w:val="0"/>
              <w:spacing w:before="0" w:beforeAutospacing="0" w:after="0" w:afterAutospacing="0" w:line="360" w:lineRule="auto"/>
              <w:ind w:left="0" w:right="0" w:firstLine="233" w:firstLineChars="111"/>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w:t>
            </w:r>
            <w:r>
              <w:rPr>
                <w:rFonts w:hint="eastAsia" w:ascii="宋体" w:hAnsi="宋体" w:cs="宋体"/>
                <w:bCs/>
                <w:color w:val="auto"/>
                <w:sz w:val="21"/>
                <w:szCs w:val="21"/>
                <w:highlight w:val="none"/>
                <w:lang w:val="en-US" w:eastAsia="zh-CN"/>
              </w:rPr>
              <w:t>4</w:t>
            </w:r>
            <w:r>
              <w:rPr>
                <w:rFonts w:hint="eastAsia" w:ascii="宋体" w:hAnsi="宋体" w:eastAsia="宋体" w:cs="宋体"/>
                <w:bCs/>
                <w:color w:val="auto"/>
                <w:sz w:val="21"/>
                <w:szCs w:val="21"/>
                <w:highlight w:val="none"/>
              </w:rPr>
              <w:t xml:space="preserve">）价格分计算公式：        </w:t>
            </w:r>
          </w:p>
          <w:p w14:paraId="597A194B">
            <w:pPr>
              <w:keepNext w:val="0"/>
              <w:keepLines w:val="0"/>
              <w:suppressLineNumbers w:val="0"/>
              <w:bidi w:val="0"/>
              <w:spacing w:before="0" w:beforeAutospacing="0" w:after="0" w:afterAutospacing="0" w:line="360" w:lineRule="auto"/>
              <w:ind w:left="0" w:right="0" w:firstLine="420" w:firstLineChars="200"/>
              <w:jc w:val="both"/>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价格分=（评标基准价/评标报价）×</w:t>
            </w:r>
            <w:r>
              <w:rPr>
                <w:rFonts w:hint="eastAsia" w:ascii="宋体" w:hAnsi="宋体" w:eastAsia="宋体" w:cs="宋体"/>
                <w:bCs/>
                <w:color w:val="auto"/>
                <w:sz w:val="21"/>
                <w:szCs w:val="21"/>
                <w:highlight w:val="none"/>
                <w:u w:val="none"/>
              </w:rPr>
              <w:t>30</w:t>
            </w:r>
            <w:r>
              <w:rPr>
                <w:rFonts w:hint="eastAsia" w:ascii="宋体" w:hAnsi="宋体" w:eastAsia="宋体" w:cs="宋体"/>
                <w:bCs/>
                <w:color w:val="auto"/>
                <w:sz w:val="21"/>
                <w:szCs w:val="21"/>
                <w:highlight w:val="none"/>
              </w:rPr>
              <w:t>分</w:t>
            </w:r>
          </w:p>
        </w:tc>
      </w:tr>
      <w:tr w14:paraId="713CE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3" w:type="dxa"/>
            <w:vMerge w:val="restart"/>
            <w:noWrap w:val="0"/>
            <w:vAlign w:val="center"/>
          </w:tcPr>
          <w:p w14:paraId="4B4BC127">
            <w:pPr>
              <w:keepNext w:val="0"/>
              <w:keepLines w:val="0"/>
              <w:suppressLineNumbers w:val="0"/>
              <w:bidi w:val="0"/>
              <w:spacing w:before="0" w:beforeAutospacing="0" w:after="0" w:afterAutospacing="0" w:line="360" w:lineRule="auto"/>
              <w:ind w:left="0"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p>
        </w:tc>
        <w:tc>
          <w:tcPr>
            <w:tcW w:w="1101" w:type="dxa"/>
            <w:vMerge w:val="restart"/>
            <w:noWrap w:val="0"/>
            <w:vAlign w:val="center"/>
          </w:tcPr>
          <w:p w14:paraId="57C5A25B">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技术分</w:t>
            </w:r>
            <w:r>
              <w:rPr>
                <w:rFonts w:hint="eastAsia" w:ascii="宋体" w:hAnsi="宋体" w:cs="宋体"/>
                <w:b w:val="0"/>
                <w:bCs w:val="0"/>
                <w:color w:val="auto"/>
                <w:sz w:val="21"/>
                <w:szCs w:val="21"/>
                <w:highlight w:val="none"/>
                <w:lang w:eastAsia="zh-CN"/>
              </w:rPr>
              <w:t>（</w:t>
            </w:r>
            <w:r>
              <w:rPr>
                <w:rFonts w:hint="eastAsia" w:ascii="宋体" w:hAnsi="宋体" w:cs="宋体"/>
                <w:color w:val="auto"/>
                <w:sz w:val="21"/>
                <w:szCs w:val="21"/>
                <w:highlight w:val="none"/>
                <w:lang w:val="en-US" w:eastAsia="zh-CN"/>
              </w:rPr>
              <w:t>满分30</w:t>
            </w:r>
            <w:r>
              <w:rPr>
                <w:rFonts w:hint="eastAsia" w:ascii="宋体" w:hAnsi="宋体" w:cs="宋体"/>
                <w:b w:val="0"/>
                <w:bCs w:val="0"/>
                <w:color w:val="auto"/>
                <w:sz w:val="21"/>
                <w:szCs w:val="21"/>
                <w:highlight w:val="none"/>
                <w:lang w:val="en-US" w:eastAsia="zh-CN"/>
              </w:rPr>
              <w:t>分</w:t>
            </w:r>
            <w:r>
              <w:rPr>
                <w:rFonts w:hint="eastAsia" w:ascii="宋体" w:hAnsi="宋体" w:cs="宋体"/>
                <w:b w:val="0"/>
                <w:bCs w:val="0"/>
                <w:color w:val="auto"/>
                <w:sz w:val="21"/>
                <w:szCs w:val="21"/>
                <w:highlight w:val="none"/>
                <w:lang w:eastAsia="zh-CN"/>
              </w:rPr>
              <w:t>）</w:t>
            </w:r>
          </w:p>
        </w:tc>
        <w:tc>
          <w:tcPr>
            <w:tcW w:w="1259" w:type="dxa"/>
            <w:noWrap w:val="0"/>
            <w:vAlign w:val="center"/>
          </w:tcPr>
          <w:p w14:paraId="730BE3CE">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技术参数</w:t>
            </w:r>
            <w:r>
              <w:rPr>
                <w:rFonts w:hint="eastAsia" w:ascii="宋体" w:hAnsi="宋体" w:cs="宋体"/>
                <w:color w:val="auto"/>
                <w:sz w:val="21"/>
                <w:szCs w:val="21"/>
                <w:highlight w:val="none"/>
                <w:lang w:eastAsia="zh-CN"/>
              </w:rPr>
              <w:t>响应</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2分</w:t>
            </w:r>
            <w:r>
              <w:rPr>
                <w:rFonts w:hint="eastAsia" w:ascii="宋体" w:hAnsi="宋体" w:eastAsia="宋体" w:cs="宋体"/>
                <w:color w:val="auto"/>
                <w:sz w:val="21"/>
                <w:szCs w:val="21"/>
                <w:highlight w:val="none"/>
                <w:lang w:eastAsia="zh-CN"/>
              </w:rPr>
              <w:t>）</w:t>
            </w:r>
          </w:p>
        </w:tc>
        <w:tc>
          <w:tcPr>
            <w:tcW w:w="6253" w:type="dxa"/>
            <w:noWrap w:val="0"/>
            <w:vAlign w:val="center"/>
          </w:tcPr>
          <w:p w14:paraId="49AA2F72">
            <w:pPr>
              <w:keepNext w:val="0"/>
              <w:keepLines w:val="0"/>
              <w:suppressLineNumbers w:val="0"/>
              <w:snapToGrid w:val="0"/>
              <w:spacing w:before="0" w:beforeAutospacing="0" w:after="0" w:afterAutospacing="0" w:line="400" w:lineRule="exact"/>
              <w:ind w:left="0" w:right="0"/>
              <w:jc w:val="left"/>
              <w:rPr>
                <w:rFonts w:hint="eastAsia" w:ascii="宋体" w:hAnsi="宋体" w:eastAsia="宋体" w:cs="宋体"/>
                <w:color w:val="auto"/>
                <w:sz w:val="21"/>
                <w:szCs w:val="21"/>
                <w:highlight w:val="none"/>
                <w:lang w:val="en-US" w:eastAsia="zh-CN"/>
              </w:rPr>
            </w:pPr>
            <w:r>
              <w:rPr>
                <w:rFonts w:hint="eastAsia" w:ascii="宋体" w:hAnsi="宋体" w:cs="宋体"/>
                <w:b w:val="0"/>
                <w:bCs w:val="0"/>
                <w:color w:val="auto"/>
                <w:szCs w:val="21"/>
                <w:highlight w:val="none"/>
              </w:rPr>
              <w:t>除实质性参数（</w:t>
            </w:r>
            <w:r>
              <w:rPr>
                <w:rFonts w:hint="eastAsia" w:hAnsi="宋体" w:cs="宋体"/>
                <w:b w:val="0"/>
                <w:bCs w:val="0"/>
                <w:color w:val="auto"/>
                <w:highlight w:val="none"/>
                <w:lang w:val="en-US" w:eastAsia="zh-CN"/>
              </w:rPr>
              <w:t>标注“</w:t>
            </w:r>
            <w:r>
              <w:rPr>
                <w:rFonts w:hint="eastAsia" w:ascii="宋体" w:hAnsi="宋体" w:cs="宋体"/>
                <w:b w:val="0"/>
                <w:bCs w:val="0"/>
                <w:color w:val="auto"/>
                <w:szCs w:val="21"/>
                <w:highlight w:val="none"/>
              </w:rPr>
              <w:t>▲</w:t>
            </w:r>
            <w:r>
              <w:rPr>
                <w:rFonts w:hint="eastAsia" w:hAnsi="宋体" w:cs="宋体"/>
                <w:b w:val="0"/>
                <w:bCs w:val="0"/>
                <w:color w:val="auto"/>
                <w:highlight w:val="none"/>
                <w:lang w:val="en-US" w:eastAsia="zh-CN"/>
              </w:rPr>
              <w:t>”</w:t>
            </w:r>
            <w:r>
              <w:rPr>
                <w:rFonts w:hint="eastAsia" w:ascii="宋体" w:hAnsi="宋体" w:cs="宋体"/>
                <w:b w:val="0"/>
                <w:bCs w:val="0"/>
                <w:color w:val="auto"/>
                <w:szCs w:val="21"/>
                <w:highlight w:val="none"/>
              </w:rPr>
              <w:t>）、</w:t>
            </w:r>
            <w:r>
              <w:rPr>
                <w:rFonts w:hint="eastAsia" w:ascii="宋体" w:hAnsi="宋体" w:cs="宋体"/>
                <w:b w:val="0"/>
                <w:bCs w:val="0"/>
                <w:color w:val="auto"/>
                <w:szCs w:val="21"/>
                <w:highlight w:val="none"/>
                <w:lang w:val="en-US" w:eastAsia="zh-CN"/>
              </w:rPr>
              <w:t>重要技术参数</w:t>
            </w:r>
            <w:r>
              <w:rPr>
                <w:rFonts w:hint="eastAsia" w:ascii="宋体" w:hAnsi="宋体" w:cs="宋体"/>
                <w:b w:val="0"/>
                <w:bCs w:val="0"/>
                <w:color w:val="auto"/>
                <w:szCs w:val="21"/>
                <w:highlight w:val="none"/>
              </w:rPr>
              <w:t>（</w:t>
            </w:r>
            <w:r>
              <w:rPr>
                <w:rFonts w:hint="eastAsia" w:hAnsi="宋体" w:cs="宋体"/>
                <w:b w:val="0"/>
                <w:bCs w:val="0"/>
                <w:color w:val="auto"/>
                <w:highlight w:val="none"/>
                <w:lang w:val="en-US" w:eastAsia="zh-CN"/>
              </w:rPr>
              <w:t>标注“</w:t>
            </w:r>
            <w:r>
              <w:rPr>
                <w:rFonts w:hint="eastAsia" w:ascii="宋体" w:hAnsi="宋体" w:cs="宋体"/>
                <w:b w:val="0"/>
                <w:bCs w:val="0"/>
                <w:color w:val="auto"/>
                <w:szCs w:val="21"/>
                <w:highlight w:val="none"/>
              </w:rPr>
              <w:t>●</w:t>
            </w:r>
            <w:r>
              <w:rPr>
                <w:rFonts w:hint="eastAsia" w:hAnsi="宋体" w:cs="宋体"/>
                <w:b w:val="0"/>
                <w:bCs w:val="0"/>
                <w:color w:val="auto"/>
                <w:highlight w:val="none"/>
                <w:lang w:val="en-US" w:eastAsia="zh-CN"/>
              </w:rPr>
              <w:t>”</w:t>
            </w:r>
            <w:r>
              <w:rPr>
                <w:rFonts w:hint="eastAsia" w:ascii="宋体" w:hAnsi="宋体" w:cs="宋体"/>
                <w:b w:val="0"/>
                <w:bCs w:val="0"/>
                <w:color w:val="auto"/>
                <w:szCs w:val="21"/>
                <w:highlight w:val="none"/>
              </w:rPr>
              <w:t>）外的</w:t>
            </w:r>
            <w:r>
              <w:rPr>
                <w:rFonts w:hint="eastAsia" w:ascii="宋体" w:hAnsi="宋体" w:cs="宋体"/>
                <w:b w:val="0"/>
                <w:bCs w:val="0"/>
                <w:color w:val="auto"/>
                <w:szCs w:val="21"/>
                <w:highlight w:val="none"/>
                <w:lang w:eastAsia="zh-CN"/>
              </w:rPr>
              <w:t>参数</w:t>
            </w:r>
            <w:r>
              <w:rPr>
                <w:rFonts w:hint="eastAsia" w:ascii="宋体" w:hAnsi="宋体" w:cs="宋体"/>
                <w:b w:val="0"/>
                <w:bCs w:val="0"/>
                <w:color w:val="auto"/>
                <w:szCs w:val="21"/>
                <w:highlight w:val="none"/>
              </w:rPr>
              <w:t>为一般参数，一般参数完全满足或优于采购需求的得2分，一般参数存在任意一项负偏离的，本项不得分。</w:t>
            </w:r>
          </w:p>
        </w:tc>
      </w:tr>
      <w:tr w14:paraId="531D7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3" w:type="dxa"/>
            <w:vMerge w:val="continue"/>
            <w:noWrap w:val="0"/>
            <w:vAlign w:val="center"/>
          </w:tcPr>
          <w:p w14:paraId="0036F3E4">
            <w:pPr>
              <w:keepNext w:val="0"/>
              <w:keepLines w:val="0"/>
              <w:suppressLineNumbers w:val="0"/>
              <w:bidi w:val="0"/>
              <w:spacing w:before="0" w:beforeAutospacing="0" w:after="0" w:afterAutospacing="0" w:line="360" w:lineRule="auto"/>
              <w:ind w:left="0" w:right="0"/>
              <w:jc w:val="center"/>
              <w:rPr>
                <w:rFonts w:hint="eastAsia" w:ascii="宋体" w:hAnsi="宋体" w:cs="宋体"/>
                <w:color w:val="auto"/>
                <w:sz w:val="21"/>
                <w:szCs w:val="21"/>
                <w:highlight w:val="none"/>
                <w:lang w:val="en-US" w:eastAsia="zh-CN"/>
              </w:rPr>
            </w:pPr>
          </w:p>
        </w:tc>
        <w:tc>
          <w:tcPr>
            <w:tcW w:w="1101" w:type="dxa"/>
            <w:vMerge w:val="continue"/>
            <w:noWrap w:val="0"/>
            <w:vAlign w:val="center"/>
          </w:tcPr>
          <w:p w14:paraId="2729AABD">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b w:val="0"/>
                <w:bCs w:val="0"/>
                <w:color w:val="auto"/>
                <w:sz w:val="21"/>
                <w:szCs w:val="21"/>
                <w:highlight w:val="none"/>
              </w:rPr>
            </w:pPr>
          </w:p>
        </w:tc>
        <w:tc>
          <w:tcPr>
            <w:tcW w:w="1259" w:type="dxa"/>
            <w:noWrap w:val="0"/>
            <w:vAlign w:val="center"/>
          </w:tcPr>
          <w:p w14:paraId="301EE80A">
            <w:pPr>
              <w:keepNext w:val="0"/>
              <w:keepLines w:val="0"/>
              <w:suppressLineNumbers w:val="0"/>
              <w:spacing w:before="0" w:beforeAutospacing="0" w:after="0" w:afterAutospacing="0" w:line="360" w:lineRule="auto"/>
              <w:ind w:left="0" w:right="0"/>
              <w:jc w:val="both"/>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演示分（16分）</w:t>
            </w:r>
          </w:p>
        </w:tc>
        <w:tc>
          <w:tcPr>
            <w:tcW w:w="6253" w:type="dxa"/>
            <w:noWrap w:val="0"/>
            <w:vAlign w:val="center"/>
          </w:tcPr>
          <w:p w14:paraId="351008A1">
            <w:pPr>
              <w:keepNext w:val="0"/>
              <w:keepLines w:val="0"/>
              <w:pageBreakBefore w:val="0"/>
              <w:suppressLineNumbers w:val="0"/>
              <w:kinsoku/>
              <w:wordWrap/>
              <w:overflowPunct/>
              <w:topLinePunct w:val="0"/>
              <w:autoSpaceDE/>
              <w:autoSpaceDN/>
              <w:bidi w:val="0"/>
              <w:adjustRightInd/>
              <w:spacing w:before="0" w:beforeAutospacing="0" w:after="0" w:afterAutospacing="0" w:line="480" w:lineRule="atLeast"/>
              <w:ind w:left="0" w:right="0" w:firstLine="422" w:firstLineChars="200"/>
              <w:rPr>
                <w:rFonts w:hint="eastAsia" w:ascii="宋体" w:hAnsi="宋体" w:eastAsia="宋体" w:cs="宋体"/>
                <w:color w:val="auto"/>
                <w:highlight w:val="none"/>
                <w:lang w:val="en-US" w:eastAsia="zh-CN"/>
              </w:rPr>
            </w:pPr>
            <w:r>
              <w:rPr>
                <w:rFonts w:hint="eastAsia" w:ascii="宋体" w:hAnsi="宋体" w:cs="宋体"/>
                <w:b/>
                <w:bCs/>
                <w:color w:val="auto"/>
                <w:szCs w:val="21"/>
                <w:highlight w:val="none"/>
                <w:lang w:val="en-US" w:eastAsia="zh-CN"/>
              </w:rPr>
              <w:t>投标人</w:t>
            </w:r>
            <w:r>
              <w:rPr>
                <w:rFonts w:hint="eastAsia" w:ascii="宋体" w:hAnsi="宋体" w:cs="宋体"/>
                <w:b/>
                <w:bCs/>
                <w:color w:val="auto"/>
                <w:szCs w:val="21"/>
                <w:highlight w:val="none"/>
              </w:rPr>
              <w:t>按</w:t>
            </w:r>
            <w:r>
              <w:rPr>
                <w:rFonts w:hint="eastAsia" w:ascii="宋体" w:hAnsi="宋体" w:cs="宋体"/>
                <w:b/>
                <w:bCs/>
                <w:color w:val="auto"/>
                <w:szCs w:val="21"/>
                <w:highlight w:val="none"/>
                <w:lang w:val="en-US" w:eastAsia="zh-CN"/>
              </w:rPr>
              <w:t>第二章采购需求</w:t>
            </w:r>
            <w:r>
              <w:rPr>
                <w:rFonts w:hint="eastAsia" w:ascii="宋体" w:hAnsi="宋体" w:cs="宋体"/>
                <w:b/>
                <w:bCs/>
                <w:color w:val="auto"/>
                <w:szCs w:val="21"/>
                <w:highlight w:val="none"/>
              </w:rPr>
              <w:t>“</w:t>
            </w:r>
            <w:r>
              <w:rPr>
                <w:rFonts w:hint="eastAsia" w:ascii="宋体" w:hAnsi="宋体" w:cs="宋体"/>
                <w:b/>
                <w:bCs/>
                <w:color w:val="auto"/>
                <w:szCs w:val="21"/>
                <w:highlight w:val="none"/>
                <w:lang w:val="en-US" w:eastAsia="zh-CN"/>
              </w:rPr>
              <w:t>技术参数及性能（配置）要求</w:t>
            </w:r>
            <w:r>
              <w:rPr>
                <w:rFonts w:hint="eastAsia" w:ascii="宋体" w:hAnsi="宋体" w:cs="宋体"/>
                <w:b/>
                <w:bCs/>
                <w:color w:val="auto"/>
                <w:szCs w:val="21"/>
                <w:highlight w:val="none"/>
              </w:rPr>
              <w:t>”，</w:t>
            </w:r>
            <w:r>
              <w:rPr>
                <w:rFonts w:hint="eastAsia" w:ascii="宋体" w:hAnsi="宋体" w:cs="宋体"/>
                <w:b/>
                <w:bCs/>
                <w:color w:val="auto"/>
                <w:szCs w:val="21"/>
                <w:highlight w:val="none"/>
                <w:lang w:val="en-US" w:eastAsia="zh-CN"/>
              </w:rPr>
              <w:t>标注“</w:t>
            </w:r>
            <w:r>
              <w:rPr>
                <w:rFonts w:hint="eastAsia" w:hAnsi="宋体" w:cs="宋体"/>
                <w:color w:val="auto"/>
                <w:highlight w:val="none"/>
              </w:rPr>
              <w:t>●</w:t>
            </w:r>
            <w:r>
              <w:rPr>
                <w:rFonts w:hint="eastAsia" w:ascii="宋体" w:hAnsi="宋体" w:eastAsia="宋体" w:cs="宋体"/>
                <w:b/>
                <w:bCs/>
                <w:color w:val="auto"/>
                <w:sz w:val="21"/>
                <w:szCs w:val="21"/>
                <w:highlight w:val="none"/>
                <w:shd w:val="clear" w:color="auto" w:fill="FFFFFF"/>
              </w:rPr>
              <w:t>（</w:t>
            </w:r>
            <w:r>
              <w:rPr>
                <w:rFonts w:hint="eastAsia" w:ascii="宋体" w:hAnsi="宋体" w:eastAsia="宋体" w:cs="宋体"/>
                <w:b/>
                <w:bCs/>
                <w:color w:val="auto"/>
                <w:sz w:val="21"/>
                <w:szCs w:val="21"/>
                <w:highlight w:val="none"/>
                <w:shd w:val="clear" w:color="auto" w:fill="FFFFFF"/>
                <w:lang w:val="en-US" w:eastAsia="zh-CN"/>
              </w:rPr>
              <w:t>需根据技术参数要求提供系统视频演示</w:t>
            </w:r>
            <w:r>
              <w:rPr>
                <w:rFonts w:hint="eastAsia" w:ascii="宋体" w:hAnsi="宋体" w:eastAsia="宋体" w:cs="宋体"/>
                <w:b/>
                <w:bCs/>
                <w:color w:val="auto"/>
                <w:sz w:val="21"/>
                <w:szCs w:val="21"/>
                <w:highlight w:val="none"/>
                <w:shd w:val="clear" w:color="auto" w:fill="FFFFFF"/>
              </w:rPr>
              <w:t>）</w:t>
            </w:r>
            <w:r>
              <w:rPr>
                <w:rFonts w:hint="eastAsia" w:ascii="宋体" w:hAnsi="宋体" w:cs="宋体"/>
                <w:b/>
                <w:bCs/>
                <w:color w:val="auto"/>
                <w:szCs w:val="21"/>
                <w:highlight w:val="none"/>
                <w:lang w:val="en-US" w:eastAsia="zh-CN"/>
              </w:rPr>
              <w:t>”的</w:t>
            </w:r>
            <w:r>
              <w:rPr>
                <w:rFonts w:hint="eastAsia" w:ascii="宋体" w:hAnsi="宋体" w:cs="宋体"/>
                <w:b/>
                <w:bCs/>
                <w:color w:val="auto"/>
                <w:szCs w:val="21"/>
                <w:highlight w:val="none"/>
              </w:rPr>
              <w:t>条款要求进行演示；</w:t>
            </w:r>
            <w:r>
              <w:rPr>
                <w:rFonts w:hint="eastAsia" w:ascii="宋体" w:hAnsi="宋体" w:eastAsia="宋体" w:cs="宋体"/>
                <w:b/>
                <w:bCs/>
                <w:color w:val="auto"/>
                <w:highlight w:val="none"/>
                <w:lang w:val="en-US" w:eastAsia="zh-CN"/>
              </w:rPr>
              <w:t>每完整演示1项内容得2分，满分</w:t>
            </w:r>
            <w:r>
              <w:rPr>
                <w:rFonts w:hint="eastAsia" w:ascii="宋体" w:hAnsi="宋体" w:cs="宋体"/>
                <w:b/>
                <w:bCs/>
                <w:color w:val="auto"/>
                <w:highlight w:val="none"/>
                <w:lang w:val="en-US" w:eastAsia="zh-CN"/>
              </w:rPr>
              <w:t>16</w:t>
            </w:r>
            <w:r>
              <w:rPr>
                <w:rFonts w:hint="eastAsia" w:ascii="宋体" w:hAnsi="宋体" w:eastAsia="宋体" w:cs="宋体"/>
                <w:b/>
                <w:bCs/>
                <w:color w:val="auto"/>
                <w:highlight w:val="none"/>
                <w:lang w:val="en-US" w:eastAsia="zh-CN"/>
              </w:rPr>
              <w:t>分。</w:t>
            </w:r>
          </w:p>
          <w:p w14:paraId="416D16AD">
            <w:pPr>
              <w:keepNext w:val="0"/>
              <w:keepLines w:val="0"/>
              <w:pageBreakBefore w:val="0"/>
              <w:suppressLineNumbers w:val="0"/>
              <w:kinsoku/>
              <w:wordWrap/>
              <w:overflowPunct/>
              <w:topLinePunct w:val="0"/>
              <w:autoSpaceDE/>
              <w:autoSpaceDN/>
              <w:bidi w:val="0"/>
              <w:adjustRightInd/>
              <w:spacing w:before="0" w:beforeAutospacing="0" w:after="0" w:afterAutospacing="0" w:line="480" w:lineRule="atLeast"/>
              <w:ind w:left="0" w:right="0"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具体演示内容如下：</w:t>
            </w:r>
          </w:p>
          <w:p w14:paraId="00586F4D">
            <w:pPr>
              <w:keepNext w:val="0"/>
              <w:keepLines w:val="0"/>
              <w:numPr>
                <w:ilvl w:val="0"/>
                <w:numId w:val="0"/>
              </w:numPr>
              <w:suppressLineNumbers w:val="0"/>
              <w:snapToGrid w:val="0"/>
              <w:spacing w:before="0" w:beforeAutospacing="0" w:after="0" w:afterAutospacing="0" w:line="400" w:lineRule="exact"/>
              <w:ind w:left="0" w:leftChars="0" w:right="0" w:rightChars="0"/>
              <w:jc w:val="left"/>
              <w:rPr>
                <w:rFonts w:hint="default" w:ascii="宋体" w:hAnsi="宋体" w:eastAsia="宋体" w:cs="宋体"/>
                <w:b w:val="0"/>
                <w:bCs w:val="0"/>
                <w:color w:val="auto"/>
                <w:kern w:val="2"/>
                <w:sz w:val="21"/>
                <w:szCs w:val="21"/>
                <w:highlight w:val="none"/>
                <w:shd w:val="clear" w:fill="FFFFFF"/>
                <w:lang w:val="en-US" w:eastAsia="zh-CN" w:bidi="ar-SA"/>
              </w:rPr>
            </w:pPr>
            <w:r>
              <w:rPr>
                <w:rFonts w:hint="eastAsia" w:ascii="宋体" w:hAnsi="宋体" w:cs="宋体"/>
                <w:b/>
                <w:bCs/>
                <w:color w:val="auto"/>
                <w:kern w:val="2"/>
                <w:sz w:val="21"/>
                <w:szCs w:val="21"/>
                <w:highlight w:val="none"/>
                <w:shd w:val="clear" w:fill="FFFFFF"/>
                <w:lang w:val="en-US" w:eastAsia="zh-CN" w:bidi="ar-SA"/>
              </w:rPr>
              <w:t>演示1：</w:t>
            </w:r>
          </w:p>
          <w:p w14:paraId="2066109B">
            <w:pPr>
              <w:keepNext w:val="0"/>
              <w:keepLines w:val="0"/>
              <w:numPr>
                <w:ilvl w:val="0"/>
                <w:numId w:val="0"/>
              </w:numPr>
              <w:suppressLineNumbers w:val="0"/>
              <w:snapToGrid w:val="0"/>
              <w:spacing w:before="0" w:beforeAutospacing="0" w:after="0" w:afterAutospacing="0" w:line="400" w:lineRule="exact"/>
              <w:ind w:left="0" w:leftChars="0" w:right="0" w:rightChars="0"/>
              <w:jc w:val="left"/>
              <w:rPr>
                <w:rFonts w:hint="eastAsia" w:ascii="宋体" w:hAnsi="宋体" w:eastAsia="宋体" w:cs="宋体"/>
                <w:b w:val="0"/>
                <w:bCs w:val="0"/>
                <w:color w:val="auto"/>
                <w:kern w:val="2"/>
                <w:sz w:val="21"/>
                <w:szCs w:val="21"/>
                <w:highlight w:val="none"/>
                <w:shd w:val="clear" w:fill="FFFFFF"/>
                <w:lang w:val="en-US" w:eastAsia="zh-CN" w:bidi="ar-SA"/>
              </w:rPr>
            </w:pPr>
            <w:r>
              <w:rPr>
                <w:rFonts w:hint="eastAsia" w:ascii="宋体" w:hAnsi="宋体" w:eastAsia="宋体" w:cs="宋体"/>
                <w:b w:val="0"/>
                <w:bCs w:val="0"/>
                <w:color w:val="auto"/>
                <w:kern w:val="2"/>
                <w:sz w:val="21"/>
                <w:szCs w:val="21"/>
                <w:highlight w:val="none"/>
                <w:shd w:val="clear" w:fill="FFFFFF"/>
                <w:lang w:val="en-US" w:eastAsia="zh-CN" w:bidi="ar-SA"/>
              </w:rPr>
              <w:t>2.科研应用功能体系</w:t>
            </w:r>
          </w:p>
          <w:p w14:paraId="34EB4108">
            <w:pPr>
              <w:keepNext w:val="0"/>
              <w:keepLines w:val="0"/>
              <w:numPr>
                <w:ilvl w:val="0"/>
                <w:numId w:val="0"/>
              </w:numPr>
              <w:suppressLineNumbers w:val="0"/>
              <w:snapToGrid w:val="0"/>
              <w:spacing w:before="0" w:beforeAutospacing="0" w:after="0" w:afterAutospacing="0" w:line="400" w:lineRule="exact"/>
              <w:ind w:left="0" w:leftChars="0" w:right="0" w:rightChars="0"/>
              <w:jc w:val="left"/>
              <w:rPr>
                <w:rFonts w:hint="eastAsia" w:ascii="宋体" w:hAnsi="宋体" w:eastAsia="宋体" w:cs="宋体"/>
                <w:b w:val="0"/>
                <w:bCs w:val="0"/>
                <w:color w:val="auto"/>
                <w:kern w:val="2"/>
                <w:sz w:val="21"/>
                <w:szCs w:val="21"/>
                <w:highlight w:val="none"/>
                <w:shd w:val="clear" w:fill="FFFFFF"/>
                <w:lang w:val="en-US" w:eastAsia="zh-CN" w:bidi="ar-SA"/>
              </w:rPr>
            </w:pPr>
            <w:r>
              <w:rPr>
                <w:rFonts w:hint="eastAsia" w:ascii="宋体" w:hAnsi="宋体" w:eastAsia="宋体" w:cs="宋体"/>
                <w:b w:val="0"/>
                <w:bCs w:val="0"/>
                <w:color w:val="auto"/>
                <w:kern w:val="2"/>
                <w:sz w:val="21"/>
                <w:szCs w:val="21"/>
                <w:highlight w:val="none"/>
                <w:shd w:val="clear" w:fill="FFFFFF"/>
                <w:lang w:val="en-US" w:eastAsia="zh-CN" w:bidi="ar-SA"/>
              </w:rPr>
              <w:t>（1）课题组管理</w:t>
            </w:r>
          </w:p>
          <w:p w14:paraId="405FEDAF">
            <w:pPr>
              <w:keepNext w:val="0"/>
              <w:keepLines w:val="0"/>
              <w:numPr>
                <w:ilvl w:val="0"/>
                <w:numId w:val="0"/>
              </w:numPr>
              <w:suppressLineNumbers w:val="0"/>
              <w:snapToGrid w:val="0"/>
              <w:spacing w:before="0" w:beforeAutospacing="0" w:after="0" w:afterAutospacing="0" w:line="400" w:lineRule="exact"/>
              <w:ind w:left="0" w:leftChars="0" w:right="0" w:rightChars="0"/>
              <w:jc w:val="left"/>
              <w:rPr>
                <w:rFonts w:hint="eastAsia" w:ascii="宋体" w:hAnsi="宋体" w:eastAsia="宋体" w:cs="宋体"/>
                <w:b w:val="0"/>
                <w:bCs w:val="0"/>
                <w:color w:val="auto"/>
                <w:kern w:val="2"/>
                <w:sz w:val="21"/>
                <w:szCs w:val="21"/>
                <w:highlight w:val="none"/>
                <w:shd w:val="clear" w:fill="FFFFFF"/>
                <w:lang w:val="en-US" w:eastAsia="zh-CN" w:bidi="ar-SA"/>
              </w:rPr>
            </w:pPr>
            <w:r>
              <w:rPr>
                <w:rFonts w:hint="eastAsia" w:ascii="宋体" w:hAnsi="宋体" w:eastAsia="宋体" w:cs="宋体"/>
                <w:b w:val="0"/>
                <w:bCs w:val="0"/>
                <w:color w:val="auto"/>
                <w:kern w:val="2"/>
                <w:sz w:val="21"/>
                <w:szCs w:val="21"/>
                <w:highlight w:val="none"/>
                <w:shd w:val="clear" w:fill="FFFFFF"/>
                <w:lang w:val="en-US" w:eastAsia="zh-CN" w:bidi="ar-SA"/>
              </w:rPr>
              <w:t>课题组管理模块支持对科研项目从创建、执行到资源统筹的全流程精细化管控。用户可在样本类型规划中直接定义每种样本的采集和存储要去，并关联具体的制备方案与存储容器等信息。可对课题的基础信息进行规范登记，可按课题组的维度来明确容器归</w:t>
            </w:r>
            <w:r>
              <w:rPr>
                <w:rFonts w:hint="eastAsia" w:ascii="宋体" w:hAnsi="宋体" w:eastAsia="宋体" w:cs="宋体"/>
                <w:color w:val="auto"/>
                <w:sz w:val="21"/>
                <w:szCs w:val="21"/>
                <w:highlight w:val="none"/>
                <w:shd w:val="clear" w:color="auto" w:fill="FFFFFF"/>
              </w:rPr>
              <w:t>属并进行管理，通过合理划分权限和隔离数据确保样本管理合规。可与人员管理模块关联以快速选取成员，同时能通过清晰的信息列表展示成员</w:t>
            </w:r>
            <w:r>
              <w:rPr>
                <w:rFonts w:hint="eastAsia" w:ascii="宋体" w:hAnsi="宋体" w:eastAsia="宋体" w:cs="宋体"/>
                <w:b w:val="0"/>
                <w:bCs w:val="0"/>
                <w:color w:val="auto"/>
                <w:kern w:val="2"/>
                <w:sz w:val="21"/>
                <w:szCs w:val="21"/>
                <w:highlight w:val="none"/>
                <w:shd w:val="clear" w:fill="FFFFFF"/>
                <w:lang w:val="en-US" w:eastAsia="zh-CN" w:bidi="ar-SA"/>
              </w:rPr>
              <w:t>的基本信息。支持课题组成员权限划分，支持自动记录课题组创建、课题组成员增减、课题组信息修改等关键操作。</w:t>
            </w:r>
          </w:p>
          <w:p w14:paraId="3B20A3DE">
            <w:pPr>
              <w:keepNext w:val="0"/>
              <w:keepLines w:val="0"/>
              <w:numPr>
                <w:ilvl w:val="0"/>
                <w:numId w:val="0"/>
              </w:numPr>
              <w:suppressLineNumbers w:val="0"/>
              <w:snapToGrid w:val="0"/>
              <w:spacing w:before="0" w:beforeAutospacing="0" w:after="0" w:afterAutospacing="0" w:line="400" w:lineRule="exact"/>
              <w:ind w:left="0" w:leftChars="0" w:right="0" w:rightChars="0"/>
              <w:jc w:val="left"/>
              <w:rPr>
                <w:rFonts w:hint="eastAsia" w:ascii="宋体" w:hAnsi="宋体" w:eastAsia="宋体" w:cs="宋体"/>
                <w:b w:val="0"/>
                <w:bCs w:val="0"/>
                <w:color w:val="auto"/>
                <w:kern w:val="2"/>
                <w:sz w:val="21"/>
                <w:szCs w:val="21"/>
                <w:highlight w:val="none"/>
                <w:shd w:val="clear" w:fill="FFFFFF"/>
                <w:lang w:val="en-US" w:eastAsia="zh-CN" w:bidi="ar-SA"/>
              </w:rPr>
            </w:pPr>
            <w:r>
              <w:rPr>
                <w:rFonts w:hint="eastAsia" w:ascii="宋体" w:hAnsi="宋体" w:cs="宋体"/>
                <w:b/>
                <w:bCs/>
                <w:color w:val="auto"/>
                <w:kern w:val="2"/>
                <w:sz w:val="21"/>
                <w:szCs w:val="21"/>
                <w:highlight w:val="none"/>
                <w:shd w:val="clear" w:fill="FFFFFF"/>
                <w:lang w:val="en-US" w:eastAsia="zh-CN" w:bidi="ar-SA"/>
              </w:rPr>
              <w:t>演示2：</w:t>
            </w:r>
          </w:p>
          <w:p w14:paraId="4A098783">
            <w:pPr>
              <w:keepNext w:val="0"/>
              <w:keepLines w:val="0"/>
              <w:numPr>
                <w:ilvl w:val="0"/>
                <w:numId w:val="0"/>
              </w:numPr>
              <w:suppressLineNumbers w:val="0"/>
              <w:snapToGrid w:val="0"/>
              <w:spacing w:before="0" w:beforeAutospacing="0" w:after="0" w:afterAutospacing="0" w:line="400" w:lineRule="exact"/>
              <w:ind w:left="0" w:leftChars="0" w:right="0" w:rightChars="0"/>
              <w:jc w:val="left"/>
              <w:rPr>
                <w:rFonts w:hint="eastAsia" w:ascii="宋体" w:hAnsi="宋体" w:eastAsia="宋体" w:cs="宋体"/>
                <w:b w:val="0"/>
                <w:bCs w:val="0"/>
                <w:color w:val="auto"/>
                <w:kern w:val="2"/>
                <w:sz w:val="21"/>
                <w:szCs w:val="21"/>
                <w:highlight w:val="none"/>
                <w:shd w:val="clear" w:fill="FFFFFF"/>
                <w:lang w:val="en-US" w:eastAsia="zh-CN" w:bidi="ar-SA"/>
              </w:rPr>
            </w:pPr>
            <w:r>
              <w:rPr>
                <w:rFonts w:hint="eastAsia" w:ascii="宋体" w:hAnsi="宋体" w:eastAsia="宋体" w:cs="宋体"/>
                <w:b w:val="0"/>
                <w:bCs w:val="0"/>
                <w:color w:val="auto"/>
                <w:kern w:val="2"/>
                <w:sz w:val="21"/>
                <w:szCs w:val="21"/>
                <w:highlight w:val="none"/>
                <w:shd w:val="clear" w:fill="FFFFFF"/>
                <w:lang w:val="en-US" w:eastAsia="zh-CN" w:bidi="ar-SA"/>
              </w:rPr>
              <w:t>（4）科研知识库</w:t>
            </w:r>
          </w:p>
          <w:p w14:paraId="3F624D4B">
            <w:pPr>
              <w:keepNext w:val="0"/>
              <w:keepLines w:val="0"/>
              <w:numPr>
                <w:ilvl w:val="0"/>
                <w:numId w:val="0"/>
              </w:numPr>
              <w:suppressLineNumbers w:val="0"/>
              <w:snapToGrid w:val="0"/>
              <w:spacing w:before="0" w:beforeAutospacing="0" w:after="0" w:afterAutospacing="0" w:line="400" w:lineRule="exact"/>
              <w:ind w:left="0" w:leftChars="0" w:right="0" w:rightChars="0"/>
              <w:jc w:val="left"/>
              <w:rPr>
                <w:rFonts w:hint="eastAsia" w:ascii="宋体" w:hAnsi="宋体" w:eastAsia="宋体" w:cs="宋体"/>
                <w:b w:val="0"/>
                <w:bCs w:val="0"/>
                <w:color w:val="auto"/>
                <w:kern w:val="2"/>
                <w:sz w:val="21"/>
                <w:szCs w:val="21"/>
                <w:highlight w:val="none"/>
                <w:shd w:val="clear" w:fill="FFFFFF"/>
                <w:lang w:val="en-US" w:eastAsia="zh-CN" w:bidi="ar-SA"/>
              </w:rPr>
            </w:pPr>
            <w:r>
              <w:rPr>
                <w:rFonts w:hint="eastAsia" w:ascii="宋体" w:hAnsi="宋体" w:eastAsia="宋体" w:cs="宋体"/>
                <w:b w:val="0"/>
                <w:bCs w:val="0"/>
                <w:color w:val="auto"/>
                <w:kern w:val="2"/>
                <w:sz w:val="21"/>
                <w:szCs w:val="21"/>
                <w:highlight w:val="none"/>
                <w:shd w:val="clear" w:fill="FFFFFF"/>
                <w:lang w:val="en-US" w:eastAsia="zh-CN" w:bidi="ar-SA"/>
              </w:rPr>
              <w:t>系统支持对知识内容进行权限层级设定，支持知识内容的新增功能，可对知识分类、知识版本、知识名称、知识来源、关键词等信息进行添加与编辑。具备内容分类功能</w:t>
            </w:r>
            <w:r>
              <w:rPr>
                <w:rFonts w:hint="eastAsia" w:ascii="宋体" w:hAnsi="宋体" w:eastAsia="宋体" w:cs="宋体"/>
                <w:color w:val="auto"/>
                <w:sz w:val="21"/>
                <w:szCs w:val="21"/>
                <w:highlight w:val="none"/>
                <w:shd w:val="clear" w:color="auto" w:fill="FFFFFF"/>
              </w:rPr>
              <w:t>，可按照预设的多级分类体系（如法律法规、国标和团标、科研资料、认可体系文件、操作标准和规范、数据记录等）对内容进行归类并展示。知识的访问权限需要受控,支持知识的内容版本管理，记录每篇内容的修改历史,支持在知识列表页面直接阅览知识正文，同时，阅览页面可自动展示水</w:t>
            </w:r>
            <w:r>
              <w:rPr>
                <w:rFonts w:hint="eastAsia" w:ascii="宋体" w:hAnsi="宋体" w:eastAsia="宋体" w:cs="宋体"/>
                <w:b w:val="0"/>
                <w:bCs w:val="0"/>
                <w:color w:val="auto"/>
                <w:kern w:val="2"/>
                <w:sz w:val="21"/>
                <w:szCs w:val="21"/>
                <w:highlight w:val="none"/>
                <w:shd w:val="clear" w:fill="FFFFFF"/>
                <w:lang w:val="en-US" w:eastAsia="zh-CN" w:bidi="ar-SA"/>
              </w:rPr>
              <w:t>印，且水印内容能根据用户的具体需求进行灵活调整。</w:t>
            </w:r>
          </w:p>
          <w:p w14:paraId="7838D6CD">
            <w:pPr>
              <w:keepNext w:val="0"/>
              <w:keepLines w:val="0"/>
              <w:numPr>
                <w:ilvl w:val="0"/>
                <w:numId w:val="0"/>
              </w:numPr>
              <w:suppressLineNumbers w:val="0"/>
              <w:snapToGrid w:val="0"/>
              <w:spacing w:before="0" w:beforeAutospacing="0" w:after="0" w:afterAutospacing="0" w:line="400" w:lineRule="exact"/>
              <w:ind w:left="0" w:leftChars="0" w:right="0" w:rightChars="0"/>
              <w:jc w:val="left"/>
              <w:rPr>
                <w:rFonts w:hint="eastAsia" w:ascii="宋体" w:hAnsi="宋体" w:eastAsia="宋体" w:cs="宋体"/>
                <w:b w:val="0"/>
                <w:bCs w:val="0"/>
                <w:color w:val="auto"/>
                <w:kern w:val="2"/>
                <w:sz w:val="21"/>
                <w:szCs w:val="21"/>
                <w:highlight w:val="none"/>
                <w:shd w:val="clear" w:fill="FFFFFF"/>
                <w:lang w:val="en-US" w:eastAsia="zh-CN" w:bidi="ar-SA"/>
              </w:rPr>
            </w:pPr>
            <w:r>
              <w:rPr>
                <w:rFonts w:hint="eastAsia" w:ascii="宋体" w:hAnsi="宋体" w:cs="宋体"/>
                <w:b/>
                <w:bCs/>
                <w:color w:val="auto"/>
                <w:kern w:val="2"/>
                <w:sz w:val="21"/>
                <w:szCs w:val="21"/>
                <w:highlight w:val="none"/>
                <w:shd w:val="clear" w:fill="FFFFFF"/>
                <w:lang w:val="en-US" w:eastAsia="zh-CN" w:bidi="ar-SA"/>
              </w:rPr>
              <w:t>演示3：</w:t>
            </w:r>
          </w:p>
          <w:p w14:paraId="5762DFB0">
            <w:pPr>
              <w:keepNext w:val="0"/>
              <w:keepLines w:val="0"/>
              <w:numPr>
                <w:ilvl w:val="0"/>
                <w:numId w:val="0"/>
              </w:numPr>
              <w:suppressLineNumbers w:val="0"/>
              <w:snapToGrid w:val="0"/>
              <w:spacing w:before="0" w:beforeAutospacing="0" w:after="0" w:afterAutospacing="0" w:line="400" w:lineRule="exact"/>
              <w:ind w:left="0" w:leftChars="0" w:right="0" w:rightChars="0"/>
              <w:jc w:val="left"/>
              <w:rPr>
                <w:rFonts w:hint="eastAsia" w:ascii="宋体" w:hAnsi="宋体" w:eastAsia="宋体" w:cs="宋体"/>
                <w:b w:val="0"/>
                <w:bCs w:val="0"/>
                <w:color w:val="auto"/>
                <w:kern w:val="2"/>
                <w:sz w:val="21"/>
                <w:szCs w:val="21"/>
                <w:highlight w:val="none"/>
                <w:shd w:val="clear" w:fill="FFFFFF"/>
                <w:lang w:val="en-US" w:eastAsia="zh-CN" w:bidi="ar-SA"/>
              </w:rPr>
            </w:pPr>
            <w:r>
              <w:rPr>
                <w:rFonts w:hint="eastAsia" w:ascii="宋体" w:hAnsi="宋体" w:eastAsia="宋体" w:cs="宋体"/>
                <w:b w:val="0"/>
                <w:bCs w:val="0"/>
                <w:color w:val="auto"/>
                <w:kern w:val="2"/>
                <w:sz w:val="21"/>
                <w:szCs w:val="21"/>
                <w:highlight w:val="none"/>
                <w:shd w:val="clear" w:fill="FFFFFF"/>
                <w:lang w:val="en-US" w:eastAsia="zh-CN" w:bidi="ar-SA"/>
              </w:rPr>
              <w:t>3．业务流程功能体系</w:t>
            </w:r>
          </w:p>
          <w:p w14:paraId="5EE7DFC4">
            <w:pPr>
              <w:keepNext w:val="0"/>
              <w:keepLines w:val="0"/>
              <w:numPr>
                <w:ilvl w:val="0"/>
                <w:numId w:val="0"/>
              </w:numPr>
              <w:suppressLineNumbers w:val="0"/>
              <w:snapToGrid w:val="0"/>
              <w:spacing w:before="0" w:beforeAutospacing="0" w:after="0" w:afterAutospacing="0" w:line="400" w:lineRule="exact"/>
              <w:ind w:left="0" w:leftChars="0" w:right="0" w:rightChars="0"/>
              <w:jc w:val="left"/>
              <w:rPr>
                <w:rFonts w:hint="eastAsia" w:ascii="宋体" w:hAnsi="宋体" w:eastAsia="宋体" w:cs="宋体"/>
                <w:b w:val="0"/>
                <w:bCs w:val="0"/>
                <w:color w:val="auto"/>
                <w:kern w:val="2"/>
                <w:sz w:val="21"/>
                <w:szCs w:val="21"/>
                <w:highlight w:val="none"/>
                <w:shd w:val="clear" w:fill="FFFFFF"/>
                <w:lang w:val="en-US" w:eastAsia="zh-CN" w:bidi="ar-SA"/>
              </w:rPr>
            </w:pPr>
            <w:r>
              <w:rPr>
                <w:rFonts w:hint="eastAsia" w:ascii="宋体" w:hAnsi="宋体" w:eastAsia="宋体" w:cs="宋体"/>
                <w:b w:val="0"/>
                <w:bCs w:val="0"/>
                <w:color w:val="auto"/>
                <w:kern w:val="2"/>
                <w:sz w:val="21"/>
                <w:szCs w:val="21"/>
                <w:highlight w:val="none"/>
                <w:shd w:val="clear" w:fill="FFFFFF"/>
                <w:lang w:val="en-US" w:eastAsia="zh-CN" w:bidi="ar-SA"/>
              </w:rPr>
              <w:t>（1）标本采集与制备</w:t>
            </w:r>
          </w:p>
          <w:p w14:paraId="1C358929">
            <w:pPr>
              <w:keepNext w:val="0"/>
              <w:keepLines w:val="0"/>
              <w:numPr>
                <w:ilvl w:val="0"/>
                <w:numId w:val="0"/>
              </w:numPr>
              <w:suppressLineNumbers w:val="0"/>
              <w:snapToGrid w:val="0"/>
              <w:spacing w:before="0" w:beforeAutospacing="0" w:after="0" w:afterAutospacing="0" w:line="400" w:lineRule="exact"/>
              <w:ind w:left="0" w:leftChars="0" w:right="0" w:rightChars="0"/>
              <w:jc w:val="left"/>
              <w:rPr>
                <w:rFonts w:hint="eastAsia" w:ascii="宋体" w:hAnsi="宋体" w:eastAsia="宋体" w:cs="宋体"/>
                <w:b w:val="0"/>
                <w:bCs w:val="0"/>
                <w:color w:val="auto"/>
                <w:kern w:val="2"/>
                <w:sz w:val="21"/>
                <w:szCs w:val="21"/>
                <w:highlight w:val="none"/>
                <w:shd w:val="clear" w:fill="FFFFFF"/>
                <w:lang w:val="en-US" w:eastAsia="zh-CN" w:bidi="ar-SA"/>
              </w:rPr>
            </w:pPr>
            <w:r>
              <w:rPr>
                <w:rFonts w:hint="eastAsia" w:ascii="宋体" w:hAnsi="宋体" w:eastAsia="宋体" w:cs="宋体"/>
                <w:b w:val="0"/>
                <w:bCs w:val="0"/>
                <w:color w:val="auto"/>
                <w:kern w:val="2"/>
                <w:sz w:val="21"/>
                <w:szCs w:val="21"/>
                <w:highlight w:val="none"/>
                <w:shd w:val="clear" w:fill="FFFFFF"/>
                <w:lang w:val="en-US" w:eastAsia="zh-CN" w:bidi="ar-SA"/>
              </w:rPr>
              <w:t>⑤要求系统的标本登记和制备操作必须简单易用，每个节点的点击次数保证在三步以内完成，系统支持按照标本归属配置处理方案，自动拉取样本分装全量信息。适配不</w:t>
            </w:r>
            <w:r>
              <w:rPr>
                <w:rFonts w:hint="eastAsia" w:ascii="宋体" w:hAnsi="宋体" w:eastAsia="宋体" w:cs="宋体"/>
                <w:color w:val="auto"/>
                <w:sz w:val="21"/>
                <w:szCs w:val="21"/>
                <w:highlight w:val="none"/>
                <w:shd w:val="clear" w:color="auto" w:fill="FFFFFF"/>
              </w:rPr>
              <w:t>同冻存盒规格与存储需求；结合可视化整盘扫描、样本位置拖动调整。在标本处理过程中，支持扫码记录时间，可填写采集、接收、处理、暂存等时间信息。制备过程中能够批量录入扩展数据，或</w:t>
            </w:r>
            <w:r>
              <w:rPr>
                <w:rFonts w:hint="eastAsia" w:ascii="宋体" w:hAnsi="宋体" w:cs="宋体"/>
                <w:color w:val="auto"/>
                <w:sz w:val="21"/>
                <w:szCs w:val="21"/>
                <w:highlight w:val="none"/>
                <w:shd w:val="clear" w:color="auto" w:fill="FFFFFF"/>
                <w:lang w:val="en-US" w:eastAsia="zh-CN"/>
              </w:rPr>
              <w:t>者</w:t>
            </w:r>
            <w:r>
              <w:rPr>
                <w:rFonts w:hint="eastAsia" w:ascii="宋体" w:hAnsi="宋体" w:eastAsia="宋体" w:cs="宋体"/>
                <w:color w:val="auto"/>
                <w:sz w:val="21"/>
                <w:szCs w:val="21"/>
                <w:highlight w:val="none"/>
                <w:shd w:val="clear" w:color="auto" w:fill="FFFFFF"/>
              </w:rPr>
              <w:t>批量录入同一种类型的扩展数据</w:t>
            </w:r>
            <w:r>
              <w:rPr>
                <w:rFonts w:hint="eastAsia" w:ascii="宋体" w:hAnsi="宋体" w:eastAsia="宋体" w:cs="宋体"/>
                <w:b w:val="0"/>
                <w:bCs w:val="0"/>
                <w:color w:val="auto"/>
                <w:kern w:val="2"/>
                <w:sz w:val="21"/>
                <w:szCs w:val="21"/>
                <w:highlight w:val="none"/>
                <w:shd w:val="clear" w:fill="FFFFFF"/>
                <w:lang w:val="en-US" w:eastAsia="zh-CN" w:bidi="ar-SA"/>
              </w:rPr>
              <w:t>，避免每个样本都需要录入一次等复杂操作。需要支持备注信息的统一填写。</w:t>
            </w:r>
          </w:p>
          <w:p w14:paraId="606E4F8E">
            <w:pPr>
              <w:keepNext w:val="0"/>
              <w:keepLines w:val="0"/>
              <w:numPr>
                <w:ilvl w:val="0"/>
                <w:numId w:val="0"/>
              </w:numPr>
              <w:suppressLineNumbers w:val="0"/>
              <w:snapToGrid w:val="0"/>
              <w:spacing w:before="0" w:beforeAutospacing="0" w:after="0" w:afterAutospacing="0" w:line="400" w:lineRule="exact"/>
              <w:ind w:left="0" w:leftChars="0" w:right="0" w:rightChars="0"/>
              <w:jc w:val="left"/>
              <w:rPr>
                <w:rFonts w:hint="eastAsia" w:ascii="宋体" w:hAnsi="宋体" w:eastAsia="宋体" w:cs="宋体"/>
                <w:b w:val="0"/>
                <w:bCs w:val="0"/>
                <w:color w:val="auto"/>
                <w:kern w:val="2"/>
                <w:sz w:val="21"/>
                <w:szCs w:val="21"/>
                <w:highlight w:val="none"/>
                <w:shd w:val="clear" w:fill="FFFFFF"/>
                <w:lang w:val="en-US" w:eastAsia="zh-CN" w:bidi="ar-SA"/>
              </w:rPr>
            </w:pPr>
            <w:r>
              <w:rPr>
                <w:rFonts w:hint="eastAsia" w:ascii="宋体" w:hAnsi="宋体" w:cs="宋体"/>
                <w:b/>
                <w:bCs/>
                <w:color w:val="auto"/>
                <w:kern w:val="2"/>
                <w:sz w:val="21"/>
                <w:szCs w:val="21"/>
                <w:highlight w:val="none"/>
                <w:shd w:val="clear" w:fill="FFFFFF"/>
                <w:lang w:val="en-US" w:eastAsia="zh-CN" w:bidi="ar-SA"/>
              </w:rPr>
              <w:t>演示4：</w:t>
            </w:r>
          </w:p>
          <w:p w14:paraId="58BA03B5">
            <w:pPr>
              <w:keepNext w:val="0"/>
              <w:keepLines w:val="0"/>
              <w:numPr>
                <w:ilvl w:val="0"/>
                <w:numId w:val="0"/>
              </w:numPr>
              <w:suppressLineNumbers w:val="0"/>
              <w:snapToGrid w:val="0"/>
              <w:spacing w:before="0" w:beforeAutospacing="0" w:after="0" w:afterAutospacing="0" w:line="400" w:lineRule="exact"/>
              <w:ind w:left="0" w:leftChars="0" w:right="0" w:rightChars="0"/>
              <w:jc w:val="left"/>
              <w:rPr>
                <w:rFonts w:hint="eastAsia" w:ascii="宋体" w:hAnsi="宋体" w:eastAsia="宋体" w:cs="宋体"/>
                <w:b w:val="0"/>
                <w:bCs w:val="0"/>
                <w:color w:val="auto"/>
                <w:kern w:val="2"/>
                <w:sz w:val="21"/>
                <w:szCs w:val="21"/>
                <w:highlight w:val="none"/>
                <w:shd w:val="clear" w:fill="FFFFFF"/>
                <w:lang w:val="en-US" w:eastAsia="zh-CN" w:bidi="ar-SA"/>
              </w:rPr>
            </w:pPr>
            <w:r>
              <w:rPr>
                <w:rFonts w:hint="eastAsia" w:ascii="宋体" w:hAnsi="宋体" w:eastAsia="宋体" w:cs="宋体"/>
                <w:b w:val="0"/>
                <w:bCs w:val="0"/>
                <w:color w:val="auto"/>
                <w:kern w:val="2"/>
                <w:sz w:val="21"/>
                <w:szCs w:val="21"/>
                <w:highlight w:val="none"/>
                <w:shd w:val="clear" w:fill="FFFFFF"/>
                <w:lang w:val="en-US" w:eastAsia="zh-CN" w:bidi="ar-SA"/>
              </w:rPr>
              <w:t>（3）样本入库与存储</w:t>
            </w:r>
          </w:p>
          <w:p w14:paraId="6BEB0E07">
            <w:pPr>
              <w:keepNext w:val="0"/>
              <w:keepLines w:val="0"/>
              <w:numPr>
                <w:ilvl w:val="0"/>
                <w:numId w:val="0"/>
              </w:numPr>
              <w:suppressLineNumbers w:val="0"/>
              <w:snapToGrid w:val="0"/>
              <w:spacing w:before="0" w:beforeAutospacing="0" w:after="0" w:afterAutospacing="0" w:line="400" w:lineRule="exact"/>
              <w:ind w:left="0" w:leftChars="0" w:right="0" w:rightChars="0"/>
              <w:jc w:val="left"/>
              <w:rPr>
                <w:rFonts w:hint="eastAsia" w:ascii="宋体" w:hAnsi="宋体" w:eastAsia="宋体" w:cs="宋体"/>
                <w:color w:val="auto"/>
                <w:sz w:val="21"/>
                <w:szCs w:val="21"/>
                <w:highlight w:val="none"/>
                <w:shd w:val="clear" w:color="auto" w:fill="FFFFFF"/>
              </w:rPr>
            </w:pPr>
            <w:r>
              <w:rPr>
                <w:rFonts w:hint="eastAsia" w:ascii="宋体" w:hAnsi="宋体" w:eastAsia="宋体" w:cs="宋体"/>
                <w:b w:val="0"/>
                <w:bCs w:val="0"/>
                <w:color w:val="auto"/>
                <w:kern w:val="2"/>
                <w:sz w:val="21"/>
                <w:szCs w:val="21"/>
                <w:highlight w:val="none"/>
                <w:shd w:val="clear" w:fill="FFFFFF"/>
                <w:lang w:val="en-US" w:eastAsia="zh-CN" w:bidi="ar-SA"/>
              </w:rPr>
              <w:t>②系统支持样本信息模板导入功能，用户可将标准化整理的样本数据通过预设模板文件快速导入系统，适配大规模样本登记场景。导入时需要同时导入样本和来源，并且需要支持样本来源数据的自动补全。</w:t>
            </w:r>
          </w:p>
          <w:p w14:paraId="723F3563">
            <w:pPr>
              <w:pStyle w:val="5"/>
              <w:keepNext w:val="0"/>
              <w:keepLines w:val="0"/>
              <w:widowControl/>
              <w:suppressLineNumbers w:val="0"/>
              <w:spacing w:before="0" w:beforeAutospacing="0" w:after="0" w:afterAutospacing="0" w:line="240" w:lineRule="auto"/>
              <w:ind w:left="0" w:right="0" w:firstLine="0" w:firstLineChars="0"/>
              <w:jc w:val="left"/>
              <w:rPr>
                <w:rFonts w:hint="eastAsia" w:ascii="宋体" w:hAnsi="宋体" w:eastAsia="宋体" w:cs="宋体"/>
                <w:b/>
                <w:bCs/>
                <w:color w:val="auto"/>
                <w:kern w:val="2"/>
                <w:sz w:val="21"/>
                <w:szCs w:val="21"/>
                <w:highlight w:val="none"/>
                <w:shd w:val="clear" w:fill="FFFFFF"/>
                <w:lang w:val="en-US" w:eastAsia="zh-CN" w:bidi="ar-SA"/>
              </w:rPr>
            </w:pPr>
            <w:r>
              <w:rPr>
                <w:rFonts w:hint="eastAsia" w:ascii="宋体" w:hAnsi="宋体" w:eastAsia="宋体" w:cs="宋体"/>
                <w:b/>
                <w:bCs/>
                <w:color w:val="auto"/>
                <w:kern w:val="2"/>
                <w:sz w:val="21"/>
                <w:szCs w:val="21"/>
                <w:highlight w:val="none"/>
                <w:shd w:val="clear" w:fill="FFFFFF"/>
                <w:lang w:val="en-US" w:eastAsia="zh-CN" w:bidi="ar-SA"/>
              </w:rPr>
              <w:t>演示5：</w:t>
            </w:r>
          </w:p>
          <w:p w14:paraId="2BD971E7">
            <w:pPr>
              <w:pStyle w:val="5"/>
              <w:keepNext w:val="0"/>
              <w:keepLines w:val="0"/>
              <w:widowControl/>
              <w:suppressLineNumbers w:val="0"/>
              <w:spacing w:before="0" w:beforeAutospacing="0" w:after="0" w:afterAutospacing="0" w:line="240" w:lineRule="auto"/>
              <w:ind w:left="0" w:right="0" w:firstLine="0" w:firstLineChars="0"/>
              <w:jc w:val="left"/>
              <w:rPr>
                <w:rFonts w:hint="eastAsia" w:ascii="宋体" w:hAnsi="宋体" w:eastAsia="宋体" w:cs="宋体"/>
                <w:b w:val="0"/>
                <w:bCs w:val="0"/>
                <w:color w:val="auto"/>
                <w:kern w:val="2"/>
                <w:sz w:val="21"/>
                <w:szCs w:val="21"/>
                <w:highlight w:val="none"/>
                <w:shd w:val="clear" w:fill="FFFFFF"/>
                <w:lang w:val="en-US" w:eastAsia="zh-CN" w:bidi="ar-SA"/>
              </w:rPr>
            </w:pPr>
            <w:r>
              <w:rPr>
                <w:rFonts w:hint="eastAsia" w:ascii="宋体" w:hAnsi="宋体" w:eastAsia="宋体" w:cs="宋体"/>
                <w:b w:val="0"/>
                <w:bCs w:val="0"/>
                <w:color w:val="auto"/>
                <w:kern w:val="2"/>
                <w:sz w:val="21"/>
                <w:szCs w:val="21"/>
                <w:highlight w:val="none"/>
                <w:shd w:val="clear" w:fill="FFFFFF"/>
                <w:lang w:val="en-US" w:eastAsia="zh-CN" w:bidi="ar-SA"/>
              </w:rPr>
              <w:t>（3）样本入库与存储</w:t>
            </w:r>
          </w:p>
          <w:p w14:paraId="5CB45294">
            <w:pPr>
              <w:pStyle w:val="5"/>
              <w:keepNext w:val="0"/>
              <w:keepLines w:val="0"/>
              <w:widowControl/>
              <w:suppressLineNumbers w:val="0"/>
              <w:spacing w:before="0" w:beforeAutospacing="0" w:after="0" w:afterAutospacing="0" w:line="240" w:lineRule="auto"/>
              <w:ind w:left="0" w:right="0" w:firstLine="0" w:firstLineChars="0"/>
              <w:jc w:val="left"/>
              <w:rPr>
                <w:rFonts w:hint="eastAsia" w:ascii="宋体" w:hAnsi="宋体" w:eastAsia="宋体" w:cs="宋体"/>
                <w:b/>
                <w:bCs/>
                <w:color w:val="auto"/>
                <w:kern w:val="2"/>
                <w:sz w:val="21"/>
                <w:szCs w:val="21"/>
                <w:highlight w:val="none"/>
                <w:shd w:val="clear" w:fill="FFFFFF"/>
                <w:lang w:val="en-US" w:eastAsia="zh-CN" w:bidi="ar-SA"/>
              </w:rPr>
            </w:pPr>
            <w:r>
              <w:rPr>
                <w:rFonts w:hint="eastAsia" w:ascii="宋体" w:hAnsi="宋体" w:eastAsia="宋体" w:cs="宋体"/>
                <w:b w:val="0"/>
                <w:bCs w:val="0"/>
                <w:color w:val="auto"/>
                <w:kern w:val="2"/>
                <w:sz w:val="21"/>
                <w:szCs w:val="21"/>
                <w:highlight w:val="none"/>
                <w:shd w:val="clear" w:fill="FFFFFF"/>
                <w:lang w:val="en-US" w:eastAsia="zh-CN" w:bidi="ar-SA"/>
              </w:rPr>
              <w:t>⑤系统支持样本信息全流程追溯，需要能够明确追溯到样本的采集时间、登记时间、制备时间、入库时间、出库时间、归档时间；系统需要支持对样本的生命周期和位置变动记录进行追溯；需要支持同批次样本的信息对照功能，并能够快速定位到样本的存储位置。</w:t>
            </w:r>
          </w:p>
          <w:p w14:paraId="78DC271F">
            <w:pPr>
              <w:pStyle w:val="5"/>
              <w:keepNext w:val="0"/>
              <w:keepLines w:val="0"/>
              <w:widowControl/>
              <w:suppressLineNumbers w:val="0"/>
              <w:spacing w:before="0" w:beforeAutospacing="0" w:after="0" w:afterAutospacing="0" w:line="240" w:lineRule="auto"/>
              <w:ind w:left="0" w:right="0" w:firstLine="0" w:firstLineChars="0"/>
              <w:jc w:val="left"/>
              <w:rPr>
                <w:rFonts w:hint="eastAsia" w:ascii="宋体" w:hAnsi="宋体" w:eastAsia="宋体" w:cs="宋体"/>
                <w:b/>
                <w:bCs/>
                <w:color w:val="auto"/>
                <w:kern w:val="2"/>
                <w:sz w:val="21"/>
                <w:szCs w:val="21"/>
                <w:highlight w:val="none"/>
                <w:shd w:val="clear" w:fill="FFFFFF"/>
                <w:lang w:val="en-US" w:eastAsia="zh-CN" w:bidi="ar-SA"/>
              </w:rPr>
            </w:pPr>
            <w:r>
              <w:rPr>
                <w:rFonts w:hint="eastAsia" w:ascii="宋体" w:hAnsi="宋体" w:eastAsia="宋体" w:cs="宋体"/>
                <w:b/>
                <w:bCs/>
                <w:color w:val="auto"/>
                <w:kern w:val="2"/>
                <w:sz w:val="21"/>
                <w:szCs w:val="21"/>
                <w:highlight w:val="none"/>
                <w:shd w:val="clear" w:fill="FFFFFF"/>
                <w:lang w:val="en-US" w:eastAsia="zh-CN" w:bidi="ar-SA"/>
              </w:rPr>
              <w:t>演示6：</w:t>
            </w:r>
          </w:p>
          <w:p w14:paraId="62072256">
            <w:pPr>
              <w:pStyle w:val="5"/>
              <w:keepNext w:val="0"/>
              <w:keepLines w:val="0"/>
              <w:widowControl/>
              <w:suppressLineNumbers w:val="0"/>
              <w:spacing w:before="0" w:beforeAutospacing="0" w:after="0" w:afterAutospacing="0" w:line="240" w:lineRule="auto"/>
              <w:ind w:left="0" w:right="0" w:firstLine="0" w:firstLineChars="0"/>
              <w:jc w:val="left"/>
              <w:rPr>
                <w:rFonts w:hint="eastAsia" w:ascii="宋体" w:hAnsi="宋体" w:eastAsia="宋体" w:cs="宋体"/>
                <w:b w:val="0"/>
                <w:bCs w:val="0"/>
                <w:color w:val="auto"/>
                <w:sz w:val="21"/>
                <w:szCs w:val="21"/>
                <w:highlight w:val="none"/>
                <w:shd w:val="clear" w:color="auto" w:fill="FFFFFF"/>
              </w:rPr>
            </w:pPr>
            <w:r>
              <w:rPr>
                <w:rFonts w:hint="eastAsia" w:ascii="宋体" w:hAnsi="宋体" w:eastAsia="宋体" w:cs="宋体"/>
                <w:b w:val="0"/>
                <w:color w:val="auto"/>
                <w:sz w:val="21"/>
                <w:szCs w:val="21"/>
                <w:highlight w:val="none"/>
                <w:shd w:val="clear" w:color="auto" w:fill="FFFFFF"/>
              </w:rPr>
              <w:t>5．质量管控功能体系</w:t>
            </w:r>
          </w:p>
          <w:p w14:paraId="1FF2A7F5">
            <w:pPr>
              <w:pStyle w:val="5"/>
              <w:keepNext w:val="0"/>
              <w:keepLines w:val="0"/>
              <w:widowControl/>
              <w:suppressLineNumbers w:val="0"/>
              <w:spacing w:before="0" w:beforeAutospacing="0" w:after="0" w:afterAutospacing="0" w:line="240" w:lineRule="auto"/>
              <w:ind w:left="0" w:right="0" w:firstLine="0" w:firstLineChars="0"/>
              <w:jc w:val="left"/>
              <w:rPr>
                <w:rFonts w:hint="eastAsia" w:ascii="宋体" w:hAnsi="宋体" w:eastAsia="宋体" w:cs="宋体"/>
                <w:b w:val="0"/>
                <w:bCs w:val="0"/>
                <w:color w:val="auto"/>
                <w:sz w:val="21"/>
                <w:szCs w:val="21"/>
                <w:highlight w:val="none"/>
                <w:shd w:val="clear" w:color="auto" w:fill="FFFFFF"/>
              </w:rPr>
            </w:pPr>
            <w:r>
              <w:rPr>
                <w:rFonts w:hint="eastAsia" w:ascii="宋体" w:hAnsi="宋体" w:eastAsia="宋体" w:cs="宋体"/>
                <w:b w:val="0"/>
                <w:bCs w:val="0"/>
                <w:color w:val="auto"/>
                <w:sz w:val="21"/>
                <w:szCs w:val="21"/>
                <w:highlight w:val="none"/>
                <w:shd w:val="clear" w:color="auto" w:fill="FFFFFF"/>
              </w:rPr>
              <w:t>（5）预警管理</w:t>
            </w:r>
          </w:p>
          <w:p w14:paraId="22A946F4">
            <w:pPr>
              <w:keepNext w:val="0"/>
              <w:keepLines w:val="0"/>
              <w:numPr>
                <w:ilvl w:val="0"/>
                <w:numId w:val="0"/>
              </w:numPr>
              <w:suppressLineNumbers w:val="0"/>
              <w:snapToGrid w:val="0"/>
              <w:spacing w:before="0" w:beforeAutospacing="0" w:after="0" w:afterAutospacing="0" w:line="400" w:lineRule="exact"/>
              <w:ind w:left="0" w:leftChars="0" w:right="0" w:rightChars="0"/>
              <w:jc w:val="left"/>
              <w:rPr>
                <w:rFonts w:hint="eastAsia" w:ascii="宋体" w:hAnsi="宋体" w:eastAsia="宋体" w:cs="宋体"/>
                <w:b w:val="0"/>
                <w:bCs w:val="0"/>
                <w:color w:val="auto"/>
                <w:kern w:val="2"/>
                <w:sz w:val="21"/>
                <w:szCs w:val="21"/>
                <w:highlight w:val="none"/>
                <w:shd w:val="clear" w:fill="FFFFFF"/>
                <w:lang w:val="en-US" w:eastAsia="zh-CN" w:bidi="ar-SA"/>
              </w:rPr>
            </w:pPr>
            <w:r>
              <w:rPr>
                <w:rFonts w:hint="eastAsia" w:cs="宋体"/>
                <w:color w:val="auto"/>
                <w:sz w:val="21"/>
                <w:szCs w:val="21"/>
                <w:highlight w:val="none"/>
                <w:shd w:val="clear" w:color="auto" w:fill="FFFFFF"/>
                <w:lang w:val="en-US" w:eastAsia="zh-CN"/>
              </w:rPr>
              <w:t>①</w:t>
            </w:r>
            <w:r>
              <w:rPr>
                <w:rFonts w:hint="eastAsia" w:ascii="宋体" w:hAnsi="宋体" w:eastAsia="宋体" w:cs="宋体"/>
                <w:color w:val="auto"/>
                <w:sz w:val="21"/>
                <w:szCs w:val="21"/>
                <w:highlight w:val="none"/>
                <w:shd w:val="clear" w:color="auto" w:fill="FFFFFF"/>
              </w:rPr>
              <w:t>系统支持采集后未制备，超期未入库，过期样本，冻融次数，物料安全，样本剩余容量，容器可用容量，未签署知情同意书、已签署知</w:t>
            </w:r>
            <w:r>
              <w:rPr>
                <w:rFonts w:hint="eastAsia" w:ascii="宋体" w:hAnsi="宋体" w:eastAsia="宋体" w:cs="宋体"/>
                <w:b w:val="0"/>
                <w:bCs w:val="0"/>
                <w:color w:val="auto"/>
                <w:kern w:val="2"/>
                <w:sz w:val="21"/>
                <w:szCs w:val="21"/>
                <w:highlight w:val="none"/>
                <w:shd w:val="clear" w:fill="FFFFFF"/>
                <w:lang w:val="en-US" w:eastAsia="zh-CN" w:bidi="ar-SA"/>
              </w:rPr>
              <w:t>情同意书但未上传附件等提醒，自主设置需要报警的项目。支持根据用户预警条件自定义设置。</w:t>
            </w:r>
          </w:p>
          <w:p w14:paraId="541386D4">
            <w:pPr>
              <w:keepNext w:val="0"/>
              <w:keepLines w:val="0"/>
              <w:numPr>
                <w:ilvl w:val="0"/>
                <w:numId w:val="0"/>
              </w:numPr>
              <w:suppressLineNumbers w:val="0"/>
              <w:snapToGrid w:val="0"/>
              <w:spacing w:before="0" w:beforeAutospacing="0" w:after="0" w:afterAutospacing="0" w:line="400" w:lineRule="exact"/>
              <w:ind w:left="0" w:leftChars="0" w:right="0" w:rightChars="0"/>
              <w:jc w:val="left"/>
              <w:rPr>
                <w:rFonts w:hint="eastAsia" w:ascii="宋体" w:hAnsi="宋体" w:eastAsia="宋体" w:cs="宋体"/>
                <w:b w:val="0"/>
                <w:bCs w:val="0"/>
                <w:color w:val="auto"/>
                <w:kern w:val="2"/>
                <w:sz w:val="21"/>
                <w:szCs w:val="21"/>
                <w:highlight w:val="none"/>
                <w:shd w:val="clear" w:fill="FFFFFF"/>
                <w:lang w:val="en-US" w:eastAsia="zh-CN" w:bidi="ar-SA"/>
              </w:rPr>
            </w:pPr>
            <w:r>
              <w:rPr>
                <w:rFonts w:hint="eastAsia" w:ascii="宋体" w:hAnsi="宋体" w:cs="宋体"/>
                <w:b/>
                <w:bCs/>
                <w:color w:val="auto"/>
                <w:kern w:val="2"/>
                <w:sz w:val="21"/>
                <w:szCs w:val="21"/>
                <w:highlight w:val="none"/>
                <w:shd w:val="clear" w:fill="FFFFFF"/>
                <w:lang w:val="en-US" w:eastAsia="zh-CN" w:bidi="ar-SA"/>
              </w:rPr>
              <w:t>演示7：</w:t>
            </w:r>
          </w:p>
          <w:p w14:paraId="26426C78">
            <w:pPr>
              <w:keepNext w:val="0"/>
              <w:keepLines w:val="0"/>
              <w:numPr>
                <w:ilvl w:val="0"/>
                <w:numId w:val="0"/>
              </w:numPr>
              <w:suppressLineNumbers w:val="0"/>
              <w:snapToGrid w:val="0"/>
              <w:spacing w:before="0" w:beforeAutospacing="0" w:after="0" w:afterAutospacing="0" w:line="400" w:lineRule="exact"/>
              <w:ind w:left="0" w:leftChars="0" w:right="0" w:rightChars="0"/>
              <w:jc w:val="left"/>
              <w:rPr>
                <w:rFonts w:hint="eastAsia" w:ascii="宋体" w:hAnsi="宋体" w:eastAsia="宋体" w:cs="宋体"/>
                <w:b w:val="0"/>
                <w:bCs w:val="0"/>
                <w:color w:val="auto"/>
                <w:kern w:val="2"/>
                <w:sz w:val="21"/>
                <w:szCs w:val="21"/>
                <w:highlight w:val="none"/>
                <w:shd w:val="clear" w:fill="FFFFFF"/>
                <w:lang w:val="en-US" w:eastAsia="zh-CN" w:bidi="ar-SA"/>
              </w:rPr>
            </w:pPr>
            <w:r>
              <w:rPr>
                <w:rFonts w:hint="eastAsia" w:ascii="宋体" w:hAnsi="宋体" w:eastAsia="宋体" w:cs="宋体"/>
                <w:b w:val="0"/>
                <w:bCs w:val="0"/>
                <w:color w:val="auto"/>
                <w:kern w:val="2"/>
                <w:sz w:val="21"/>
                <w:szCs w:val="21"/>
                <w:highlight w:val="none"/>
                <w:shd w:val="clear" w:fill="FFFFFF"/>
                <w:lang w:val="en-US" w:eastAsia="zh-CN" w:bidi="ar-SA"/>
              </w:rPr>
              <w:t>7．系统设置</w:t>
            </w:r>
          </w:p>
          <w:p w14:paraId="4D1D7A53">
            <w:pPr>
              <w:keepNext w:val="0"/>
              <w:keepLines w:val="0"/>
              <w:numPr>
                <w:ilvl w:val="0"/>
                <w:numId w:val="0"/>
              </w:numPr>
              <w:suppressLineNumbers w:val="0"/>
              <w:snapToGrid w:val="0"/>
              <w:spacing w:before="0" w:beforeAutospacing="0" w:after="0" w:afterAutospacing="0" w:line="400" w:lineRule="exact"/>
              <w:ind w:left="0" w:leftChars="0" w:right="0" w:rightChars="0"/>
              <w:jc w:val="left"/>
              <w:rPr>
                <w:rFonts w:hint="eastAsia" w:ascii="宋体" w:hAnsi="宋体" w:eastAsia="宋体" w:cs="宋体"/>
                <w:b w:val="0"/>
                <w:bCs w:val="0"/>
                <w:color w:val="auto"/>
                <w:kern w:val="2"/>
                <w:sz w:val="21"/>
                <w:szCs w:val="21"/>
                <w:highlight w:val="none"/>
                <w:shd w:val="clear" w:fill="FFFFFF"/>
                <w:lang w:val="en-US" w:eastAsia="zh-CN" w:bidi="ar-SA"/>
              </w:rPr>
            </w:pPr>
            <w:r>
              <w:rPr>
                <w:rFonts w:hint="eastAsia" w:ascii="宋体" w:hAnsi="宋体" w:eastAsia="宋体" w:cs="宋体"/>
                <w:b w:val="0"/>
                <w:bCs w:val="0"/>
                <w:color w:val="auto"/>
                <w:kern w:val="2"/>
                <w:sz w:val="21"/>
                <w:szCs w:val="21"/>
                <w:highlight w:val="none"/>
                <w:shd w:val="clear" w:fill="FFFFFF"/>
                <w:lang w:val="en-US" w:eastAsia="zh-CN" w:bidi="ar-SA"/>
              </w:rPr>
              <w:t>③系统需要支持对不同类型的用户进行管控，包括样本库工作人员、项目成员、合作单位和</w:t>
            </w:r>
            <w:r>
              <w:rPr>
                <w:rFonts w:hint="eastAsia" w:ascii="宋体" w:hAnsi="宋体" w:eastAsia="宋体" w:cs="宋体"/>
                <w:color w:val="auto"/>
                <w:sz w:val="21"/>
                <w:szCs w:val="21"/>
                <w:highlight w:val="none"/>
                <w:shd w:val="clear" w:color="auto" w:fill="FFFFFF"/>
              </w:rPr>
              <w:t>外部成员等，不同类型的成员赋予不同的操作权限。系统需要支持项目成员和外部成员注册账号，注册完成</w:t>
            </w:r>
            <w:r>
              <w:rPr>
                <w:rFonts w:hint="eastAsia" w:ascii="宋体" w:hAnsi="宋体" w:eastAsia="宋体" w:cs="宋体"/>
                <w:b w:val="0"/>
                <w:bCs w:val="0"/>
                <w:color w:val="auto"/>
                <w:kern w:val="2"/>
                <w:sz w:val="21"/>
                <w:szCs w:val="21"/>
                <w:highlight w:val="none"/>
                <w:shd w:val="clear" w:fill="FFFFFF"/>
                <w:lang w:val="en-US" w:eastAsia="zh-CN" w:bidi="ar-SA"/>
              </w:rPr>
              <w:t>之后由管理员进行审核确认，审核通过后才能分配角色和权限，并能够限制外部成员的访问范围。</w:t>
            </w:r>
          </w:p>
          <w:p w14:paraId="7C9418D7">
            <w:pPr>
              <w:keepNext w:val="0"/>
              <w:keepLines w:val="0"/>
              <w:numPr>
                <w:ilvl w:val="0"/>
                <w:numId w:val="0"/>
              </w:numPr>
              <w:suppressLineNumbers w:val="0"/>
              <w:snapToGrid w:val="0"/>
              <w:spacing w:before="0" w:beforeAutospacing="0" w:after="0" w:afterAutospacing="0" w:line="400" w:lineRule="exact"/>
              <w:ind w:left="0" w:leftChars="0" w:right="0" w:rightChars="0"/>
              <w:jc w:val="left"/>
              <w:rPr>
                <w:rFonts w:hint="eastAsia" w:ascii="宋体" w:hAnsi="宋体" w:eastAsia="宋体" w:cs="宋体"/>
                <w:b w:val="0"/>
                <w:bCs w:val="0"/>
                <w:color w:val="auto"/>
                <w:kern w:val="2"/>
                <w:sz w:val="21"/>
                <w:szCs w:val="21"/>
                <w:highlight w:val="none"/>
                <w:shd w:val="clear" w:fill="FFFFFF"/>
                <w:lang w:val="en-US" w:eastAsia="zh-CN" w:bidi="ar-SA"/>
              </w:rPr>
            </w:pPr>
            <w:r>
              <w:rPr>
                <w:rFonts w:hint="eastAsia" w:ascii="宋体" w:hAnsi="宋体" w:cs="宋体"/>
                <w:b/>
                <w:bCs/>
                <w:color w:val="auto"/>
                <w:kern w:val="2"/>
                <w:sz w:val="21"/>
                <w:szCs w:val="21"/>
                <w:highlight w:val="none"/>
                <w:shd w:val="clear" w:fill="FFFFFF"/>
                <w:lang w:val="en-US" w:eastAsia="zh-CN" w:bidi="ar-SA"/>
              </w:rPr>
              <w:t>演示8：</w:t>
            </w:r>
          </w:p>
          <w:p w14:paraId="6C579CB1">
            <w:pPr>
              <w:keepNext w:val="0"/>
              <w:keepLines w:val="0"/>
              <w:numPr>
                <w:ilvl w:val="0"/>
                <w:numId w:val="0"/>
              </w:numPr>
              <w:suppressLineNumbers w:val="0"/>
              <w:snapToGrid w:val="0"/>
              <w:spacing w:before="0" w:beforeAutospacing="0" w:after="0" w:afterAutospacing="0" w:line="400" w:lineRule="exact"/>
              <w:ind w:left="0" w:leftChars="0" w:right="0" w:rightChars="0"/>
              <w:jc w:val="left"/>
              <w:rPr>
                <w:rFonts w:hint="eastAsia" w:ascii="宋体" w:hAnsi="宋体" w:eastAsia="宋体" w:cs="宋体"/>
                <w:b w:val="0"/>
                <w:bCs w:val="0"/>
                <w:color w:val="auto"/>
                <w:kern w:val="2"/>
                <w:sz w:val="21"/>
                <w:szCs w:val="21"/>
                <w:highlight w:val="none"/>
                <w:shd w:val="clear" w:fill="FFFFFF"/>
                <w:lang w:val="en-US" w:eastAsia="zh-CN" w:bidi="ar-SA"/>
              </w:rPr>
            </w:pPr>
            <w:r>
              <w:rPr>
                <w:rFonts w:hint="eastAsia" w:ascii="宋体" w:hAnsi="宋体" w:eastAsia="宋体" w:cs="宋体"/>
                <w:b w:val="0"/>
                <w:bCs w:val="0"/>
                <w:color w:val="auto"/>
                <w:kern w:val="2"/>
                <w:sz w:val="21"/>
                <w:szCs w:val="21"/>
                <w:highlight w:val="none"/>
                <w:shd w:val="clear" w:fill="FFFFFF"/>
                <w:lang w:val="en-US" w:eastAsia="zh-CN" w:bidi="ar-SA"/>
              </w:rPr>
              <w:t>8．移动端</w:t>
            </w:r>
          </w:p>
          <w:p w14:paraId="1A5464F2">
            <w:pPr>
              <w:keepNext w:val="0"/>
              <w:keepLines w:val="0"/>
              <w:numPr>
                <w:ilvl w:val="0"/>
                <w:numId w:val="0"/>
              </w:numPr>
              <w:suppressLineNumbers w:val="0"/>
              <w:snapToGrid w:val="0"/>
              <w:spacing w:before="0" w:beforeAutospacing="0" w:after="0" w:afterAutospacing="0" w:line="400" w:lineRule="exact"/>
              <w:ind w:left="0" w:leftChars="0" w:right="0" w:rightChars="0"/>
              <w:jc w:val="left"/>
              <w:rPr>
                <w:rFonts w:hint="eastAsia" w:ascii="宋体" w:hAnsi="宋体" w:eastAsia="宋体" w:cs="宋体"/>
                <w:b w:val="0"/>
                <w:bCs w:val="0"/>
                <w:color w:val="auto"/>
                <w:kern w:val="2"/>
                <w:sz w:val="21"/>
                <w:szCs w:val="21"/>
                <w:highlight w:val="none"/>
                <w:shd w:val="clear" w:fill="FFFFFF"/>
                <w:lang w:val="en-US" w:eastAsia="zh-CN" w:bidi="ar-SA"/>
              </w:rPr>
            </w:pPr>
            <w:r>
              <w:rPr>
                <w:rFonts w:hint="eastAsia" w:ascii="宋体" w:hAnsi="宋体" w:eastAsia="宋体" w:cs="宋体"/>
                <w:b w:val="0"/>
                <w:bCs w:val="0"/>
                <w:color w:val="auto"/>
                <w:kern w:val="2"/>
                <w:sz w:val="21"/>
                <w:szCs w:val="21"/>
                <w:highlight w:val="none"/>
                <w:shd w:val="clear" w:fill="FFFFFF"/>
                <w:lang w:val="en-US" w:eastAsia="zh-CN" w:bidi="ar-SA"/>
              </w:rPr>
              <w:t>（3）待办事项管理</w:t>
            </w:r>
          </w:p>
          <w:p w14:paraId="08DFABEF">
            <w:pPr>
              <w:keepNext w:val="0"/>
              <w:keepLines w:val="0"/>
              <w:numPr>
                <w:ilvl w:val="0"/>
                <w:numId w:val="0"/>
              </w:numPr>
              <w:suppressLineNumbers w:val="0"/>
              <w:snapToGrid w:val="0"/>
              <w:spacing w:before="0" w:beforeAutospacing="0" w:after="0" w:afterAutospacing="0" w:line="400" w:lineRule="exact"/>
              <w:ind w:left="0" w:leftChars="0" w:right="0" w:rightChars="0"/>
              <w:jc w:val="left"/>
              <w:rPr>
                <w:rFonts w:hint="eastAsia" w:ascii="宋体" w:hAnsi="宋体" w:eastAsia="宋体" w:cs="宋体"/>
                <w:b w:val="0"/>
                <w:color w:val="auto"/>
                <w:sz w:val="21"/>
                <w:szCs w:val="21"/>
                <w:highlight w:val="none"/>
                <w:shd w:val="clear" w:color="auto" w:fill="FFFFFF"/>
              </w:rPr>
            </w:pPr>
            <w:r>
              <w:rPr>
                <w:rFonts w:hint="eastAsia" w:ascii="宋体" w:hAnsi="宋体" w:eastAsia="宋体" w:cs="宋体"/>
                <w:b w:val="0"/>
                <w:bCs w:val="0"/>
                <w:color w:val="auto"/>
                <w:kern w:val="2"/>
                <w:sz w:val="21"/>
                <w:szCs w:val="21"/>
                <w:highlight w:val="none"/>
                <w:shd w:val="clear" w:fill="FFFFFF"/>
                <w:lang w:val="en-US" w:eastAsia="zh-CN" w:bidi="ar-SA"/>
              </w:rPr>
              <w:t>系统移动端支持待办事项管理功能，能在页面分类展示课题审批、样本出入库、销毁、采集申</w:t>
            </w:r>
            <w:r>
              <w:rPr>
                <w:rFonts w:hint="eastAsia" w:ascii="宋体" w:hAnsi="宋体" w:eastAsia="宋体" w:cs="宋体"/>
                <w:color w:val="auto"/>
                <w:sz w:val="21"/>
                <w:szCs w:val="21"/>
                <w:highlight w:val="none"/>
                <w:shd w:val="clear" w:color="auto" w:fill="FFFFFF"/>
              </w:rPr>
              <w:t>请及交接、出入库执行与交接、转运接收、随访计划、知情同意、物料出库、系统预警等多种待办任务，清晰了解待办任务的具体情况并能够快速定位到目标。</w:t>
            </w:r>
          </w:p>
          <w:p w14:paraId="61880AB3">
            <w:pPr>
              <w:keepNext w:val="0"/>
              <w:keepLines w:val="0"/>
              <w:suppressLineNumbers w:val="0"/>
              <w:snapToGrid w:val="0"/>
              <w:spacing w:before="0" w:beforeAutospacing="0" w:after="0" w:afterAutospacing="0" w:line="400" w:lineRule="exact"/>
              <w:ind w:left="0" w:right="0"/>
              <w:jc w:val="left"/>
              <w:rPr>
                <w:rFonts w:hint="default" w:ascii="宋体" w:hAnsi="宋体" w:cs="宋体"/>
                <w:b/>
                <w:bCs/>
                <w:color w:val="auto"/>
                <w:sz w:val="21"/>
                <w:szCs w:val="21"/>
                <w:highlight w:val="none"/>
                <w:lang w:val="en-US" w:eastAsia="zh-CN"/>
              </w:rPr>
            </w:pPr>
            <w:r>
              <w:rPr>
                <w:rFonts w:hint="eastAsia" w:ascii="宋体" w:hAnsi="宋体" w:eastAsia="宋体" w:cs="宋体"/>
                <w:b/>
                <w:bCs/>
                <w:color w:val="auto"/>
                <w:spacing w:val="-6"/>
                <w:kern w:val="2"/>
                <w:sz w:val="21"/>
                <w:szCs w:val="21"/>
                <w:highlight w:val="none"/>
                <w:lang w:val="en-US" w:eastAsia="zh-CN" w:bidi="ar-SA"/>
              </w:rPr>
              <w:t>注：投标人未提供演示或未完整演示或无法演示出该功能的，相应功能按0分计分。</w:t>
            </w:r>
          </w:p>
        </w:tc>
      </w:tr>
      <w:tr w14:paraId="4AB29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2" w:hRule="atLeast"/>
        </w:trPr>
        <w:tc>
          <w:tcPr>
            <w:tcW w:w="713" w:type="dxa"/>
            <w:vMerge w:val="continue"/>
            <w:noWrap w:val="0"/>
            <w:vAlign w:val="center"/>
          </w:tcPr>
          <w:p w14:paraId="61415249">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eastAsia="zh-CN"/>
              </w:rPr>
            </w:pPr>
          </w:p>
        </w:tc>
        <w:tc>
          <w:tcPr>
            <w:tcW w:w="1101" w:type="dxa"/>
            <w:vMerge w:val="continue"/>
            <w:noWrap w:val="0"/>
            <w:vAlign w:val="center"/>
          </w:tcPr>
          <w:p w14:paraId="32C1213F">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eastAsia="zh-CN"/>
              </w:rPr>
            </w:pPr>
          </w:p>
        </w:tc>
        <w:tc>
          <w:tcPr>
            <w:tcW w:w="1259" w:type="dxa"/>
            <w:noWrap w:val="0"/>
            <w:vAlign w:val="center"/>
          </w:tcPr>
          <w:p w14:paraId="579B218B">
            <w:pPr>
              <w:keepNext w:val="0"/>
              <w:keepLines w:val="0"/>
              <w:suppressLineNumbers w:val="0"/>
              <w:spacing w:before="0" w:beforeAutospacing="0" w:after="0" w:afterAutospacing="0" w:line="360" w:lineRule="auto"/>
              <w:ind w:left="0" w:right="0"/>
              <w:jc w:val="both"/>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项目</w:t>
            </w:r>
            <w:r>
              <w:rPr>
                <w:rFonts w:hint="eastAsia" w:ascii="宋体" w:hAnsi="宋体" w:eastAsia="宋体" w:cs="宋体"/>
                <w:color w:val="auto"/>
                <w:sz w:val="21"/>
                <w:szCs w:val="21"/>
                <w:highlight w:val="none"/>
              </w:rPr>
              <w:t>实施方案分（满分</w:t>
            </w:r>
            <w:r>
              <w:rPr>
                <w:rFonts w:hint="eastAsia" w:ascii="宋体" w:hAnsi="宋体" w:cs="宋体"/>
                <w:color w:val="auto"/>
                <w:sz w:val="21"/>
                <w:szCs w:val="21"/>
                <w:highlight w:val="none"/>
                <w:lang w:val="en-US" w:eastAsia="zh-CN"/>
              </w:rPr>
              <w:t>12</w:t>
            </w:r>
            <w:r>
              <w:rPr>
                <w:rFonts w:hint="eastAsia" w:ascii="宋体" w:hAnsi="宋体" w:eastAsia="宋体" w:cs="宋体"/>
                <w:color w:val="auto"/>
                <w:sz w:val="21"/>
                <w:szCs w:val="21"/>
                <w:highlight w:val="none"/>
              </w:rPr>
              <w:t>分）</w:t>
            </w:r>
          </w:p>
        </w:tc>
        <w:tc>
          <w:tcPr>
            <w:tcW w:w="6253" w:type="dxa"/>
            <w:noWrap w:val="0"/>
            <w:vAlign w:val="center"/>
          </w:tcPr>
          <w:p w14:paraId="4886B2F7">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1"/>
                <w:szCs w:val="21"/>
                <w:highlight w:val="none"/>
              </w:rPr>
            </w:pPr>
            <w:r>
              <w:rPr>
                <w:rFonts w:hint="eastAsia" w:ascii="黑体" w:hAnsi="黑体" w:eastAsia="黑体" w:cs="黑体"/>
                <w:b/>
                <w:bCs/>
                <w:color w:val="auto"/>
                <w:szCs w:val="21"/>
                <w:highlight w:val="none"/>
              </w:rPr>
              <w:t>由评标委员</w:t>
            </w:r>
            <w:r>
              <w:rPr>
                <w:rFonts w:hint="eastAsia" w:ascii="黑体" w:hAnsi="黑体" w:eastAsia="黑体" w:cs="黑体"/>
                <w:b/>
                <w:bCs/>
                <w:color w:val="auto"/>
                <w:szCs w:val="21"/>
                <w:highlight w:val="none"/>
                <w:lang w:eastAsia="zh-CN"/>
              </w:rPr>
              <w:t>会</w:t>
            </w:r>
            <w:r>
              <w:rPr>
                <w:rFonts w:hint="eastAsia" w:ascii="黑体" w:hAnsi="黑体" w:eastAsia="黑体" w:cs="黑体"/>
                <w:b/>
                <w:bCs/>
                <w:color w:val="auto"/>
                <w:szCs w:val="21"/>
                <w:highlight w:val="none"/>
              </w:rPr>
              <w:t>在相应档次内独立打分，投标人投标文件中没有提供项目实施方案的，本项不得分；所提供的项目实施方案未达到相应评审档次全部标准的，相应降低一个档次</w:t>
            </w:r>
            <w:r>
              <w:rPr>
                <w:rFonts w:hint="eastAsia" w:ascii="宋体" w:hAnsi="宋体" w:eastAsia="宋体" w:cs="宋体"/>
                <w:b w:val="0"/>
                <w:bCs w:val="0"/>
                <w:color w:val="auto"/>
                <w:sz w:val="21"/>
                <w:szCs w:val="21"/>
                <w:highlight w:val="none"/>
              </w:rPr>
              <w:t>：</w:t>
            </w:r>
          </w:p>
          <w:p w14:paraId="3E65EA54">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一档（</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rPr>
              <w:t>分）：</w:t>
            </w:r>
            <w:r>
              <w:rPr>
                <w:rFonts w:hint="eastAsia" w:ascii="宋体" w:hAnsi="宋体" w:cs="宋体"/>
                <w:color w:val="auto"/>
                <w:szCs w:val="21"/>
                <w:highlight w:val="none"/>
              </w:rPr>
              <w:t>提供有基本满足项目建设需要的</w:t>
            </w:r>
            <w:r>
              <w:rPr>
                <w:rFonts w:hint="eastAsia" w:ascii="宋体" w:hAnsi="宋体" w:cs="宋体"/>
                <w:color w:val="auto"/>
                <w:szCs w:val="21"/>
                <w:highlight w:val="none"/>
                <w:lang w:val="en-US" w:eastAsia="zh-CN"/>
              </w:rPr>
              <w:t>项目</w:t>
            </w:r>
            <w:r>
              <w:rPr>
                <w:rFonts w:hint="eastAsia" w:ascii="宋体" w:hAnsi="宋体" w:cs="宋体"/>
                <w:color w:val="auto"/>
                <w:szCs w:val="21"/>
                <w:highlight w:val="none"/>
              </w:rPr>
              <w:t>实施方案，方案内容包括但不限于</w:t>
            </w:r>
            <w:r>
              <w:rPr>
                <w:rFonts w:hint="eastAsia" w:ascii="宋体" w:hAnsi="宋体" w:eastAsia="宋体" w:cs="宋体"/>
                <w:color w:val="auto"/>
                <w:sz w:val="21"/>
                <w:szCs w:val="21"/>
                <w:highlight w:val="none"/>
              </w:rPr>
              <w:t>交付部署、测试验证、验收、应急预案</w:t>
            </w:r>
            <w:r>
              <w:rPr>
                <w:rFonts w:hint="eastAsia" w:ascii="宋体" w:hAnsi="宋体" w:cs="宋体"/>
                <w:color w:val="auto"/>
                <w:szCs w:val="21"/>
                <w:highlight w:val="none"/>
              </w:rPr>
              <w:t>等详细措施，有明确的</w:t>
            </w:r>
            <w:r>
              <w:rPr>
                <w:rFonts w:hint="eastAsia" w:ascii="宋体" w:hAnsi="宋体" w:eastAsia="宋体" w:cs="宋体"/>
                <w:color w:val="auto"/>
                <w:sz w:val="21"/>
                <w:szCs w:val="21"/>
                <w:highlight w:val="none"/>
              </w:rPr>
              <w:t>软件准备、安装部署、测试验证、发布交付</w:t>
            </w:r>
            <w:r>
              <w:rPr>
                <w:rFonts w:hint="eastAsia" w:ascii="宋体" w:hAnsi="宋体" w:cs="宋体"/>
                <w:color w:val="auto"/>
                <w:szCs w:val="21"/>
                <w:highlight w:val="none"/>
              </w:rPr>
              <w:t>等操作要求</w:t>
            </w:r>
            <w:r>
              <w:rPr>
                <w:rFonts w:hint="eastAsia" w:ascii="宋体" w:hAnsi="宋体" w:cs="宋体"/>
                <w:color w:val="auto"/>
                <w:szCs w:val="21"/>
                <w:highlight w:val="none"/>
                <w:lang w:eastAsia="zh-CN"/>
              </w:rPr>
              <w:t>，</w:t>
            </w:r>
            <w:r>
              <w:rPr>
                <w:rFonts w:hint="eastAsia" w:ascii="宋体" w:hAnsi="宋体" w:cs="宋体"/>
                <w:color w:val="auto"/>
                <w:szCs w:val="21"/>
                <w:highlight w:val="none"/>
              </w:rPr>
              <w:t>能体现各环节高效协同，确保顺利完成到货安装</w:t>
            </w:r>
            <w:r>
              <w:rPr>
                <w:rFonts w:hint="eastAsia" w:ascii="宋体" w:hAnsi="宋体" w:eastAsia="宋体" w:cs="宋体"/>
                <w:color w:val="auto"/>
                <w:sz w:val="21"/>
                <w:szCs w:val="21"/>
                <w:highlight w:val="none"/>
              </w:rPr>
              <w:t>。</w:t>
            </w:r>
          </w:p>
          <w:p w14:paraId="32970AFF">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二档（</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rPr>
              <w:t>分）：</w:t>
            </w:r>
            <w:r>
              <w:rPr>
                <w:rFonts w:hint="eastAsia" w:ascii="宋体" w:hAnsi="宋体" w:cs="宋体"/>
                <w:color w:val="auto"/>
                <w:szCs w:val="21"/>
                <w:highlight w:val="none"/>
              </w:rPr>
              <w:t>在满足</w:t>
            </w:r>
            <w:r>
              <w:rPr>
                <w:rFonts w:hint="eastAsia" w:ascii="宋体" w:hAnsi="宋体" w:cs="宋体"/>
                <w:color w:val="auto"/>
                <w:szCs w:val="21"/>
                <w:highlight w:val="none"/>
                <w:lang w:val="en-US" w:eastAsia="zh-CN"/>
              </w:rPr>
              <w:t>一</w:t>
            </w:r>
            <w:r>
              <w:rPr>
                <w:rFonts w:hint="eastAsia" w:ascii="宋体" w:hAnsi="宋体" w:cs="宋体"/>
                <w:color w:val="auto"/>
                <w:szCs w:val="21"/>
                <w:highlight w:val="none"/>
              </w:rPr>
              <w:t>档的基础上，</w:t>
            </w:r>
            <w:r>
              <w:rPr>
                <w:rFonts w:hint="eastAsia" w:ascii="宋体" w:hAnsi="宋体" w:eastAsia="宋体" w:cs="宋体"/>
                <w:color w:val="auto"/>
                <w:sz w:val="21"/>
                <w:szCs w:val="21"/>
                <w:highlight w:val="none"/>
              </w:rPr>
              <w:t>提供包括但不限于交付部署、测试验证、验收、应急预案等子项方案，有</w:t>
            </w:r>
            <w:r>
              <w:rPr>
                <w:rFonts w:hint="eastAsia" w:ascii="宋体" w:hAnsi="宋体" w:cs="宋体"/>
                <w:color w:val="auto"/>
                <w:sz w:val="21"/>
                <w:szCs w:val="21"/>
                <w:highlight w:val="none"/>
                <w:lang w:val="en-US" w:eastAsia="zh-CN"/>
              </w:rPr>
              <w:t>完整</w:t>
            </w:r>
            <w:r>
              <w:rPr>
                <w:rFonts w:hint="eastAsia" w:ascii="宋体" w:hAnsi="宋体" w:eastAsia="宋体" w:cs="宋体"/>
                <w:color w:val="auto"/>
                <w:sz w:val="21"/>
                <w:szCs w:val="21"/>
                <w:highlight w:val="none"/>
              </w:rPr>
              <w:t>的软件准备、安装部署、测试验证、发布交付等操作要求及记录表单</w:t>
            </w:r>
            <w:r>
              <w:rPr>
                <w:rFonts w:hint="eastAsia" w:ascii="宋体" w:hAnsi="宋体" w:cs="宋体"/>
                <w:color w:val="auto"/>
                <w:szCs w:val="21"/>
                <w:highlight w:val="none"/>
              </w:rPr>
              <w:t>。对项目实施全流程进行标准化管理，组织架构清晰，人员配备充分，防范措施详尽，</w:t>
            </w:r>
            <w:r>
              <w:rPr>
                <w:rFonts w:hint="eastAsia"/>
                <w:color w:val="auto"/>
                <w:highlight w:val="none"/>
              </w:rPr>
              <w:t>提供完整且针对</w:t>
            </w:r>
            <w:r>
              <w:rPr>
                <w:rFonts w:hint="eastAsia"/>
                <w:color w:val="auto"/>
                <w:highlight w:val="none"/>
                <w:lang w:val="en-US" w:eastAsia="zh-CN"/>
              </w:rPr>
              <w:t>本项目</w:t>
            </w:r>
            <w:r>
              <w:rPr>
                <w:rFonts w:hint="eastAsia"/>
                <w:color w:val="auto"/>
                <w:highlight w:val="none"/>
              </w:rPr>
              <w:t>特点的优化技术方案，列举关键性技术问题及解决措施（如多系统兼容性、</w:t>
            </w:r>
            <w:r>
              <w:rPr>
                <w:rFonts w:hint="eastAsia"/>
                <w:color w:val="auto"/>
                <w:highlight w:val="none"/>
                <w:lang w:val="en-US" w:eastAsia="zh-CN"/>
              </w:rPr>
              <w:t>新</w:t>
            </w:r>
            <w:r>
              <w:rPr>
                <w:rFonts w:hint="eastAsia"/>
                <w:color w:val="auto"/>
                <w:highlight w:val="none"/>
              </w:rPr>
              <w:t>旧</w:t>
            </w:r>
            <w:r>
              <w:rPr>
                <w:rFonts w:hint="eastAsia"/>
                <w:color w:val="auto"/>
                <w:highlight w:val="none"/>
                <w:lang w:val="en-US" w:eastAsia="zh-CN"/>
              </w:rPr>
              <w:t>系统</w:t>
            </w:r>
            <w:r>
              <w:rPr>
                <w:rFonts w:hint="eastAsia"/>
                <w:color w:val="auto"/>
                <w:highlight w:val="none"/>
              </w:rPr>
              <w:t>适配、数字化联动等），能提供清晰的系统架构图</w:t>
            </w:r>
            <w:r>
              <w:rPr>
                <w:rFonts w:hint="eastAsia" w:ascii="宋体" w:hAnsi="宋体" w:eastAsia="宋体" w:cs="宋体"/>
                <w:color w:val="auto"/>
                <w:sz w:val="21"/>
                <w:szCs w:val="21"/>
                <w:highlight w:val="none"/>
              </w:rPr>
              <w:t>。</w:t>
            </w:r>
          </w:p>
          <w:p w14:paraId="19365946">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三档（</w:t>
            </w:r>
            <w:r>
              <w:rPr>
                <w:rFonts w:hint="eastAsia" w:ascii="宋体" w:hAnsi="宋体" w:cs="宋体"/>
                <w:color w:val="auto"/>
                <w:sz w:val="21"/>
                <w:szCs w:val="21"/>
                <w:highlight w:val="none"/>
                <w:lang w:val="en-US" w:eastAsia="zh-CN"/>
              </w:rPr>
              <w:t>12</w:t>
            </w:r>
            <w:r>
              <w:rPr>
                <w:rFonts w:hint="eastAsia" w:ascii="宋体" w:hAnsi="宋体" w:eastAsia="宋体" w:cs="宋体"/>
                <w:color w:val="auto"/>
                <w:sz w:val="21"/>
                <w:szCs w:val="21"/>
                <w:highlight w:val="none"/>
              </w:rPr>
              <w:t>分）：在满足</w:t>
            </w:r>
            <w:r>
              <w:rPr>
                <w:rFonts w:hint="eastAsia" w:ascii="宋体" w:hAnsi="宋体" w:cs="宋体"/>
                <w:color w:val="auto"/>
                <w:sz w:val="21"/>
                <w:szCs w:val="21"/>
                <w:highlight w:val="none"/>
                <w:lang w:val="en-US" w:eastAsia="zh-CN"/>
              </w:rPr>
              <w:t>二</w:t>
            </w:r>
            <w:r>
              <w:rPr>
                <w:rFonts w:hint="eastAsia" w:ascii="宋体" w:hAnsi="宋体" w:eastAsia="宋体" w:cs="宋体"/>
                <w:color w:val="auto"/>
                <w:sz w:val="21"/>
                <w:szCs w:val="21"/>
                <w:highlight w:val="none"/>
              </w:rPr>
              <w:t>档的基础上，提供详尽充分、结构清晰、专业标准的实施方案，有详尽标准化的软件准备、安装部署、测试验证、发布交付等操作规范体系；</w:t>
            </w:r>
            <w:r>
              <w:rPr>
                <w:rFonts w:hint="eastAsia"/>
                <w:color w:val="auto"/>
                <w:highlight w:val="none"/>
                <w:lang w:val="en-US" w:eastAsia="zh-CN"/>
              </w:rPr>
              <w:t>项目实施</w:t>
            </w:r>
            <w:r>
              <w:rPr>
                <w:rFonts w:hint="eastAsia"/>
                <w:color w:val="auto"/>
                <w:highlight w:val="none"/>
              </w:rPr>
              <w:t>方案全面专业，清晰阐述</w:t>
            </w:r>
            <w:r>
              <w:rPr>
                <w:rFonts w:hint="eastAsia"/>
                <w:color w:val="auto"/>
                <w:highlight w:val="none"/>
                <w:lang w:val="en-US" w:eastAsia="zh-CN"/>
              </w:rPr>
              <w:t>本项目</w:t>
            </w:r>
            <w:r>
              <w:rPr>
                <w:rFonts w:hint="eastAsia"/>
                <w:color w:val="auto"/>
                <w:highlight w:val="none"/>
              </w:rPr>
              <w:t>的重点难点问题及系统化解决措施（如差异化场景设计、多系统安全闭环管控、后期运维迭代机制等），形成协同、安全、闭环管理</w:t>
            </w:r>
            <w:r>
              <w:rPr>
                <w:rFonts w:hint="eastAsia" w:ascii="宋体" w:hAnsi="宋体" w:eastAsia="宋体" w:cs="宋体"/>
                <w:color w:val="auto"/>
                <w:sz w:val="21"/>
                <w:szCs w:val="21"/>
                <w:highlight w:val="none"/>
              </w:rPr>
              <w:t>。</w:t>
            </w:r>
            <w:r>
              <w:rPr>
                <w:rFonts w:hint="eastAsia"/>
                <w:color w:val="auto"/>
                <w:highlight w:val="none"/>
                <w:lang w:val="en-US" w:eastAsia="zh-CN"/>
              </w:rPr>
              <w:t>项目实施</w:t>
            </w:r>
            <w:r>
              <w:rPr>
                <w:rFonts w:hint="eastAsia"/>
                <w:color w:val="auto"/>
                <w:highlight w:val="none"/>
              </w:rPr>
              <w:t>方案</w:t>
            </w:r>
            <w:r>
              <w:rPr>
                <w:rFonts w:hint="eastAsia"/>
                <w:color w:val="auto"/>
                <w:highlight w:val="none"/>
                <w:lang w:val="en-US" w:eastAsia="zh-CN"/>
              </w:rPr>
              <w:t>有</w:t>
            </w:r>
            <w:r>
              <w:rPr>
                <w:rFonts w:hint="eastAsia"/>
                <w:color w:val="auto"/>
                <w:highlight w:val="none"/>
              </w:rPr>
              <w:t>创新</w:t>
            </w:r>
            <w:r>
              <w:rPr>
                <w:rFonts w:hint="eastAsia"/>
                <w:color w:val="auto"/>
                <w:highlight w:val="none"/>
                <w:lang w:val="en-US" w:eastAsia="zh-CN"/>
              </w:rPr>
              <w:t>点</w:t>
            </w:r>
            <w:r>
              <w:rPr>
                <w:rFonts w:hint="eastAsia"/>
                <w:color w:val="auto"/>
                <w:highlight w:val="none"/>
              </w:rPr>
              <w:t>，可保障项目建设高质量完成</w:t>
            </w:r>
            <w:r>
              <w:rPr>
                <w:rFonts w:hint="eastAsia"/>
                <w:color w:val="auto"/>
                <w:highlight w:val="none"/>
                <w:lang w:eastAsia="zh-CN"/>
              </w:rPr>
              <w:t>。</w:t>
            </w:r>
          </w:p>
        </w:tc>
      </w:tr>
      <w:tr w14:paraId="10ACD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713" w:type="dxa"/>
            <w:vMerge w:val="restart"/>
            <w:noWrap w:val="0"/>
            <w:vAlign w:val="center"/>
          </w:tcPr>
          <w:p w14:paraId="0E672315">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101" w:type="dxa"/>
            <w:vMerge w:val="restart"/>
            <w:noWrap w:val="0"/>
            <w:vAlign w:val="center"/>
          </w:tcPr>
          <w:p w14:paraId="43E86211">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商务分（</w:t>
            </w:r>
            <w:r>
              <w:rPr>
                <w:rFonts w:hint="eastAsia" w:ascii="宋体" w:hAnsi="宋体" w:cs="宋体"/>
                <w:color w:val="auto"/>
                <w:sz w:val="21"/>
                <w:szCs w:val="21"/>
                <w:highlight w:val="none"/>
                <w:lang w:val="en-US" w:eastAsia="zh-CN"/>
              </w:rPr>
              <w:t>满分40分</w:t>
            </w:r>
            <w:r>
              <w:rPr>
                <w:rFonts w:hint="eastAsia" w:ascii="宋体" w:hAnsi="宋体" w:eastAsia="宋体" w:cs="宋体"/>
                <w:color w:val="auto"/>
                <w:sz w:val="21"/>
                <w:szCs w:val="21"/>
                <w:highlight w:val="none"/>
              </w:rPr>
              <w:t>）</w:t>
            </w:r>
          </w:p>
        </w:tc>
        <w:tc>
          <w:tcPr>
            <w:tcW w:w="1259" w:type="dxa"/>
            <w:noWrap w:val="0"/>
            <w:vAlign w:val="center"/>
          </w:tcPr>
          <w:p w14:paraId="4628FC82">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售后服务方案分（满分</w:t>
            </w: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分）</w:t>
            </w:r>
          </w:p>
        </w:tc>
        <w:tc>
          <w:tcPr>
            <w:tcW w:w="6253" w:type="dxa"/>
            <w:noWrap w:val="0"/>
            <w:vAlign w:val="center"/>
          </w:tcPr>
          <w:p w14:paraId="334D9ACB">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1"/>
                <w:szCs w:val="21"/>
                <w:highlight w:val="none"/>
              </w:rPr>
            </w:pPr>
            <w:r>
              <w:rPr>
                <w:rFonts w:hint="eastAsia" w:ascii="黑体" w:hAnsi="黑体" w:eastAsia="黑体" w:cs="黑体"/>
                <w:b/>
                <w:bCs/>
                <w:color w:val="auto"/>
                <w:szCs w:val="21"/>
                <w:highlight w:val="none"/>
              </w:rPr>
              <w:t>由评标委员</w:t>
            </w:r>
            <w:r>
              <w:rPr>
                <w:rFonts w:hint="eastAsia" w:ascii="黑体" w:hAnsi="黑体" w:eastAsia="黑体" w:cs="黑体"/>
                <w:b/>
                <w:bCs/>
                <w:color w:val="auto"/>
                <w:szCs w:val="21"/>
                <w:highlight w:val="none"/>
                <w:lang w:eastAsia="zh-CN"/>
              </w:rPr>
              <w:t>会</w:t>
            </w:r>
            <w:r>
              <w:rPr>
                <w:rFonts w:hint="eastAsia" w:ascii="黑体" w:hAnsi="黑体" w:eastAsia="黑体" w:cs="黑体"/>
                <w:b/>
                <w:bCs/>
                <w:color w:val="auto"/>
                <w:szCs w:val="21"/>
                <w:highlight w:val="none"/>
              </w:rPr>
              <w:t>在相应档次内独立打分，投标人投标文件中没有提供</w:t>
            </w:r>
            <w:r>
              <w:rPr>
                <w:rFonts w:hint="eastAsia" w:ascii="黑体" w:hAnsi="黑体" w:eastAsia="黑体" w:cs="黑体"/>
                <w:b/>
                <w:bCs/>
                <w:color w:val="auto"/>
                <w:szCs w:val="21"/>
                <w:highlight w:val="none"/>
                <w:lang w:val="en-US" w:eastAsia="zh-CN"/>
              </w:rPr>
              <w:t>售后服务</w:t>
            </w:r>
            <w:r>
              <w:rPr>
                <w:rFonts w:hint="eastAsia" w:ascii="黑体" w:hAnsi="黑体" w:eastAsia="黑体" w:cs="黑体"/>
                <w:b/>
                <w:bCs/>
                <w:color w:val="auto"/>
                <w:szCs w:val="21"/>
                <w:highlight w:val="none"/>
              </w:rPr>
              <w:t>方案的，本项不得分；所提供的</w:t>
            </w:r>
            <w:r>
              <w:rPr>
                <w:rFonts w:hint="eastAsia" w:ascii="黑体" w:hAnsi="黑体" w:eastAsia="黑体" w:cs="黑体"/>
                <w:b/>
                <w:bCs/>
                <w:color w:val="auto"/>
                <w:szCs w:val="21"/>
                <w:highlight w:val="none"/>
                <w:lang w:val="en-US" w:eastAsia="zh-CN"/>
              </w:rPr>
              <w:t>售后服务</w:t>
            </w:r>
            <w:r>
              <w:rPr>
                <w:rFonts w:hint="eastAsia" w:ascii="黑体" w:hAnsi="黑体" w:eastAsia="黑体" w:cs="黑体"/>
                <w:b/>
                <w:bCs/>
                <w:color w:val="auto"/>
                <w:szCs w:val="21"/>
                <w:highlight w:val="none"/>
              </w:rPr>
              <w:t>方案未达到相应评审档次全部标准的，相应降低一个档次</w:t>
            </w:r>
            <w:r>
              <w:rPr>
                <w:rFonts w:hint="eastAsia" w:ascii="宋体" w:hAnsi="宋体" w:eastAsia="宋体" w:cs="宋体"/>
                <w:b w:val="0"/>
                <w:bCs w:val="0"/>
                <w:color w:val="auto"/>
                <w:sz w:val="21"/>
                <w:szCs w:val="21"/>
                <w:highlight w:val="none"/>
              </w:rPr>
              <w:t>：</w:t>
            </w:r>
          </w:p>
          <w:p w14:paraId="4557843D">
            <w:pPr>
              <w:keepNext w:val="0"/>
              <w:keepLines w:val="0"/>
              <w:suppressLineNumbers w:val="0"/>
              <w:spacing w:before="0" w:beforeAutospacing="0" w:after="0" w:afterAutospacing="0" w:line="360" w:lineRule="auto"/>
              <w:ind w:left="0" w:right="0"/>
              <w:jc w:val="left"/>
              <w:rPr>
                <w:rFonts w:hint="eastAsia"/>
                <w:color w:val="auto"/>
                <w:highlight w:val="none"/>
              </w:rPr>
            </w:pPr>
            <w:r>
              <w:rPr>
                <w:rFonts w:hint="eastAsia"/>
                <w:color w:val="auto"/>
                <w:highlight w:val="none"/>
              </w:rPr>
              <w:t>一档（</w:t>
            </w:r>
            <w:r>
              <w:rPr>
                <w:rFonts w:hint="eastAsia"/>
                <w:color w:val="auto"/>
                <w:highlight w:val="none"/>
                <w:lang w:val="en-US" w:eastAsia="zh-CN"/>
              </w:rPr>
              <w:t>3</w:t>
            </w:r>
            <w:r>
              <w:rPr>
                <w:rFonts w:hint="eastAsia"/>
                <w:color w:val="auto"/>
                <w:highlight w:val="none"/>
              </w:rPr>
              <w:t>分）：售后服务方案对“</w:t>
            </w:r>
            <w:r>
              <w:rPr>
                <w:rFonts w:hint="eastAsia" w:ascii="宋体" w:hAnsi="宋体" w:eastAsia="宋体" w:cs="宋体"/>
                <w:color w:val="auto"/>
                <w:sz w:val="21"/>
                <w:szCs w:val="21"/>
                <w:highlight w:val="none"/>
              </w:rPr>
              <w:t>软件准备、安装部署、测试验证、发布交付</w:t>
            </w:r>
            <w:r>
              <w:rPr>
                <w:rFonts w:hint="eastAsia"/>
                <w:color w:val="auto"/>
                <w:highlight w:val="none"/>
                <w:lang w:eastAsia="zh-CN"/>
              </w:rPr>
              <w:t>、</w:t>
            </w:r>
            <w:r>
              <w:rPr>
                <w:rFonts w:hint="eastAsia"/>
                <w:color w:val="auto"/>
                <w:highlight w:val="none"/>
              </w:rPr>
              <w:t>质保期维护方案、到达故障现场时间、故障出现解决方案、定期</w:t>
            </w:r>
            <w:r>
              <w:rPr>
                <w:rFonts w:hint="eastAsia"/>
                <w:color w:val="auto"/>
                <w:highlight w:val="none"/>
                <w:lang w:eastAsia="zh-CN"/>
              </w:rPr>
              <w:t>回访</w:t>
            </w:r>
            <w:r>
              <w:rPr>
                <w:rFonts w:hint="eastAsia"/>
                <w:color w:val="auto"/>
                <w:highlight w:val="none"/>
              </w:rPr>
              <w:t>、备品备件”等</w:t>
            </w:r>
            <w:r>
              <w:rPr>
                <w:rFonts w:hint="eastAsia"/>
                <w:color w:val="auto"/>
                <w:highlight w:val="none"/>
                <w:lang w:eastAsia="zh-CN"/>
              </w:rPr>
              <w:t>服务</w:t>
            </w:r>
            <w:r>
              <w:rPr>
                <w:rFonts w:hint="eastAsia"/>
                <w:color w:val="auto"/>
                <w:highlight w:val="none"/>
              </w:rPr>
              <w:t>内容满足招标文件售后服务</w:t>
            </w:r>
            <w:r>
              <w:rPr>
                <w:rFonts w:hint="eastAsia"/>
                <w:color w:val="auto"/>
                <w:highlight w:val="none"/>
                <w:lang w:eastAsia="zh-CN"/>
              </w:rPr>
              <w:t>的</w:t>
            </w:r>
            <w:r>
              <w:rPr>
                <w:rFonts w:hint="eastAsia"/>
                <w:color w:val="auto"/>
                <w:highlight w:val="none"/>
              </w:rPr>
              <w:t>要求。</w:t>
            </w:r>
            <w:r>
              <w:rPr>
                <w:rFonts w:hint="eastAsia"/>
                <w:color w:val="auto"/>
                <w:highlight w:val="none"/>
                <w:lang w:val="en-US" w:eastAsia="zh-CN"/>
              </w:rPr>
              <w:t>其中</w:t>
            </w:r>
            <w:r>
              <w:rPr>
                <w:rFonts w:hint="eastAsia" w:ascii="宋体" w:hAnsi="宋体" w:eastAsia="宋体" w:cs="宋体"/>
                <w:color w:val="auto"/>
                <w:sz w:val="21"/>
                <w:szCs w:val="21"/>
                <w:highlight w:val="none"/>
              </w:rPr>
              <w:t>接到采购人</w:t>
            </w:r>
            <w:r>
              <w:rPr>
                <w:rFonts w:hint="eastAsia" w:ascii="宋体" w:hAnsi="宋体" w:eastAsia="宋体" w:cs="宋体"/>
                <w:color w:val="auto"/>
                <w:sz w:val="21"/>
                <w:szCs w:val="21"/>
                <w:highlight w:val="none"/>
                <w:lang w:val="en-US" w:eastAsia="zh-CN"/>
              </w:rPr>
              <w:t>故障</w:t>
            </w:r>
            <w:r>
              <w:rPr>
                <w:rFonts w:hint="eastAsia" w:ascii="宋体" w:hAnsi="宋体" w:eastAsia="宋体" w:cs="宋体"/>
                <w:color w:val="auto"/>
                <w:sz w:val="21"/>
                <w:szCs w:val="21"/>
                <w:highlight w:val="none"/>
              </w:rPr>
              <w:t>通知</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小时内做出响应，</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小时内远程排查处理故障；远程无法处理的，应在接到通知后24小时内到达现场维修。</w:t>
            </w:r>
          </w:p>
          <w:p w14:paraId="034FB79A">
            <w:pPr>
              <w:keepNext w:val="0"/>
              <w:keepLines w:val="0"/>
              <w:suppressLineNumbers w:val="0"/>
              <w:spacing w:before="0" w:beforeAutospacing="0" w:after="0" w:afterAutospacing="0" w:line="360" w:lineRule="auto"/>
              <w:ind w:left="0" w:right="0"/>
              <w:jc w:val="left"/>
              <w:rPr>
                <w:rFonts w:hint="eastAsia"/>
                <w:color w:val="auto"/>
                <w:highlight w:val="none"/>
              </w:rPr>
            </w:pPr>
            <w:r>
              <w:rPr>
                <w:rFonts w:hint="eastAsia"/>
                <w:color w:val="auto"/>
                <w:highlight w:val="none"/>
              </w:rPr>
              <w:t>二档（</w:t>
            </w:r>
            <w:r>
              <w:rPr>
                <w:rFonts w:hint="eastAsia"/>
                <w:color w:val="auto"/>
                <w:highlight w:val="none"/>
                <w:lang w:val="en-US" w:eastAsia="zh-CN"/>
              </w:rPr>
              <w:t>6</w:t>
            </w:r>
            <w:r>
              <w:rPr>
                <w:rFonts w:hint="eastAsia"/>
                <w:color w:val="auto"/>
                <w:highlight w:val="none"/>
              </w:rPr>
              <w:t>分）：售后服务方案对“</w:t>
            </w:r>
            <w:r>
              <w:rPr>
                <w:rFonts w:hint="eastAsia" w:ascii="宋体" w:hAnsi="宋体" w:eastAsia="宋体" w:cs="宋体"/>
                <w:color w:val="auto"/>
                <w:sz w:val="21"/>
                <w:szCs w:val="21"/>
                <w:highlight w:val="none"/>
              </w:rPr>
              <w:t>软件准备、安装部署、测试验证、发布交付</w:t>
            </w:r>
            <w:r>
              <w:rPr>
                <w:rFonts w:hint="eastAsia"/>
                <w:color w:val="auto"/>
                <w:highlight w:val="none"/>
                <w:lang w:eastAsia="zh-CN"/>
              </w:rPr>
              <w:t>、</w:t>
            </w:r>
            <w:r>
              <w:rPr>
                <w:rFonts w:hint="eastAsia"/>
                <w:color w:val="auto"/>
                <w:highlight w:val="none"/>
              </w:rPr>
              <w:t>质保期维护方案、到达故障现场时间、故障出现解决方案、定期</w:t>
            </w:r>
            <w:r>
              <w:rPr>
                <w:rFonts w:hint="eastAsia"/>
                <w:color w:val="auto"/>
                <w:highlight w:val="none"/>
                <w:lang w:eastAsia="zh-CN"/>
              </w:rPr>
              <w:t>回访</w:t>
            </w:r>
            <w:r>
              <w:rPr>
                <w:rFonts w:hint="eastAsia"/>
                <w:color w:val="auto"/>
                <w:highlight w:val="none"/>
              </w:rPr>
              <w:t>、其他优惠措施、备品备件”等内容的描述完整，</w:t>
            </w:r>
            <w:r>
              <w:rPr>
                <w:rFonts w:hint="eastAsia"/>
                <w:color w:val="auto"/>
                <w:highlight w:val="none"/>
                <w:lang w:val="en-US" w:eastAsia="zh-CN"/>
              </w:rPr>
              <w:t>其中</w:t>
            </w:r>
            <w:r>
              <w:rPr>
                <w:rFonts w:hint="eastAsia" w:ascii="宋体" w:hAnsi="宋体" w:eastAsia="宋体" w:cs="宋体"/>
                <w:color w:val="auto"/>
                <w:sz w:val="21"/>
                <w:szCs w:val="21"/>
                <w:highlight w:val="none"/>
              </w:rPr>
              <w:t>接到采购人</w:t>
            </w:r>
            <w:r>
              <w:rPr>
                <w:rFonts w:hint="eastAsia" w:ascii="宋体" w:hAnsi="宋体" w:eastAsia="宋体" w:cs="宋体"/>
                <w:color w:val="auto"/>
                <w:sz w:val="21"/>
                <w:szCs w:val="21"/>
                <w:highlight w:val="none"/>
                <w:lang w:val="en-US" w:eastAsia="zh-CN"/>
              </w:rPr>
              <w:t>故障</w:t>
            </w:r>
            <w:r>
              <w:rPr>
                <w:rFonts w:hint="eastAsia" w:ascii="宋体" w:hAnsi="宋体" w:eastAsia="宋体" w:cs="宋体"/>
                <w:color w:val="auto"/>
                <w:sz w:val="21"/>
                <w:szCs w:val="21"/>
                <w:highlight w:val="none"/>
              </w:rPr>
              <w:t>通知</w:t>
            </w:r>
            <w:r>
              <w:rPr>
                <w:rFonts w:hint="eastAsia" w:ascii="宋体" w:hAnsi="宋体" w:eastAsia="宋体" w:cs="宋体"/>
                <w:color w:val="auto"/>
                <w:sz w:val="21"/>
                <w:szCs w:val="21"/>
                <w:highlight w:val="none"/>
                <w:lang w:val="en-US" w:eastAsia="zh-CN"/>
              </w:rPr>
              <w:t>30分钟</w:t>
            </w:r>
            <w:r>
              <w:rPr>
                <w:rFonts w:hint="eastAsia" w:ascii="宋体" w:hAnsi="宋体" w:eastAsia="宋体" w:cs="宋体"/>
                <w:color w:val="auto"/>
                <w:sz w:val="21"/>
                <w:szCs w:val="21"/>
                <w:highlight w:val="none"/>
              </w:rPr>
              <w:t>内做出响应，</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小时内远程排查处理故障；远程无法处理的，应在接到通知后</w:t>
            </w:r>
            <w:r>
              <w:rPr>
                <w:rFonts w:hint="eastAsia" w:ascii="宋体" w:hAnsi="宋体" w:eastAsia="宋体" w:cs="宋体"/>
                <w:color w:val="auto"/>
                <w:sz w:val="21"/>
                <w:szCs w:val="21"/>
                <w:highlight w:val="none"/>
                <w:lang w:val="en-US" w:eastAsia="zh-CN"/>
              </w:rPr>
              <w:t>18</w:t>
            </w:r>
            <w:r>
              <w:rPr>
                <w:rFonts w:hint="eastAsia" w:ascii="宋体" w:hAnsi="宋体" w:eastAsia="宋体" w:cs="宋体"/>
                <w:color w:val="auto"/>
                <w:sz w:val="21"/>
                <w:szCs w:val="21"/>
                <w:highlight w:val="none"/>
              </w:rPr>
              <w:t>小时内到达现场维修。</w:t>
            </w:r>
            <w:r>
              <w:rPr>
                <w:rFonts w:hint="eastAsia" w:ascii="宋体" w:hAnsi="宋体" w:eastAsia="宋体" w:cs="宋体"/>
                <w:color w:val="auto"/>
                <w:sz w:val="21"/>
                <w:szCs w:val="21"/>
                <w:highlight w:val="none"/>
                <w:lang w:val="en-US" w:eastAsia="zh-CN"/>
              </w:rPr>
              <w:t>并</w:t>
            </w:r>
            <w:r>
              <w:rPr>
                <w:rFonts w:hint="eastAsia" w:hAnsi="宋体" w:cs="宋体"/>
                <w:color w:val="auto"/>
                <w:kern w:val="2"/>
                <w:sz w:val="21"/>
                <w:highlight w:val="none"/>
                <w:lang w:val="en-US" w:eastAsia="zh-CN"/>
              </w:rPr>
              <w:t>就方案的各项内容编制有重点、难点应对措施</w:t>
            </w:r>
            <w:r>
              <w:rPr>
                <w:rFonts w:hint="eastAsia"/>
                <w:color w:val="auto"/>
                <w:highlight w:val="none"/>
              </w:rPr>
              <w:t>，故障处理措施到位；提供7×24售后服务热线</w:t>
            </w:r>
            <w:r>
              <w:rPr>
                <w:rFonts w:ascii="Segoe UI" w:hAnsi="Segoe UI" w:eastAsia="Segoe UI" w:cs="Segoe UI"/>
                <w:i w:val="0"/>
                <w:iCs w:val="0"/>
                <w:caps w:val="0"/>
                <w:color w:val="auto"/>
                <w:spacing w:val="0"/>
                <w:sz w:val="21"/>
                <w:szCs w:val="21"/>
                <w:highlight w:val="none"/>
                <w:shd w:val="clear" w:fill="FFFFFF"/>
              </w:rPr>
              <w:t>及专人对接</w:t>
            </w:r>
            <w:r>
              <w:rPr>
                <w:rFonts w:hint="eastAsia" w:ascii="Segoe UI" w:hAnsi="Segoe UI" w:eastAsia="宋体" w:cs="Segoe UI"/>
                <w:i w:val="0"/>
                <w:iCs w:val="0"/>
                <w:caps w:val="0"/>
                <w:color w:val="auto"/>
                <w:spacing w:val="0"/>
                <w:sz w:val="21"/>
                <w:szCs w:val="21"/>
                <w:highlight w:val="none"/>
                <w:shd w:val="clear" w:fill="FFFFFF"/>
                <w:lang w:eastAsia="zh-CN"/>
              </w:rPr>
              <w:t>服务</w:t>
            </w:r>
            <w:r>
              <w:rPr>
                <w:rFonts w:hint="eastAsia"/>
                <w:color w:val="auto"/>
                <w:highlight w:val="none"/>
                <w:lang w:eastAsia="zh-CN"/>
              </w:rPr>
              <w:t>，</w:t>
            </w:r>
            <w:r>
              <w:rPr>
                <w:rFonts w:hint="eastAsia" w:ascii="宋体" w:hAnsi="宋体" w:cs="宋体"/>
                <w:color w:val="auto"/>
                <w:szCs w:val="21"/>
                <w:highlight w:val="none"/>
                <w:lang w:val="zh-CN"/>
              </w:rPr>
              <w:t>列明处理事件时间和相关人员责任分明，</w:t>
            </w:r>
            <w:r>
              <w:rPr>
                <w:rFonts w:hint="eastAsia" w:ascii="宋体" w:hAnsi="宋体" w:cs="宋体"/>
                <w:color w:val="auto"/>
                <w:sz w:val="21"/>
                <w:szCs w:val="21"/>
                <w:highlight w:val="none"/>
                <w:lang w:val="en-US" w:eastAsia="zh-CN"/>
              </w:rPr>
              <w:t>提供详细分工表</w:t>
            </w:r>
            <w:r>
              <w:rPr>
                <w:rFonts w:hint="eastAsia"/>
                <w:color w:val="auto"/>
                <w:highlight w:val="none"/>
              </w:rPr>
              <w:t xml:space="preserve">。 </w:t>
            </w:r>
          </w:p>
          <w:p w14:paraId="25E62334">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1"/>
                <w:szCs w:val="21"/>
                <w:highlight w:val="none"/>
              </w:rPr>
            </w:pPr>
            <w:r>
              <w:rPr>
                <w:rFonts w:hint="eastAsia"/>
                <w:color w:val="auto"/>
                <w:highlight w:val="none"/>
              </w:rPr>
              <w:t>三档（</w:t>
            </w:r>
            <w:r>
              <w:rPr>
                <w:rFonts w:hint="eastAsia"/>
                <w:color w:val="auto"/>
                <w:highlight w:val="none"/>
                <w:lang w:val="en-US" w:eastAsia="zh-CN"/>
              </w:rPr>
              <w:t>9</w:t>
            </w:r>
            <w:r>
              <w:rPr>
                <w:rFonts w:hint="eastAsia"/>
                <w:color w:val="auto"/>
                <w:highlight w:val="none"/>
              </w:rPr>
              <w:t>分）：</w:t>
            </w:r>
            <w:r>
              <w:rPr>
                <w:rFonts w:hint="eastAsia"/>
                <w:color w:val="auto"/>
                <w:highlight w:val="none"/>
                <w:lang w:eastAsia="zh-CN"/>
              </w:rPr>
              <w:t>在满足二档的基础上，</w:t>
            </w:r>
            <w:r>
              <w:rPr>
                <w:rFonts w:hint="eastAsia"/>
                <w:color w:val="auto"/>
                <w:highlight w:val="none"/>
                <w:lang w:val="en-US" w:eastAsia="zh-CN"/>
              </w:rPr>
              <w:t>其中</w:t>
            </w:r>
            <w:r>
              <w:rPr>
                <w:rFonts w:hint="eastAsia" w:ascii="宋体" w:hAnsi="宋体" w:eastAsia="宋体" w:cs="宋体"/>
                <w:color w:val="auto"/>
                <w:sz w:val="21"/>
                <w:szCs w:val="21"/>
                <w:highlight w:val="none"/>
              </w:rPr>
              <w:t>接到采购人</w:t>
            </w:r>
            <w:r>
              <w:rPr>
                <w:rFonts w:hint="eastAsia" w:ascii="宋体" w:hAnsi="宋体" w:eastAsia="宋体" w:cs="宋体"/>
                <w:color w:val="auto"/>
                <w:sz w:val="21"/>
                <w:szCs w:val="21"/>
                <w:highlight w:val="none"/>
                <w:lang w:val="en-US" w:eastAsia="zh-CN"/>
              </w:rPr>
              <w:t>故障</w:t>
            </w:r>
            <w:r>
              <w:rPr>
                <w:rFonts w:hint="eastAsia" w:ascii="宋体" w:hAnsi="宋体" w:eastAsia="宋体" w:cs="宋体"/>
                <w:color w:val="auto"/>
                <w:sz w:val="21"/>
                <w:szCs w:val="21"/>
                <w:highlight w:val="none"/>
              </w:rPr>
              <w:t>通知</w:t>
            </w:r>
            <w:r>
              <w:rPr>
                <w:rFonts w:hint="eastAsia" w:ascii="宋体" w:hAnsi="宋体" w:eastAsia="宋体" w:cs="宋体"/>
                <w:color w:val="auto"/>
                <w:sz w:val="21"/>
                <w:szCs w:val="21"/>
                <w:highlight w:val="none"/>
                <w:lang w:val="en-US" w:eastAsia="zh-CN"/>
              </w:rPr>
              <w:t>15分钟</w:t>
            </w:r>
            <w:r>
              <w:rPr>
                <w:rFonts w:hint="eastAsia" w:ascii="宋体" w:hAnsi="宋体" w:eastAsia="宋体" w:cs="宋体"/>
                <w:color w:val="auto"/>
                <w:sz w:val="21"/>
                <w:szCs w:val="21"/>
                <w:highlight w:val="none"/>
              </w:rPr>
              <w:t>内做出响应，</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小时内远程排查处理故障；远程无法处理的，应在接到通知后</w:t>
            </w: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rPr>
              <w:t>小时内到达现场维修。</w:t>
            </w:r>
            <w:r>
              <w:rPr>
                <w:rFonts w:hint="eastAsia"/>
                <w:color w:val="auto"/>
                <w:highlight w:val="none"/>
              </w:rPr>
              <w:t>建立有售后</w:t>
            </w:r>
            <w:r>
              <w:rPr>
                <w:rFonts w:hint="eastAsia"/>
                <w:color w:val="auto"/>
                <w:highlight w:val="none"/>
                <w:lang w:eastAsia="zh-CN"/>
              </w:rPr>
              <w:t>服务</w:t>
            </w:r>
            <w:r>
              <w:rPr>
                <w:rFonts w:hint="eastAsia"/>
                <w:color w:val="auto"/>
                <w:highlight w:val="none"/>
              </w:rPr>
              <w:t>应急预案</w:t>
            </w:r>
            <w:r>
              <w:rPr>
                <w:rFonts w:hint="eastAsia"/>
                <w:color w:val="auto"/>
                <w:highlight w:val="none"/>
                <w:lang w:eastAsia="zh-CN"/>
              </w:rPr>
              <w:t>（如重要节假日或其他重要时期，设备</w:t>
            </w:r>
            <w:r>
              <w:rPr>
                <w:rFonts w:hint="eastAsia" w:ascii="宋体" w:hAnsi="宋体" w:cs="宋体"/>
                <w:color w:val="auto"/>
                <w:szCs w:val="21"/>
                <w:highlight w:val="none"/>
              </w:rPr>
              <w:t>发生故障时提供备用机或其他替代解决的具体</w:t>
            </w:r>
            <w:r>
              <w:rPr>
                <w:rFonts w:hint="eastAsia" w:ascii="宋体" w:hAnsi="宋体" w:cs="宋体"/>
                <w:color w:val="auto"/>
                <w:szCs w:val="21"/>
                <w:highlight w:val="none"/>
                <w:lang w:eastAsia="zh-CN"/>
              </w:rPr>
              <w:t>预案</w:t>
            </w:r>
            <w:r>
              <w:rPr>
                <w:rFonts w:hint="eastAsia"/>
                <w:color w:val="auto"/>
                <w:highlight w:val="none"/>
                <w:lang w:eastAsia="zh-CN"/>
              </w:rPr>
              <w:t>）</w:t>
            </w:r>
            <w:r>
              <w:rPr>
                <w:rFonts w:hint="eastAsia"/>
                <w:color w:val="auto"/>
                <w:highlight w:val="none"/>
                <w:lang w:val="en-US" w:eastAsia="zh-CN"/>
              </w:rPr>
              <w:t>；</w:t>
            </w:r>
            <w:r>
              <w:rPr>
                <w:rFonts w:hint="eastAsia" w:ascii="宋体" w:hAnsi="宋体" w:eastAsia="宋体" w:cs="宋体"/>
                <w:color w:val="auto"/>
                <w:highlight w:val="none"/>
                <w:lang w:val="en-US" w:eastAsia="zh-CN"/>
              </w:rPr>
              <w:t>设备运维服务实施软硬件分级运维管理，根据设备运行工况制定差异化运维策略，细化日常监测、动态排查、参数校准、运行数据分析等深度运维内容；</w:t>
            </w:r>
            <w:r>
              <w:rPr>
                <w:rFonts w:hint="eastAsia"/>
                <w:color w:val="auto"/>
                <w:highlight w:val="none"/>
                <w:lang w:val="en-US" w:eastAsia="zh-CN"/>
              </w:rPr>
              <w:t>服务期内对系统或平台</w:t>
            </w:r>
            <w:r>
              <w:rPr>
                <w:rFonts w:hint="eastAsia"/>
                <w:color w:val="auto"/>
                <w:sz w:val="21"/>
                <w:szCs w:val="24"/>
                <w:highlight w:val="none"/>
                <w:vertAlign w:val="baseline"/>
                <w:lang w:val="en-US" w:eastAsia="zh-CN"/>
              </w:rPr>
              <w:t>优化、修复已知问题、适配系统升级等有详细具体的售后服务方案；</w:t>
            </w:r>
            <w:r>
              <w:rPr>
                <w:rFonts w:ascii="Segoe UI" w:hAnsi="Segoe UI" w:eastAsia="Segoe UI" w:cs="Segoe UI"/>
                <w:i w:val="0"/>
                <w:iCs w:val="0"/>
                <w:caps w:val="0"/>
                <w:color w:val="auto"/>
                <w:spacing w:val="0"/>
                <w:sz w:val="21"/>
                <w:szCs w:val="21"/>
                <w:highlight w:val="none"/>
                <w:shd w:val="clear" w:fill="FFFFFF"/>
              </w:rPr>
              <w:t> </w:t>
            </w:r>
            <w:r>
              <w:rPr>
                <w:rFonts w:hint="default" w:ascii="Segoe UI" w:hAnsi="Segoe UI" w:eastAsia="Segoe UI" w:cs="Segoe UI"/>
                <w:i w:val="0"/>
                <w:iCs w:val="0"/>
                <w:caps w:val="0"/>
                <w:color w:val="auto"/>
                <w:spacing w:val="0"/>
                <w:sz w:val="21"/>
                <w:szCs w:val="21"/>
                <w:highlight w:val="none"/>
                <w:shd w:val="clear" w:fill="FFFFFF"/>
              </w:rPr>
              <w:t>拥有完善的售后质量管理体系（如提供相关售后</w:t>
            </w:r>
            <w:r>
              <w:rPr>
                <w:rFonts w:hint="eastAsia" w:ascii="Segoe UI" w:hAnsi="Segoe UI" w:eastAsia="宋体" w:cs="Segoe UI"/>
                <w:i w:val="0"/>
                <w:iCs w:val="0"/>
                <w:caps w:val="0"/>
                <w:color w:val="auto"/>
                <w:spacing w:val="0"/>
                <w:sz w:val="21"/>
                <w:szCs w:val="21"/>
                <w:highlight w:val="none"/>
                <w:shd w:val="clear" w:fill="FFFFFF"/>
                <w:lang w:eastAsia="zh-CN"/>
              </w:rPr>
              <w:t>服务</w:t>
            </w:r>
            <w:r>
              <w:rPr>
                <w:rFonts w:hint="default" w:ascii="Segoe UI" w:hAnsi="Segoe UI" w:eastAsia="Segoe UI" w:cs="Segoe UI"/>
                <w:i w:val="0"/>
                <w:iCs w:val="0"/>
                <w:caps w:val="0"/>
                <w:color w:val="auto"/>
                <w:spacing w:val="0"/>
                <w:sz w:val="21"/>
                <w:szCs w:val="21"/>
                <w:highlight w:val="none"/>
                <w:shd w:val="clear" w:fill="FFFFFF"/>
              </w:rPr>
              <w:t>认证或</w:t>
            </w:r>
            <w:r>
              <w:rPr>
                <w:rFonts w:hint="eastAsia" w:ascii="Segoe UI" w:hAnsi="Segoe UI" w:eastAsia="宋体" w:cs="Segoe UI"/>
                <w:i w:val="0"/>
                <w:iCs w:val="0"/>
                <w:caps w:val="0"/>
                <w:color w:val="auto"/>
                <w:spacing w:val="0"/>
                <w:sz w:val="21"/>
                <w:szCs w:val="21"/>
                <w:highlight w:val="none"/>
                <w:shd w:val="clear" w:fill="FFFFFF"/>
                <w:lang w:eastAsia="zh-CN"/>
              </w:rPr>
              <w:t>售后服务</w:t>
            </w:r>
            <w:r>
              <w:rPr>
                <w:rFonts w:hint="default" w:ascii="Segoe UI" w:hAnsi="Segoe UI" w:eastAsia="Segoe UI" w:cs="Segoe UI"/>
                <w:i w:val="0"/>
                <w:iCs w:val="0"/>
                <w:caps w:val="0"/>
                <w:color w:val="auto"/>
                <w:spacing w:val="0"/>
                <w:sz w:val="21"/>
                <w:szCs w:val="21"/>
                <w:highlight w:val="none"/>
                <w:shd w:val="clear" w:fill="FFFFFF"/>
              </w:rPr>
              <w:t>管理制度文件）</w:t>
            </w:r>
            <w:r>
              <w:rPr>
                <w:rFonts w:hint="eastAsia"/>
                <w:color w:val="auto"/>
                <w:highlight w:val="none"/>
              </w:rPr>
              <w:t>，</w:t>
            </w:r>
            <w:r>
              <w:rPr>
                <w:rFonts w:ascii="Segoe UI" w:hAnsi="Segoe UI" w:eastAsia="Segoe UI" w:cs="Segoe UI"/>
                <w:i w:val="0"/>
                <w:iCs w:val="0"/>
                <w:caps w:val="0"/>
                <w:color w:val="auto"/>
                <w:spacing w:val="0"/>
                <w:sz w:val="21"/>
                <w:szCs w:val="21"/>
                <w:highlight w:val="none"/>
                <w:shd w:val="clear" w:fill="FFFFFF"/>
              </w:rPr>
              <w:t>确保</w:t>
            </w:r>
            <w:r>
              <w:rPr>
                <w:rFonts w:hint="eastAsia" w:ascii="Segoe UI" w:hAnsi="Segoe UI" w:eastAsia="宋体" w:cs="Segoe UI"/>
                <w:i w:val="0"/>
                <w:iCs w:val="0"/>
                <w:caps w:val="0"/>
                <w:color w:val="auto"/>
                <w:spacing w:val="0"/>
                <w:sz w:val="21"/>
                <w:szCs w:val="21"/>
                <w:highlight w:val="none"/>
                <w:shd w:val="clear" w:fill="FFFFFF"/>
                <w:lang w:eastAsia="zh-CN"/>
              </w:rPr>
              <w:t>售后</w:t>
            </w:r>
            <w:r>
              <w:rPr>
                <w:rFonts w:ascii="Segoe UI" w:hAnsi="Segoe UI" w:eastAsia="Segoe UI" w:cs="Segoe UI"/>
                <w:i w:val="0"/>
                <w:iCs w:val="0"/>
                <w:caps w:val="0"/>
                <w:color w:val="auto"/>
                <w:spacing w:val="0"/>
                <w:sz w:val="21"/>
                <w:szCs w:val="21"/>
                <w:highlight w:val="none"/>
                <w:shd w:val="clear" w:fill="FFFFFF"/>
              </w:rPr>
              <w:t>服务优质快捷</w:t>
            </w:r>
            <w:r>
              <w:rPr>
                <w:rFonts w:hint="eastAsia"/>
                <w:color w:val="auto"/>
                <w:highlight w:val="none"/>
              </w:rPr>
              <w:t>。</w:t>
            </w:r>
          </w:p>
        </w:tc>
      </w:tr>
      <w:tr w14:paraId="5A23D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713" w:type="dxa"/>
            <w:vMerge w:val="continue"/>
            <w:noWrap w:val="0"/>
            <w:vAlign w:val="center"/>
          </w:tcPr>
          <w:p w14:paraId="2315E271">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val="en-US" w:eastAsia="zh-CN"/>
              </w:rPr>
            </w:pPr>
          </w:p>
        </w:tc>
        <w:tc>
          <w:tcPr>
            <w:tcW w:w="1101" w:type="dxa"/>
            <w:vMerge w:val="continue"/>
            <w:noWrap w:val="0"/>
            <w:vAlign w:val="center"/>
          </w:tcPr>
          <w:p w14:paraId="1F6C2ADA">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1259" w:type="dxa"/>
            <w:noWrap w:val="0"/>
            <w:vAlign w:val="center"/>
          </w:tcPr>
          <w:p w14:paraId="1990FAD7">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eastAsia="zh-CN"/>
              </w:rPr>
              <w:t>培训方案分（满分</w:t>
            </w:r>
            <w:r>
              <w:rPr>
                <w:rFonts w:hint="eastAsia" w:ascii="宋体" w:hAnsi="宋体" w:cs="宋体"/>
                <w:color w:val="auto"/>
                <w:sz w:val="21"/>
                <w:szCs w:val="21"/>
                <w:highlight w:val="none"/>
                <w:lang w:val="en-US" w:eastAsia="zh-CN"/>
              </w:rPr>
              <w:t>6分</w:t>
            </w:r>
            <w:r>
              <w:rPr>
                <w:rFonts w:hint="eastAsia" w:ascii="宋体" w:hAnsi="宋体" w:cs="宋体"/>
                <w:color w:val="auto"/>
                <w:sz w:val="21"/>
                <w:szCs w:val="21"/>
                <w:highlight w:val="none"/>
                <w:lang w:eastAsia="zh-CN"/>
              </w:rPr>
              <w:t>）</w:t>
            </w:r>
          </w:p>
        </w:tc>
        <w:tc>
          <w:tcPr>
            <w:tcW w:w="6253" w:type="dxa"/>
            <w:noWrap w:val="0"/>
            <w:vAlign w:val="center"/>
          </w:tcPr>
          <w:p w14:paraId="74E8BCCF">
            <w:pPr>
              <w:keepNext w:val="0"/>
              <w:keepLines w:val="0"/>
              <w:suppressLineNumbers w:val="0"/>
              <w:spacing w:before="0" w:beforeAutospacing="0" w:after="0" w:afterAutospacing="0" w:line="360" w:lineRule="auto"/>
              <w:ind w:left="0" w:right="0"/>
              <w:jc w:val="left"/>
              <w:rPr>
                <w:rFonts w:hint="eastAsia"/>
                <w:color w:val="auto"/>
                <w:highlight w:val="none"/>
              </w:rPr>
            </w:pPr>
            <w:r>
              <w:rPr>
                <w:rFonts w:hint="eastAsia" w:ascii="黑体" w:hAnsi="黑体" w:eastAsia="黑体" w:cs="黑体"/>
                <w:b/>
                <w:bCs/>
                <w:color w:val="auto"/>
                <w:szCs w:val="21"/>
                <w:highlight w:val="none"/>
              </w:rPr>
              <w:t>由评标委员</w:t>
            </w:r>
            <w:r>
              <w:rPr>
                <w:rFonts w:hint="eastAsia" w:ascii="黑体" w:hAnsi="黑体" w:eastAsia="黑体" w:cs="黑体"/>
                <w:b/>
                <w:bCs/>
                <w:color w:val="auto"/>
                <w:szCs w:val="21"/>
                <w:highlight w:val="none"/>
                <w:lang w:eastAsia="zh-CN"/>
              </w:rPr>
              <w:t>会</w:t>
            </w:r>
            <w:r>
              <w:rPr>
                <w:rFonts w:hint="eastAsia" w:ascii="黑体" w:hAnsi="黑体" w:eastAsia="黑体" w:cs="黑体"/>
                <w:b/>
                <w:bCs/>
                <w:color w:val="auto"/>
                <w:szCs w:val="21"/>
                <w:highlight w:val="none"/>
              </w:rPr>
              <w:t>在相应档次内独立打分，投标人投标文件中没有提供</w:t>
            </w:r>
            <w:r>
              <w:rPr>
                <w:rFonts w:hint="eastAsia" w:ascii="黑体" w:hAnsi="黑体" w:eastAsia="黑体" w:cs="黑体"/>
                <w:b/>
                <w:bCs/>
                <w:color w:val="auto"/>
                <w:szCs w:val="21"/>
                <w:highlight w:val="none"/>
                <w:lang w:val="en-US" w:eastAsia="zh-CN"/>
              </w:rPr>
              <w:t>培训方案</w:t>
            </w:r>
            <w:r>
              <w:rPr>
                <w:rFonts w:hint="eastAsia" w:ascii="黑体" w:hAnsi="黑体" w:eastAsia="黑体" w:cs="黑体"/>
                <w:b/>
                <w:bCs/>
                <w:color w:val="auto"/>
                <w:szCs w:val="21"/>
                <w:highlight w:val="none"/>
              </w:rPr>
              <w:t>的，本项不得分；所提供的</w:t>
            </w:r>
            <w:r>
              <w:rPr>
                <w:rFonts w:hint="eastAsia" w:ascii="黑体" w:hAnsi="黑体" w:eastAsia="黑体" w:cs="黑体"/>
                <w:b/>
                <w:bCs/>
                <w:color w:val="auto"/>
                <w:szCs w:val="21"/>
                <w:highlight w:val="none"/>
                <w:lang w:val="en-US" w:eastAsia="zh-CN"/>
              </w:rPr>
              <w:t>培训</w:t>
            </w:r>
            <w:r>
              <w:rPr>
                <w:rFonts w:hint="eastAsia" w:ascii="黑体" w:hAnsi="黑体" w:eastAsia="黑体" w:cs="黑体"/>
                <w:b/>
                <w:bCs/>
                <w:color w:val="auto"/>
                <w:szCs w:val="21"/>
                <w:highlight w:val="none"/>
              </w:rPr>
              <w:t>方案未达到相应评审档次全部标准的，相应降低一个档次</w:t>
            </w:r>
            <w:r>
              <w:rPr>
                <w:rFonts w:hint="eastAsia" w:ascii="宋体" w:hAnsi="宋体" w:eastAsia="宋体" w:cs="宋体"/>
                <w:b w:val="0"/>
                <w:bCs w:val="0"/>
                <w:color w:val="auto"/>
                <w:sz w:val="21"/>
                <w:szCs w:val="21"/>
                <w:highlight w:val="none"/>
              </w:rPr>
              <w:t>：</w:t>
            </w:r>
          </w:p>
          <w:p w14:paraId="224CACD5">
            <w:pPr>
              <w:keepNext w:val="0"/>
              <w:keepLines w:val="0"/>
              <w:suppressLineNumbers w:val="0"/>
              <w:spacing w:before="0" w:beforeAutospacing="0" w:after="0" w:afterAutospacing="0" w:line="360" w:lineRule="auto"/>
              <w:ind w:left="0" w:right="0"/>
              <w:jc w:val="left"/>
              <w:rPr>
                <w:rFonts w:hint="eastAsia"/>
                <w:color w:val="auto"/>
                <w:highlight w:val="none"/>
              </w:rPr>
            </w:pPr>
            <w:r>
              <w:rPr>
                <w:rFonts w:hint="eastAsia"/>
                <w:color w:val="auto"/>
                <w:highlight w:val="none"/>
              </w:rPr>
              <w:t>一档（</w:t>
            </w:r>
            <w:r>
              <w:rPr>
                <w:rFonts w:hint="eastAsia"/>
                <w:color w:val="auto"/>
                <w:highlight w:val="none"/>
                <w:lang w:val="en-US" w:eastAsia="zh-CN"/>
              </w:rPr>
              <w:t>2</w:t>
            </w:r>
            <w:r>
              <w:rPr>
                <w:rFonts w:hint="eastAsia"/>
                <w:color w:val="auto"/>
                <w:highlight w:val="none"/>
              </w:rPr>
              <w:t>分）</w:t>
            </w:r>
            <w:r>
              <w:rPr>
                <w:rFonts w:hint="eastAsia"/>
                <w:color w:val="auto"/>
                <w:highlight w:val="none"/>
                <w:lang w:eastAsia="zh-CN"/>
              </w:rPr>
              <w:t>：</w:t>
            </w:r>
            <w:r>
              <w:rPr>
                <w:rFonts w:hint="eastAsia"/>
                <w:color w:val="auto"/>
                <w:highlight w:val="none"/>
              </w:rPr>
              <w:t>提供有简单的设备操作培训课程安排，</w:t>
            </w:r>
            <w:r>
              <w:rPr>
                <w:rFonts w:hint="eastAsia" w:ascii="宋体" w:hAnsi="宋体" w:cs="宋体"/>
                <w:color w:val="auto"/>
                <w:szCs w:val="21"/>
                <w:highlight w:val="none"/>
              </w:rPr>
              <w:t>提供的培训方案（包括但不限于培训计划、培训内容设置、人员配备等）</w:t>
            </w:r>
            <w:r>
              <w:rPr>
                <w:rFonts w:hint="eastAsia"/>
                <w:color w:val="auto"/>
                <w:highlight w:val="none"/>
                <w:lang w:eastAsia="zh-CN"/>
              </w:rPr>
              <w:t>，</w:t>
            </w:r>
            <w:r>
              <w:rPr>
                <w:rFonts w:hint="eastAsia" w:ascii="宋体" w:hAnsi="宋体" w:cs="宋体"/>
                <w:color w:val="auto"/>
                <w:szCs w:val="21"/>
                <w:highlight w:val="none"/>
              </w:rPr>
              <w:t>培训方案包含的要点有缺漏或内容与要点相符但仅有纲要、内容简略，未展开详细阐述</w:t>
            </w:r>
            <w:r>
              <w:rPr>
                <w:rFonts w:hint="eastAsia" w:ascii="宋体" w:hAnsi="宋体" w:cs="宋体"/>
                <w:color w:val="auto"/>
                <w:szCs w:val="21"/>
                <w:highlight w:val="none"/>
                <w:lang w:eastAsia="zh-CN"/>
              </w:rPr>
              <w:t>，</w:t>
            </w:r>
            <w:r>
              <w:rPr>
                <w:rFonts w:hint="eastAsia"/>
                <w:color w:val="auto"/>
                <w:highlight w:val="none"/>
              </w:rPr>
              <w:t>培训方案</w:t>
            </w:r>
            <w:r>
              <w:rPr>
                <w:rFonts w:hint="eastAsia"/>
                <w:color w:val="auto"/>
                <w:highlight w:val="none"/>
                <w:lang w:val="en-US" w:eastAsia="zh-CN"/>
              </w:rPr>
              <w:t>基本</w:t>
            </w:r>
            <w:r>
              <w:rPr>
                <w:rFonts w:hint="eastAsia"/>
                <w:color w:val="auto"/>
                <w:highlight w:val="none"/>
              </w:rPr>
              <w:t>满足采购人培训要求。</w:t>
            </w:r>
          </w:p>
          <w:p w14:paraId="4B8443DA">
            <w:pPr>
              <w:keepNext w:val="0"/>
              <w:keepLines w:val="0"/>
              <w:suppressLineNumbers w:val="0"/>
              <w:spacing w:before="0" w:beforeAutospacing="0" w:after="0" w:afterAutospacing="0" w:line="360" w:lineRule="auto"/>
              <w:ind w:left="0" w:right="0"/>
              <w:jc w:val="left"/>
              <w:rPr>
                <w:rFonts w:hint="eastAsia"/>
                <w:color w:val="auto"/>
                <w:highlight w:val="none"/>
              </w:rPr>
            </w:pPr>
            <w:r>
              <w:rPr>
                <w:rFonts w:hint="eastAsia"/>
                <w:color w:val="auto"/>
                <w:highlight w:val="none"/>
              </w:rPr>
              <w:t>二档（</w:t>
            </w:r>
            <w:r>
              <w:rPr>
                <w:rFonts w:hint="eastAsia"/>
                <w:color w:val="auto"/>
                <w:highlight w:val="none"/>
                <w:lang w:val="en-US" w:eastAsia="zh-CN"/>
              </w:rPr>
              <w:t>4</w:t>
            </w:r>
            <w:r>
              <w:rPr>
                <w:rFonts w:hint="eastAsia"/>
                <w:color w:val="auto"/>
                <w:highlight w:val="none"/>
              </w:rPr>
              <w:t>分）</w:t>
            </w:r>
            <w:r>
              <w:rPr>
                <w:rFonts w:hint="eastAsia"/>
                <w:color w:val="auto"/>
                <w:highlight w:val="none"/>
                <w:lang w:eastAsia="zh-CN"/>
              </w:rPr>
              <w:t>：</w:t>
            </w:r>
            <w:r>
              <w:rPr>
                <w:rFonts w:hint="eastAsia" w:ascii="宋体" w:hAnsi="宋体" w:cs="宋体"/>
                <w:color w:val="auto"/>
                <w:szCs w:val="21"/>
                <w:highlight w:val="none"/>
              </w:rPr>
              <w:t>在满足一档的基础上，培训方案要点齐全、内容与要点相符、每个要点均有展开阐述但不够具体、有培训内容及时间安排、针对不同学科的课程课表、针对不同层次教师有不同的培训方案</w:t>
            </w:r>
            <w:r>
              <w:rPr>
                <w:rFonts w:hint="eastAsia" w:ascii="宋体" w:hAnsi="宋体" w:cs="宋体"/>
                <w:color w:val="auto"/>
                <w:szCs w:val="21"/>
                <w:highlight w:val="none"/>
                <w:lang w:eastAsia="zh-CN"/>
              </w:rPr>
              <w:t>，</w:t>
            </w:r>
            <w:r>
              <w:rPr>
                <w:rFonts w:hint="eastAsia"/>
                <w:color w:val="auto"/>
                <w:highlight w:val="none"/>
                <w:lang w:val="en-US" w:eastAsia="zh-CN"/>
              </w:rPr>
              <w:t>并</w:t>
            </w:r>
            <w:r>
              <w:rPr>
                <w:rFonts w:hint="eastAsia"/>
                <w:color w:val="auto"/>
                <w:highlight w:val="none"/>
              </w:rPr>
              <w:t>为采购人提供有专人指导的设备操作培训课程安排。</w:t>
            </w:r>
          </w:p>
          <w:p w14:paraId="4DE1E245">
            <w:pPr>
              <w:keepNext w:val="0"/>
              <w:keepLines w:val="0"/>
              <w:suppressLineNumbers w:val="0"/>
              <w:spacing w:before="0" w:beforeAutospacing="0" w:after="0" w:afterAutospacing="0" w:line="360" w:lineRule="auto"/>
              <w:ind w:left="0" w:right="0"/>
              <w:jc w:val="left"/>
              <w:rPr>
                <w:rFonts w:hint="eastAsia" w:eastAsia="宋体"/>
                <w:color w:val="auto"/>
                <w:highlight w:val="none"/>
                <w:lang w:eastAsia="zh-CN"/>
              </w:rPr>
            </w:pPr>
            <w:r>
              <w:rPr>
                <w:rFonts w:hint="eastAsia"/>
                <w:color w:val="auto"/>
                <w:highlight w:val="none"/>
              </w:rPr>
              <w:t>三档（</w:t>
            </w:r>
            <w:r>
              <w:rPr>
                <w:rFonts w:hint="eastAsia"/>
                <w:color w:val="auto"/>
                <w:highlight w:val="none"/>
                <w:lang w:val="en-US" w:eastAsia="zh-CN"/>
              </w:rPr>
              <w:t>6</w:t>
            </w:r>
            <w:r>
              <w:rPr>
                <w:rFonts w:hint="eastAsia"/>
                <w:color w:val="auto"/>
                <w:highlight w:val="none"/>
              </w:rPr>
              <w:t>分）</w:t>
            </w:r>
            <w:r>
              <w:rPr>
                <w:rFonts w:hint="eastAsia"/>
                <w:color w:val="auto"/>
                <w:highlight w:val="none"/>
                <w:lang w:eastAsia="zh-CN"/>
              </w:rPr>
              <w:t>：</w:t>
            </w:r>
            <w:r>
              <w:rPr>
                <w:rFonts w:hint="eastAsia" w:ascii="宋体" w:hAnsi="宋体" w:cs="宋体"/>
                <w:color w:val="auto"/>
                <w:szCs w:val="21"/>
                <w:highlight w:val="none"/>
              </w:rPr>
              <w:t>在满足二档的基础上，对培训内容有充分的理解，培训方案详细、具体，有针对性的培训内容、时间安排合理、科学详细，兼顾理论学习和实操训练。提供针对本项目培训资料（包括PPT、培训文档、文字材料、培训视频等材料）。承诺保证培训人员熟练掌握</w:t>
            </w:r>
            <w:r>
              <w:rPr>
                <w:rFonts w:hint="eastAsia" w:ascii="宋体" w:hAnsi="宋体" w:cs="宋体"/>
                <w:color w:val="auto"/>
                <w:szCs w:val="21"/>
                <w:highlight w:val="none"/>
                <w:lang w:val="en-US" w:eastAsia="zh-CN"/>
              </w:rPr>
              <w:t>系统维护</w:t>
            </w:r>
            <w:r>
              <w:rPr>
                <w:rFonts w:hint="eastAsia" w:ascii="宋体" w:hAnsi="宋体" w:cs="宋体"/>
                <w:color w:val="auto"/>
                <w:szCs w:val="21"/>
                <w:highlight w:val="none"/>
              </w:rPr>
              <w:t>及基本</w:t>
            </w:r>
            <w:r>
              <w:rPr>
                <w:rFonts w:hint="eastAsia" w:ascii="宋体" w:hAnsi="宋体" w:cs="宋体"/>
                <w:color w:val="auto"/>
                <w:szCs w:val="21"/>
                <w:highlight w:val="none"/>
                <w:lang w:val="en-US" w:eastAsia="zh-CN"/>
              </w:rPr>
              <w:t>故障识别</w:t>
            </w:r>
            <w:r>
              <w:rPr>
                <w:rFonts w:hint="eastAsia" w:ascii="宋体" w:hAnsi="宋体" w:cs="宋体"/>
                <w:color w:val="auto"/>
                <w:szCs w:val="21"/>
                <w:highlight w:val="none"/>
              </w:rPr>
              <w:t>等</w:t>
            </w:r>
            <w:r>
              <w:rPr>
                <w:rFonts w:hint="eastAsia" w:ascii="宋体" w:hAnsi="宋体" w:cs="宋体"/>
                <w:color w:val="auto"/>
                <w:szCs w:val="21"/>
                <w:highlight w:val="none"/>
                <w:lang w:val="en-US" w:eastAsia="zh-CN"/>
              </w:rPr>
              <w:t>问题</w:t>
            </w:r>
            <w:r>
              <w:rPr>
                <w:rFonts w:hint="eastAsia"/>
                <w:color w:val="auto"/>
                <w:highlight w:val="none"/>
              </w:rPr>
              <w:t>。</w:t>
            </w:r>
            <w:r>
              <w:rPr>
                <w:rFonts w:hint="eastAsia" w:ascii="宋体" w:hAnsi="宋体" w:cs="宋体"/>
                <w:color w:val="auto"/>
                <w:szCs w:val="21"/>
                <w:highlight w:val="none"/>
              </w:rPr>
              <w:t>提供“培训+跟踪+复训”全流程服务，</w:t>
            </w:r>
            <w:r>
              <w:rPr>
                <w:rFonts w:hint="eastAsia" w:ascii="宋体" w:hAnsi="宋体" w:cs="宋体"/>
                <w:color w:val="auto"/>
                <w:szCs w:val="21"/>
                <w:highlight w:val="none"/>
                <w:lang w:val="en-US" w:eastAsia="zh-CN"/>
              </w:rPr>
              <w:t>并有</w:t>
            </w:r>
            <w:r>
              <w:rPr>
                <w:rFonts w:hint="eastAsia" w:ascii="宋体" w:hAnsi="宋体" w:cs="宋体"/>
                <w:color w:val="auto"/>
                <w:szCs w:val="21"/>
                <w:highlight w:val="none"/>
              </w:rPr>
              <w:t>开展教学效果回访培训承诺</w:t>
            </w:r>
            <w:r>
              <w:rPr>
                <w:rFonts w:hint="eastAsia" w:ascii="宋体" w:hAnsi="宋体" w:cs="宋体"/>
                <w:color w:val="auto"/>
                <w:szCs w:val="21"/>
                <w:highlight w:val="none"/>
                <w:lang w:eastAsia="zh-CN"/>
              </w:rPr>
              <w:t>。</w:t>
            </w:r>
          </w:p>
        </w:tc>
      </w:tr>
      <w:tr w14:paraId="332D3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713" w:type="dxa"/>
            <w:vMerge w:val="continue"/>
            <w:noWrap w:val="0"/>
            <w:vAlign w:val="center"/>
          </w:tcPr>
          <w:p w14:paraId="4BE7CEDC">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val="en-US" w:eastAsia="zh-CN"/>
              </w:rPr>
            </w:pPr>
          </w:p>
        </w:tc>
        <w:tc>
          <w:tcPr>
            <w:tcW w:w="1101" w:type="dxa"/>
            <w:vMerge w:val="continue"/>
            <w:noWrap w:val="0"/>
            <w:vAlign w:val="center"/>
          </w:tcPr>
          <w:p w14:paraId="052C526C">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1259" w:type="dxa"/>
            <w:shd w:val="clear" w:color="auto" w:fill="auto"/>
            <w:noWrap w:val="0"/>
            <w:vAlign w:val="center"/>
          </w:tcPr>
          <w:p w14:paraId="5C4A8A96">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质保期（满分10分）</w:t>
            </w:r>
          </w:p>
        </w:tc>
        <w:tc>
          <w:tcPr>
            <w:tcW w:w="6253" w:type="dxa"/>
            <w:shd w:val="clear" w:color="auto" w:fill="auto"/>
            <w:noWrap w:val="0"/>
            <w:vAlign w:val="center"/>
          </w:tcPr>
          <w:p w14:paraId="6C09D6F8">
            <w:pPr>
              <w:pStyle w:val="101"/>
              <w:keepNext w:val="0"/>
              <w:keepLines w:val="0"/>
              <w:numPr>
                <w:ilvl w:val="0"/>
                <w:numId w:val="0"/>
              </w:numPr>
              <w:suppressLineNumbers w:val="0"/>
              <w:spacing w:before="172" w:beforeAutospacing="0" w:after="0" w:afterAutospacing="0" w:line="219" w:lineRule="auto"/>
              <w:ind w:left="0" w:leftChars="0" w:right="0" w:rightChars="0"/>
              <w:rPr>
                <w:rFonts w:hint="eastAsia" w:ascii="宋体" w:hAnsi="宋体" w:eastAsia="宋体" w:cs="宋体"/>
                <w:color w:val="auto"/>
                <w:spacing w:val="-1"/>
                <w:sz w:val="21"/>
                <w:szCs w:val="21"/>
                <w:highlight w:val="none"/>
                <w:lang w:eastAsia="zh-CN"/>
              </w:rPr>
            </w:pPr>
            <w:r>
              <w:rPr>
                <w:rFonts w:hint="eastAsia" w:ascii="宋体" w:hAnsi="宋体" w:eastAsia="宋体" w:cs="宋体"/>
                <w:color w:val="auto"/>
                <w:spacing w:val="-1"/>
                <w:kern w:val="2"/>
                <w:sz w:val="21"/>
                <w:szCs w:val="21"/>
                <w:highlight w:val="none"/>
                <w:lang w:val="en-US" w:eastAsia="en-US" w:bidi="ar-SA"/>
              </w:rPr>
              <w:t>1.</w:t>
            </w:r>
            <w:r>
              <w:rPr>
                <w:rFonts w:hint="eastAsia" w:ascii="宋体" w:hAnsi="宋体" w:eastAsia="宋体" w:cs="宋体"/>
                <w:b/>
                <w:bCs/>
                <w:color w:val="auto"/>
                <w:spacing w:val="-1"/>
                <w:sz w:val="21"/>
                <w:szCs w:val="21"/>
                <w:highlight w:val="none"/>
              </w:rPr>
              <w:t>质保期承诺:</w:t>
            </w:r>
            <w:r>
              <w:rPr>
                <w:rFonts w:hint="eastAsia" w:ascii="宋体" w:hAnsi="宋体" w:eastAsia="宋体" w:cs="宋体"/>
                <w:color w:val="auto"/>
                <w:spacing w:val="-1"/>
                <w:sz w:val="21"/>
                <w:szCs w:val="21"/>
                <w:highlight w:val="none"/>
                <w:lang w:val="en-US" w:eastAsia="zh-CN"/>
              </w:rPr>
              <w:t>在满足招标文件规定的质保期（或运维服务期）最低年限要求的前提下，投标人承诺的超出年限每满一个整年得2分，不足一个整年的部分不计分，超出年限达到三个整年及以上的按满分6分计。</w:t>
            </w:r>
          </w:p>
          <w:p w14:paraId="5BFC334C">
            <w:pPr>
              <w:pStyle w:val="101"/>
              <w:keepNext w:val="0"/>
              <w:keepLines w:val="0"/>
              <w:numPr>
                <w:ilvl w:val="0"/>
                <w:numId w:val="0"/>
              </w:numPr>
              <w:suppressLineNumbers w:val="0"/>
              <w:spacing w:before="172" w:beforeAutospacing="0" w:after="0" w:afterAutospacing="0" w:line="219" w:lineRule="auto"/>
              <w:ind w:left="0" w:right="0" w:rightChars="0"/>
              <w:rPr>
                <w:rFonts w:hint="default" w:ascii="宋体" w:hAnsi="宋体" w:eastAsia="宋体" w:cs="宋体"/>
                <w:color w:val="auto"/>
                <w:spacing w:val="-1"/>
                <w:sz w:val="21"/>
                <w:szCs w:val="21"/>
                <w:highlight w:val="none"/>
                <w:lang w:val="en-US" w:eastAsia="zh-CN"/>
              </w:rPr>
            </w:pPr>
            <w:r>
              <w:rPr>
                <w:rFonts w:hint="eastAsia" w:ascii="宋体" w:hAnsi="宋体" w:eastAsia="宋体" w:cs="宋体"/>
                <w:color w:val="auto"/>
                <w:spacing w:val="-1"/>
                <w:sz w:val="21"/>
                <w:szCs w:val="21"/>
                <w:highlight w:val="none"/>
                <w:lang w:val="en-US" w:eastAsia="zh-CN"/>
              </w:rPr>
              <w:t>2.投标人承诺在质保期（或运维服务期）届满后提供免费软件版本升级（含功能更新及安全补丁）的，每承诺提供一次得2分，满分4分。</w:t>
            </w:r>
          </w:p>
          <w:p w14:paraId="14081C91">
            <w:pPr>
              <w:keepNext w:val="0"/>
              <w:keepLines w:val="0"/>
              <w:suppressLineNumbers w:val="0"/>
              <w:spacing w:before="0" w:beforeAutospacing="0" w:after="0" w:afterAutospacing="0" w:line="360" w:lineRule="auto"/>
              <w:ind w:left="0" w:leftChars="0" w:right="0" w:rightChars="0"/>
              <w:jc w:val="left"/>
              <w:rPr>
                <w:rFonts w:hint="eastAsia" w:ascii="Times New Roman" w:hAnsi="Times New Roman" w:eastAsia="宋体" w:cs="Times New Roman"/>
                <w:color w:val="auto"/>
                <w:kern w:val="2"/>
                <w:sz w:val="21"/>
                <w:szCs w:val="24"/>
                <w:highlight w:val="none"/>
                <w:lang w:val="en-US" w:eastAsia="zh-CN" w:bidi="ar-SA"/>
              </w:rPr>
            </w:pPr>
            <w:r>
              <w:rPr>
                <w:rFonts w:hint="eastAsia" w:ascii="宋体" w:hAnsi="宋体" w:eastAsia="宋体" w:cs="宋体"/>
                <w:b/>
                <w:bCs/>
                <w:color w:val="auto"/>
                <w:spacing w:val="-3"/>
                <w:sz w:val="21"/>
                <w:szCs w:val="21"/>
                <w:highlight w:val="none"/>
              </w:rPr>
              <w:t>注：投标人须在投标文件中提供能清晰体现上述内容的质保期</w:t>
            </w:r>
            <w:r>
              <w:rPr>
                <w:rFonts w:hint="eastAsia" w:ascii="宋体" w:hAnsi="宋体" w:eastAsia="宋体" w:cs="宋体"/>
                <w:b/>
                <w:bCs/>
                <w:color w:val="auto"/>
                <w:spacing w:val="-3"/>
                <w:sz w:val="21"/>
                <w:szCs w:val="21"/>
                <w:highlight w:val="none"/>
                <w:lang w:eastAsia="zh-CN"/>
              </w:rPr>
              <w:t>（</w:t>
            </w:r>
            <w:r>
              <w:rPr>
                <w:rFonts w:hint="eastAsia" w:ascii="宋体" w:hAnsi="宋体" w:eastAsia="宋体" w:cs="宋体"/>
                <w:b/>
                <w:bCs/>
                <w:color w:val="auto"/>
                <w:spacing w:val="-3"/>
                <w:sz w:val="21"/>
                <w:szCs w:val="21"/>
                <w:highlight w:val="none"/>
                <w:lang w:val="en-US" w:eastAsia="zh-CN"/>
              </w:rPr>
              <w:t>或运维服务期）</w:t>
            </w:r>
            <w:r>
              <w:rPr>
                <w:rFonts w:hint="eastAsia" w:ascii="宋体" w:hAnsi="宋体" w:eastAsia="宋体" w:cs="宋体"/>
                <w:b/>
                <w:bCs/>
                <w:color w:val="auto"/>
                <w:spacing w:val="-3"/>
                <w:sz w:val="21"/>
                <w:szCs w:val="21"/>
                <w:highlight w:val="none"/>
              </w:rPr>
              <w:t>承诺函</w:t>
            </w:r>
            <w:r>
              <w:rPr>
                <w:rFonts w:hint="eastAsia" w:ascii="宋体" w:hAnsi="宋体" w:eastAsia="宋体" w:cs="宋体"/>
                <w:b/>
                <w:bCs/>
                <w:color w:val="auto"/>
                <w:spacing w:val="-3"/>
                <w:sz w:val="21"/>
                <w:szCs w:val="21"/>
                <w:highlight w:val="none"/>
                <w:lang w:val="en-US" w:eastAsia="zh-CN"/>
              </w:rPr>
              <w:t>扫描</w:t>
            </w:r>
            <w:r>
              <w:rPr>
                <w:rFonts w:hint="eastAsia" w:ascii="宋体" w:hAnsi="宋体" w:eastAsia="宋体" w:cs="宋体"/>
                <w:b/>
                <w:bCs/>
                <w:color w:val="auto"/>
                <w:spacing w:val="-3"/>
                <w:sz w:val="21"/>
                <w:szCs w:val="21"/>
                <w:highlight w:val="none"/>
              </w:rPr>
              <w:t>件(格式自拟),质保期</w:t>
            </w:r>
            <w:r>
              <w:rPr>
                <w:rFonts w:hint="eastAsia" w:ascii="宋体" w:hAnsi="宋体" w:eastAsia="宋体" w:cs="宋体"/>
                <w:b/>
                <w:bCs/>
                <w:color w:val="auto"/>
                <w:spacing w:val="-3"/>
                <w:sz w:val="21"/>
                <w:szCs w:val="21"/>
                <w:highlight w:val="none"/>
                <w:lang w:eastAsia="zh-CN"/>
              </w:rPr>
              <w:t>（</w:t>
            </w:r>
            <w:r>
              <w:rPr>
                <w:rFonts w:hint="eastAsia" w:ascii="宋体" w:hAnsi="宋体" w:eastAsia="宋体" w:cs="宋体"/>
                <w:b/>
                <w:bCs/>
                <w:color w:val="auto"/>
                <w:spacing w:val="-3"/>
                <w:sz w:val="21"/>
                <w:szCs w:val="21"/>
                <w:highlight w:val="none"/>
                <w:lang w:val="en-US" w:eastAsia="zh-CN"/>
              </w:rPr>
              <w:t>或运维服务期）</w:t>
            </w:r>
            <w:r>
              <w:rPr>
                <w:rFonts w:hint="eastAsia" w:ascii="宋体" w:hAnsi="宋体" w:eastAsia="宋体" w:cs="宋体"/>
                <w:b/>
                <w:bCs/>
                <w:color w:val="auto"/>
                <w:spacing w:val="-3"/>
                <w:sz w:val="21"/>
                <w:szCs w:val="21"/>
                <w:highlight w:val="none"/>
              </w:rPr>
              <w:t>承诺函须加盖投标人公章。</w:t>
            </w:r>
          </w:p>
        </w:tc>
      </w:tr>
      <w:tr w14:paraId="27779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713" w:type="dxa"/>
            <w:vMerge w:val="continue"/>
            <w:noWrap w:val="0"/>
            <w:vAlign w:val="center"/>
          </w:tcPr>
          <w:p w14:paraId="7A0B002F">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val="en-US" w:eastAsia="zh-CN"/>
              </w:rPr>
            </w:pPr>
          </w:p>
        </w:tc>
        <w:tc>
          <w:tcPr>
            <w:tcW w:w="1101" w:type="dxa"/>
            <w:vMerge w:val="continue"/>
            <w:noWrap w:val="0"/>
            <w:vAlign w:val="center"/>
          </w:tcPr>
          <w:p w14:paraId="22684E02">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1259" w:type="dxa"/>
            <w:noWrap w:val="0"/>
            <w:vAlign w:val="center"/>
          </w:tcPr>
          <w:p w14:paraId="1643BABB">
            <w:pPr>
              <w:keepNext w:val="0"/>
              <w:keepLines w:val="0"/>
              <w:suppressLineNumbers w:val="0"/>
              <w:spacing w:before="0" w:beforeAutospacing="0" w:after="0" w:afterAutospacing="0" w:line="360" w:lineRule="auto"/>
              <w:ind w:left="0" w:right="0"/>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val="en-US" w:eastAsia="zh-CN"/>
              </w:rPr>
              <w:t>信誉分</w:t>
            </w:r>
            <w:r>
              <w:rPr>
                <w:rFonts w:hint="eastAsia" w:ascii="宋体" w:hAnsi="宋体" w:eastAsia="宋体" w:cs="宋体"/>
                <w:b w:val="0"/>
                <w:bCs w:val="0"/>
                <w:color w:val="auto"/>
                <w:kern w:val="2"/>
                <w:sz w:val="21"/>
                <w:szCs w:val="21"/>
                <w:highlight w:val="none"/>
                <w:lang w:val="en-US" w:eastAsia="zh-CN" w:bidi="ar-SA"/>
              </w:rPr>
              <w:t>（满分5分）</w:t>
            </w:r>
          </w:p>
        </w:tc>
        <w:tc>
          <w:tcPr>
            <w:tcW w:w="6253" w:type="dxa"/>
            <w:noWrap w:val="0"/>
            <w:vAlign w:val="center"/>
          </w:tcPr>
          <w:p w14:paraId="2D7FEDC3">
            <w:pPr>
              <w:keepNext w:val="0"/>
              <w:keepLines w:val="0"/>
              <w:suppressLineNumbers w:val="0"/>
              <w:spacing w:before="0" w:beforeAutospacing="0" w:after="0" w:afterAutospacing="0" w:line="360" w:lineRule="auto"/>
              <w:ind w:left="0" w:right="0"/>
              <w:jc w:val="left"/>
              <w:rPr>
                <w:rFonts w:hint="eastAsia" w:ascii="宋体" w:hAnsi="宋体" w:cs="宋体"/>
                <w:color w:val="auto"/>
                <w:spacing w:val="-6"/>
                <w:szCs w:val="21"/>
                <w:highlight w:val="none"/>
              </w:rPr>
            </w:pPr>
            <w:r>
              <w:rPr>
                <w:rFonts w:hint="eastAsia" w:ascii="宋体" w:hAnsi="宋体" w:cs="宋体"/>
                <w:color w:val="auto"/>
                <w:spacing w:val="-6"/>
                <w:szCs w:val="21"/>
                <w:highlight w:val="none"/>
              </w:rPr>
              <w:t>1.投标人或制造商应提供所投软件产品与主流国产芯片（包含但不限于鲲鹏、飞腾、龙芯、兆芯等）、国产服务器操作系统（包含但不限于银河麒麟、统信等）及国产数据库(包含但不限于达梦、人大金仓、0ceanBase等）兼容适配的证明材料，包括但不限于产品兼容性认证证书、适配测试报告或产品功能确认说明等，每个得1分。满分2分。</w:t>
            </w:r>
          </w:p>
          <w:p w14:paraId="42A8D4D4">
            <w:pPr>
              <w:keepNext w:val="0"/>
              <w:keepLines w:val="0"/>
              <w:suppressLineNumbers w:val="0"/>
              <w:spacing w:before="0" w:beforeAutospacing="0" w:after="0" w:afterAutospacing="0" w:line="360" w:lineRule="auto"/>
              <w:ind w:left="0" w:right="0"/>
              <w:jc w:val="left"/>
              <w:rPr>
                <w:rFonts w:hint="default"/>
                <w:color w:val="auto"/>
                <w:highlight w:val="none"/>
                <w:lang w:val="en-US"/>
              </w:rPr>
            </w:pPr>
            <w:r>
              <w:rPr>
                <w:rFonts w:hint="eastAsia" w:ascii="宋体" w:hAnsi="宋体" w:cs="宋体"/>
                <w:color w:val="auto"/>
                <w:spacing w:val="-6"/>
                <w:szCs w:val="21"/>
                <w:highlight w:val="none"/>
              </w:rPr>
              <w:t>2.投标人或核心产品生产厂家具有相关管理体系认证（ISO9001质量管理体系认证、ISO14001环境管理体系认证、ISO45001职业健康安全管理体系认证）的，每提供一项得1分，满分3分。投标文件中须提供上述证书有效期内复印件并加盖投标人公章，否则不予计分。</w:t>
            </w:r>
          </w:p>
        </w:tc>
      </w:tr>
      <w:tr w14:paraId="61230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713" w:type="dxa"/>
            <w:vMerge w:val="continue"/>
            <w:noWrap w:val="0"/>
            <w:vAlign w:val="center"/>
          </w:tcPr>
          <w:p w14:paraId="06BAA950">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eastAsia="zh-CN"/>
              </w:rPr>
            </w:pPr>
          </w:p>
        </w:tc>
        <w:tc>
          <w:tcPr>
            <w:tcW w:w="1101" w:type="dxa"/>
            <w:vMerge w:val="continue"/>
            <w:noWrap w:val="0"/>
            <w:vAlign w:val="center"/>
          </w:tcPr>
          <w:p w14:paraId="43597A3D">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eastAsia="zh-CN"/>
              </w:rPr>
            </w:pPr>
          </w:p>
        </w:tc>
        <w:tc>
          <w:tcPr>
            <w:tcW w:w="1259" w:type="dxa"/>
            <w:noWrap w:val="0"/>
            <w:vAlign w:val="center"/>
          </w:tcPr>
          <w:p w14:paraId="49F15AF3">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color w:val="auto"/>
                <w:sz w:val="21"/>
                <w:szCs w:val="21"/>
                <w:highlight w:val="none"/>
              </w:rPr>
              <w:t>业绩分</w:t>
            </w:r>
            <w:r>
              <w:rPr>
                <w:rFonts w:hint="eastAsia" w:ascii="宋体" w:hAnsi="宋体" w:eastAsia="宋体" w:cs="宋体"/>
                <w:b w:val="0"/>
                <w:bCs w:val="0"/>
                <w:color w:val="auto"/>
                <w:kern w:val="2"/>
                <w:sz w:val="21"/>
                <w:szCs w:val="21"/>
                <w:highlight w:val="none"/>
                <w:lang w:val="en-US" w:eastAsia="zh-CN" w:bidi="ar-SA"/>
              </w:rPr>
              <w:t>（满分</w:t>
            </w:r>
            <w:r>
              <w:rPr>
                <w:rFonts w:hint="eastAsia" w:ascii="宋体" w:hAnsi="宋体" w:cs="宋体"/>
                <w:b w:val="0"/>
                <w:bCs w:val="0"/>
                <w:color w:val="auto"/>
                <w:kern w:val="2"/>
                <w:sz w:val="21"/>
                <w:szCs w:val="21"/>
                <w:highlight w:val="none"/>
                <w:lang w:val="en-US" w:eastAsia="zh-CN" w:bidi="ar-SA"/>
              </w:rPr>
              <w:t>10</w:t>
            </w:r>
            <w:r>
              <w:rPr>
                <w:rFonts w:hint="eastAsia" w:ascii="宋体" w:hAnsi="宋体" w:eastAsia="宋体" w:cs="宋体"/>
                <w:b w:val="0"/>
                <w:bCs w:val="0"/>
                <w:color w:val="auto"/>
                <w:kern w:val="2"/>
                <w:sz w:val="21"/>
                <w:szCs w:val="21"/>
                <w:highlight w:val="none"/>
                <w:lang w:val="en-US" w:eastAsia="zh-CN" w:bidi="ar-SA"/>
              </w:rPr>
              <w:t>分）</w:t>
            </w:r>
          </w:p>
        </w:tc>
        <w:tc>
          <w:tcPr>
            <w:tcW w:w="6253" w:type="dxa"/>
            <w:noWrap w:val="0"/>
            <w:vAlign w:val="center"/>
          </w:tcPr>
          <w:p w14:paraId="5FF290C2">
            <w:pPr>
              <w:pStyle w:val="11"/>
              <w:keepNext w:val="0"/>
              <w:keepLines w:val="0"/>
              <w:suppressLineNumbers w:val="0"/>
              <w:spacing w:before="0" w:beforeAutospacing="0" w:afterAutospacing="0" w:line="360" w:lineRule="auto"/>
              <w:ind w:left="0" w:right="0" w:firstLine="0" w:firstLine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投标人</w:t>
            </w:r>
            <w:r>
              <w:rPr>
                <w:rFonts w:hint="eastAsia" w:ascii="宋体" w:hAnsi="宋体" w:cs="宋体"/>
                <w:color w:val="auto"/>
                <w:sz w:val="21"/>
                <w:szCs w:val="21"/>
                <w:highlight w:val="none"/>
                <w:lang w:eastAsia="zh-CN"/>
              </w:rPr>
              <w:t>或投标产品制造商</w:t>
            </w:r>
            <w:r>
              <w:rPr>
                <w:rFonts w:hint="eastAsia" w:ascii="宋体" w:hAnsi="宋体" w:eastAsia="宋体" w:cs="宋体"/>
                <w:color w:val="auto"/>
                <w:sz w:val="21"/>
                <w:szCs w:val="21"/>
                <w:highlight w:val="none"/>
              </w:rPr>
              <w:t>202</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rPr>
              <w:t>月至</w:t>
            </w:r>
            <w:r>
              <w:rPr>
                <w:rFonts w:hint="eastAsia" w:ascii="宋体" w:hAnsi="宋体" w:cs="宋体"/>
                <w:color w:val="auto"/>
                <w:sz w:val="21"/>
                <w:szCs w:val="21"/>
                <w:highlight w:val="none"/>
                <w:lang w:eastAsia="zh-CN"/>
              </w:rPr>
              <w:t>投标截止时间止</w:t>
            </w:r>
            <w:r>
              <w:rPr>
                <w:rFonts w:hint="eastAsia" w:ascii="宋体" w:hAnsi="宋体" w:eastAsia="宋体" w:cs="宋体"/>
                <w:color w:val="auto"/>
                <w:sz w:val="21"/>
                <w:szCs w:val="21"/>
                <w:highlight w:val="none"/>
              </w:rPr>
              <w:t>承接的</w:t>
            </w:r>
            <w:r>
              <w:rPr>
                <w:rFonts w:hint="eastAsia" w:ascii="宋体" w:hAnsi="宋体" w:cs="宋体"/>
                <w:color w:val="auto"/>
                <w:sz w:val="21"/>
                <w:szCs w:val="21"/>
                <w:highlight w:val="none"/>
                <w:lang w:val="en-US" w:eastAsia="zh-CN"/>
              </w:rPr>
              <w:t>类似</w:t>
            </w:r>
            <w:r>
              <w:rPr>
                <w:rFonts w:hint="eastAsia" w:ascii="宋体" w:hAnsi="宋体" w:cs="宋体"/>
                <w:color w:val="auto"/>
                <w:sz w:val="21"/>
                <w:szCs w:val="21"/>
                <w:highlight w:val="none"/>
                <w:lang w:eastAsia="zh-CN"/>
              </w:rPr>
              <w:t>项目销售</w:t>
            </w:r>
            <w:r>
              <w:rPr>
                <w:rFonts w:hint="eastAsia" w:ascii="宋体" w:hAnsi="宋体" w:eastAsia="宋体" w:cs="宋体"/>
                <w:color w:val="auto"/>
                <w:sz w:val="21"/>
                <w:szCs w:val="21"/>
                <w:highlight w:val="none"/>
              </w:rPr>
              <w:t>业绩（</w:t>
            </w:r>
            <w:r>
              <w:rPr>
                <w:rFonts w:hint="eastAsia" w:ascii="宋体" w:hAnsi="宋体" w:cs="宋体"/>
                <w:color w:val="auto"/>
                <w:sz w:val="21"/>
                <w:szCs w:val="21"/>
                <w:highlight w:val="none"/>
                <w:lang w:val="en-US" w:eastAsia="zh-CN"/>
              </w:rPr>
              <w:t>类似</w:t>
            </w:r>
            <w:r>
              <w:rPr>
                <w:rFonts w:hint="eastAsia" w:ascii="宋体" w:hAnsi="宋体" w:cs="宋体"/>
                <w:color w:val="auto"/>
                <w:sz w:val="21"/>
                <w:szCs w:val="21"/>
                <w:highlight w:val="none"/>
                <w:lang w:eastAsia="zh-CN"/>
              </w:rPr>
              <w:t>项目销售</w:t>
            </w:r>
            <w:r>
              <w:rPr>
                <w:rFonts w:hint="eastAsia" w:ascii="宋体" w:hAnsi="宋体" w:eastAsia="宋体" w:cs="宋体"/>
                <w:color w:val="auto"/>
                <w:sz w:val="21"/>
                <w:szCs w:val="21"/>
                <w:highlight w:val="none"/>
              </w:rPr>
              <w:t>业绩是指包含1项</w:t>
            </w:r>
            <w:r>
              <w:rPr>
                <w:rFonts w:hint="eastAsia" w:ascii="宋体" w:hAnsi="宋体" w:eastAsia="宋体" w:cs="宋体"/>
                <w:color w:val="auto"/>
                <w:sz w:val="21"/>
                <w:szCs w:val="21"/>
                <w:highlight w:val="none"/>
                <w:lang w:val="en-US" w:eastAsia="zh-CN"/>
              </w:rPr>
              <w:t>或多项</w:t>
            </w:r>
            <w:r>
              <w:rPr>
                <w:rFonts w:hint="eastAsia" w:ascii="宋体" w:hAnsi="宋体" w:eastAsia="宋体" w:cs="宋体"/>
                <w:color w:val="auto"/>
                <w:sz w:val="21"/>
                <w:szCs w:val="21"/>
                <w:highlight w:val="none"/>
              </w:rPr>
              <w:t>与投标产品相</w:t>
            </w:r>
            <w:r>
              <w:rPr>
                <w:rFonts w:hint="eastAsia" w:ascii="宋体" w:hAnsi="宋体" w:cs="宋体"/>
                <w:color w:val="auto"/>
                <w:sz w:val="21"/>
                <w:szCs w:val="21"/>
                <w:highlight w:val="none"/>
                <w:lang w:eastAsia="zh-CN"/>
              </w:rPr>
              <w:t>同</w:t>
            </w:r>
            <w:r>
              <w:rPr>
                <w:rFonts w:hint="eastAsia" w:ascii="宋体" w:hAnsi="宋体" w:eastAsia="宋体" w:cs="宋体"/>
                <w:color w:val="auto"/>
                <w:sz w:val="21"/>
                <w:szCs w:val="21"/>
                <w:highlight w:val="none"/>
              </w:rPr>
              <w:t>的</w:t>
            </w:r>
            <w:r>
              <w:rPr>
                <w:rFonts w:hint="eastAsia" w:ascii="宋体" w:hAnsi="宋体" w:cs="宋体"/>
                <w:color w:val="auto"/>
                <w:sz w:val="21"/>
                <w:szCs w:val="21"/>
                <w:highlight w:val="none"/>
                <w:lang w:eastAsia="zh-CN"/>
              </w:rPr>
              <w:t>项目销售</w:t>
            </w:r>
            <w:r>
              <w:rPr>
                <w:rFonts w:hint="eastAsia" w:ascii="宋体" w:hAnsi="宋体" w:eastAsia="宋体" w:cs="宋体"/>
                <w:color w:val="auto"/>
                <w:sz w:val="21"/>
                <w:szCs w:val="21"/>
                <w:highlight w:val="none"/>
              </w:rPr>
              <w:t>业绩。投标文件中提供有效的合同复印件并加盖投标人公章，合同复印件需要</w:t>
            </w:r>
            <w:r>
              <w:rPr>
                <w:rFonts w:hint="eastAsia" w:ascii="宋体" w:hAnsi="宋体" w:cs="宋体"/>
                <w:color w:val="auto"/>
                <w:sz w:val="21"/>
                <w:szCs w:val="21"/>
                <w:highlight w:val="none"/>
                <w:lang w:eastAsia="zh-CN"/>
              </w:rPr>
              <w:t>清晰</w:t>
            </w:r>
            <w:r>
              <w:rPr>
                <w:rFonts w:hint="eastAsia" w:ascii="宋体" w:hAnsi="宋体" w:eastAsia="宋体" w:cs="宋体"/>
                <w:color w:val="auto"/>
                <w:sz w:val="21"/>
                <w:szCs w:val="21"/>
                <w:highlight w:val="none"/>
              </w:rPr>
              <w:t>体现出合同首页、采购内容和日期、盖章页</w:t>
            </w:r>
            <w:r>
              <w:rPr>
                <w:rFonts w:hint="eastAsia" w:ascii="宋体" w:hAnsi="宋体" w:cs="宋体"/>
                <w:color w:val="auto"/>
                <w:sz w:val="21"/>
                <w:szCs w:val="21"/>
                <w:highlight w:val="none"/>
                <w:lang w:eastAsia="zh-CN"/>
              </w:rPr>
              <w:t>。合同内容不全或不清晰和，不计分。</w:t>
            </w:r>
            <w:r>
              <w:rPr>
                <w:rFonts w:hint="eastAsia" w:ascii="宋体" w:hAnsi="宋体" w:eastAsia="宋体" w:cs="宋体"/>
                <w:color w:val="auto"/>
                <w:sz w:val="21"/>
                <w:szCs w:val="21"/>
                <w:highlight w:val="none"/>
              </w:rPr>
              <w:t>），每份业绩得</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分，满分</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r>
              <w:rPr>
                <w:rFonts w:hint="eastAsia" w:ascii="宋体" w:hAnsi="宋体" w:cs="宋体"/>
                <w:color w:val="auto"/>
                <w:sz w:val="21"/>
                <w:szCs w:val="21"/>
                <w:highlight w:val="none"/>
                <w:lang w:eastAsia="zh-CN"/>
              </w:rPr>
              <w:t>同一项目分多个合同签订的，只计分一次。</w:t>
            </w:r>
          </w:p>
        </w:tc>
      </w:tr>
      <w:tr w14:paraId="53F3E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713" w:type="dxa"/>
            <w:noWrap w:val="0"/>
            <w:vAlign w:val="center"/>
          </w:tcPr>
          <w:p w14:paraId="577DEA2E">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8613" w:type="dxa"/>
            <w:gridSpan w:val="3"/>
            <w:noWrap w:val="0"/>
            <w:vAlign w:val="center"/>
          </w:tcPr>
          <w:p w14:paraId="6645F976">
            <w:pPr>
              <w:pStyle w:val="11"/>
              <w:keepNext w:val="0"/>
              <w:keepLines w:val="0"/>
              <w:suppressLineNumbers w:val="0"/>
              <w:spacing w:before="0" w:beforeAutospacing="0" w:afterAutospacing="0" w:line="360" w:lineRule="auto"/>
              <w:ind w:left="0" w:right="0"/>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总得分=1+2+3</w:t>
            </w:r>
          </w:p>
        </w:tc>
      </w:tr>
    </w:tbl>
    <w:p w14:paraId="6101B955">
      <w:pPr>
        <w:rPr>
          <w:color w:val="auto"/>
          <w:highlight w:val="none"/>
        </w:rPr>
      </w:pPr>
    </w:p>
    <w:p w14:paraId="3FE4CD34">
      <w:pPr>
        <w:pStyle w:val="14"/>
        <w:spacing w:line="360" w:lineRule="auto"/>
        <w:ind w:firstLine="315"/>
        <w:rPr>
          <w:rFonts w:hAnsi="宋体"/>
          <w:bCs/>
          <w:color w:val="auto"/>
          <w:highlight w:val="none"/>
        </w:rPr>
      </w:pPr>
      <w:r>
        <w:rPr>
          <w:rFonts w:hint="eastAsia" w:hAnsi="宋体"/>
          <w:bCs/>
          <w:color w:val="auto"/>
          <w:highlight w:val="none"/>
        </w:rPr>
        <w:t>注：1.计分方法按四舍五入取至百分位；</w:t>
      </w:r>
    </w:p>
    <w:p w14:paraId="1086F9E9">
      <w:pPr>
        <w:rPr>
          <w:rFonts w:hAnsi="宋体" w:cs="宋体"/>
          <w:b/>
          <w:color w:val="auto"/>
          <w:sz w:val="30"/>
          <w:szCs w:val="30"/>
          <w:highlight w:val="none"/>
        </w:rPr>
      </w:pPr>
      <w:r>
        <w:rPr>
          <w:rFonts w:hint="eastAsia" w:hAnsi="宋体"/>
          <w:bCs/>
          <w:color w:val="auto"/>
          <w:highlight w:val="none"/>
        </w:rPr>
        <w:t xml:space="preserve">       </w:t>
      </w:r>
      <w:r>
        <w:rPr>
          <w:rFonts w:hint="eastAsia" w:asciiTheme="minorEastAsia" w:hAnsiTheme="minorEastAsia" w:eastAsiaTheme="minorEastAsia" w:cstheme="minorEastAsia"/>
          <w:bCs/>
          <w:color w:val="auto"/>
          <w:highlight w:val="none"/>
        </w:rPr>
        <w:t>2.因落实政府采购政策</w:t>
      </w:r>
      <w:r>
        <w:rPr>
          <w:rFonts w:hint="eastAsia" w:hAnsi="宋体"/>
          <w:bCs/>
          <w:color w:val="auto"/>
          <w:highlight w:val="none"/>
        </w:rPr>
        <w:t>进行价格调整的，以调整后的价格计算评标基准价。</w:t>
      </w:r>
    </w:p>
    <w:p w14:paraId="34B1D2AB">
      <w:pPr>
        <w:rPr>
          <w:rFonts w:hint="eastAsia" w:ascii="Times New Roman" w:hAnsi="Times New Roman" w:eastAsia="宋体" w:cs="Times New Roman"/>
          <w:color w:val="auto"/>
          <w:highlight w:val="none"/>
          <w:lang w:val="en-US" w:eastAsia="zh-CN"/>
        </w:rPr>
      </w:pPr>
    </w:p>
    <w:p w14:paraId="728F8F18">
      <w:pPr>
        <w:pStyle w:val="4"/>
        <w:keepNext w:val="0"/>
        <w:keepLines w:val="0"/>
        <w:spacing w:line="240" w:lineRule="auto"/>
        <w:jc w:val="center"/>
        <w:rPr>
          <w:rFonts w:hint="eastAsia" w:eastAsia="宋体"/>
          <w:color w:val="auto"/>
          <w:highlight w:val="none"/>
          <w:lang w:eastAsia="zh-CN"/>
        </w:rPr>
      </w:pPr>
      <w:r>
        <w:rPr>
          <w:rFonts w:hint="eastAsia" w:ascii="宋体" w:hAnsi="宋体" w:eastAsia="宋体" w:cs="宋体"/>
          <w:b w:val="0"/>
          <w:color w:val="auto"/>
          <w:sz w:val="30"/>
          <w:szCs w:val="30"/>
          <w:highlight w:val="none"/>
        </w:rPr>
        <w:br w:type="page"/>
      </w:r>
      <w:r>
        <w:rPr>
          <w:rFonts w:hint="eastAsia"/>
          <w:color w:val="auto"/>
          <w:highlight w:val="none"/>
        </w:rPr>
        <w:t>综合评分法</w:t>
      </w:r>
      <w:r>
        <w:rPr>
          <w:rFonts w:hint="eastAsia"/>
          <w:color w:val="auto"/>
          <w:highlight w:val="none"/>
          <w:lang w:eastAsia="zh-CN"/>
        </w:rPr>
        <w:t>（</w:t>
      </w:r>
      <w:r>
        <w:rPr>
          <w:rFonts w:hint="eastAsia"/>
          <w:color w:val="auto"/>
          <w:highlight w:val="none"/>
          <w:lang w:val="en-US" w:eastAsia="zh-CN"/>
        </w:rPr>
        <w:t>分标2</w:t>
      </w:r>
      <w:r>
        <w:rPr>
          <w:rFonts w:hint="eastAsia"/>
          <w:color w:val="auto"/>
          <w:highlight w:val="none"/>
          <w:lang w:eastAsia="zh-CN"/>
        </w:rPr>
        <w:t>）</w:t>
      </w:r>
    </w:p>
    <w:tbl>
      <w:tblPr>
        <w:tblStyle w:val="29"/>
        <w:tblpPr w:leftFromText="180" w:rightFromText="180" w:vertAnchor="text" w:horzAnchor="page" w:tblpX="1220" w:tblpY="656"/>
        <w:tblOverlap w:val="never"/>
        <w:tblW w:w="93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3"/>
        <w:gridCol w:w="1101"/>
        <w:gridCol w:w="1259"/>
        <w:gridCol w:w="6253"/>
      </w:tblGrid>
      <w:tr w14:paraId="278F8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13" w:type="dxa"/>
            <w:noWrap w:val="0"/>
            <w:vAlign w:val="center"/>
          </w:tcPr>
          <w:p w14:paraId="1DC0EB08">
            <w:pPr>
              <w:keepNext w:val="0"/>
              <w:keepLines w:val="0"/>
              <w:suppressLineNumbers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rPr>
              <w:t>序号</w:t>
            </w:r>
          </w:p>
        </w:tc>
        <w:tc>
          <w:tcPr>
            <w:tcW w:w="1101" w:type="dxa"/>
            <w:noWrap w:val="0"/>
            <w:vAlign w:val="center"/>
          </w:tcPr>
          <w:p w14:paraId="1941D965">
            <w:pPr>
              <w:keepNext w:val="0"/>
              <w:keepLines w:val="0"/>
              <w:suppressLineNumbers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rPr>
              <w:t>评分类型</w:t>
            </w:r>
          </w:p>
        </w:tc>
        <w:tc>
          <w:tcPr>
            <w:tcW w:w="1259" w:type="dxa"/>
            <w:noWrap w:val="0"/>
            <w:vAlign w:val="center"/>
          </w:tcPr>
          <w:p w14:paraId="7CE3CA18">
            <w:pPr>
              <w:keepNext w:val="0"/>
              <w:keepLines w:val="0"/>
              <w:suppressLineNumbers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rPr>
              <w:t>评审因素</w:t>
            </w:r>
          </w:p>
        </w:tc>
        <w:tc>
          <w:tcPr>
            <w:tcW w:w="6253" w:type="dxa"/>
            <w:noWrap w:val="0"/>
            <w:vAlign w:val="center"/>
          </w:tcPr>
          <w:p w14:paraId="6ED17E96">
            <w:pPr>
              <w:keepNext w:val="0"/>
              <w:keepLines w:val="0"/>
              <w:suppressLineNumbers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rPr>
              <w:t>评标标准</w:t>
            </w:r>
          </w:p>
        </w:tc>
      </w:tr>
      <w:tr w14:paraId="5CA8C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713" w:type="dxa"/>
            <w:noWrap w:val="0"/>
            <w:vAlign w:val="center"/>
          </w:tcPr>
          <w:p w14:paraId="36335882">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101" w:type="dxa"/>
            <w:noWrap w:val="0"/>
            <w:vAlign w:val="center"/>
          </w:tcPr>
          <w:p w14:paraId="13D635DE">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价格分（满分</w:t>
            </w:r>
            <w:r>
              <w:rPr>
                <w:rFonts w:hint="eastAsia" w:ascii="宋体" w:hAnsi="宋体" w:eastAsia="宋体" w:cs="宋体"/>
                <w:color w:val="auto"/>
                <w:sz w:val="21"/>
                <w:szCs w:val="21"/>
                <w:highlight w:val="none"/>
                <w:lang w:val="en-US" w:eastAsia="zh-CN"/>
              </w:rPr>
              <w:t>30分</w:t>
            </w:r>
            <w:r>
              <w:rPr>
                <w:rFonts w:hint="eastAsia" w:ascii="宋体" w:hAnsi="宋体" w:eastAsia="宋体" w:cs="宋体"/>
                <w:color w:val="auto"/>
                <w:sz w:val="21"/>
                <w:szCs w:val="21"/>
                <w:highlight w:val="none"/>
                <w:lang w:eastAsia="zh-CN"/>
              </w:rPr>
              <w:t>）</w:t>
            </w:r>
          </w:p>
        </w:tc>
        <w:tc>
          <w:tcPr>
            <w:tcW w:w="1259" w:type="dxa"/>
            <w:noWrap w:val="0"/>
            <w:vAlign w:val="center"/>
          </w:tcPr>
          <w:p w14:paraId="5DA14192">
            <w:pPr>
              <w:keepNext w:val="0"/>
              <w:keepLines w:val="0"/>
              <w:suppressLineNumbers w:val="0"/>
              <w:bidi w:val="0"/>
              <w:spacing w:before="0" w:beforeAutospacing="0" w:after="0" w:afterAutospacing="0" w:line="360" w:lineRule="auto"/>
              <w:ind w:left="0"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价格分</w:t>
            </w:r>
            <w:r>
              <w:rPr>
                <w:rFonts w:hint="eastAsia" w:ascii="宋体" w:hAnsi="宋体" w:eastAsia="宋体" w:cs="宋体"/>
                <w:color w:val="auto"/>
                <w:sz w:val="21"/>
                <w:szCs w:val="21"/>
                <w:highlight w:val="none"/>
                <w:lang w:val="en-US" w:eastAsia="zh-CN"/>
              </w:rPr>
              <w:t>(满分30分）</w:t>
            </w:r>
          </w:p>
        </w:tc>
        <w:tc>
          <w:tcPr>
            <w:tcW w:w="6253" w:type="dxa"/>
            <w:noWrap w:val="0"/>
            <w:vAlign w:val="center"/>
          </w:tcPr>
          <w:p w14:paraId="1A600C6B">
            <w:pPr>
              <w:keepNext w:val="0"/>
              <w:keepLines w:val="0"/>
              <w:suppressLineNumbers w:val="0"/>
              <w:snapToGrid w:val="0"/>
              <w:spacing w:before="0" w:beforeAutospacing="0" w:after="0" w:afterAutospacing="0" w:line="360" w:lineRule="auto"/>
              <w:ind w:left="0" w:right="0" w:firstLine="233" w:firstLineChars="111"/>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（1）评标报价为投标人的投标报价进行政策性扣除后的价格，评标报价只是作为评标时使用。最终中标人的中标金额等于投标报价。</w:t>
            </w:r>
          </w:p>
          <w:p w14:paraId="432C2909">
            <w:pPr>
              <w:keepNext w:val="0"/>
              <w:keepLines w:val="0"/>
              <w:suppressLineNumbers w:val="0"/>
              <w:snapToGrid w:val="0"/>
              <w:spacing w:before="0" w:beforeAutospacing="0" w:after="0" w:afterAutospacing="0" w:line="360" w:lineRule="auto"/>
              <w:ind w:left="0" w:right="0" w:firstLine="233" w:firstLineChars="111"/>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rPr>
              <w:t>（2）政策性扣除计算方法</w:t>
            </w:r>
            <w:r>
              <w:rPr>
                <w:rFonts w:hint="eastAsia" w:ascii="宋体" w:hAnsi="宋体" w:cs="宋体"/>
                <w:bCs/>
                <w:color w:val="auto"/>
                <w:sz w:val="21"/>
                <w:szCs w:val="21"/>
                <w:highlight w:val="none"/>
                <w:lang w:eastAsia="zh-CN"/>
              </w:rPr>
              <w:t>：</w:t>
            </w:r>
          </w:p>
          <w:p w14:paraId="61BB09B7">
            <w:pPr>
              <w:keepNext w:val="0"/>
              <w:keepLines w:val="0"/>
              <w:suppressLineNumbers w:val="0"/>
              <w:snapToGrid w:val="0"/>
              <w:spacing w:before="0" w:beforeAutospacing="0" w:after="0" w:afterAutospacing="0" w:line="360" w:lineRule="auto"/>
              <w:ind w:left="0" w:right="0" w:firstLine="233" w:firstLineChars="111"/>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①根据《政府采购促进中小企业发展管理办法》（财库〔2020〕46号）及《广西壮族自治区财政厅关于持续优化政府采购营商环境推动高质量发展的通知》（桂财采〔2024〕55号）的规定，投标人在其投标文件中提供《中小企业声明函》，且其投标全部货物由小微企业制造的，对其投标报价给予10%的扣除，扣除后的价格为评标报价，即评标报价=投标报价×（1-10%）。除上述情况外，评标报价=投标报价。</w:t>
            </w:r>
          </w:p>
          <w:p w14:paraId="30D6C2D6">
            <w:pPr>
              <w:keepNext w:val="0"/>
              <w:keepLines w:val="0"/>
              <w:suppressLineNumbers w:val="0"/>
              <w:snapToGrid w:val="0"/>
              <w:spacing w:before="0" w:beforeAutospacing="0" w:after="0" w:afterAutospacing="0" w:line="360" w:lineRule="auto"/>
              <w:ind w:left="0" w:right="0" w:firstLine="233" w:firstLineChars="111"/>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②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14:paraId="0445C05B">
            <w:pPr>
              <w:keepNext w:val="0"/>
              <w:keepLines w:val="0"/>
              <w:suppressLineNumbers w:val="0"/>
              <w:snapToGrid w:val="0"/>
              <w:spacing w:before="0" w:beforeAutospacing="0" w:after="0" w:afterAutospacing="0" w:line="360" w:lineRule="auto"/>
              <w:ind w:left="0" w:right="0" w:firstLine="233" w:firstLineChars="111"/>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③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388AE866">
            <w:pPr>
              <w:keepNext w:val="0"/>
              <w:keepLines w:val="0"/>
              <w:suppressLineNumbers w:val="0"/>
              <w:snapToGrid w:val="0"/>
              <w:spacing w:before="0" w:beforeAutospacing="0" w:after="0" w:afterAutospacing="0" w:line="360" w:lineRule="auto"/>
              <w:ind w:left="0" w:right="0" w:firstLine="233" w:firstLineChars="111"/>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rPr>
              <w:t>④按照</w:t>
            </w:r>
            <w:r>
              <w:rPr>
                <w:rFonts w:hint="eastAsia" w:ascii="宋体" w:hAnsi="宋体" w:eastAsia="宋体" w:cs="宋体"/>
                <w:color w:val="auto"/>
                <w:highlight w:val="none"/>
              </w:rPr>
              <w:t>《国务院办公厅关于在政府采购中实施本国产品标准及相关政策的通</w:t>
            </w:r>
            <w:r>
              <w:rPr>
                <w:rFonts w:hint="eastAsia" w:ascii="宋体" w:hAnsi="宋体" w:cs="宋体"/>
                <w:color w:val="auto"/>
                <w:highlight w:val="none"/>
              </w:rPr>
              <w:t>知》（国办发〔2025〕34号）</w:t>
            </w:r>
            <w:r>
              <w:rPr>
                <w:rFonts w:hint="eastAsia" w:ascii="宋体" w:hAnsi="宋体" w:eastAsia="宋体" w:cs="宋体"/>
                <w:bCs/>
                <w:color w:val="auto"/>
                <w:sz w:val="21"/>
                <w:szCs w:val="21"/>
                <w:highlight w:val="none"/>
              </w:rPr>
              <w:t>的规定，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扣除后的价格为评标报价，即评标报价=投标报价×（1-</w:t>
            </w:r>
            <w:r>
              <w:rPr>
                <w:rFonts w:hint="eastAsia" w:ascii="宋体" w:hAnsi="宋体" w:eastAsia="宋体" w:cs="宋体"/>
                <w:bCs/>
                <w:color w:val="auto"/>
                <w:sz w:val="21"/>
                <w:szCs w:val="21"/>
                <w:highlight w:val="none"/>
                <w:lang w:val="en-US" w:eastAsia="zh-CN"/>
              </w:rPr>
              <w:t>2</w:t>
            </w:r>
            <w:r>
              <w:rPr>
                <w:rFonts w:hint="eastAsia" w:ascii="宋体" w:hAnsi="宋体" w:eastAsia="宋体" w:cs="宋体"/>
                <w:bCs/>
                <w:color w:val="auto"/>
                <w:sz w:val="21"/>
                <w:szCs w:val="21"/>
                <w:highlight w:val="none"/>
              </w:rPr>
              <w:t>0%）。供应商在其投标文件中提供《关于符合本国产品标准的声明函》或财政部会同有关部门规定的有关证明文件，该产品视为本国产品。供应商对声明</w:t>
            </w:r>
            <w:r>
              <w:rPr>
                <w:rFonts w:hint="eastAsia" w:ascii="宋体" w:hAnsi="宋体" w:eastAsia="宋体" w:cs="宋体"/>
                <w:bCs/>
                <w:color w:val="auto"/>
                <w:sz w:val="21"/>
                <w:szCs w:val="21"/>
                <w:highlight w:val="none"/>
                <w:lang w:eastAsia="zh-CN"/>
              </w:rPr>
              <w:t>及证明文件</w:t>
            </w:r>
            <w:r>
              <w:rPr>
                <w:rFonts w:hint="eastAsia" w:ascii="宋体" w:hAnsi="宋体" w:eastAsia="宋体" w:cs="宋体"/>
                <w:bCs/>
                <w:color w:val="auto"/>
                <w:sz w:val="21"/>
                <w:szCs w:val="21"/>
                <w:highlight w:val="none"/>
              </w:rPr>
              <w:t>的真实性负责</w:t>
            </w:r>
            <w:r>
              <w:rPr>
                <w:rFonts w:hint="eastAsia" w:ascii="宋体" w:hAnsi="宋体" w:eastAsia="宋体" w:cs="宋体"/>
                <w:bCs/>
                <w:color w:val="auto"/>
                <w:sz w:val="21"/>
                <w:szCs w:val="21"/>
                <w:highlight w:val="none"/>
                <w:lang w:eastAsia="zh-CN"/>
              </w:rPr>
              <w:t>。</w:t>
            </w:r>
          </w:p>
          <w:p w14:paraId="7F24624C">
            <w:pPr>
              <w:keepNext w:val="0"/>
              <w:keepLines w:val="0"/>
              <w:suppressLineNumbers w:val="0"/>
              <w:snapToGrid w:val="0"/>
              <w:spacing w:before="0" w:beforeAutospacing="0" w:after="0" w:afterAutospacing="0" w:line="360" w:lineRule="auto"/>
              <w:ind w:left="0" w:right="0" w:firstLine="443" w:firstLineChars="211"/>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⑤供应商享受小微企业价格扣除政策的，可重复享受</w:t>
            </w:r>
            <w:r>
              <w:rPr>
                <w:rFonts w:hint="eastAsia" w:ascii="宋体" w:hAnsi="宋体" w:cs="宋体"/>
                <w:color w:val="auto"/>
                <w:highlight w:val="none"/>
              </w:rPr>
              <w:t>本国产品</w:t>
            </w:r>
            <w:r>
              <w:rPr>
                <w:rFonts w:hint="eastAsia" w:ascii="宋体" w:hAnsi="宋体" w:cs="宋体"/>
                <w:color w:val="auto"/>
                <w:highlight w:val="none"/>
                <w:lang w:eastAsia="zh-CN"/>
              </w:rPr>
              <w:t>价格扣除政策，即</w:t>
            </w:r>
            <w:r>
              <w:rPr>
                <w:rFonts w:hint="eastAsia" w:ascii="宋体" w:hAnsi="宋体" w:eastAsia="宋体" w:cs="宋体"/>
                <w:bCs/>
                <w:color w:val="auto"/>
                <w:sz w:val="21"/>
                <w:szCs w:val="21"/>
                <w:highlight w:val="none"/>
              </w:rPr>
              <w:t>评标报价</w:t>
            </w:r>
            <w:r>
              <w:rPr>
                <w:rFonts w:hint="eastAsia" w:ascii="宋体" w:hAnsi="宋体" w:cs="宋体"/>
                <w:color w:val="auto"/>
                <w:highlight w:val="none"/>
                <w:lang w:eastAsia="zh-CN"/>
              </w:rPr>
              <w:t>=投标报价</w:t>
            </w:r>
            <w:r>
              <w:rPr>
                <w:rFonts w:hint="eastAsia" w:ascii="宋体" w:hAnsi="宋体" w:eastAsia="宋体" w:cs="宋体"/>
                <w:bCs/>
                <w:color w:val="auto"/>
                <w:sz w:val="21"/>
                <w:szCs w:val="21"/>
                <w:highlight w:val="none"/>
              </w:rPr>
              <w:t>×</w:t>
            </w:r>
            <w:r>
              <w:rPr>
                <w:rFonts w:hint="eastAsia" w:ascii="宋体" w:hAnsi="宋体" w:cs="宋体"/>
                <w:color w:val="auto"/>
                <w:highlight w:val="none"/>
                <w:lang w:eastAsia="zh-CN"/>
              </w:rPr>
              <w:t>（</w:t>
            </w:r>
            <w:r>
              <w:rPr>
                <w:rFonts w:hint="eastAsia" w:ascii="宋体" w:hAnsi="宋体" w:cs="宋体"/>
                <w:color w:val="auto"/>
                <w:highlight w:val="none"/>
                <w:lang w:val="en-US" w:eastAsia="zh-CN"/>
              </w:rPr>
              <w:t>1－</w:t>
            </w:r>
            <w:r>
              <w:rPr>
                <w:rFonts w:hint="eastAsia" w:ascii="宋体" w:hAnsi="宋体" w:eastAsia="宋体" w:cs="宋体"/>
                <w:bCs/>
                <w:color w:val="auto"/>
                <w:sz w:val="21"/>
                <w:szCs w:val="21"/>
                <w:highlight w:val="none"/>
                <w:lang w:val="en-US" w:eastAsia="zh-CN"/>
              </w:rPr>
              <w:t>小微企业</w:t>
            </w:r>
            <w:r>
              <w:rPr>
                <w:rFonts w:hint="eastAsia" w:ascii="宋体" w:hAnsi="宋体" w:cs="宋体"/>
                <w:color w:val="auto"/>
                <w:highlight w:val="none"/>
                <w:lang w:eastAsia="zh-CN"/>
              </w:rPr>
              <w:t>价格</w:t>
            </w:r>
            <w:r>
              <w:rPr>
                <w:rFonts w:hint="eastAsia" w:ascii="宋体" w:hAnsi="宋体" w:eastAsia="宋体" w:cs="宋体"/>
                <w:bCs/>
                <w:color w:val="auto"/>
                <w:sz w:val="21"/>
                <w:szCs w:val="21"/>
                <w:highlight w:val="none"/>
                <w:lang w:val="en-US" w:eastAsia="zh-CN"/>
              </w:rPr>
              <w:t>扣除比例</w:t>
            </w:r>
            <w:r>
              <w:rPr>
                <w:rFonts w:hint="eastAsia" w:ascii="宋体" w:hAnsi="宋体" w:cs="宋体"/>
                <w:color w:val="auto"/>
                <w:highlight w:val="none"/>
                <w:lang w:eastAsia="zh-CN"/>
              </w:rPr>
              <w:t>-</w:t>
            </w:r>
            <w:r>
              <w:rPr>
                <w:rFonts w:hint="eastAsia" w:ascii="宋体" w:hAnsi="宋体" w:cs="宋体"/>
                <w:color w:val="auto"/>
                <w:highlight w:val="none"/>
                <w:lang w:val="en-US" w:eastAsia="zh-CN"/>
              </w:rPr>
              <w:t>本国产品</w:t>
            </w:r>
            <w:r>
              <w:rPr>
                <w:rFonts w:hint="eastAsia" w:ascii="宋体" w:hAnsi="宋体" w:cs="宋体"/>
                <w:color w:val="auto"/>
                <w:highlight w:val="none"/>
                <w:lang w:eastAsia="zh-CN"/>
              </w:rPr>
              <w:t>价格</w:t>
            </w:r>
            <w:r>
              <w:rPr>
                <w:rFonts w:hint="eastAsia" w:ascii="宋体" w:hAnsi="宋体" w:cs="宋体"/>
                <w:color w:val="auto"/>
                <w:highlight w:val="none"/>
                <w:lang w:val="en-US" w:eastAsia="zh-CN"/>
              </w:rPr>
              <w:t>扣除比例</w:t>
            </w:r>
            <w:r>
              <w:rPr>
                <w:rFonts w:hint="eastAsia" w:ascii="宋体" w:hAnsi="宋体" w:cs="宋体"/>
                <w:color w:val="auto"/>
                <w:highlight w:val="none"/>
                <w:lang w:eastAsia="zh-CN"/>
              </w:rPr>
              <w:t>），除上述情况外，</w:t>
            </w:r>
            <w:r>
              <w:rPr>
                <w:rFonts w:hint="eastAsia" w:ascii="宋体" w:hAnsi="宋体" w:eastAsia="宋体" w:cs="宋体"/>
                <w:bCs/>
                <w:color w:val="auto"/>
                <w:sz w:val="21"/>
                <w:szCs w:val="21"/>
                <w:highlight w:val="none"/>
              </w:rPr>
              <w:t>评标报价</w:t>
            </w:r>
            <w:r>
              <w:rPr>
                <w:rFonts w:hint="eastAsia" w:ascii="宋体" w:hAnsi="宋体" w:cs="宋体"/>
                <w:color w:val="auto"/>
                <w:highlight w:val="none"/>
                <w:lang w:eastAsia="zh-CN"/>
              </w:rPr>
              <w:t>=投标报价。</w:t>
            </w:r>
          </w:p>
          <w:p w14:paraId="60C37B4B">
            <w:pPr>
              <w:keepNext w:val="0"/>
              <w:keepLines w:val="0"/>
              <w:suppressLineNumbers w:val="0"/>
              <w:snapToGrid w:val="0"/>
              <w:spacing w:before="0" w:beforeAutospacing="0" w:after="0" w:afterAutospacing="0" w:line="360" w:lineRule="auto"/>
              <w:ind w:left="0" w:right="0" w:firstLine="233" w:firstLineChars="111"/>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w:t>
            </w:r>
            <w:r>
              <w:rPr>
                <w:rFonts w:hint="eastAsia" w:ascii="宋体" w:hAnsi="宋体" w:eastAsia="宋体" w:cs="宋体"/>
                <w:bCs/>
                <w:color w:val="auto"/>
                <w:sz w:val="21"/>
                <w:szCs w:val="21"/>
                <w:highlight w:val="none"/>
                <w:lang w:val="en-US" w:eastAsia="zh-CN"/>
              </w:rPr>
              <w:t>3</w:t>
            </w:r>
            <w:r>
              <w:rPr>
                <w:rFonts w:hint="eastAsia" w:ascii="宋体" w:hAnsi="宋体" w:eastAsia="宋体" w:cs="宋体"/>
                <w:bCs/>
                <w:color w:val="auto"/>
                <w:sz w:val="21"/>
                <w:szCs w:val="21"/>
                <w:highlight w:val="none"/>
              </w:rPr>
              <w:t>）满足招标文件要求且评标报价最低的为评标基准价，其价格分为满分。</w:t>
            </w:r>
          </w:p>
          <w:p w14:paraId="33DBDA65">
            <w:pPr>
              <w:keepNext w:val="0"/>
              <w:keepLines w:val="0"/>
              <w:suppressLineNumbers w:val="0"/>
              <w:spacing w:before="0" w:beforeAutospacing="0" w:after="0" w:afterAutospacing="0" w:line="360" w:lineRule="auto"/>
              <w:ind w:left="0" w:right="0" w:firstLine="233" w:firstLineChars="111"/>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w:t>
            </w:r>
            <w:r>
              <w:rPr>
                <w:rFonts w:hint="eastAsia" w:ascii="宋体" w:hAnsi="宋体" w:cs="宋体"/>
                <w:bCs/>
                <w:color w:val="auto"/>
                <w:sz w:val="21"/>
                <w:szCs w:val="21"/>
                <w:highlight w:val="none"/>
                <w:lang w:val="en-US" w:eastAsia="zh-CN"/>
              </w:rPr>
              <w:t>4</w:t>
            </w:r>
            <w:r>
              <w:rPr>
                <w:rFonts w:hint="eastAsia" w:ascii="宋体" w:hAnsi="宋体" w:eastAsia="宋体" w:cs="宋体"/>
                <w:bCs/>
                <w:color w:val="auto"/>
                <w:sz w:val="21"/>
                <w:szCs w:val="21"/>
                <w:highlight w:val="none"/>
              </w:rPr>
              <w:t xml:space="preserve">）价格分计算公式：        </w:t>
            </w:r>
          </w:p>
          <w:p w14:paraId="3DF20F82">
            <w:pPr>
              <w:keepNext w:val="0"/>
              <w:keepLines w:val="0"/>
              <w:suppressLineNumbers w:val="0"/>
              <w:bidi w:val="0"/>
              <w:spacing w:before="0" w:beforeAutospacing="0" w:after="0" w:afterAutospacing="0" w:line="360" w:lineRule="auto"/>
              <w:ind w:left="0" w:right="0" w:firstLine="420" w:firstLineChars="200"/>
              <w:jc w:val="both"/>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价格分=（评标基准价/评标报价）×</w:t>
            </w:r>
            <w:r>
              <w:rPr>
                <w:rFonts w:hint="eastAsia" w:ascii="宋体" w:hAnsi="宋体" w:eastAsia="宋体" w:cs="宋体"/>
                <w:bCs/>
                <w:color w:val="auto"/>
                <w:sz w:val="21"/>
                <w:szCs w:val="21"/>
                <w:highlight w:val="none"/>
                <w:u w:val="none"/>
              </w:rPr>
              <w:t>30</w:t>
            </w:r>
            <w:r>
              <w:rPr>
                <w:rFonts w:hint="eastAsia" w:ascii="宋体" w:hAnsi="宋体" w:eastAsia="宋体" w:cs="宋体"/>
                <w:bCs/>
                <w:color w:val="auto"/>
                <w:sz w:val="21"/>
                <w:szCs w:val="21"/>
                <w:highlight w:val="none"/>
              </w:rPr>
              <w:t>分</w:t>
            </w:r>
          </w:p>
        </w:tc>
      </w:tr>
      <w:tr w14:paraId="54614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1" w:hRule="atLeast"/>
        </w:trPr>
        <w:tc>
          <w:tcPr>
            <w:tcW w:w="713" w:type="dxa"/>
            <w:vMerge w:val="restart"/>
            <w:noWrap w:val="0"/>
            <w:vAlign w:val="center"/>
          </w:tcPr>
          <w:p w14:paraId="760F892E">
            <w:pPr>
              <w:keepNext w:val="0"/>
              <w:keepLines w:val="0"/>
              <w:suppressLineNumbers w:val="0"/>
              <w:bidi w:val="0"/>
              <w:spacing w:before="0" w:beforeAutospacing="0" w:after="0" w:afterAutospacing="0" w:line="360" w:lineRule="auto"/>
              <w:ind w:left="0"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p>
        </w:tc>
        <w:tc>
          <w:tcPr>
            <w:tcW w:w="1101" w:type="dxa"/>
            <w:vMerge w:val="restart"/>
            <w:noWrap w:val="0"/>
            <w:vAlign w:val="center"/>
          </w:tcPr>
          <w:p w14:paraId="1278DA50">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技术分</w:t>
            </w:r>
            <w:r>
              <w:rPr>
                <w:rFonts w:hint="eastAsia" w:ascii="宋体" w:hAnsi="宋体" w:cs="宋体"/>
                <w:b w:val="0"/>
                <w:bCs w:val="0"/>
                <w:color w:val="auto"/>
                <w:sz w:val="21"/>
                <w:szCs w:val="21"/>
                <w:highlight w:val="none"/>
                <w:lang w:eastAsia="zh-CN"/>
              </w:rPr>
              <w:t>（满分</w:t>
            </w:r>
            <w:r>
              <w:rPr>
                <w:rFonts w:hint="eastAsia" w:ascii="宋体" w:hAnsi="宋体" w:cs="宋体"/>
                <w:b w:val="0"/>
                <w:bCs w:val="0"/>
                <w:color w:val="auto"/>
                <w:sz w:val="21"/>
                <w:szCs w:val="21"/>
                <w:highlight w:val="none"/>
                <w:lang w:val="en-US" w:eastAsia="zh-CN"/>
              </w:rPr>
              <w:t>54分</w:t>
            </w:r>
            <w:r>
              <w:rPr>
                <w:rFonts w:hint="eastAsia" w:ascii="宋体" w:hAnsi="宋体" w:cs="宋体"/>
                <w:b w:val="0"/>
                <w:bCs w:val="0"/>
                <w:color w:val="auto"/>
                <w:sz w:val="21"/>
                <w:szCs w:val="21"/>
                <w:highlight w:val="none"/>
                <w:lang w:eastAsia="zh-CN"/>
              </w:rPr>
              <w:t>）</w:t>
            </w:r>
          </w:p>
        </w:tc>
        <w:tc>
          <w:tcPr>
            <w:tcW w:w="1259" w:type="dxa"/>
            <w:noWrap w:val="0"/>
            <w:vAlign w:val="center"/>
          </w:tcPr>
          <w:p w14:paraId="1A856BA4">
            <w:pPr>
              <w:keepNext w:val="0"/>
              <w:keepLines w:val="0"/>
              <w:suppressLineNumbers w:val="0"/>
              <w:spacing w:before="0" w:beforeAutospacing="0" w:after="0" w:afterAutospacing="0" w:line="360" w:lineRule="auto"/>
              <w:ind w:left="0"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技术参数</w:t>
            </w:r>
            <w:r>
              <w:rPr>
                <w:rFonts w:hint="eastAsia" w:ascii="宋体" w:hAnsi="宋体" w:cs="宋体"/>
                <w:color w:val="auto"/>
                <w:sz w:val="21"/>
                <w:szCs w:val="21"/>
                <w:highlight w:val="none"/>
                <w:lang w:eastAsia="zh-CN"/>
              </w:rPr>
              <w:t>响应</w:t>
            </w:r>
            <w:r>
              <w:rPr>
                <w:rFonts w:hint="eastAsia" w:ascii="宋体" w:hAnsi="宋体" w:eastAsia="宋体" w:cs="宋体"/>
                <w:color w:val="auto"/>
                <w:sz w:val="21"/>
                <w:szCs w:val="21"/>
                <w:highlight w:val="none"/>
              </w:rPr>
              <w:t>分（满分</w:t>
            </w:r>
            <w:r>
              <w:rPr>
                <w:rFonts w:hint="eastAsia" w:ascii="宋体" w:hAnsi="宋体" w:cs="宋体"/>
                <w:color w:val="auto"/>
                <w:sz w:val="21"/>
                <w:szCs w:val="21"/>
                <w:highlight w:val="none"/>
                <w:lang w:val="en-US" w:eastAsia="zh-CN"/>
              </w:rPr>
              <w:t>15</w:t>
            </w:r>
            <w:r>
              <w:rPr>
                <w:rFonts w:hint="eastAsia" w:ascii="宋体" w:hAnsi="宋体" w:eastAsia="宋体" w:cs="宋体"/>
                <w:color w:val="auto"/>
                <w:sz w:val="21"/>
                <w:szCs w:val="21"/>
                <w:highlight w:val="none"/>
              </w:rPr>
              <w:t>分）</w:t>
            </w:r>
          </w:p>
        </w:tc>
        <w:tc>
          <w:tcPr>
            <w:tcW w:w="6253" w:type="dxa"/>
            <w:noWrap w:val="0"/>
            <w:vAlign w:val="center"/>
          </w:tcPr>
          <w:p w14:paraId="33C05E56">
            <w:pPr>
              <w:pStyle w:val="14"/>
              <w:keepNext w:val="0"/>
              <w:keepLines w:val="0"/>
              <w:suppressLineNumbers w:val="0"/>
              <w:spacing w:before="0" w:beforeAutospacing="0" w:after="0" w:afterAutospacing="0" w:line="440" w:lineRule="exact"/>
              <w:ind w:left="0" w:right="0" w:firstLine="420" w:firstLineChars="200"/>
              <w:rPr>
                <w:rFonts w:hint="eastAsia" w:eastAsia="黑体"/>
                <w:color w:val="auto"/>
                <w:highlight w:val="none"/>
                <w:lang w:val="en-US" w:eastAsia="zh-CN"/>
              </w:rPr>
            </w:pPr>
            <w:r>
              <w:rPr>
                <w:rFonts w:hint="eastAsia" w:ascii="宋体" w:hAnsi="宋体" w:eastAsia="宋体" w:cs="宋体"/>
                <w:color w:val="auto"/>
                <w:sz w:val="21"/>
                <w:szCs w:val="21"/>
                <w:highlight w:val="none"/>
                <w:lang w:val="en-US" w:eastAsia="zh-CN"/>
              </w:rPr>
              <w:t>经评委评审，投标人的投标文件对招标文件第二章“技术参数及性能（配置）要求”完全响应且无任何负偏离或漏项的，得基础分15分；</w:t>
            </w:r>
            <w:r>
              <w:rPr>
                <w:rFonts w:hint="eastAsia" w:ascii="宋体" w:hAnsi="宋体" w:cs="宋体"/>
                <w:color w:val="auto"/>
                <w:sz w:val="21"/>
                <w:szCs w:val="21"/>
                <w:highlight w:val="none"/>
                <w:lang w:val="en-US" w:eastAsia="zh-CN"/>
              </w:rPr>
              <w:t>一般参数</w:t>
            </w:r>
            <w:r>
              <w:rPr>
                <w:rFonts w:hint="eastAsia" w:ascii="宋体" w:hAnsi="宋体" w:eastAsia="宋体" w:cs="宋体"/>
                <w:color w:val="auto"/>
                <w:sz w:val="21"/>
                <w:szCs w:val="21"/>
                <w:highlight w:val="none"/>
                <w:lang w:val="en-US" w:eastAsia="zh-CN"/>
              </w:rPr>
              <w:t>不满足第二章“技术参数及性能（配置）要求”一般参数项要求的或不能按采购需求要求提供相关证明材料或提供的证明材料不能证明满足采购需求技术参数要求的，即存在负偏离或存在漏项的，每一项扣3分，扣完为止。</w:t>
            </w:r>
          </w:p>
        </w:tc>
      </w:tr>
      <w:tr w14:paraId="0D38A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2" w:hRule="atLeast"/>
        </w:trPr>
        <w:tc>
          <w:tcPr>
            <w:tcW w:w="713" w:type="dxa"/>
            <w:vMerge w:val="continue"/>
            <w:noWrap w:val="0"/>
            <w:vAlign w:val="center"/>
          </w:tcPr>
          <w:p w14:paraId="2B432B35">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eastAsia="zh-CN"/>
              </w:rPr>
            </w:pPr>
          </w:p>
        </w:tc>
        <w:tc>
          <w:tcPr>
            <w:tcW w:w="1101" w:type="dxa"/>
            <w:vMerge w:val="continue"/>
            <w:noWrap w:val="0"/>
            <w:vAlign w:val="center"/>
          </w:tcPr>
          <w:p w14:paraId="09A9B5E2">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eastAsia="zh-CN"/>
              </w:rPr>
            </w:pPr>
          </w:p>
        </w:tc>
        <w:tc>
          <w:tcPr>
            <w:tcW w:w="1259" w:type="dxa"/>
            <w:noWrap w:val="0"/>
            <w:vAlign w:val="center"/>
          </w:tcPr>
          <w:p w14:paraId="4466A730">
            <w:pPr>
              <w:keepNext w:val="0"/>
              <w:keepLines w:val="0"/>
              <w:suppressLineNumbers w:val="0"/>
              <w:spacing w:before="0" w:beforeAutospacing="0" w:after="0" w:afterAutospacing="0" w:line="360" w:lineRule="auto"/>
              <w:ind w:left="0"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项目</w:t>
            </w:r>
            <w:r>
              <w:rPr>
                <w:rFonts w:hint="eastAsia" w:ascii="宋体" w:hAnsi="宋体" w:eastAsia="宋体" w:cs="宋体"/>
                <w:color w:val="auto"/>
                <w:sz w:val="21"/>
                <w:szCs w:val="21"/>
                <w:highlight w:val="none"/>
              </w:rPr>
              <w:t>实施方案分（满分</w:t>
            </w:r>
            <w:r>
              <w:rPr>
                <w:rFonts w:hint="eastAsia" w:ascii="宋体" w:hAnsi="宋体" w:cs="宋体"/>
                <w:color w:val="auto"/>
                <w:sz w:val="21"/>
                <w:szCs w:val="21"/>
                <w:highlight w:val="none"/>
                <w:lang w:val="en-US" w:eastAsia="zh-CN"/>
              </w:rPr>
              <w:t>12</w:t>
            </w:r>
            <w:r>
              <w:rPr>
                <w:rFonts w:hint="eastAsia" w:ascii="宋体" w:hAnsi="宋体" w:eastAsia="宋体" w:cs="宋体"/>
                <w:color w:val="auto"/>
                <w:sz w:val="21"/>
                <w:szCs w:val="21"/>
                <w:highlight w:val="none"/>
              </w:rPr>
              <w:t>分）</w:t>
            </w:r>
          </w:p>
        </w:tc>
        <w:tc>
          <w:tcPr>
            <w:tcW w:w="6253" w:type="dxa"/>
            <w:noWrap w:val="0"/>
            <w:vAlign w:val="center"/>
          </w:tcPr>
          <w:p w14:paraId="4A5D8A89">
            <w:pPr>
              <w:keepNext w:val="0"/>
              <w:keepLines w:val="0"/>
              <w:suppressLineNumbers w:val="0"/>
              <w:spacing w:before="0" w:beforeAutospacing="0" w:after="0" w:afterAutospacing="0"/>
              <w:ind w:left="0" w:right="0"/>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由评标委员会根据各投标人提供的项目实施方案(方案内容包含：①产品质量控制措施②产品保管措施③产品包装措施④产品运输安排措施⑤产品运输过程中保护措施⑥产品出厂、配送、安装的计划安排及说明⑦产品安装与调试措施⑧工作进度及控制措施⑨应急解决方案)进行独立打分。</w:t>
            </w:r>
          </w:p>
          <w:p w14:paraId="29D9A59C">
            <w:pPr>
              <w:keepNext w:val="0"/>
              <w:keepLines w:val="0"/>
              <w:suppressLineNumbers w:val="0"/>
              <w:spacing w:before="0" w:beforeAutospacing="0" w:after="0" w:afterAutospacing="0"/>
              <w:ind w:left="0" w:right="0"/>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注 ：</w:t>
            </w:r>
          </w:p>
          <w:p w14:paraId="037C64D6">
            <w:pPr>
              <w:keepNext w:val="0"/>
              <w:keepLines w:val="0"/>
              <w:suppressLineNumbers w:val="0"/>
              <w:spacing w:before="0" w:beforeAutospacing="0" w:after="0" w:afterAutospacing="0"/>
              <w:ind w:left="0" w:right="0"/>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(1)评分标准中所称“缺陷”是指以下4项：</w:t>
            </w:r>
          </w:p>
          <w:p w14:paraId="3D1C3914">
            <w:pPr>
              <w:keepNext w:val="0"/>
              <w:keepLines w:val="0"/>
              <w:suppressLineNumbers w:val="0"/>
              <w:spacing w:before="0" w:beforeAutospacing="0" w:after="0" w:afterAutospacing="0"/>
              <w:ind w:left="0" w:right="0"/>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①提供的方案内容缺项；②套用其他项目内容；③对同一问题前后表述矛盾；④存在逻辑漏洞或常识错误。</w:t>
            </w:r>
          </w:p>
          <w:p w14:paraId="7726FCDD">
            <w:pPr>
              <w:keepNext w:val="0"/>
              <w:keepLines w:val="0"/>
              <w:suppressLineNumbers w:val="0"/>
              <w:spacing w:before="0" w:beforeAutospacing="0" w:after="0" w:afterAutospacing="0"/>
              <w:ind w:left="0" w:right="0"/>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(2)</w:t>
            </w:r>
            <w:r>
              <w:rPr>
                <w:rFonts w:hint="eastAsia" w:ascii="宋体" w:hAnsi="宋体" w:eastAsia="宋体" w:cs="宋体"/>
                <w:b/>
                <w:bCs/>
                <w:color w:val="auto"/>
                <w:szCs w:val="21"/>
                <w:highlight w:val="none"/>
              </w:rPr>
              <w:t>由评标委员</w:t>
            </w:r>
            <w:r>
              <w:rPr>
                <w:rFonts w:hint="eastAsia" w:ascii="宋体" w:hAnsi="宋体" w:eastAsia="宋体" w:cs="宋体"/>
                <w:b/>
                <w:bCs/>
                <w:color w:val="auto"/>
                <w:szCs w:val="21"/>
                <w:highlight w:val="none"/>
                <w:lang w:eastAsia="zh-CN"/>
              </w:rPr>
              <w:t>会</w:t>
            </w:r>
            <w:r>
              <w:rPr>
                <w:rFonts w:hint="eastAsia" w:ascii="宋体" w:hAnsi="宋体" w:eastAsia="宋体" w:cs="宋体"/>
                <w:b/>
                <w:bCs/>
                <w:color w:val="auto"/>
                <w:szCs w:val="21"/>
                <w:highlight w:val="none"/>
              </w:rPr>
              <w:t>在相应档次内独立打分，投标人投标文件中没有提供</w:t>
            </w:r>
            <w:r>
              <w:rPr>
                <w:rFonts w:hint="eastAsia" w:ascii="宋体" w:hAnsi="宋体" w:eastAsia="宋体" w:cs="宋体"/>
                <w:b/>
                <w:bCs/>
                <w:color w:val="auto"/>
                <w:szCs w:val="21"/>
                <w:highlight w:val="none"/>
                <w:lang w:val="en-US" w:eastAsia="zh-CN"/>
              </w:rPr>
              <w:t>项目实施方案</w:t>
            </w:r>
            <w:r>
              <w:rPr>
                <w:rFonts w:hint="eastAsia" w:ascii="宋体" w:hAnsi="宋体" w:eastAsia="宋体" w:cs="宋体"/>
                <w:b/>
                <w:bCs/>
                <w:color w:val="auto"/>
                <w:szCs w:val="21"/>
                <w:highlight w:val="none"/>
              </w:rPr>
              <w:t>的，本项不得分；所提供的</w:t>
            </w:r>
            <w:r>
              <w:rPr>
                <w:rFonts w:hint="eastAsia" w:ascii="宋体" w:hAnsi="宋体" w:eastAsia="宋体" w:cs="宋体"/>
                <w:b/>
                <w:bCs/>
                <w:color w:val="auto"/>
                <w:szCs w:val="21"/>
                <w:highlight w:val="none"/>
                <w:lang w:val="en-US" w:eastAsia="zh-CN"/>
              </w:rPr>
              <w:t>项目实施方案</w:t>
            </w:r>
            <w:r>
              <w:rPr>
                <w:rFonts w:hint="eastAsia" w:ascii="宋体" w:hAnsi="宋体" w:eastAsia="宋体" w:cs="宋体"/>
                <w:b/>
                <w:bCs/>
                <w:color w:val="auto"/>
                <w:szCs w:val="21"/>
                <w:highlight w:val="none"/>
              </w:rPr>
              <w:t>未达到相应评审档次全部标准的，相应降低一个档次</w:t>
            </w:r>
            <w:r>
              <w:rPr>
                <w:rFonts w:hint="eastAsia" w:ascii="宋体" w:hAnsi="宋体" w:eastAsia="宋体" w:cs="宋体"/>
                <w:b w:val="0"/>
                <w:bCs w:val="0"/>
                <w:color w:val="auto"/>
                <w:sz w:val="21"/>
                <w:szCs w:val="21"/>
                <w:highlight w:val="none"/>
              </w:rPr>
              <w:t>：</w:t>
            </w:r>
          </w:p>
          <w:p w14:paraId="3901F39F">
            <w:pPr>
              <w:keepNext w:val="0"/>
              <w:keepLines w:val="0"/>
              <w:suppressLineNumbers w:val="0"/>
              <w:spacing w:before="0" w:beforeAutospacing="0" w:after="0" w:afterAutospacing="0"/>
              <w:ind w:left="0" w:right="0"/>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一档(</w:t>
            </w:r>
            <w:r>
              <w:rPr>
                <w:rFonts w:hint="eastAsia" w:ascii="宋体" w:hAnsi="宋体" w:cs="宋体"/>
                <w:b w:val="0"/>
                <w:bCs w:val="0"/>
                <w:color w:val="auto"/>
                <w:kern w:val="2"/>
                <w:sz w:val="21"/>
                <w:szCs w:val="21"/>
                <w:highlight w:val="none"/>
                <w:lang w:val="en-US" w:eastAsia="zh-CN" w:bidi="ar-SA"/>
              </w:rPr>
              <w:t>4</w:t>
            </w:r>
            <w:r>
              <w:rPr>
                <w:rFonts w:hint="eastAsia" w:ascii="宋体" w:hAnsi="宋体" w:eastAsia="宋体" w:cs="宋体"/>
                <w:b w:val="0"/>
                <w:bCs w:val="0"/>
                <w:color w:val="auto"/>
                <w:kern w:val="2"/>
                <w:sz w:val="21"/>
                <w:szCs w:val="21"/>
                <w:highlight w:val="none"/>
                <w:lang w:val="en-US" w:eastAsia="zh-CN" w:bidi="ar-SA"/>
              </w:rPr>
              <w:t>分):项目实施方案不能提供上述要求方案包含的9项完整内容，方案存在缺陷≥1项，提供项目实施方案各项内容简单，内容堆砌冗余、欠完善。</w:t>
            </w:r>
          </w:p>
          <w:p w14:paraId="63724629">
            <w:pPr>
              <w:keepNext w:val="0"/>
              <w:keepLines w:val="0"/>
              <w:suppressLineNumbers w:val="0"/>
              <w:spacing w:before="0" w:beforeAutospacing="0" w:after="0" w:afterAutospacing="0"/>
              <w:ind w:left="0" w:right="0"/>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二档(</w:t>
            </w:r>
            <w:r>
              <w:rPr>
                <w:rFonts w:hint="eastAsia" w:ascii="宋体" w:hAnsi="宋体" w:cs="宋体"/>
                <w:b w:val="0"/>
                <w:bCs w:val="0"/>
                <w:color w:val="auto"/>
                <w:kern w:val="2"/>
                <w:sz w:val="21"/>
                <w:szCs w:val="21"/>
                <w:highlight w:val="none"/>
                <w:lang w:val="en-US" w:eastAsia="zh-CN" w:bidi="ar-SA"/>
              </w:rPr>
              <w:t>8</w:t>
            </w:r>
            <w:r>
              <w:rPr>
                <w:rFonts w:hint="eastAsia" w:ascii="宋体" w:hAnsi="宋体" w:eastAsia="宋体" w:cs="宋体"/>
                <w:b w:val="0"/>
                <w:bCs w:val="0"/>
                <w:color w:val="auto"/>
                <w:kern w:val="2"/>
                <w:sz w:val="21"/>
                <w:szCs w:val="21"/>
                <w:highlight w:val="none"/>
                <w:lang w:val="en-US" w:eastAsia="zh-CN" w:bidi="ar-SA"/>
              </w:rPr>
              <w:t>分):项目实施方案能提供上述要求方案包含的9项完整内容，方案不存在缺陷，方案已阐述产品质量控制、保管、 包装、运输及运输保护措施，明确产品出厂、配送、安装全流程计划安排，细化各阶段工作部署、进度计划及进度管控措施，具备项目管理计划文档、项目管理组织机构图及实施进度说明，对产品配送、安装环节作出相应方案说明，应急解决方案内容包含应急场景、处置流程、响应机制。整体方案内容较详细、明晰，满足本项目采购需求。</w:t>
            </w:r>
          </w:p>
          <w:p w14:paraId="5DB9F4A5">
            <w:pPr>
              <w:keepNext w:val="0"/>
              <w:keepLines w:val="0"/>
              <w:suppressLineNumbers w:val="0"/>
              <w:spacing w:before="0" w:beforeAutospacing="0" w:after="0" w:afterAutospacing="0"/>
              <w:ind w:left="0" w:right="0"/>
              <w:rPr>
                <w:rFonts w:hint="eastAsia" w:ascii="宋体" w:hAnsi="宋体" w:eastAsia="宋体" w:cs="宋体"/>
                <w:color w:val="auto"/>
                <w:highlight w:val="none"/>
                <w:lang w:eastAsia="zh-CN"/>
              </w:rPr>
            </w:pPr>
            <w:r>
              <w:rPr>
                <w:rFonts w:hint="eastAsia" w:ascii="宋体" w:hAnsi="宋体" w:eastAsia="宋体" w:cs="宋体"/>
                <w:b w:val="0"/>
                <w:bCs w:val="0"/>
                <w:color w:val="auto"/>
                <w:kern w:val="2"/>
                <w:sz w:val="21"/>
                <w:szCs w:val="21"/>
                <w:highlight w:val="none"/>
                <w:lang w:val="en-US" w:eastAsia="zh-CN" w:bidi="ar-SA"/>
              </w:rPr>
              <w:t>三档(12分):在满足二档的基础上，方案能进一步完善项目管理体系，补充项目管理组织机构图、项目管理框架、技术管理构架，构建了完整的双层项目管控体系；增设本项目专项风险预判、风险分析及风险应对处置措施，具备全过程风险管控能力；细化完善产品安装、项目验收各阶段专项实施细则，实现出厂、配送、安装、调试验收全流程闭环管控。整体方案内容详细、 条理清晰、有针对性，完全满足本项目采购需求。</w:t>
            </w:r>
          </w:p>
        </w:tc>
      </w:tr>
      <w:tr w14:paraId="5DA59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713" w:type="dxa"/>
            <w:vMerge w:val="restart"/>
            <w:noWrap w:val="0"/>
            <w:vAlign w:val="center"/>
          </w:tcPr>
          <w:p w14:paraId="010CBC03">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val="en-US" w:eastAsia="zh-CN"/>
              </w:rPr>
            </w:pPr>
          </w:p>
        </w:tc>
        <w:tc>
          <w:tcPr>
            <w:tcW w:w="1101" w:type="dxa"/>
            <w:vMerge w:val="restart"/>
            <w:noWrap w:val="0"/>
            <w:vAlign w:val="center"/>
          </w:tcPr>
          <w:p w14:paraId="244E952F">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lang w:eastAsia="zh-CN"/>
              </w:rPr>
            </w:pPr>
          </w:p>
        </w:tc>
        <w:tc>
          <w:tcPr>
            <w:tcW w:w="1259" w:type="dxa"/>
            <w:noWrap w:val="0"/>
            <w:vAlign w:val="center"/>
          </w:tcPr>
          <w:p w14:paraId="424C3ABD">
            <w:pPr>
              <w:pStyle w:val="101"/>
              <w:keepNext w:val="0"/>
              <w:keepLines w:val="0"/>
              <w:suppressLineNumbers w:val="0"/>
              <w:spacing w:before="69" w:beforeAutospacing="0" w:after="0" w:afterAutospacing="0" w:line="407" w:lineRule="auto"/>
              <w:ind w:left="0" w:right="57"/>
              <w:rPr>
                <w:rFonts w:hint="eastAsia" w:ascii="宋体" w:hAnsi="宋体" w:eastAsia="宋体" w:cs="宋体"/>
                <w:color w:val="auto"/>
                <w:sz w:val="21"/>
                <w:szCs w:val="21"/>
                <w:highlight w:val="none"/>
                <w:lang w:val="en-US" w:eastAsia="zh-CN"/>
              </w:rPr>
            </w:pPr>
            <w:r>
              <w:rPr>
                <w:color w:val="auto"/>
                <w:highlight w:val="none"/>
              </w:rPr>
              <w:t>设备安装与调试方案</w:t>
            </w:r>
            <w:r>
              <w:rPr>
                <w:rFonts w:hint="eastAsia"/>
                <w:color w:val="auto"/>
                <w:highlight w:val="none"/>
                <w:lang w:eastAsia="zh-CN"/>
              </w:rPr>
              <w:t>（满分</w:t>
            </w:r>
            <w:r>
              <w:rPr>
                <w:rFonts w:hint="eastAsia"/>
                <w:color w:val="auto"/>
                <w:highlight w:val="none"/>
                <w:lang w:val="en-US" w:eastAsia="zh-CN"/>
              </w:rPr>
              <w:t>12分</w:t>
            </w:r>
            <w:r>
              <w:rPr>
                <w:rFonts w:hint="eastAsia"/>
                <w:color w:val="auto"/>
                <w:highlight w:val="none"/>
                <w:lang w:eastAsia="zh-CN"/>
              </w:rPr>
              <w:t>）</w:t>
            </w:r>
          </w:p>
        </w:tc>
        <w:tc>
          <w:tcPr>
            <w:tcW w:w="6253" w:type="dxa"/>
            <w:noWrap w:val="0"/>
            <w:vAlign w:val="center"/>
          </w:tcPr>
          <w:p w14:paraId="27CDC363">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由评标委员会</w:t>
            </w:r>
            <w:r>
              <w:rPr>
                <w:rFonts w:hint="eastAsia" w:ascii="宋体" w:hAnsi="宋体" w:eastAsia="宋体" w:cs="宋体"/>
                <w:color w:val="auto"/>
                <w:highlight w:val="none"/>
              </w:rPr>
              <w:t>根据各投标人的设备的安装与调试方案(方案内容包含：① 安装、调试进度计划安排表②安装、调试关键工序③保证工期的措施④进度计划表⑤驻场人员配置⑥现场安装施工的机械设备⑦工具仪器设备配备⑧现场施工安全措施)</w:t>
            </w:r>
            <w:r>
              <w:rPr>
                <w:rFonts w:hint="eastAsia" w:ascii="宋体" w:hAnsi="宋体" w:eastAsia="宋体" w:cs="宋体"/>
                <w:color w:val="auto"/>
                <w:highlight w:val="none"/>
                <w:lang w:val="en-US" w:eastAsia="zh-CN"/>
              </w:rPr>
              <w:t>进行独立</w:t>
            </w:r>
            <w:r>
              <w:rPr>
                <w:rFonts w:hint="eastAsia" w:ascii="宋体" w:hAnsi="宋体" w:eastAsia="宋体" w:cs="宋体"/>
                <w:color w:val="auto"/>
                <w:highlight w:val="none"/>
              </w:rPr>
              <w:t>打分。</w:t>
            </w:r>
          </w:p>
          <w:p w14:paraId="28CF9741">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宋体" w:hAnsi="宋体" w:eastAsia="宋体" w:cs="宋体"/>
                <w:color w:val="auto"/>
                <w:highlight w:val="none"/>
              </w:rPr>
              <w:t>注 ：</w:t>
            </w:r>
          </w:p>
          <w:p w14:paraId="289B4AD7">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宋体" w:hAnsi="宋体" w:eastAsia="宋体" w:cs="宋体"/>
                <w:color w:val="auto"/>
                <w:highlight w:val="none"/>
              </w:rPr>
              <w:t>(1)评分标准中所称“缺陷”是指以下4项：</w:t>
            </w:r>
          </w:p>
          <w:p w14:paraId="00077CB7">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宋体" w:hAnsi="宋体" w:eastAsia="宋体" w:cs="宋体"/>
                <w:color w:val="auto"/>
                <w:highlight w:val="none"/>
              </w:rPr>
              <w:t>①提供的方案内容缺项；②套用其他项目内容；③对同一问题前后表述矛盾；④存在逻辑漏洞或常识错误。</w:t>
            </w:r>
          </w:p>
          <w:p w14:paraId="1AE3C3A8">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b/>
                <w:bCs/>
                <w:color w:val="auto"/>
                <w:szCs w:val="21"/>
                <w:highlight w:val="none"/>
              </w:rPr>
              <w:t>由评标委员</w:t>
            </w:r>
            <w:r>
              <w:rPr>
                <w:rFonts w:hint="eastAsia" w:ascii="宋体" w:hAnsi="宋体" w:eastAsia="宋体" w:cs="宋体"/>
                <w:b/>
                <w:bCs/>
                <w:color w:val="auto"/>
                <w:szCs w:val="21"/>
                <w:highlight w:val="none"/>
                <w:lang w:eastAsia="zh-CN"/>
              </w:rPr>
              <w:t>会</w:t>
            </w:r>
            <w:r>
              <w:rPr>
                <w:rFonts w:hint="eastAsia" w:ascii="宋体" w:hAnsi="宋体" w:eastAsia="宋体" w:cs="宋体"/>
                <w:b/>
                <w:bCs/>
                <w:color w:val="auto"/>
                <w:szCs w:val="21"/>
                <w:highlight w:val="none"/>
              </w:rPr>
              <w:t>在相应档次内独立打分，投标人投标文件中没有提供</w:t>
            </w:r>
            <w:r>
              <w:rPr>
                <w:b/>
                <w:bCs/>
                <w:color w:val="auto"/>
                <w:highlight w:val="none"/>
              </w:rPr>
              <w:t>设备安装与调试方案</w:t>
            </w:r>
            <w:r>
              <w:rPr>
                <w:rFonts w:hint="eastAsia" w:ascii="宋体" w:hAnsi="宋体" w:eastAsia="宋体" w:cs="宋体"/>
                <w:b/>
                <w:bCs/>
                <w:color w:val="auto"/>
                <w:szCs w:val="21"/>
                <w:highlight w:val="none"/>
              </w:rPr>
              <w:t>的，本项不得分；所提供的设备安装与调试方案未达到相应评审档次全部标准的，相应降低一个档次</w:t>
            </w:r>
            <w:r>
              <w:rPr>
                <w:rFonts w:hint="eastAsia" w:ascii="宋体" w:hAnsi="宋体" w:eastAsia="宋体" w:cs="宋体"/>
                <w:b/>
                <w:bCs/>
                <w:color w:val="auto"/>
                <w:sz w:val="21"/>
                <w:szCs w:val="21"/>
                <w:highlight w:val="none"/>
              </w:rPr>
              <w:t>：</w:t>
            </w:r>
          </w:p>
          <w:p w14:paraId="18D5B4F5">
            <w:pPr>
              <w:keepNext w:val="0"/>
              <w:keepLines w:val="0"/>
              <w:suppressLineNumbers w:val="0"/>
              <w:spacing w:before="0" w:beforeAutospacing="0" w:after="0" w:afterAutospacing="0"/>
              <w:ind w:left="0" w:righ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一档(4分):设备的安装与调试方案不能提供上述要求方案包含的完整内容，设备的安装与调试方案存在缺陷≥1项，提供设备的安装与调试方案各项内容简单，内容堆砌冗余、欠完善。</w:t>
            </w:r>
          </w:p>
          <w:p w14:paraId="7A7904DE">
            <w:pPr>
              <w:keepNext w:val="0"/>
              <w:keepLines w:val="0"/>
              <w:suppressLineNumbers w:val="0"/>
              <w:spacing w:before="0" w:beforeAutospacing="0" w:after="0" w:afterAutospacing="0"/>
              <w:ind w:left="0" w:righ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二档(8分):设备的安装与调试方案能提供上述要求方案包含的8项完整内容，方案不存在缺陷，提供分阶段的安装调试进度计划表，包含进场、备货、安装、调试、自检、交付等关键节点，人员、设备、机具满足项目整体工期要求，工序明确关键步骤；提供现场标准化管理；整体方案内容较详细、明晰，满足本项目采购需求。</w:t>
            </w:r>
          </w:p>
          <w:p w14:paraId="5163D8B9">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三档(12分):在满足二档的基础上，方案提供贴合本项目的精细化施工进度计划，细化至具体工作日/实施时段，明确各分项工作起止日前、交叉实施排布、节点管控目标、工期滞后补救节点，时序逻辑严密，可直接指导项目实施；能细化设备安装完整工序、分步施工步骤、专项安装技术要点，工序流程规范、贴合本项目设备专属安装特点；驻场人员配置贴合项目实施，能提供详细的劳动力调配计划，规避窝工、人力闲置问题，人员进场匹配实施进度；拟投入的机械设备、工具仪器配备及进场时间 匹配进度计划，实行现场定量、定点、标准化堆放管理；各专业施工工序衔接、交叉配合顺畅高效，施工安全保障措施内容详细，措施覆盖全实施场景；能结合本项目设备安装特点提出合理化建议；整体方案内容详细、条理清晰、有针对性，完全满足本项目采购需求。</w:t>
            </w:r>
          </w:p>
        </w:tc>
      </w:tr>
      <w:tr w14:paraId="7B8DC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713" w:type="dxa"/>
            <w:vMerge w:val="continue"/>
            <w:noWrap w:val="0"/>
            <w:vAlign w:val="center"/>
          </w:tcPr>
          <w:p w14:paraId="147DD9AE">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val="en-US" w:eastAsia="zh-CN"/>
              </w:rPr>
            </w:pPr>
          </w:p>
        </w:tc>
        <w:tc>
          <w:tcPr>
            <w:tcW w:w="1101" w:type="dxa"/>
            <w:vMerge w:val="continue"/>
            <w:noWrap w:val="0"/>
            <w:vAlign w:val="center"/>
          </w:tcPr>
          <w:p w14:paraId="18DBF9B6">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1259" w:type="dxa"/>
            <w:noWrap w:val="0"/>
            <w:vAlign w:val="center"/>
          </w:tcPr>
          <w:p w14:paraId="50C25DBD">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eastAsia="zh-CN"/>
              </w:rPr>
              <w:t>培训方案分（满分</w:t>
            </w:r>
            <w:r>
              <w:rPr>
                <w:rFonts w:hint="eastAsia" w:ascii="宋体" w:hAnsi="宋体" w:cs="宋体"/>
                <w:color w:val="auto"/>
                <w:sz w:val="21"/>
                <w:szCs w:val="21"/>
                <w:highlight w:val="none"/>
                <w:lang w:val="en-US" w:eastAsia="zh-CN"/>
              </w:rPr>
              <w:t>6分</w:t>
            </w:r>
            <w:r>
              <w:rPr>
                <w:rFonts w:hint="eastAsia" w:ascii="宋体" w:hAnsi="宋体" w:cs="宋体"/>
                <w:color w:val="auto"/>
                <w:sz w:val="21"/>
                <w:szCs w:val="21"/>
                <w:highlight w:val="none"/>
                <w:lang w:eastAsia="zh-CN"/>
              </w:rPr>
              <w:t>）</w:t>
            </w:r>
          </w:p>
        </w:tc>
        <w:tc>
          <w:tcPr>
            <w:tcW w:w="6253" w:type="dxa"/>
            <w:noWrap w:val="0"/>
            <w:vAlign w:val="center"/>
          </w:tcPr>
          <w:p w14:paraId="481A7066">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由评标委员会</w:t>
            </w:r>
            <w:r>
              <w:rPr>
                <w:rFonts w:hint="eastAsia" w:ascii="宋体" w:hAnsi="宋体" w:eastAsia="宋体" w:cs="宋体"/>
                <w:color w:val="auto"/>
                <w:highlight w:val="none"/>
              </w:rPr>
              <w:t>根据各投标人的培训方案</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方案内容包含：①设备组成及工作原理②设备操作规程(方法)③设备常见故障处理④系统设备相关的维护保养</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进行独立</w:t>
            </w:r>
            <w:r>
              <w:rPr>
                <w:rFonts w:hint="eastAsia" w:ascii="宋体" w:hAnsi="宋体" w:eastAsia="宋体" w:cs="宋体"/>
                <w:color w:val="auto"/>
                <w:highlight w:val="none"/>
              </w:rPr>
              <w:t>打分。</w:t>
            </w:r>
          </w:p>
          <w:p w14:paraId="1A447CE2">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宋体" w:hAnsi="宋体" w:eastAsia="宋体" w:cs="宋体"/>
                <w:color w:val="auto"/>
                <w:highlight w:val="none"/>
              </w:rPr>
              <w:t>注 ：</w:t>
            </w:r>
          </w:p>
          <w:p w14:paraId="6882AA5E">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宋体" w:hAnsi="宋体" w:eastAsia="宋体" w:cs="宋体"/>
                <w:color w:val="auto"/>
                <w:highlight w:val="none"/>
              </w:rPr>
              <w:t>(1)评分标准中所称“缺陷”是指以下4项：</w:t>
            </w:r>
          </w:p>
          <w:p w14:paraId="2BFE1DC8">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宋体" w:hAnsi="宋体" w:eastAsia="宋体" w:cs="宋体"/>
                <w:color w:val="auto"/>
                <w:highlight w:val="none"/>
              </w:rPr>
              <w:t>①提供的方案内容缺项；②套用其他项目内容；③对同一问题前后表述矛盾；④存在逻辑漏洞或常识错误。</w:t>
            </w:r>
          </w:p>
          <w:p w14:paraId="4587B1CC">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b/>
                <w:bCs/>
                <w:color w:val="auto"/>
                <w:szCs w:val="21"/>
                <w:highlight w:val="none"/>
              </w:rPr>
              <w:t>由评标委员</w:t>
            </w:r>
            <w:r>
              <w:rPr>
                <w:rFonts w:hint="eastAsia" w:ascii="宋体" w:hAnsi="宋体" w:eastAsia="宋体" w:cs="宋体"/>
                <w:b/>
                <w:bCs/>
                <w:color w:val="auto"/>
                <w:szCs w:val="21"/>
                <w:highlight w:val="none"/>
                <w:lang w:eastAsia="zh-CN"/>
              </w:rPr>
              <w:t>会</w:t>
            </w:r>
            <w:r>
              <w:rPr>
                <w:rFonts w:hint="eastAsia" w:ascii="宋体" w:hAnsi="宋体" w:eastAsia="宋体" w:cs="宋体"/>
                <w:b/>
                <w:bCs/>
                <w:color w:val="auto"/>
                <w:szCs w:val="21"/>
                <w:highlight w:val="none"/>
              </w:rPr>
              <w:t>在相应档次内独立打分，投标人投标文件中没有提供</w:t>
            </w:r>
            <w:r>
              <w:rPr>
                <w:rFonts w:hint="eastAsia"/>
                <w:b/>
                <w:bCs/>
                <w:color w:val="auto"/>
                <w:highlight w:val="none"/>
                <w:lang w:val="en-US" w:eastAsia="zh-CN"/>
              </w:rPr>
              <w:t>培训</w:t>
            </w:r>
            <w:r>
              <w:rPr>
                <w:b/>
                <w:bCs/>
                <w:color w:val="auto"/>
                <w:highlight w:val="none"/>
              </w:rPr>
              <w:t>方案</w:t>
            </w:r>
            <w:r>
              <w:rPr>
                <w:rFonts w:hint="eastAsia" w:ascii="宋体" w:hAnsi="宋体" w:eastAsia="宋体" w:cs="宋体"/>
                <w:b/>
                <w:bCs/>
                <w:color w:val="auto"/>
                <w:szCs w:val="21"/>
                <w:highlight w:val="none"/>
              </w:rPr>
              <w:t>的，本项不得分；所提供的</w:t>
            </w:r>
            <w:r>
              <w:rPr>
                <w:rFonts w:hint="eastAsia" w:ascii="宋体" w:hAnsi="宋体" w:cs="宋体"/>
                <w:b/>
                <w:bCs/>
                <w:color w:val="auto"/>
                <w:szCs w:val="21"/>
                <w:highlight w:val="none"/>
                <w:lang w:val="en-US" w:eastAsia="zh-CN"/>
              </w:rPr>
              <w:t>培训</w:t>
            </w:r>
            <w:r>
              <w:rPr>
                <w:rFonts w:hint="eastAsia" w:ascii="宋体" w:hAnsi="宋体" w:eastAsia="宋体" w:cs="宋体"/>
                <w:b/>
                <w:bCs/>
                <w:color w:val="auto"/>
                <w:szCs w:val="21"/>
                <w:highlight w:val="none"/>
              </w:rPr>
              <w:t>方案未达到相应评审档次全部标准的，相应降低一个档次</w:t>
            </w:r>
            <w:r>
              <w:rPr>
                <w:rFonts w:hint="eastAsia" w:ascii="宋体" w:hAnsi="宋体" w:eastAsia="宋体" w:cs="宋体"/>
                <w:b/>
                <w:bCs/>
                <w:color w:val="auto"/>
                <w:sz w:val="21"/>
                <w:szCs w:val="21"/>
                <w:highlight w:val="none"/>
              </w:rPr>
              <w:t>：</w:t>
            </w:r>
          </w:p>
          <w:p w14:paraId="25929780">
            <w:pPr>
              <w:keepNext w:val="0"/>
              <w:keepLines w:val="0"/>
              <w:suppressLineNumbers w:val="0"/>
              <w:spacing w:before="0" w:beforeAutospacing="0" w:after="0" w:afterAutospacing="0"/>
              <w:ind w:left="0" w:righ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一档(</w:t>
            </w:r>
            <w:r>
              <w:rPr>
                <w:rFonts w:hint="eastAsia" w:ascii="宋体" w:hAnsi="宋体" w:cs="宋体"/>
                <w:color w:val="auto"/>
                <w:highlight w:val="none"/>
                <w:lang w:val="en-US" w:eastAsia="zh-CN"/>
              </w:rPr>
              <w:t>2</w:t>
            </w:r>
            <w:r>
              <w:rPr>
                <w:rFonts w:hint="eastAsia" w:ascii="宋体" w:hAnsi="宋体" w:eastAsia="宋体" w:cs="宋体"/>
                <w:color w:val="auto"/>
                <w:highlight w:val="none"/>
                <w:lang w:val="en-US" w:eastAsia="zh-CN"/>
              </w:rPr>
              <w:t>分):培训方案不能提供上述要求方案包含的完整内容，培训方案存在缺陷≥1项，提供的培训方案各项内容简单，内容堆砌冗余、欠完善。</w:t>
            </w:r>
          </w:p>
          <w:p w14:paraId="32E2C2EA">
            <w:pPr>
              <w:keepNext w:val="0"/>
              <w:keepLines w:val="0"/>
              <w:suppressLineNumbers w:val="0"/>
              <w:spacing w:before="0" w:beforeAutospacing="0" w:after="0" w:afterAutospacing="0"/>
              <w:ind w:left="0" w:righ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二档(4分):培训方案能提供上述要求方案包含的4项完整内容，方案不存在缺陷，能对设备基础构造、运行原理做通用性文字介绍；罗列常规操作步骤，说明基础操作流程；能列举高频故障及对应基础处置方式；列明常规保养项目与周期，方案有简单的培训大纲，培训时间安排、培训计划满足项目需求，整体方案内容较详细、明晰，满足本项目采购需求。</w:t>
            </w:r>
          </w:p>
          <w:p w14:paraId="3CD47058">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三档(</w:t>
            </w:r>
            <w:r>
              <w:rPr>
                <w:rFonts w:hint="eastAsia" w:ascii="宋体" w:hAnsi="宋体" w:cs="宋体"/>
                <w:color w:val="auto"/>
                <w:highlight w:val="none"/>
                <w:lang w:val="en-US" w:eastAsia="zh-CN"/>
              </w:rPr>
              <w:t>6</w:t>
            </w:r>
            <w:r>
              <w:rPr>
                <w:rFonts w:hint="eastAsia" w:ascii="宋体" w:hAnsi="宋体" w:eastAsia="宋体" w:cs="宋体"/>
                <w:color w:val="auto"/>
                <w:highlight w:val="none"/>
                <w:lang w:val="en-US" w:eastAsia="zh-CN"/>
              </w:rPr>
              <w:t>分):在满足二档的基础上，能结合本项目所投设备配置参数拆解各部件功能，配套结构说明，结合现场运行工况讲解设备整体工作逻辑，同步说明各部件联动运行要点，方便参训人员理解设备运行逻辑；分步细化开机、运行、停机、参数设置等全流程操作规范，明确关键操作节点、操作禁忌、误操作风险后果，现场同步开展上机实操示范教学，手把手指导人员实操练习；按故障类型分类梳理故障现象、故障成因、分步排查流程、临时处置方案、报修判定标准，针对疑难故障给出排查思路，配套现场模拟故障实操演练，让参训人员具备独立排查处置基础故障的能力；分级制定日常、季度、年度保养明细，明确各保养项目操作方法、检查标准、更换耗材规格、保养验收要点，结合设备现场使用环境给出针对性保养优化建议，同步实操示范规范保养作业流程；整体方案内容详细、条理清晰、有针对性，完全满足本项目采购需求。</w:t>
            </w:r>
          </w:p>
        </w:tc>
      </w:tr>
      <w:tr w14:paraId="03982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713" w:type="dxa"/>
            <w:vMerge w:val="continue"/>
            <w:noWrap w:val="0"/>
            <w:vAlign w:val="center"/>
          </w:tcPr>
          <w:p w14:paraId="26A26FDC">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eastAsia="zh-CN"/>
              </w:rPr>
            </w:pPr>
          </w:p>
        </w:tc>
        <w:tc>
          <w:tcPr>
            <w:tcW w:w="1101" w:type="dxa"/>
            <w:vMerge w:val="continue"/>
            <w:noWrap w:val="0"/>
            <w:vAlign w:val="center"/>
          </w:tcPr>
          <w:p w14:paraId="51EAD656">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eastAsia="zh-CN"/>
              </w:rPr>
            </w:pPr>
          </w:p>
        </w:tc>
        <w:tc>
          <w:tcPr>
            <w:tcW w:w="1259" w:type="dxa"/>
            <w:noWrap w:val="0"/>
            <w:vAlign w:val="center"/>
          </w:tcPr>
          <w:p w14:paraId="38D8E50B">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b w:val="0"/>
                <w:bCs w:val="0"/>
                <w:color w:val="auto"/>
                <w:kern w:val="2"/>
                <w:sz w:val="21"/>
                <w:szCs w:val="21"/>
                <w:highlight w:val="none"/>
                <w:lang w:val="en-US" w:eastAsia="zh-CN" w:bidi="ar-SA"/>
              </w:rPr>
            </w:pPr>
            <w:r>
              <w:rPr>
                <w:color w:val="auto"/>
                <w:spacing w:val="2"/>
                <w:sz w:val="21"/>
                <w:szCs w:val="21"/>
                <w:highlight w:val="none"/>
              </w:rPr>
              <w:t>服务</w:t>
            </w:r>
            <w:r>
              <w:rPr>
                <w:color w:val="auto"/>
                <w:spacing w:val="-3"/>
                <w:sz w:val="21"/>
                <w:szCs w:val="21"/>
                <w:highlight w:val="none"/>
              </w:rPr>
              <w:t>承诺方案</w:t>
            </w:r>
            <w:r>
              <w:rPr>
                <w:color w:val="auto"/>
                <w:spacing w:val="14"/>
                <w:sz w:val="21"/>
                <w:szCs w:val="21"/>
                <w:highlight w:val="none"/>
              </w:rPr>
              <w:t>分</w:t>
            </w:r>
            <w:r>
              <w:rPr>
                <w:rFonts w:hint="eastAsia" w:ascii="宋体" w:hAnsi="宋体" w:eastAsia="宋体" w:cs="宋体"/>
                <w:color w:val="auto"/>
                <w:sz w:val="21"/>
                <w:szCs w:val="21"/>
                <w:highlight w:val="none"/>
              </w:rPr>
              <w:t>（满分</w:t>
            </w: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分）</w:t>
            </w:r>
          </w:p>
        </w:tc>
        <w:tc>
          <w:tcPr>
            <w:tcW w:w="6253" w:type="dxa"/>
            <w:noWrap w:val="0"/>
            <w:vAlign w:val="center"/>
          </w:tcPr>
          <w:p w14:paraId="2A4F864A">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由评标委员会</w:t>
            </w:r>
            <w:r>
              <w:rPr>
                <w:rFonts w:hint="eastAsia" w:ascii="宋体" w:hAnsi="宋体" w:eastAsia="宋体" w:cs="宋体"/>
                <w:color w:val="auto"/>
                <w:highlight w:val="none"/>
              </w:rPr>
              <w:t>根据各投标人的服务承诺方案(方案内容包含：①服务团队配置②人员岗位职责③日常技术支持服务内容④服务响应 机制⑤设备运维服务⑥巡检保养服务⑦故障处置服务⑧对接反馈服务全流程内容)</w:t>
            </w:r>
            <w:r>
              <w:rPr>
                <w:rFonts w:hint="eastAsia" w:ascii="宋体" w:hAnsi="宋体" w:eastAsia="宋体" w:cs="宋体"/>
                <w:color w:val="auto"/>
                <w:highlight w:val="none"/>
                <w:lang w:val="en-US" w:eastAsia="zh-CN"/>
              </w:rPr>
              <w:t>进行独立</w:t>
            </w:r>
            <w:r>
              <w:rPr>
                <w:rFonts w:hint="eastAsia" w:ascii="宋体" w:hAnsi="宋体" w:eastAsia="宋体" w:cs="宋体"/>
                <w:color w:val="auto"/>
                <w:highlight w:val="none"/>
              </w:rPr>
              <w:t>打分。</w:t>
            </w:r>
          </w:p>
          <w:p w14:paraId="083E8043">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宋体" w:hAnsi="宋体" w:eastAsia="宋体" w:cs="宋体"/>
                <w:color w:val="auto"/>
                <w:highlight w:val="none"/>
              </w:rPr>
              <w:t>注：</w:t>
            </w:r>
          </w:p>
          <w:p w14:paraId="47896446">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宋体" w:hAnsi="宋体" w:eastAsia="宋体" w:cs="宋体"/>
                <w:color w:val="auto"/>
                <w:highlight w:val="none"/>
              </w:rPr>
              <w:t>(1)评分标准中所称“缺陷”是指以下4项：</w:t>
            </w:r>
          </w:p>
          <w:p w14:paraId="4D64C6B7">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宋体" w:hAnsi="宋体" w:eastAsia="宋体" w:cs="宋体"/>
                <w:color w:val="auto"/>
                <w:highlight w:val="none"/>
              </w:rPr>
              <w:t>①提供的方案内容缺项；②套用其他项目内容；③对同一问题前后表述矛盾；④存在逻辑漏洞或常识错误。</w:t>
            </w:r>
          </w:p>
          <w:p w14:paraId="166F928B">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b w:val="0"/>
                <w:bCs w:val="0"/>
                <w:color w:val="auto"/>
                <w:szCs w:val="21"/>
                <w:highlight w:val="none"/>
              </w:rPr>
              <w:t>由评标委员</w:t>
            </w:r>
            <w:r>
              <w:rPr>
                <w:rFonts w:hint="eastAsia" w:ascii="宋体" w:hAnsi="宋体" w:eastAsia="宋体" w:cs="宋体"/>
                <w:b w:val="0"/>
                <w:bCs w:val="0"/>
                <w:color w:val="auto"/>
                <w:szCs w:val="21"/>
                <w:highlight w:val="none"/>
                <w:lang w:eastAsia="zh-CN"/>
              </w:rPr>
              <w:t>会</w:t>
            </w:r>
            <w:r>
              <w:rPr>
                <w:rFonts w:hint="eastAsia" w:ascii="宋体" w:hAnsi="宋体" w:eastAsia="宋体" w:cs="宋体"/>
                <w:b w:val="0"/>
                <w:bCs w:val="0"/>
                <w:color w:val="auto"/>
                <w:szCs w:val="21"/>
                <w:highlight w:val="none"/>
              </w:rPr>
              <w:t>在相应档次内独立打分，投标人投标文件中没有提供</w:t>
            </w:r>
            <w:r>
              <w:rPr>
                <w:rFonts w:hint="eastAsia" w:ascii="宋体" w:hAnsi="宋体" w:eastAsia="宋体" w:cs="宋体"/>
                <w:b w:val="0"/>
                <w:bCs w:val="0"/>
                <w:color w:val="auto"/>
                <w:highlight w:val="none"/>
                <w:lang w:val="en-US" w:eastAsia="zh-CN"/>
              </w:rPr>
              <w:t>服务承诺</w:t>
            </w:r>
            <w:r>
              <w:rPr>
                <w:rFonts w:hint="eastAsia" w:ascii="宋体" w:hAnsi="宋体" w:eastAsia="宋体" w:cs="宋体"/>
                <w:b w:val="0"/>
                <w:bCs w:val="0"/>
                <w:color w:val="auto"/>
                <w:highlight w:val="none"/>
              </w:rPr>
              <w:t>方案</w:t>
            </w:r>
            <w:r>
              <w:rPr>
                <w:rFonts w:hint="eastAsia" w:ascii="宋体" w:hAnsi="宋体" w:eastAsia="宋体" w:cs="宋体"/>
                <w:b w:val="0"/>
                <w:bCs w:val="0"/>
                <w:color w:val="auto"/>
                <w:szCs w:val="21"/>
                <w:highlight w:val="none"/>
              </w:rPr>
              <w:t>的，本项不得分；所提供的</w:t>
            </w:r>
            <w:r>
              <w:rPr>
                <w:rFonts w:hint="eastAsia" w:ascii="宋体" w:hAnsi="宋体" w:eastAsia="宋体" w:cs="宋体"/>
                <w:b w:val="0"/>
                <w:bCs w:val="0"/>
                <w:color w:val="auto"/>
                <w:szCs w:val="21"/>
                <w:highlight w:val="none"/>
                <w:lang w:val="en-US" w:eastAsia="zh-CN"/>
              </w:rPr>
              <w:t>服务承诺</w:t>
            </w:r>
            <w:r>
              <w:rPr>
                <w:rFonts w:hint="eastAsia" w:ascii="宋体" w:hAnsi="宋体" w:eastAsia="宋体" w:cs="宋体"/>
                <w:b w:val="0"/>
                <w:bCs w:val="0"/>
                <w:color w:val="auto"/>
                <w:szCs w:val="21"/>
                <w:highlight w:val="none"/>
              </w:rPr>
              <w:t>方案未达到相应评审档次全部标准的，相应降低一个档次</w:t>
            </w:r>
            <w:r>
              <w:rPr>
                <w:rFonts w:hint="eastAsia" w:ascii="宋体" w:hAnsi="宋体" w:eastAsia="宋体" w:cs="宋体"/>
                <w:b w:val="0"/>
                <w:bCs w:val="0"/>
                <w:color w:val="auto"/>
                <w:sz w:val="21"/>
                <w:szCs w:val="21"/>
                <w:highlight w:val="none"/>
              </w:rPr>
              <w:t>：</w:t>
            </w:r>
          </w:p>
          <w:p w14:paraId="31776EB4">
            <w:pPr>
              <w:keepNext w:val="0"/>
              <w:keepLines w:val="0"/>
              <w:suppressLineNumbers w:val="0"/>
              <w:spacing w:before="0" w:beforeAutospacing="0" w:after="0" w:afterAutospacing="0"/>
              <w:ind w:left="0" w:righ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一档(</w:t>
            </w:r>
            <w:r>
              <w:rPr>
                <w:rFonts w:hint="eastAsia" w:ascii="宋体" w:hAnsi="宋体" w:cs="宋体"/>
                <w:color w:val="auto"/>
                <w:highlight w:val="none"/>
                <w:lang w:val="en-US" w:eastAsia="zh-CN"/>
              </w:rPr>
              <w:t>3</w:t>
            </w:r>
            <w:r>
              <w:rPr>
                <w:rFonts w:hint="eastAsia" w:ascii="宋体" w:hAnsi="宋体" w:eastAsia="宋体" w:cs="宋体"/>
                <w:color w:val="auto"/>
                <w:highlight w:val="none"/>
                <w:lang w:val="en-US" w:eastAsia="zh-CN"/>
              </w:rPr>
              <w:t>分):服务承诺方案不能提供上述要求方案包含的完整内容，服务承诺方案存在缺陷≥1项，提供的服务承诺方案各项内容简单，内容堆砌冗余、欠完善。</w:t>
            </w:r>
          </w:p>
          <w:p w14:paraId="5D726393">
            <w:pPr>
              <w:keepNext w:val="0"/>
              <w:keepLines w:val="0"/>
              <w:suppressLineNumbers w:val="0"/>
              <w:spacing w:before="0" w:beforeAutospacing="0" w:after="0" w:afterAutospacing="0"/>
              <w:ind w:left="0" w:righ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二档(</w:t>
            </w:r>
            <w:r>
              <w:rPr>
                <w:rFonts w:hint="eastAsia" w:ascii="宋体" w:hAnsi="宋体" w:cs="宋体"/>
                <w:color w:val="auto"/>
                <w:highlight w:val="none"/>
                <w:lang w:val="en-US" w:eastAsia="zh-CN"/>
              </w:rPr>
              <w:t>6</w:t>
            </w:r>
            <w:r>
              <w:rPr>
                <w:rFonts w:hint="eastAsia" w:ascii="宋体" w:hAnsi="宋体" w:eastAsia="宋体" w:cs="宋体"/>
                <w:color w:val="auto"/>
                <w:highlight w:val="none"/>
                <w:lang w:val="en-US" w:eastAsia="zh-CN"/>
              </w:rPr>
              <w:t>分):服务承诺明确；日常技术支持内容涵盖咨询、指导、答疑等常态化服务；服务响应机制、响应时限、线上线下服务渠道齐全；提供软硬方案能提供上述要求方案包含的8项完整内容，方案不存在缺陷，方案明确项目专属技术服务团队，岗位架构清晰、人员配置到位、岗位职责分工件日常运维、状态排查、参数核对、运行监测等基础运维工作内容；巡检保养、故障处置、应急保障、对接反馈等服务内容较详细，服务保障措施可有效支撑项目正常运维工作，整体方案内容较详细、明晰，满足本项目采购需求。</w:t>
            </w:r>
          </w:p>
          <w:p w14:paraId="646EF48A">
            <w:pPr>
              <w:keepNext w:val="0"/>
              <w:keepLines w:val="0"/>
              <w:suppressLineNumbers w:val="0"/>
              <w:spacing w:before="0" w:beforeAutospacing="0" w:after="0" w:afterAutospacing="0"/>
              <w:ind w:left="0" w:righ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三档(</w:t>
            </w:r>
            <w:r>
              <w:rPr>
                <w:rFonts w:hint="eastAsia" w:ascii="宋体" w:hAnsi="宋体" w:cs="宋体"/>
                <w:color w:val="auto"/>
                <w:highlight w:val="none"/>
                <w:lang w:val="en-US" w:eastAsia="zh-CN"/>
              </w:rPr>
              <w:t>9</w:t>
            </w:r>
            <w:r>
              <w:rPr>
                <w:rFonts w:hint="eastAsia" w:ascii="宋体" w:hAnsi="宋体" w:eastAsia="宋体" w:cs="宋体"/>
                <w:color w:val="auto"/>
                <w:highlight w:val="none"/>
                <w:lang w:val="en-US" w:eastAsia="zh-CN"/>
              </w:rPr>
              <w:t>分):在满足二档的基础上，所配置的项目专属技术服务团队能细化团队人员的技术能力结构，能明确项目专属对接联系人及对接方式；日常技术支持服务能结合项目实际场景细化全周期技术支持；建立全流程闭环对接反馈及问题处置机制，实现需求收集、登记派单、过程跟踪、处置反馈、复盘归档的完整闭环管理；能建立分级服务响应机制，区分普通、紧急、特急事项响应时效，形成派单、处置、回访、归档的标准化响应体系，响应层级清晰、处置流程规范、响应效率可控可追溯；设备运维服务实施软硬件分级运维管理，根据设备运行工况制定差异化运维策略，细化日常监测、动态排查、参数校准、运行数据分析等深度运维内容；巡检保养服务能贴合本项目设备的标准，明确固定巡检频次、完整巡检范围、逐项巡检细则、规范巡检流程；故障处置服务能区分一般故障、重大故障，配套对应的排查流程、处置步骤、修复标准、验收流程；构建全流程闭环服务机制，实现需求收集、登记派单、过程跟踪、结果反馈、问题复盘、资料归档全链条闭环管理；整体方案内容详细、条理清晰，完全满足本项目采购需求。</w:t>
            </w:r>
          </w:p>
        </w:tc>
      </w:tr>
      <w:tr w14:paraId="40DE3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713" w:type="dxa"/>
            <w:vMerge w:val="restart"/>
            <w:noWrap w:val="0"/>
            <w:vAlign w:val="center"/>
          </w:tcPr>
          <w:p w14:paraId="52504E47">
            <w:pPr>
              <w:keepNext w:val="0"/>
              <w:keepLines w:val="0"/>
              <w:suppressLineNumbers w:val="0"/>
              <w:bidi w:val="0"/>
              <w:spacing w:before="0" w:beforeAutospacing="0" w:after="0" w:afterAutospacing="0" w:line="360" w:lineRule="auto"/>
              <w:ind w:left="0"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101" w:type="dxa"/>
            <w:vMerge w:val="restart"/>
            <w:noWrap w:val="0"/>
            <w:vAlign w:val="center"/>
          </w:tcPr>
          <w:p w14:paraId="464FA4F4">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商务分（满分</w:t>
            </w:r>
            <w:r>
              <w:rPr>
                <w:rFonts w:hint="eastAsia" w:ascii="宋体" w:hAnsi="宋体" w:cs="宋体"/>
                <w:color w:val="auto"/>
                <w:sz w:val="21"/>
                <w:szCs w:val="21"/>
                <w:highlight w:val="none"/>
                <w:lang w:val="en-US" w:eastAsia="zh-CN"/>
              </w:rPr>
              <w:t>16分</w:t>
            </w:r>
            <w:r>
              <w:rPr>
                <w:rFonts w:hint="eastAsia" w:ascii="宋体" w:hAnsi="宋体" w:eastAsia="宋体" w:cs="宋体"/>
                <w:color w:val="auto"/>
                <w:sz w:val="21"/>
                <w:szCs w:val="21"/>
                <w:highlight w:val="none"/>
              </w:rPr>
              <w:t>）</w:t>
            </w:r>
          </w:p>
        </w:tc>
        <w:tc>
          <w:tcPr>
            <w:tcW w:w="1259" w:type="dxa"/>
            <w:shd w:val="clear" w:color="auto" w:fill="auto"/>
            <w:noWrap w:val="0"/>
            <w:vAlign w:val="center"/>
          </w:tcPr>
          <w:p w14:paraId="4251B2FC">
            <w:pPr>
              <w:keepNext w:val="0"/>
              <w:keepLines w:val="0"/>
              <w:suppressLineNumbers w:val="0"/>
              <w:adjustRightInd w:val="0"/>
              <w:spacing w:before="0" w:beforeAutospacing="0" w:after="0" w:afterAutospacing="0" w:line="360" w:lineRule="auto"/>
              <w:ind w:left="0" w:leftChars="0" w:right="0" w:rightChars="0"/>
              <w:jc w:val="center"/>
              <w:textAlignment w:val="baseline"/>
              <w:rPr>
                <w:rFonts w:hint="default"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质保期（满分6分）</w:t>
            </w:r>
          </w:p>
        </w:tc>
        <w:tc>
          <w:tcPr>
            <w:tcW w:w="6253" w:type="dxa"/>
            <w:shd w:val="clear" w:color="auto" w:fill="auto"/>
            <w:noWrap w:val="0"/>
            <w:vAlign w:val="center"/>
          </w:tcPr>
          <w:p w14:paraId="0A1252F5">
            <w:pPr>
              <w:pStyle w:val="101"/>
              <w:keepNext w:val="0"/>
              <w:keepLines w:val="0"/>
              <w:suppressLineNumbers w:val="0"/>
              <w:spacing w:before="172" w:beforeAutospacing="0" w:after="0" w:afterAutospacing="0" w:line="219" w:lineRule="auto"/>
              <w:ind w:left="0" w:right="0"/>
              <w:rPr>
                <w:rFonts w:hint="eastAsia" w:ascii="宋体" w:hAnsi="宋体" w:eastAsia="宋体" w:cs="宋体"/>
                <w:color w:val="auto"/>
                <w:spacing w:val="-1"/>
                <w:sz w:val="21"/>
                <w:szCs w:val="21"/>
                <w:highlight w:val="none"/>
              </w:rPr>
            </w:pPr>
            <w:r>
              <w:rPr>
                <w:rFonts w:hint="eastAsia" w:cs="宋体"/>
                <w:b/>
                <w:bCs/>
                <w:color w:val="auto"/>
                <w:spacing w:val="-1"/>
                <w:sz w:val="21"/>
                <w:szCs w:val="21"/>
                <w:highlight w:val="none"/>
                <w:lang w:val="en-US" w:eastAsia="zh-CN"/>
              </w:rPr>
              <w:t>1.</w:t>
            </w:r>
            <w:r>
              <w:rPr>
                <w:rFonts w:hint="eastAsia" w:ascii="宋体" w:hAnsi="宋体" w:eastAsia="宋体" w:cs="宋体"/>
                <w:b/>
                <w:bCs/>
                <w:color w:val="auto"/>
                <w:spacing w:val="-1"/>
                <w:sz w:val="21"/>
                <w:szCs w:val="21"/>
                <w:highlight w:val="none"/>
              </w:rPr>
              <w:t>质保期承诺:</w:t>
            </w:r>
            <w:r>
              <w:rPr>
                <w:rFonts w:hint="eastAsia" w:ascii="宋体" w:hAnsi="宋体" w:eastAsia="宋体" w:cs="宋体"/>
                <w:b w:val="0"/>
                <w:bCs w:val="0"/>
                <w:color w:val="auto"/>
                <w:spacing w:val="-1"/>
                <w:sz w:val="21"/>
                <w:szCs w:val="21"/>
                <w:highlight w:val="none"/>
              </w:rPr>
              <w:t>第6项产品“一键转膜仪”、第15项产品“台式高速冷冻离心机”、第16项产品“台式低速冷冻离心机”、第19项产品“AI医学检验数字切片分类计数与分析软件”质保期不少于3年，第18项产品“检验数字孪生综合实训平台”质保期不少于6年，其余产品</w:t>
            </w:r>
            <w:r>
              <w:rPr>
                <w:rFonts w:hint="eastAsia" w:cs="宋体"/>
                <w:b w:val="0"/>
                <w:bCs w:val="0"/>
                <w:color w:val="auto"/>
                <w:spacing w:val="-1"/>
                <w:sz w:val="21"/>
                <w:szCs w:val="21"/>
                <w:highlight w:val="none"/>
                <w:lang w:val="en-US" w:eastAsia="zh-CN"/>
              </w:rPr>
              <w:t>质保期</w:t>
            </w:r>
            <w:r>
              <w:rPr>
                <w:rFonts w:hint="eastAsia" w:ascii="宋体" w:hAnsi="宋体" w:eastAsia="宋体" w:cs="宋体"/>
                <w:b w:val="0"/>
                <w:bCs w:val="0"/>
                <w:color w:val="auto"/>
                <w:spacing w:val="-1"/>
                <w:sz w:val="21"/>
                <w:szCs w:val="21"/>
                <w:highlight w:val="none"/>
              </w:rPr>
              <w:t>不得少于1年</w:t>
            </w:r>
            <w:r>
              <w:rPr>
                <w:rFonts w:hint="eastAsia" w:ascii="宋体" w:hAnsi="宋体" w:eastAsia="宋体" w:cs="宋体"/>
                <w:b w:val="0"/>
                <w:bCs w:val="0"/>
                <w:color w:val="auto"/>
                <w:spacing w:val="-1"/>
                <w:sz w:val="21"/>
                <w:szCs w:val="21"/>
                <w:highlight w:val="none"/>
                <w:lang w:eastAsia="zh-CN"/>
              </w:rPr>
              <w:t>，</w:t>
            </w:r>
            <w:r>
              <w:rPr>
                <w:rFonts w:hint="eastAsia" w:ascii="宋体" w:hAnsi="宋体" w:eastAsia="宋体" w:cs="宋体"/>
                <w:color w:val="auto"/>
                <w:spacing w:val="-1"/>
                <w:sz w:val="21"/>
                <w:szCs w:val="21"/>
                <w:highlight w:val="none"/>
              </w:rPr>
              <w:t>在满足招标文件设备</w:t>
            </w:r>
            <w:r>
              <w:rPr>
                <w:rFonts w:hint="eastAsia" w:ascii="宋体" w:hAnsi="宋体" w:eastAsia="宋体" w:cs="宋体"/>
                <w:color w:val="auto"/>
                <w:spacing w:val="-1"/>
                <w:sz w:val="21"/>
                <w:szCs w:val="21"/>
                <w:highlight w:val="none"/>
                <w:lang w:eastAsia="zh-CN"/>
              </w:rPr>
              <w:t>、</w:t>
            </w:r>
            <w:r>
              <w:rPr>
                <w:rFonts w:hint="eastAsia" w:ascii="宋体" w:hAnsi="宋体" w:eastAsia="宋体" w:cs="宋体"/>
                <w:color w:val="auto"/>
                <w:sz w:val="21"/>
                <w:szCs w:val="21"/>
                <w:highlight w:val="none"/>
              </w:rPr>
              <w:t>设备</w:t>
            </w:r>
            <w:r>
              <w:rPr>
                <w:rFonts w:hint="eastAsia" w:ascii="宋体" w:hAnsi="宋体" w:eastAsia="宋体" w:cs="宋体"/>
                <w:color w:val="auto"/>
                <w:sz w:val="21"/>
                <w:szCs w:val="21"/>
                <w:highlight w:val="none"/>
                <w:lang w:val="en-US" w:eastAsia="zh-CN"/>
              </w:rPr>
              <w:t>零配件以及设备</w:t>
            </w:r>
            <w:r>
              <w:rPr>
                <w:rFonts w:hint="eastAsia" w:ascii="宋体" w:hAnsi="宋体" w:eastAsia="宋体" w:cs="宋体"/>
                <w:color w:val="auto"/>
                <w:sz w:val="21"/>
                <w:szCs w:val="21"/>
                <w:highlight w:val="none"/>
              </w:rPr>
              <w:t>其它所有元器件（易损件除外）</w:t>
            </w:r>
            <w:r>
              <w:rPr>
                <w:rFonts w:hint="eastAsia" w:ascii="宋体" w:hAnsi="宋体" w:eastAsia="宋体" w:cs="宋体"/>
                <w:color w:val="auto"/>
                <w:spacing w:val="-1"/>
                <w:sz w:val="21"/>
                <w:szCs w:val="21"/>
                <w:highlight w:val="none"/>
              </w:rPr>
              <w:t>质保期最低要</w:t>
            </w:r>
            <w:r>
              <w:rPr>
                <w:rFonts w:hint="eastAsia" w:ascii="宋体" w:hAnsi="宋体" w:eastAsia="宋体" w:cs="宋体"/>
                <w:color w:val="auto"/>
                <w:spacing w:val="-2"/>
                <w:sz w:val="21"/>
                <w:szCs w:val="21"/>
                <w:highlight w:val="none"/>
              </w:rPr>
              <w:t>求的前</w:t>
            </w:r>
            <w:r>
              <w:rPr>
                <w:rFonts w:hint="eastAsia" w:ascii="宋体" w:hAnsi="宋体" w:eastAsia="宋体" w:cs="宋体"/>
                <w:color w:val="auto"/>
                <w:spacing w:val="-1"/>
                <w:sz w:val="21"/>
                <w:szCs w:val="21"/>
                <w:highlight w:val="none"/>
              </w:rPr>
              <w:t>提下，设备</w:t>
            </w:r>
            <w:r>
              <w:rPr>
                <w:rFonts w:hint="eastAsia" w:ascii="宋体" w:hAnsi="宋体" w:eastAsia="宋体" w:cs="宋体"/>
                <w:color w:val="auto"/>
                <w:spacing w:val="-1"/>
                <w:sz w:val="21"/>
                <w:szCs w:val="21"/>
                <w:highlight w:val="none"/>
                <w:lang w:eastAsia="zh-CN"/>
              </w:rPr>
              <w:t>、</w:t>
            </w:r>
            <w:r>
              <w:rPr>
                <w:rFonts w:hint="eastAsia" w:ascii="宋体" w:hAnsi="宋体" w:eastAsia="宋体" w:cs="宋体"/>
                <w:color w:val="auto"/>
                <w:sz w:val="21"/>
                <w:szCs w:val="21"/>
                <w:highlight w:val="none"/>
              </w:rPr>
              <w:t>设备</w:t>
            </w:r>
            <w:r>
              <w:rPr>
                <w:rFonts w:hint="eastAsia" w:ascii="宋体" w:hAnsi="宋体" w:eastAsia="宋体" w:cs="宋体"/>
                <w:color w:val="auto"/>
                <w:sz w:val="21"/>
                <w:szCs w:val="21"/>
                <w:highlight w:val="none"/>
                <w:lang w:val="en-US" w:eastAsia="zh-CN"/>
              </w:rPr>
              <w:t>零配件以及设备</w:t>
            </w:r>
            <w:r>
              <w:rPr>
                <w:rFonts w:hint="eastAsia" w:ascii="宋体" w:hAnsi="宋体" w:eastAsia="宋体" w:cs="宋体"/>
                <w:color w:val="auto"/>
                <w:sz w:val="21"/>
                <w:szCs w:val="21"/>
                <w:highlight w:val="none"/>
              </w:rPr>
              <w:t>其它所有元器件</w:t>
            </w:r>
            <w:r>
              <w:rPr>
                <w:rFonts w:hint="eastAsia" w:cs="宋体"/>
                <w:color w:val="auto"/>
                <w:sz w:val="21"/>
                <w:szCs w:val="21"/>
                <w:highlight w:val="none"/>
                <w:lang w:val="en-US" w:eastAsia="zh-CN"/>
              </w:rPr>
              <w:t>质保期</w:t>
            </w:r>
            <w:r>
              <w:rPr>
                <w:rFonts w:hint="eastAsia" w:ascii="宋体" w:hAnsi="宋体" w:eastAsia="宋体" w:cs="宋体"/>
                <w:color w:val="auto"/>
                <w:spacing w:val="-1"/>
                <w:sz w:val="21"/>
                <w:szCs w:val="21"/>
                <w:highlight w:val="none"/>
              </w:rPr>
              <w:t>每超出一个整年，得1分的，不足一个整年的部分不计分，超出年限达到三个整年及以上的按满分</w:t>
            </w:r>
            <w:r>
              <w:rPr>
                <w:rFonts w:hint="eastAsia" w:ascii="宋体" w:hAnsi="宋体" w:eastAsia="宋体" w:cs="宋体"/>
                <w:color w:val="auto"/>
                <w:spacing w:val="-1"/>
                <w:sz w:val="21"/>
                <w:szCs w:val="21"/>
                <w:highlight w:val="none"/>
                <w:lang w:val="en-US" w:eastAsia="zh-CN"/>
              </w:rPr>
              <w:t>3</w:t>
            </w:r>
            <w:r>
              <w:rPr>
                <w:rFonts w:hint="eastAsia" w:ascii="宋体" w:hAnsi="宋体" w:eastAsia="宋体" w:cs="宋体"/>
                <w:color w:val="auto"/>
                <w:spacing w:val="-1"/>
                <w:sz w:val="21"/>
                <w:szCs w:val="21"/>
                <w:highlight w:val="none"/>
              </w:rPr>
              <w:t>分计。</w:t>
            </w:r>
          </w:p>
          <w:p w14:paraId="2CE8216A">
            <w:pPr>
              <w:pStyle w:val="101"/>
              <w:keepNext w:val="0"/>
              <w:keepLines w:val="0"/>
              <w:suppressLineNumbers w:val="0"/>
              <w:spacing w:before="172" w:beforeAutospacing="0" w:after="0" w:afterAutospacing="0" w:line="219" w:lineRule="auto"/>
              <w:ind w:left="0" w:right="0"/>
              <w:rPr>
                <w:rFonts w:hint="eastAsia" w:ascii="宋体" w:hAnsi="宋体" w:eastAsia="宋体" w:cs="宋体"/>
                <w:color w:val="auto"/>
                <w:sz w:val="21"/>
                <w:szCs w:val="21"/>
                <w:highlight w:val="none"/>
              </w:rPr>
            </w:pPr>
            <w:r>
              <w:rPr>
                <w:rFonts w:hint="eastAsia"/>
                <w:color w:val="auto"/>
                <w:spacing w:val="-1"/>
                <w:sz w:val="21"/>
                <w:szCs w:val="21"/>
                <w:highlight w:val="none"/>
                <w:lang w:val="en-US" w:eastAsia="zh-CN"/>
              </w:rPr>
              <w:t>2.</w:t>
            </w:r>
            <w:r>
              <w:rPr>
                <w:rFonts w:hint="eastAsia"/>
                <w:color w:val="auto"/>
                <w:spacing w:val="-1"/>
                <w:sz w:val="21"/>
                <w:szCs w:val="21"/>
                <w:highlight w:val="none"/>
                <w:lang w:eastAsia="zh-CN"/>
              </w:rPr>
              <w:t>质保期外零配件价格承诺：</w:t>
            </w:r>
            <w:r>
              <w:rPr>
                <w:rFonts w:hint="eastAsia"/>
                <w:color w:val="auto"/>
                <w:spacing w:val="-1"/>
                <w:sz w:val="21"/>
                <w:szCs w:val="21"/>
                <w:highlight w:val="none"/>
              </w:rPr>
              <w:t>投标文件中承诺在质保期外，配件价格比</w:t>
            </w:r>
            <w:r>
              <w:rPr>
                <w:rFonts w:hint="eastAsia"/>
                <w:color w:val="auto"/>
                <w:spacing w:val="-1"/>
                <w:sz w:val="21"/>
                <w:szCs w:val="21"/>
                <w:highlight w:val="none"/>
                <w:lang w:val="en-US" w:eastAsia="zh-CN"/>
              </w:rPr>
              <w:t>市场</w:t>
            </w:r>
            <w:r>
              <w:rPr>
                <w:rFonts w:hint="eastAsia"/>
                <w:color w:val="auto"/>
                <w:spacing w:val="-1"/>
                <w:sz w:val="21"/>
                <w:szCs w:val="21"/>
                <w:highlight w:val="none"/>
              </w:rPr>
              <w:t>报价每优惠1%得</w:t>
            </w:r>
            <w:r>
              <w:rPr>
                <w:rFonts w:hint="eastAsia"/>
                <w:color w:val="auto"/>
                <w:spacing w:val="-1"/>
                <w:sz w:val="21"/>
                <w:szCs w:val="21"/>
                <w:highlight w:val="none"/>
                <w:lang w:val="en-US" w:eastAsia="zh-CN"/>
              </w:rPr>
              <w:t>0.6</w:t>
            </w:r>
            <w:r>
              <w:rPr>
                <w:rFonts w:hint="eastAsia"/>
                <w:color w:val="auto"/>
                <w:spacing w:val="-1"/>
                <w:sz w:val="21"/>
                <w:szCs w:val="21"/>
                <w:highlight w:val="none"/>
              </w:rPr>
              <w:t>分，满分</w:t>
            </w:r>
            <w:r>
              <w:rPr>
                <w:rFonts w:hint="eastAsia"/>
                <w:color w:val="auto"/>
                <w:spacing w:val="-1"/>
                <w:sz w:val="21"/>
                <w:szCs w:val="21"/>
                <w:highlight w:val="none"/>
                <w:lang w:val="en-US" w:eastAsia="zh-CN"/>
              </w:rPr>
              <w:t>3</w:t>
            </w:r>
            <w:r>
              <w:rPr>
                <w:rFonts w:hint="eastAsia"/>
                <w:color w:val="auto"/>
                <w:spacing w:val="-1"/>
                <w:sz w:val="21"/>
                <w:szCs w:val="21"/>
                <w:highlight w:val="none"/>
              </w:rPr>
              <w:t>分。</w:t>
            </w:r>
          </w:p>
          <w:p w14:paraId="6849EA96">
            <w:pPr>
              <w:pStyle w:val="11"/>
              <w:keepNext w:val="0"/>
              <w:keepLines w:val="0"/>
              <w:suppressLineNumbers w:val="0"/>
              <w:spacing w:before="0" w:beforeAutospacing="0" w:afterAutospacing="0" w:line="360" w:lineRule="auto"/>
              <w:ind w:left="0" w:leftChars="0" w:right="0" w:rightChars="0" w:firstLine="410" w:firstLineChars="200"/>
              <w:rPr>
                <w:rFonts w:hint="default"/>
                <w:b/>
                <w:bCs/>
                <w:color w:val="auto"/>
                <w:spacing w:val="-3"/>
                <w:sz w:val="21"/>
                <w:szCs w:val="21"/>
                <w:highlight w:val="none"/>
                <w:lang w:val="en-US" w:eastAsia="zh-CN"/>
              </w:rPr>
            </w:pPr>
            <w:r>
              <w:rPr>
                <w:rFonts w:hint="eastAsia" w:ascii="宋体" w:hAnsi="宋体" w:eastAsia="宋体" w:cs="宋体"/>
                <w:b/>
                <w:bCs/>
                <w:color w:val="auto"/>
                <w:spacing w:val="-3"/>
                <w:sz w:val="21"/>
                <w:szCs w:val="21"/>
                <w:highlight w:val="none"/>
              </w:rPr>
              <w:t>注：投标人须在投标文件中提供质保期承诺函扫描件（格式自拟），承诺函应清晰体现上述各产品质保期承诺内容，并加盖投标人公章。未提供或承诺内容不符合上述要求的，本项不得分。</w:t>
            </w:r>
          </w:p>
        </w:tc>
      </w:tr>
      <w:tr w14:paraId="2DE36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713" w:type="dxa"/>
            <w:vMerge w:val="continue"/>
            <w:noWrap w:val="0"/>
            <w:vAlign w:val="center"/>
          </w:tcPr>
          <w:p w14:paraId="20AAF561">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eastAsia="zh-CN"/>
              </w:rPr>
            </w:pPr>
          </w:p>
        </w:tc>
        <w:tc>
          <w:tcPr>
            <w:tcW w:w="1101" w:type="dxa"/>
            <w:vMerge w:val="continue"/>
            <w:noWrap w:val="0"/>
            <w:vAlign w:val="center"/>
          </w:tcPr>
          <w:p w14:paraId="46770B65">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eastAsia="zh-CN"/>
              </w:rPr>
            </w:pPr>
          </w:p>
        </w:tc>
        <w:tc>
          <w:tcPr>
            <w:tcW w:w="1259" w:type="dxa"/>
            <w:shd w:val="clear" w:color="auto" w:fill="auto"/>
            <w:noWrap w:val="0"/>
            <w:vAlign w:val="center"/>
          </w:tcPr>
          <w:p w14:paraId="2BD2E499">
            <w:pPr>
              <w:keepNext w:val="0"/>
              <w:keepLines w:val="0"/>
              <w:suppressLineNumbers w:val="0"/>
              <w:adjustRightInd w:val="0"/>
              <w:spacing w:before="0" w:beforeAutospacing="0" w:after="0" w:afterAutospacing="0" w:line="360" w:lineRule="auto"/>
              <w:ind w:left="0" w:leftChars="0" w:right="0" w:rightChars="0"/>
              <w:jc w:val="center"/>
              <w:textAlignment w:val="baseline"/>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color w:val="auto"/>
                <w:sz w:val="21"/>
                <w:szCs w:val="21"/>
                <w:highlight w:val="none"/>
              </w:rPr>
              <w:t>业绩分</w:t>
            </w:r>
            <w:r>
              <w:rPr>
                <w:rFonts w:hint="eastAsia" w:ascii="宋体" w:hAnsi="宋体" w:eastAsia="宋体" w:cs="宋体"/>
                <w:b w:val="0"/>
                <w:bCs w:val="0"/>
                <w:color w:val="auto"/>
                <w:kern w:val="2"/>
                <w:sz w:val="21"/>
                <w:szCs w:val="21"/>
                <w:highlight w:val="none"/>
                <w:lang w:val="en-US" w:eastAsia="zh-CN" w:bidi="ar-SA"/>
              </w:rPr>
              <w:t>（满分</w:t>
            </w:r>
            <w:r>
              <w:rPr>
                <w:rFonts w:hint="eastAsia" w:ascii="宋体" w:hAnsi="宋体" w:cs="宋体"/>
                <w:b w:val="0"/>
                <w:bCs w:val="0"/>
                <w:color w:val="auto"/>
                <w:kern w:val="2"/>
                <w:sz w:val="21"/>
                <w:szCs w:val="21"/>
                <w:highlight w:val="none"/>
                <w:lang w:val="en-US" w:eastAsia="zh-CN" w:bidi="ar-SA"/>
              </w:rPr>
              <w:t>10</w:t>
            </w:r>
            <w:r>
              <w:rPr>
                <w:rFonts w:hint="eastAsia" w:ascii="宋体" w:hAnsi="宋体" w:eastAsia="宋体" w:cs="宋体"/>
                <w:b w:val="0"/>
                <w:bCs w:val="0"/>
                <w:color w:val="auto"/>
                <w:kern w:val="2"/>
                <w:sz w:val="21"/>
                <w:szCs w:val="21"/>
                <w:highlight w:val="none"/>
                <w:lang w:val="en-US" w:eastAsia="zh-CN" w:bidi="ar-SA"/>
              </w:rPr>
              <w:t>分）</w:t>
            </w:r>
          </w:p>
        </w:tc>
        <w:tc>
          <w:tcPr>
            <w:tcW w:w="6253" w:type="dxa"/>
            <w:shd w:val="clear" w:color="auto" w:fill="auto"/>
            <w:noWrap w:val="0"/>
            <w:vAlign w:val="center"/>
          </w:tcPr>
          <w:p w14:paraId="3D5FD74B">
            <w:pPr>
              <w:pStyle w:val="11"/>
              <w:keepNext w:val="0"/>
              <w:keepLines w:val="0"/>
              <w:suppressLineNumbers w:val="0"/>
              <w:spacing w:before="0" w:beforeAutospacing="0" w:afterAutospacing="0" w:line="360" w:lineRule="auto"/>
              <w:ind w:left="0" w:leftChars="0" w:right="0" w:rightChars="0" w:firstLine="0" w:firstLineChars="0"/>
              <w:rPr>
                <w:rFonts w:hint="default" w:ascii="宋体" w:hAnsi="宋体" w:cs="宋体"/>
                <w:color w:val="auto"/>
                <w:sz w:val="21"/>
                <w:szCs w:val="21"/>
                <w:highlight w:val="none"/>
                <w:lang w:val="en-US" w:eastAsia="zh-CN"/>
              </w:rPr>
            </w:pPr>
            <w:r>
              <w:rPr>
                <w:rFonts w:hint="eastAsia" w:ascii="宋体" w:hAnsi="宋体" w:eastAsia="宋体" w:cs="宋体"/>
                <w:color w:val="auto"/>
                <w:sz w:val="21"/>
                <w:szCs w:val="21"/>
                <w:highlight w:val="none"/>
              </w:rPr>
              <w:t>投标人</w:t>
            </w:r>
            <w:r>
              <w:rPr>
                <w:rFonts w:hint="eastAsia" w:ascii="宋体" w:hAnsi="宋体" w:cs="宋体"/>
                <w:color w:val="auto"/>
                <w:sz w:val="21"/>
                <w:szCs w:val="21"/>
                <w:highlight w:val="none"/>
                <w:lang w:eastAsia="zh-CN"/>
              </w:rPr>
              <w:t>或投标产品制造商</w:t>
            </w:r>
            <w:r>
              <w:rPr>
                <w:rFonts w:hint="eastAsia" w:ascii="宋体" w:hAnsi="宋体" w:eastAsia="宋体" w:cs="宋体"/>
                <w:color w:val="auto"/>
                <w:sz w:val="21"/>
                <w:szCs w:val="21"/>
                <w:highlight w:val="none"/>
              </w:rPr>
              <w:t>202</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rPr>
              <w:t>月至</w:t>
            </w:r>
            <w:r>
              <w:rPr>
                <w:rFonts w:hint="eastAsia" w:ascii="宋体" w:hAnsi="宋体" w:cs="宋体"/>
                <w:color w:val="auto"/>
                <w:sz w:val="21"/>
                <w:szCs w:val="21"/>
                <w:highlight w:val="none"/>
                <w:lang w:eastAsia="zh-CN"/>
              </w:rPr>
              <w:t>投标截止时间止</w:t>
            </w:r>
            <w:r>
              <w:rPr>
                <w:rFonts w:hint="eastAsia" w:ascii="宋体" w:hAnsi="宋体" w:eastAsia="宋体" w:cs="宋体"/>
                <w:color w:val="auto"/>
                <w:sz w:val="21"/>
                <w:szCs w:val="21"/>
                <w:highlight w:val="none"/>
              </w:rPr>
              <w:t>承接的</w:t>
            </w:r>
            <w:r>
              <w:rPr>
                <w:rFonts w:hint="eastAsia" w:ascii="宋体" w:hAnsi="宋体" w:cs="宋体"/>
                <w:color w:val="auto"/>
                <w:sz w:val="21"/>
                <w:szCs w:val="21"/>
                <w:highlight w:val="none"/>
                <w:lang w:val="en-US" w:eastAsia="zh-CN"/>
              </w:rPr>
              <w:t>类似</w:t>
            </w:r>
            <w:r>
              <w:rPr>
                <w:rFonts w:hint="eastAsia" w:ascii="宋体" w:hAnsi="宋体" w:cs="宋体"/>
                <w:color w:val="auto"/>
                <w:sz w:val="21"/>
                <w:szCs w:val="21"/>
                <w:highlight w:val="none"/>
                <w:lang w:eastAsia="zh-CN"/>
              </w:rPr>
              <w:t>项目销售</w:t>
            </w:r>
            <w:r>
              <w:rPr>
                <w:rFonts w:hint="eastAsia" w:ascii="宋体" w:hAnsi="宋体" w:eastAsia="宋体" w:cs="宋体"/>
                <w:color w:val="auto"/>
                <w:sz w:val="21"/>
                <w:szCs w:val="21"/>
                <w:highlight w:val="none"/>
              </w:rPr>
              <w:t>业绩（</w:t>
            </w:r>
            <w:r>
              <w:rPr>
                <w:rFonts w:hint="eastAsia" w:ascii="宋体" w:hAnsi="宋体" w:cs="宋体"/>
                <w:color w:val="auto"/>
                <w:sz w:val="21"/>
                <w:szCs w:val="21"/>
                <w:highlight w:val="none"/>
                <w:lang w:val="en-US" w:eastAsia="zh-CN"/>
              </w:rPr>
              <w:t>类似</w:t>
            </w:r>
            <w:r>
              <w:rPr>
                <w:rFonts w:hint="eastAsia" w:ascii="宋体" w:hAnsi="宋体" w:cs="宋体"/>
                <w:color w:val="auto"/>
                <w:sz w:val="21"/>
                <w:szCs w:val="21"/>
                <w:highlight w:val="none"/>
                <w:lang w:eastAsia="zh-CN"/>
              </w:rPr>
              <w:t>项目销售</w:t>
            </w:r>
            <w:r>
              <w:rPr>
                <w:rFonts w:hint="eastAsia" w:ascii="宋体" w:hAnsi="宋体" w:eastAsia="宋体" w:cs="宋体"/>
                <w:color w:val="auto"/>
                <w:sz w:val="21"/>
                <w:szCs w:val="21"/>
                <w:highlight w:val="none"/>
              </w:rPr>
              <w:t>业绩是指包含1项</w:t>
            </w:r>
            <w:r>
              <w:rPr>
                <w:rFonts w:hint="eastAsia" w:ascii="宋体" w:hAnsi="宋体" w:eastAsia="宋体" w:cs="宋体"/>
                <w:color w:val="auto"/>
                <w:sz w:val="21"/>
                <w:szCs w:val="21"/>
                <w:highlight w:val="none"/>
                <w:lang w:val="en-US" w:eastAsia="zh-CN"/>
              </w:rPr>
              <w:t>或多项</w:t>
            </w:r>
            <w:r>
              <w:rPr>
                <w:rFonts w:hint="eastAsia" w:ascii="宋体" w:hAnsi="宋体" w:eastAsia="宋体" w:cs="宋体"/>
                <w:color w:val="auto"/>
                <w:sz w:val="21"/>
                <w:szCs w:val="21"/>
                <w:highlight w:val="none"/>
              </w:rPr>
              <w:t>与投标产品相</w:t>
            </w:r>
            <w:r>
              <w:rPr>
                <w:rFonts w:hint="eastAsia" w:ascii="宋体" w:hAnsi="宋体" w:cs="宋体"/>
                <w:color w:val="auto"/>
                <w:sz w:val="21"/>
                <w:szCs w:val="21"/>
                <w:highlight w:val="none"/>
                <w:lang w:eastAsia="zh-CN"/>
              </w:rPr>
              <w:t>同</w:t>
            </w:r>
            <w:r>
              <w:rPr>
                <w:rFonts w:hint="eastAsia" w:ascii="宋体" w:hAnsi="宋体" w:eastAsia="宋体" w:cs="宋体"/>
                <w:color w:val="auto"/>
                <w:sz w:val="21"/>
                <w:szCs w:val="21"/>
                <w:highlight w:val="none"/>
              </w:rPr>
              <w:t>的</w:t>
            </w:r>
            <w:r>
              <w:rPr>
                <w:rFonts w:hint="eastAsia" w:ascii="宋体" w:hAnsi="宋体" w:cs="宋体"/>
                <w:color w:val="auto"/>
                <w:sz w:val="21"/>
                <w:szCs w:val="21"/>
                <w:highlight w:val="none"/>
                <w:lang w:eastAsia="zh-CN"/>
              </w:rPr>
              <w:t>项目销售</w:t>
            </w:r>
            <w:r>
              <w:rPr>
                <w:rFonts w:hint="eastAsia" w:ascii="宋体" w:hAnsi="宋体" w:eastAsia="宋体" w:cs="宋体"/>
                <w:color w:val="auto"/>
                <w:sz w:val="21"/>
                <w:szCs w:val="21"/>
                <w:highlight w:val="none"/>
              </w:rPr>
              <w:t>业绩。投标文件中提供有效的合同复印件并加盖投标人公章，合同复印件需要</w:t>
            </w:r>
            <w:r>
              <w:rPr>
                <w:rFonts w:hint="eastAsia" w:ascii="宋体" w:hAnsi="宋体" w:cs="宋体"/>
                <w:color w:val="auto"/>
                <w:sz w:val="21"/>
                <w:szCs w:val="21"/>
                <w:highlight w:val="none"/>
                <w:lang w:eastAsia="zh-CN"/>
              </w:rPr>
              <w:t>清晰</w:t>
            </w:r>
            <w:r>
              <w:rPr>
                <w:rFonts w:hint="eastAsia" w:ascii="宋体" w:hAnsi="宋体" w:eastAsia="宋体" w:cs="宋体"/>
                <w:color w:val="auto"/>
                <w:sz w:val="21"/>
                <w:szCs w:val="21"/>
                <w:highlight w:val="none"/>
              </w:rPr>
              <w:t>体现出合同首页、采购内容和日期、盖章页</w:t>
            </w:r>
            <w:r>
              <w:rPr>
                <w:rFonts w:hint="eastAsia" w:ascii="宋体" w:hAnsi="宋体" w:cs="宋体"/>
                <w:color w:val="auto"/>
                <w:sz w:val="21"/>
                <w:szCs w:val="21"/>
                <w:highlight w:val="none"/>
                <w:lang w:eastAsia="zh-CN"/>
              </w:rPr>
              <w:t>。合同内容不全或不清晰和，不计分。</w:t>
            </w:r>
            <w:r>
              <w:rPr>
                <w:rFonts w:hint="eastAsia" w:ascii="宋体" w:hAnsi="宋体" w:eastAsia="宋体" w:cs="宋体"/>
                <w:color w:val="auto"/>
                <w:sz w:val="21"/>
                <w:szCs w:val="21"/>
                <w:highlight w:val="none"/>
              </w:rPr>
              <w:t>），每份业绩得</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分，满分</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r>
              <w:rPr>
                <w:rFonts w:hint="eastAsia" w:ascii="宋体" w:hAnsi="宋体" w:cs="宋体"/>
                <w:color w:val="auto"/>
                <w:sz w:val="21"/>
                <w:szCs w:val="21"/>
                <w:highlight w:val="none"/>
                <w:lang w:eastAsia="zh-CN"/>
              </w:rPr>
              <w:t>同一项目分多个合同签订的，只计分一次。</w:t>
            </w:r>
          </w:p>
        </w:tc>
      </w:tr>
      <w:tr w14:paraId="2AE55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713" w:type="dxa"/>
            <w:noWrap w:val="0"/>
            <w:vAlign w:val="center"/>
          </w:tcPr>
          <w:p w14:paraId="4B1FABE6">
            <w:pPr>
              <w:keepNext w:val="0"/>
              <w:keepLines w:val="0"/>
              <w:suppressLineNumbers w:val="0"/>
              <w:bidi w:val="0"/>
              <w:spacing w:before="0" w:beforeAutospacing="0" w:after="0" w:afterAutospacing="0" w:line="360" w:lineRule="auto"/>
              <w:ind w:left="0"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p>
        </w:tc>
        <w:tc>
          <w:tcPr>
            <w:tcW w:w="8613" w:type="dxa"/>
            <w:gridSpan w:val="3"/>
            <w:noWrap w:val="0"/>
            <w:vAlign w:val="center"/>
          </w:tcPr>
          <w:p w14:paraId="2B52230E">
            <w:pPr>
              <w:pStyle w:val="11"/>
              <w:keepNext w:val="0"/>
              <w:keepLines w:val="0"/>
              <w:suppressLineNumbers w:val="0"/>
              <w:spacing w:before="0" w:beforeAutospacing="0" w:afterAutospacing="0" w:line="360" w:lineRule="auto"/>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cs="宋体"/>
                <w:color w:val="auto"/>
                <w:kern w:val="2"/>
                <w:sz w:val="21"/>
                <w:szCs w:val="21"/>
                <w:highlight w:val="none"/>
                <w:lang w:val="en-US" w:eastAsia="zh-CN" w:bidi="ar-SA"/>
              </w:rPr>
              <w:t>总得分=1+2+3</w:t>
            </w:r>
          </w:p>
        </w:tc>
      </w:tr>
    </w:tbl>
    <w:p w14:paraId="7C82BB7F">
      <w:pPr>
        <w:rPr>
          <w:color w:val="auto"/>
          <w:highlight w:val="none"/>
        </w:rPr>
      </w:pPr>
    </w:p>
    <w:p w14:paraId="1FEC3928">
      <w:pPr>
        <w:pStyle w:val="14"/>
        <w:spacing w:line="360" w:lineRule="auto"/>
        <w:ind w:firstLine="315"/>
        <w:rPr>
          <w:rFonts w:hAnsi="宋体"/>
          <w:bCs/>
          <w:color w:val="auto"/>
          <w:highlight w:val="none"/>
        </w:rPr>
      </w:pPr>
      <w:r>
        <w:rPr>
          <w:rFonts w:hint="eastAsia" w:hAnsi="宋体"/>
          <w:bCs/>
          <w:color w:val="auto"/>
          <w:highlight w:val="none"/>
        </w:rPr>
        <w:t>注：1.计分方法按四舍五入取至百分位；</w:t>
      </w:r>
    </w:p>
    <w:p w14:paraId="725DC97B">
      <w:pPr>
        <w:rPr>
          <w:rFonts w:hint="eastAsia" w:ascii="宋体" w:hAnsi="宋体" w:eastAsia="宋体" w:cs="宋体"/>
          <w:b w:val="0"/>
          <w:color w:val="auto"/>
          <w:sz w:val="30"/>
          <w:szCs w:val="30"/>
          <w:highlight w:val="none"/>
        </w:rPr>
      </w:pPr>
      <w:r>
        <w:rPr>
          <w:rFonts w:hint="eastAsia" w:hAnsi="宋体"/>
          <w:bCs/>
          <w:color w:val="auto"/>
          <w:highlight w:val="none"/>
        </w:rPr>
        <w:t xml:space="preserve">       </w:t>
      </w:r>
      <w:r>
        <w:rPr>
          <w:rFonts w:hint="eastAsia" w:asciiTheme="minorEastAsia" w:hAnsiTheme="minorEastAsia" w:eastAsiaTheme="minorEastAsia" w:cstheme="minorEastAsia"/>
          <w:bCs/>
          <w:color w:val="auto"/>
          <w:highlight w:val="none"/>
        </w:rPr>
        <w:t>2.因落实政府采购政策</w:t>
      </w:r>
      <w:r>
        <w:rPr>
          <w:rFonts w:hint="eastAsia" w:hAnsi="宋体"/>
          <w:bCs/>
          <w:color w:val="auto"/>
          <w:highlight w:val="none"/>
        </w:rPr>
        <w:t>进行价格调整的，以调整后的价格计算评标基准价。</w:t>
      </w:r>
    </w:p>
    <w:p w14:paraId="792AD9CF">
      <w:pPr>
        <w:pStyle w:val="3"/>
        <w:ind w:firstLine="450"/>
        <w:jc w:val="center"/>
        <w:rPr>
          <w:rFonts w:hint="eastAsia" w:ascii="宋体" w:hAnsi="宋体" w:eastAsia="宋体" w:cs="宋体"/>
          <w:b w:val="0"/>
          <w:color w:val="auto"/>
          <w:sz w:val="30"/>
          <w:szCs w:val="30"/>
          <w:highlight w:val="none"/>
        </w:rPr>
      </w:pPr>
    </w:p>
    <w:p w14:paraId="728B7415">
      <w:pPr>
        <w:rPr>
          <w:rFonts w:hint="eastAsia" w:ascii="Times New Roman" w:hAnsi="Times New Roman" w:eastAsia="宋体" w:cs="Times New Roman"/>
          <w:b/>
          <w:bCs/>
          <w:color w:val="auto"/>
          <w:kern w:val="2"/>
          <w:sz w:val="32"/>
          <w:szCs w:val="32"/>
          <w:highlight w:val="none"/>
          <w:lang w:val="en-US" w:eastAsia="zh-CN" w:bidi="ar-SA"/>
        </w:rPr>
      </w:pPr>
      <w:r>
        <w:rPr>
          <w:rFonts w:hint="eastAsia" w:ascii="Times New Roman" w:hAnsi="Times New Roman" w:eastAsia="宋体" w:cs="Times New Roman"/>
          <w:b/>
          <w:bCs/>
          <w:color w:val="auto"/>
          <w:kern w:val="2"/>
          <w:sz w:val="32"/>
          <w:szCs w:val="32"/>
          <w:highlight w:val="none"/>
          <w:lang w:val="en-US" w:eastAsia="zh-CN" w:bidi="ar-SA"/>
        </w:rPr>
        <w:br w:type="page"/>
      </w:r>
    </w:p>
    <w:p w14:paraId="58C5C3C9">
      <w:pPr>
        <w:jc w:val="center"/>
        <w:rPr>
          <w:rFonts w:hint="eastAsia" w:ascii="Times New Roman" w:hAnsi="Times New Roman" w:eastAsia="宋体" w:cs="Times New Roman"/>
          <w:b/>
          <w:bCs/>
          <w:color w:val="auto"/>
          <w:kern w:val="2"/>
          <w:sz w:val="32"/>
          <w:szCs w:val="32"/>
          <w:highlight w:val="none"/>
          <w:lang w:val="en-US" w:eastAsia="zh-CN" w:bidi="ar-SA"/>
        </w:rPr>
      </w:pPr>
      <w:r>
        <w:rPr>
          <w:rFonts w:hint="eastAsia" w:ascii="Times New Roman" w:hAnsi="Times New Roman" w:eastAsia="宋体" w:cs="Times New Roman"/>
          <w:b/>
          <w:bCs/>
          <w:color w:val="auto"/>
          <w:kern w:val="2"/>
          <w:sz w:val="32"/>
          <w:szCs w:val="32"/>
          <w:highlight w:val="none"/>
          <w:lang w:val="en-US" w:eastAsia="zh-CN" w:bidi="ar-SA"/>
        </w:rPr>
        <w:t>综合评分法（分标3）</w:t>
      </w:r>
    </w:p>
    <w:tbl>
      <w:tblPr>
        <w:tblStyle w:val="29"/>
        <w:tblpPr w:leftFromText="180" w:rightFromText="180" w:vertAnchor="text" w:horzAnchor="page" w:tblpX="1220" w:tblpY="656"/>
        <w:tblOverlap w:val="never"/>
        <w:tblW w:w="93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3"/>
        <w:gridCol w:w="1101"/>
        <w:gridCol w:w="1259"/>
        <w:gridCol w:w="6253"/>
      </w:tblGrid>
      <w:tr w14:paraId="442D4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13" w:type="dxa"/>
            <w:noWrap w:val="0"/>
            <w:vAlign w:val="center"/>
          </w:tcPr>
          <w:p w14:paraId="430EA832">
            <w:pPr>
              <w:keepNext w:val="0"/>
              <w:keepLines w:val="0"/>
              <w:suppressLineNumbers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rPr>
              <w:t>序号</w:t>
            </w:r>
          </w:p>
        </w:tc>
        <w:tc>
          <w:tcPr>
            <w:tcW w:w="1101" w:type="dxa"/>
            <w:noWrap w:val="0"/>
            <w:vAlign w:val="center"/>
          </w:tcPr>
          <w:p w14:paraId="771EEA12">
            <w:pPr>
              <w:keepNext w:val="0"/>
              <w:keepLines w:val="0"/>
              <w:suppressLineNumbers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rPr>
              <w:t>评分类型</w:t>
            </w:r>
          </w:p>
        </w:tc>
        <w:tc>
          <w:tcPr>
            <w:tcW w:w="1259" w:type="dxa"/>
            <w:noWrap w:val="0"/>
            <w:vAlign w:val="center"/>
          </w:tcPr>
          <w:p w14:paraId="49AFEB4F">
            <w:pPr>
              <w:keepNext w:val="0"/>
              <w:keepLines w:val="0"/>
              <w:suppressLineNumbers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rPr>
              <w:t>评审因素</w:t>
            </w:r>
          </w:p>
        </w:tc>
        <w:tc>
          <w:tcPr>
            <w:tcW w:w="6253" w:type="dxa"/>
            <w:noWrap w:val="0"/>
            <w:vAlign w:val="center"/>
          </w:tcPr>
          <w:p w14:paraId="069C8110">
            <w:pPr>
              <w:keepNext w:val="0"/>
              <w:keepLines w:val="0"/>
              <w:suppressLineNumbers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rPr>
              <w:t>评标标准</w:t>
            </w:r>
          </w:p>
        </w:tc>
      </w:tr>
      <w:tr w14:paraId="377DB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713" w:type="dxa"/>
            <w:noWrap w:val="0"/>
            <w:vAlign w:val="center"/>
          </w:tcPr>
          <w:p w14:paraId="31DE40D9">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101" w:type="dxa"/>
            <w:noWrap w:val="0"/>
            <w:vAlign w:val="center"/>
          </w:tcPr>
          <w:p w14:paraId="65A35638">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价格分（</w:t>
            </w:r>
            <w:r>
              <w:rPr>
                <w:rFonts w:hint="eastAsia" w:ascii="宋体" w:hAnsi="宋体" w:cs="宋体"/>
                <w:color w:val="auto"/>
                <w:sz w:val="21"/>
                <w:szCs w:val="21"/>
                <w:highlight w:val="none"/>
                <w:lang w:val="en-US" w:eastAsia="zh-CN"/>
              </w:rPr>
              <w:t>满分</w:t>
            </w:r>
            <w:r>
              <w:rPr>
                <w:rFonts w:hint="eastAsia" w:ascii="宋体" w:hAnsi="宋体" w:eastAsia="宋体" w:cs="宋体"/>
                <w:color w:val="auto"/>
                <w:sz w:val="21"/>
                <w:szCs w:val="21"/>
                <w:highlight w:val="none"/>
                <w:lang w:val="en-US" w:eastAsia="zh-CN"/>
              </w:rPr>
              <w:t>30分</w:t>
            </w:r>
            <w:r>
              <w:rPr>
                <w:rFonts w:hint="eastAsia" w:ascii="宋体" w:hAnsi="宋体" w:eastAsia="宋体" w:cs="宋体"/>
                <w:color w:val="auto"/>
                <w:sz w:val="21"/>
                <w:szCs w:val="21"/>
                <w:highlight w:val="none"/>
                <w:lang w:eastAsia="zh-CN"/>
              </w:rPr>
              <w:t>）</w:t>
            </w:r>
          </w:p>
        </w:tc>
        <w:tc>
          <w:tcPr>
            <w:tcW w:w="1259" w:type="dxa"/>
            <w:noWrap w:val="0"/>
            <w:vAlign w:val="center"/>
          </w:tcPr>
          <w:p w14:paraId="46A0FA8C">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价格分（</w:t>
            </w:r>
            <w:r>
              <w:rPr>
                <w:rFonts w:hint="eastAsia" w:ascii="宋体" w:hAnsi="宋体" w:eastAsia="宋体" w:cs="宋体"/>
                <w:color w:val="auto"/>
                <w:sz w:val="21"/>
                <w:szCs w:val="21"/>
                <w:highlight w:val="none"/>
                <w:lang w:val="en-US" w:eastAsia="zh-CN"/>
              </w:rPr>
              <w:t>30分</w:t>
            </w:r>
            <w:r>
              <w:rPr>
                <w:rFonts w:hint="eastAsia" w:ascii="宋体" w:hAnsi="宋体" w:eastAsia="宋体" w:cs="宋体"/>
                <w:color w:val="auto"/>
                <w:sz w:val="21"/>
                <w:szCs w:val="21"/>
                <w:highlight w:val="none"/>
                <w:lang w:eastAsia="zh-CN"/>
              </w:rPr>
              <w:t>）</w:t>
            </w:r>
          </w:p>
        </w:tc>
        <w:tc>
          <w:tcPr>
            <w:tcW w:w="6253" w:type="dxa"/>
            <w:noWrap w:val="0"/>
            <w:vAlign w:val="center"/>
          </w:tcPr>
          <w:p w14:paraId="20E09281">
            <w:pPr>
              <w:keepNext w:val="0"/>
              <w:keepLines w:val="0"/>
              <w:suppressLineNumbers w:val="0"/>
              <w:snapToGrid w:val="0"/>
              <w:spacing w:before="0" w:beforeAutospacing="0" w:after="0" w:afterAutospacing="0" w:line="360" w:lineRule="auto"/>
              <w:ind w:left="0" w:right="0" w:firstLine="233" w:firstLineChars="111"/>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（1）评标报价为投标人的投标报价进行政策性扣除后的价格，评标报价只是作为评标时使用。最终中标人的中标金额等于投标报价。</w:t>
            </w:r>
          </w:p>
          <w:p w14:paraId="4B6DAF4C">
            <w:pPr>
              <w:keepNext w:val="0"/>
              <w:keepLines w:val="0"/>
              <w:suppressLineNumbers w:val="0"/>
              <w:snapToGrid w:val="0"/>
              <w:spacing w:before="0" w:beforeAutospacing="0" w:after="0" w:afterAutospacing="0" w:line="360" w:lineRule="auto"/>
              <w:ind w:left="0" w:right="0" w:firstLine="233" w:firstLineChars="111"/>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rPr>
              <w:t>（2）政策性扣除计算方法</w:t>
            </w:r>
            <w:r>
              <w:rPr>
                <w:rFonts w:hint="eastAsia" w:ascii="宋体" w:hAnsi="宋体" w:cs="宋体"/>
                <w:bCs/>
                <w:color w:val="auto"/>
                <w:sz w:val="21"/>
                <w:szCs w:val="21"/>
                <w:highlight w:val="none"/>
                <w:lang w:eastAsia="zh-CN"/>
              </w:rPr>
              <w:t>：</w:t>
            </w:r>
          </w:p>
          <w:p w14:paraId="41663C58">
            <w:pPr>
              <w:keepNext w:val="0"/>
              <w:keepLines w:val="0"/>
              <w:suppressLineNumbers w:val="0"/>
              <w:snapToGrid w:val="0"/>
              <w:spacing w:before="0" w:beforeAutospacing="0" w:after="0" w:afterAutospacing="0" w:line="360" w:lineRule="auto"/>
              <w:ind w:left="0" w:right="0" w:firstLine="233" w:firstLineChars="111"/>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①根据《政府采购促进中小企业发展管理办法》（财库〔2020〕46号）及《广西壮族自治区财政厅关于持续优化政府采购营商环境推动高质量发展的通知》（桂财采〔2024〕55号）的规定，投标人在其投标文件中提供《中小企业声明函》，且其投标全部货物由小微企业制造的，对其投标报价给予10%的扣除，扣除后的价格为评标报价，即评标报价=投标报价×（1-10%）。除上述情况外，评标报价=投标报价。</w:t>
            </w:r>
          </w:p>
          <w:p w14:paraId="3A59836C">
            <w:pPr>
              <w:keepNext w:val="0"/>
              <w:keepLines w:val="0"/>
              <w:suppressLineNumbers w:val="0"/>
              <w:snapToGrid w:val="0"/>
              <w:spacing w:before="0" w:beforeAutospacing="0" w:after="0" w:afterAutospacing="0" w:line="360" w:lineRule="auto"/>
              <w:ind w:left="0" w:right="0" w:firstLine="233" w:firstLineChars="111"/>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②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14:paraId="6A93827C">
            <w:pPr>
              <w:keepNext w:val="0"/>
              <w:keepLines w:val="0"/>
              <w:suppressLineNumbers w:val="0"/>
              <w:snapToGrid w:val="0"/>
              <w:spacing w:before="0" w:beforeAutospacing="0" w:after="0" w:afterAutospacing="0" w:line="360" w:lineRule="auto"/>
              <w:ind w:left="0" w:right="0" w:firstLine="233" w:firstLineChars="111"/>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③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6D6229CF">
            <w:pPr>
              <w:keepNext w:val="0"/>
              <w:keepLines w:val="0"/>
              <w:suppressLineNumbers w:val="0"/>
              <w:snapToGrid w:val="0"/>
              <w:spacing w:before="0" w:beforeAutospacing="0" w:after="0" w:afterAutospacing="0" w:line="360" w:lineRule="auto"/>
              <w:ind w:left="0" w:right="0" w:firstLine="233" w:firstLineChars="111"/>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rPr>
              <w:t>④按照</w:t>
            </w:r>
            <w:r>
              <w:rPr>
                <w:rFonts w:hint="eastAsia" w:ascii="宋体" w:hAnsi="宋体" w:eastAsia="宋体" w:cs="宋体"/>
                <w:color w:val="auto"/>
                <w:highlight w:val="none"/>
              </w:rPr>
              <w:t>《国务院办公厅关于在政府采购中实施本国产品标准及相关政策的通</w:t>
            </w:r>
            <w:r>
              <w:rPr>
                <w:rFonts w:hint="eastAsia" w:ascii="宋体" w:hAnsi="宋体" w:cs="宋体"/>
                <w:color w:val="auto"/>
                <w:highlight w:val="none"/>
              </w:rPr>
              <w:t>知》（国办发〔2025〕34号）</w:t>
            </w:r>
            <w:r>
              <w:rPr>
                <w:rFonts w:hint="eastAsia" w:ascii="宋体" w:hAnsi="宋体" w:eastAsia="宋体" w:cs="宋体"/>
                <w:bCs/>
                <w:color w:val="auto"/>
                <w:sz w:val="21"/>
                <w:szCs w:val="21"/>
                <w:highlight w:val="none"/>
              </w:rPr>
              <w:t>的规定，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扣除后的价格为评标报价，即评标报价=投标报价×（1-</w:t>
            </w:r>
            <w:r>
              <w:rPr>
                <w:rFonts w:hint="eastAsia" w:ascii="宋体" w:hAnsi="宋体" w:eastAsia="宋体" w:cs="宋体"/>
                <w:bCs/>
                <w:color w:val="auto"/>
                <w:sz w:val="21"/>
                <w:szCs w:val="21"/>
                <w:highlight w:val="none"/>
                <w:lang w:val="en-US" w:eastAsia="zh-CN"/>
              </w:rPr>
              <w:t>2</w:t>
            </w:r>
            <w:r>
              <w:rPr>
                <w:rFonts w:hint="eastAsia" w:ascii="宋体" w:hAnsi="宋体" w:eastAsia="宋体" w:cs="宋体"/>
                <w:bCs/>
                <w:color w:val="auto"/>
                <w:sz w:val="21"/>
                <w:szCs w:val="21"/>
                <w:highlight w:val="none"/>
              </w:rPr>
              <w:t>0%）。供应商在其投标文件中提供《关于符合本国产品标准的声明函》或财政部会同有关部门规定的有关证明文件，该产品视为本国产品。供应商对声明</w:t>
            </w:r>
            <w:r>
              <w:rPr>
                <w:rFonts w:hint="eastAsia" w:ascii="宋体" w:hAnsi="宋体" w:eastAsia="宋体" w:cs="宋体"/>
                <w:bCs/>
                <w:color w:val="auto"/>
                <w:sz w:val="21"/>
                <w:szCs w:val="21"/>
                <w:highlight w:val="none"/>
                <w:lang w:eastAsia="zh-CN"/>
              </w:rPr>
              <w:t>及证明文件</w:t>
            </w:r>
            <w:r>
              <w:rPr>
                <w:rFonts w:hint="eastAsia" w:ascii="宋体" w:hAnsi="宋体" w:eastAsia="宋体" w:cs="宋体"/>
                <w:bCs/>
                <w:color w:val="auto"/>
                <w:sz w:val="21"/>
                <w:szCs w:val="21"/>
                <w:highlight w:val="none"/>
              </w:rPr>
              <w:t>的真实性负责</w:t>
            </w:r>
            <w:r>
              <w:rPr>
                <w:rFonts w:hint="eastAsia" w:ascii="宋体" w:hAnsi="宋体" w:eastAsia="宋体" w:cs="宋体"/>
                <w:bCs/>
                <w:color w:val="auto"/>
                <w:sz w:val="21"/>
                <w:szCs w:val="21"/>
                <w:highlight w:val="none"/>
                <w:lang w:eastAsia="zh-CN"/>
              </w:rPr>
              <w:t>。</w:t>
            </w:r>
          </w:p>
          <w:p w14:paraId="6A41B956">
            <w:pPr>
              <w:keepNext w:val="0"/>
              <w:keepLines w:val="0"/>
              <w:suppressLineNumbers w:val="0"/>
              <w:snapToGrid w:val="0"/>
              <w:spacing w:before="0" w:beforeAutospacing="0" w:after="0" w:afterAutospacing="0" w:line="360" w:lineRule="auto"/>
              <w:ind w:left="0" w:right="0" w:firstLine="443" w:firstLineChars="211"/>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⑤供应商享受小微企业价格扣除政策的，可重复享受</w:t>
            </w:r>
            <w:r>
              <w:rPr>
                <w:rFonts w:hint="eastAsia" w:ascii="宋体" w:hAnsi="宋体" w:cs="宋体"/>
                <w:color w:val="auto"/>
                <w:highlight w:val="none"/>
              </w:rPr>
              <w:t>本国产品</w:t>
            </w:r>
            <w:r>
              <w:rPr>
                <w:rFonts w:hint="eastAsia" w:ascii="宋体" w:hAnsi="宋体" w:cs="宋体"/>
                <w:color w:val="auto"/>
                <w:highlight w:val="none"/>
                <w:lang w:eastAsia="zh-CN"/>
              </w:rPr>
              <w:t>价格扣除政策，即</w:t>
            </w:r>
            <w:r>
              <w:rPr>
                <w:rFonts w:hint="eastAsia" w:ascii="宋体" w:hAnsi="宋体" w:eastAsia="宋体" w:cs="宋体"/>
                <w:bCs/>
                <w:color w:val="auto"/>
                <w:sz w:val="21"/>
                <w:szCs w:val="21"/>
                <w:highlight w:val="none"/>
              </w:rPr>
              <w:t>评标报价</w:t>
            </w:r>
            <w:r>
              <w:rPr>
                <w:rFonts w:hint="eastAsia" w:ascii="宋体" w:hAnsi="宋体" w:cs="宋体"/>
                <w:color w:val="auto"/>
                <w:highlight w:val="none"/>
                <w:lang w:eastAsia="zh-CN"/>
              </w:rPr>
              <w:t>=投标报价</w:t>
            </w:r>
            <w:r>
              <w:rPr>
                <w:rFonts w:hint="eastAsia" w:ascii="宋体" w:hAnsi="宋体" w:eastAsia="宋体" w:cs="宋体"/>
                <w:bCs/>
                <w:color w:val="auto"/>
                <w:sz w:val="21"/>
                <w:szCs w:val="21"/>
                <w:highlight w:val="none"/>
              </w:rPr>
              <w:t>×</w:t>
            </w:r>
            <w:r>
              <w:rPr>
                <w:rFonts w:hint="eastAsia" w:ascii="宋体" w:hAnsi="宋体" w:cs="宋体"/>
                <w:color w:val="auto"/>
                <w:highlight w:val="none"/>
                <w:lang w:eastAsia="zh-CN"/>
              </w:rPr>
              <w:t>（</w:t>
            </w:r>
            <w:r>
              <w:rPr>
                <w:rFonts w:hint="eastAsia" w:ascii="宋体" w:hAnsi="宋体" w:cs="宋体"/>
                <w:color w:val="auto"/>
                <w:highlight w:val="none"/>
                <w:lang w:val="en-US" w:eastAsia="zh-CN"/>
              </w:rPr>
              <w:t>1－</w:t>
            </w:r>
            <w:r>
              <w:rPr>
                <w:rFonts w:hint="eastAsia" w:ascii="宋体" w:hAnsi="宋体" w:eastAsia="宋体" w:cs="宋体"/>
                <w:bCs/>
                <w:color w:val="auto"/>
                <w:sz w:val="21"/>
                <w:szCs w:val="21"/>
                <w:highlight w:val="none"/>
                <w:lang w:val="en-US" w:eastAsia="zh-CN"/>
              </w:rPr>
              <w:t>小微企业</w:t>
            </w:r>
            <w:r>
              <w:rPr>
                <w:rFonts w:hint="eastAsia" w:ascii="宋体" w:hAnsi="宋体" w:cs="宋体"/>
                <w:color w:val="auto"/>
                <w:highlight w:val="none"/>
                <w:lang w:eastAsia="zh-CN"/>
              </w:rPr>
              <w:t>价格</w:t>
            </w:r>
            <w:r>
              <w:rPr>
                <w:rFonts w:hint="eastAsia" w:ascii="宋体" w:hAnsi="宋体" w:eastAsia="宋体" w:cs="宋体"/>
                <w:bCs/>
                <w:color w:val="auto"/>
                <w:sz w:val="21"/>
                <w:szCs w:val="21"/>
                <w:highlight w:val="none"/>
                <w:lang w:val="en-US" w:eastAsia="zh-CN"/>
              </w:rPr>
              <w:t>扣除比例</w:t>
            </w:r>
            <w:r>
              <w:rPr>
                <w:rFonts w:hint="eastAsia" w:ascii="宋体" w:hAnsi="宋体" w:cs="宋体"/>
                <w:color w:val="auto"/>
                <w:highlight w:val="none"/>
                <w:lang w:eastAsia="zh-CN"/>
              </w:rPr>
              <w:t>-</w:t>
            </w:r>
            <w:r>
              <w:rPr>
                <w:rFonts w:hint="eastAsia" w:ascii="宋体" w:hAnsi="宋体" w:cs="宋体"/>
                <w:color w:val="auto"/>
                <w:highlight w:val="none"/>
                <w:lang w:val="en-US" w:eastAsia="zh-CN"/>
              </w:rPr>
              <w:t>本国产品</w:t>
            </w:r>
            <w:r>
              <w:rPr>
                <w:rFonts w:hint="eastAsia" w:ascii="宋体" w:hAnsi="宋体" w:cs="宋体"/>
                <w:color w:val="auto"/>
                <w:highlight w:val="none"/>
                <w:lang w:eastAsia="zh-CN"/>
              </w:rPr>
              <w:t>价格</w:t>
            </w:r>
            <w:r>
              <w:rPr>
                <w:rFonts w:hint="eastAsia" w:ascii="宋体" w:hAnsi="宋体" w:cs="宋体"/>
                <w:color w:val="auto"/>
                <w:highlight w:val="none"/>
                <w:lang w:val="en-US" w:eastAsia="zh-CN"/>
              </w:rPr>
              <w:t>扣除比例</w:t>
            </w:r>
            <w:r>
              <w:rPr>
                <w:rFonts w:hint="eastAsia" w:ascii="宋体" w:hAnsi="宋体" w:cs="宋体"/>
                <w:color w:val="auto"/>
                <w:highlight w:val="none"/>
                <w:lang w:eastAsia="zh-CN"/>
              </w:rPr>
              <w:t>），除上述情况外，</w:t>
            </w:r>
            <w:r>
              <w:rPr>
                <w:rFonts w:hint="eastAsia" w:ascii="宋体" w:hAnsi="宋体" w:eastAsia="宋体" w:cs="宋体"/>
                <w:bCs/>
                <w:color w:val="auto"/>
                <w:sz w:val="21"/>
                <w:szCs w:val="21"/>
                <w:highlight w:val="none"/>
              </w:rPr>
              <w:t>评标报价</w:t>
            </w:r>
            <w:r>
              <w:rPr>
                <w:rFonts w:hint="eastAsia" w:ascii="宋体" w:hAnsi="宋体" w:cs="宋体"/>
                <w:color w:val="auto"/>
                <w:highlight w:val="none"/>
                <w:lang w:eastAsia="zh-CN"/>
              </w:rPr>
              <w:t>=投标报价。</w:t>
            </w:r>
          </w:p>
          <w:p w14:paraId="25619A64">
            <w:pPr>
              <w:keepNext w:val="0"/>
              <w:keepLines w:val="0"/>
              <w:suppressLineNumbers w:val="0"/>
              <w:snapToGrid w:val="0"/>
              <w:spacing w:before="0" w:beforeAutospacing="0" w:after="0" w:afterAutospacing="0" w:line="360" w:lineRule="auto"/>
              <w:ind w:left="0" w:right="0" w:firstLine="233" w:firstLineChars="111"/>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w:t>
            </w:r>
            <w:r>
              <w:rPr>
                <w:rFonts w:hint="eastAsia" w:ascii="宋体" w:hAnsi="宋体" w:eastAsia="宋体" w:cs="宋体"/>
                <w:bCs/>
                <w:color w:val="auto"/>
                <w:sz w:val="21"/>
                <w:szCs w:val="21"/>
                <w:highlight w:val="none"/>
                <w:lang w:val="en-US" w:eastAsia="zh-CN"/>
              </w:rPr>
              <w:t>3</w:t>
            </w:r>
            <w:r>
              <w:rPr>
                <w:rFonts w:hint="eastAsia" w:ascii="宋体" w:hAnsi="宋体" w:eastAsia="宋体" w:cs="宋体"/>
                <w:bCs/>
                <w:color w:val="auto"/>
                <w:sz w:val="21"/>
                <w:szCs w:val="21"/>
                <w:highlight w:val="none"/>
              </w:rPr>
              <w:t>）满足招标文件要求且评标报价最低的为评标基准价，其价格分为满分。</w:t>
            </w:r>
          </w:p>
          <w:p w14:paraId="4E3032E0">
            <w:pPr>
              <w:keepNext w:val="0"/>
              <w:keepLines w:val="0"/>
              <w:suppressLineNumbers w:val="0"/>
              <w:spacing w:before="0" w:beforeAutospacing="0" w:after="0" w:afterAutospacing="0" w:line="360" w:lineRule="auto"/>
              <w:ind w:left="0" w:right="0" w:firstLine="233" w:firstLineChars="111"/>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w:t>
            </w:r>
            <w:r>
              <w:rPr>
                <w:rFonts w:hint="eastAsia" w:ascii="宋体" w:hAnsi="宋体" w:cs="宋体"/>
                <w:bCs/>
                <w:color w:val="auto"/>
                <w:sz w:val="21"/>
                <w:szCs w:val="21"/>
                <w:highlight w:val="none"/>
                <w:lang w:val="en-US" w:eastAsia="zh-CN"/>
              </w:rPr>
              <w:t>4</w:t>
            </w:r>
            <w:r>
              <w:rPr>
                <w:rFonts w:hint="eastAsia" w:ascii="宋体" w:hAnsi="宋体" w:eastAsia="宋体" w:cs="宋体"/>
                <w:bCs/>
                <w:color w:val="auto"/>
                <w:sz w:val="21"/>
                <w:szCs w:val="21"/>
                <w:highlight w:val="none"/>
              </w:rPr>
              <w:t xml:space="preserve">）价格分计算公式：        </w:t>
            </w:r>
          </w:p>
          <w:p w14:paraId="752692E1">
            <w:pPr>
              <w:keepNext w:val="0"/>
              <w:keepLines w:val="0"/>
              <w:suppressLineNumbers w:val="0"/>
              <w:bidi w:val="0"/>
              <w:spacing w:before="0" w:beforeAutospacing="0" w:after="0" w:afterAutospacing="0" w:line="360" w:lineRule="auto"/>
              <w:ind w:left="0" w:right="0" w:firstLine="420" w:firstLineChars="200"/>
              <w:jc w:val="both"/>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价格分=（评标基准价/评标报价）×</w:t>
            </w:r>
            <w:r>
              <w:rPr>
                <w:rFonts w:hint="eastAsia" w:ascii="宋体" w:hAnsi="宋体" w:eastAsia="宋体" w:cs="宋体"/>
                <w:bCs/>
                <w:color w:val="auto"/>
                <w:sz w:val="21"/>
                <w:szCs w:val="21"/>
                <w:highlight w:val="none"/>
                <w:u w:val="none"/>
              </w:rPr>
              <w:t>30</w:t>
            </w:r>
            <w:r>
              <w:rPr>
                <w:rFonts w:hint="eastAsia" w:ascii="宋体" w:hAnsi="宋体" w:eastAsia="宋体" w:cs="宋体"/>
                <w:bCs/>
                <w:color w:val="auto"/>
                <w:sz w:val="21"/>
                <w:szCs w:val="21"/>
                <w:highlight w:val="none"/>
              </w:rPr>
              <w:t>分</w:t>
            </w:r>
          </w:p>
        </w:tc>
      </w:tr>
      <w:tr w14:paraId="3A772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713" w:type="dxa"/>
            <w:vMerge w:val="restart"/>
            <w:noWrap w:val="0"/>
            <w:vAlign w:val="center"/>
          </w:tcPr>
          <w:p w14:paraId="619CAD95">
            <w:pPr>
              <w:keepNext w:val="0"/>
              <w:keepLines w:val="0"/>
              <w:suppressLineNumbers w:val="0"/>
              <w:bidi w:val="0"/>
              <w:spacing w:before="0" w:beforeAutospacing="0" w:after="0" w:afterAutospacing="0" w:line="360" w:lineRule="auto"/>
              <w:ind w:left="0"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p>
        </w:tc>
        <w:tc>
          <w:tcPr>
            <w:tcW w:w="1101" w:type="dxa"/>
            <w:vMerge w:val="restart"/>
            <w:noWrap w:val="0"/>
            <w:vAlign w:val="center"/>
          </w:tcPr>
          <w:p w14:paraId="189E7E5A">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技术分</w:t>
            </w:r>
            <w:r>
              <w:rPr>
                <w:rFonts w:hint="eastAsia" w:ascii="宋体" w:hAnsi="宋体" w:cs="宋体"/>
                <w:b w:val="0"/>
                <w:bCs w:val="0"/>
                <w:color w:val="auto"/>
                <w:sz w:val="21"/>
                <w:szCs w:val="21"/>
                <w:highlight w:val="none"/>
                <w:lang w:eastAsia="zh-CN"/>
              </w:rPr>
              <w:t>（</w:t>
            </w:r>
            <w:r>
              <w:rPr>
                <w:rFonts w:hint="eastAsia" w:ascii="宋体" w:hAnsi="宋体" w:cs="宋体"/>
                <w:color w:val="auto"/>
                <w:sz w:val="21"/>
                <w:szCs w:val="21"/>
                <w:highlight w:val="none"/>
                <w:lang w:val="en-US" w:eastAsia="zh-CN"/>
              </w:rPr>
              <w:t>满分27</w:t>
            </w:r>
            <w:r>
              <w:rPr>
                <w:rFonts w:hint="eastAsia" w:ascii="宋体" w:hAnsi="宋体" w:cs="宋体"/>
                <w:b w:val="0"/>
                <w:bCs w:val="0"/>
                <w:color w:val="auto"/>
                <w:sz w:val="21"/>
                <w:szCs w:val="21"/>
                <w:highlight w:val="none"/>
                <w:lang w:val="en-US" w:eastAsia="zh-CN"/>
              </w:rPr>
              <w:t>分</w:t>
            </w:r>
            <w:r>
              <w:rPr>
                <w:rFonts w:hint="eastAsia" w:ascii="宋体" w:hAnsi="宋体" w:cs="宋体"/>
                <w:b w:val="0"/>
                <w:bCs w:val="0"/>
                <w:color w:val="auto"/>
                <w:sz w:val="21"/>
                <w:szCs w:val="21"/>
                <w:highlight w:val="none"/>
                <w:lang w:eastAsia="zh-CN"/>
              </w:rPr>
              <w:t>）</w:t>
            </w:r>
          </w:p>
        </w:tc>
        <w:tc>
          <w:tcPr>
            <w:tcW w:w="1259" w:type="dxa"/>
            <w:noWrap w:val="0"/>
            <w:vAlign w:val="center"/>
          </w:tcPr>
          <w:p w14:paraId="580CB2A3">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技术参数</w:t>
            </w:r>
            <w:r>
              <w:rPr>
                <w:rFonts w:hint="eastAsia" w:ascii="宋体" w:hAnsi="宋体" w:cs="宋体"/>
                <w:color w:val="auto"/>
                <w:sz w:val="21"/>
                <w:szCs w:val="21"/>
                <w:highlight w:val="none"/>
                <w:lang w:eastAsia="zh-CN"/>
              </w:rPr>
              <w:t>响应</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r>
              <w:rPr>
                <w:rFonts w:hint="eastAsia" w:ascii="宋体" w:hAnsi="宋体" w:cs="宋体"/>
                <w:color w:val="auto"/>
                <w:sz w:val="21"/>
                <w:szCs w:val="21"/>
                <w:highlight w:val="none"/>
                <w:lang w:val="en-US" w:eastAsia="zh-CN"/>
              </w:rPr>
              <w:t>15</w:t>
            </w:r>
            <w:r>
              <w:rPr>
                <w:rFonts w:hint="eastAsia" w:ascii="宋体" w:hAnsi="宋体" w:eastAsia="宋体" w:cs="宋体"/>
                <w:color w:val="auto"/>
                <w:sz w:val="21"/>
                <w:szCs w:val="21"/>
                <w:highlight w:val="none"/>
                <w:lang w:val="en-US" w:eastAsia="zh-CN"/>
              </w:rPr>
              <w:t>分</w:t>
            </w:r>
            <w:r>
              <w:rPr>
                <w:rFonts w:hint="eastAsia" w:ascii="宋体" w:hAnsi="宋体" w:eastAsia="宋体" w:cs="宋体"/>
                <w:color w:val="auto"/>
                <w:sz w:val="21"/>
                <w:szCs w:val="21"/>
                <w:highlight w:val="none"/>
                <w:lang w:eastAsia="zh-CN"/>
              </w:rPr>
              <w:t>）</w:t>
            </w:r>
          </w:p>
        </w:tc>
        <w:tc>
          <w:tcPr>
            <w:tcW w:w="6253" w:type="dxa"/>
            <w:noWrap w:val="0"/>
            <w:vAlign w:val="center"/>
          </w:tcPr>
          <w:p w14:paraId="37342274">
            <w:pPr>
              <w:keepNext w:val="0"/>
              <w:keepLines w:val="0"/>
              <w:suppressLineNumbers w:val="0"/>
              <w:snapToGrid w:val="0"/>
              <w:spacing w:before="0" w:beforeAutospacing="0" w:after="0" w:afterAutospacing="0" w:line="400" w:lineRule="exact"/>
              <w:ind w:left="0" w:right="0"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经评委评审，投标人的投标文件对招标文件第二章“技术参数及性能（配置）要求”完全响应且无任何负偏离或漏项的，得基础分15分；</w:t>
            </w:r>
            <w:r>
              <w:rPr>
                <w:rFonts w:hint="eastAsia" w:ascii="宋体" w:hAnsi="宋体" w:cs="宋体"/>
                <w:color w:val="auto"/>
                <w:sz w:val="21"/>
                <w:szCs w:val="21"/>
                <w:highlight w:val="none"/>
                <w:lang w:val="en-US" w:eastAsia="zh-CN"/>
              </w:rPr>
              <w:t>一般参数</w:t>
            </w:r>
            <w:r>
              <w:rPr>
                <w:rFonts w:hint="eastAsia" w:ascii="宋体" w:hAnsi="宋体" w:eastAsia="宋体" w:cs="宋体"/>
                <w:color w:val="auto"/>
                <w:sz w:val="21"/>
                <w:szCs w:val="21"/>
                <w:highlight w:val="none"/>
                <w:lang w:val="en-US" w:eastAsia="zh-CN"/>
              </w:rPr>
              <w:t>不满足第二章“技术参数及性能（配置）要求”一般参数项要求的，即存在负偏离或存在漏项的，每一项扣3分，扣完为止。</w:t>
            </w:r>
          </w:p>
        </w:tc>
      </w:tr>
      <w:tr w14:paraId="369B0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3" w:type="dxa"/>
            <w:vMerge w:val="continue"/>
            <w:noWrap w:val="0"/>
            <w:vAlign w:val="center"/>
          </w:tcPr>
          <w:p w14:paraId="587D2010">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eastAsia="zh-CN"/>
              </w:rPr>
            </w:pPr>
          </w:p>
        </w:tc>
        <w:tc>
          <w:tcPr>
            <w:tcW w:w="1101" w:type="dxa"/>
            <w:vMerge w:val="continue"/>
            <w:noWrap w:val="0"/>
            <w:vAlign w:val="center"/>
          </w:tcPr>
          <w:p w14:paraId="175CA28F">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eastAsia="zh-CN"/>
              </w:rPr>
            </w:pPr>
          </w:p>
        </w:tc>
        <w:tc>
          <w:tcPr>
            <w:tcW w:w="1259" w:type="dxa"/>
            <w:noWrap w:val="0"/>
            <w:vAlign w:val="center"/>
          </w:tcPr>
          <w:p w14:paraId="581A7CDC">
            <w:pPr>
              <w:keepNext w:val="0"/>
              <w:keepLines w:val="0"/>
              <w:suppressLineNumbers w:val="0"/>
              <w:spacing w:before="0" w:beforeAutospacing="0" w:after="0" w:afterAutospacing="0" w:line="360" w:lineRule="auto"/>
              <w:ind w:left="0" w:right="0"/>
              <w:jc w:val="both"/>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项目</w:t>
            </w:r>
            <w:r>
              <w:rPr>
                <w:rFonts w:hint="eastAsia" w:ascii="宋体" w:hAnsi="宋体" w:eastAsia="宋体" w:cs="宋体"/>
                <w:color w:val="auto"/>
                <w:sz w:val="21"/>
                <w:szCs w:val="21"/>
                <w:highlight w:val="none"/>
              </w:rPr>
              <w:t>实施方案分（满分</w:t>
            </w:r>
            <w:r>
              <w:rPr>
                <w:rFonts w:hint="eastAsia" w:ascii="宋体" w:hAnsi="宋体" w:cs="宋体"/>
                <w:color w:val="auto"/>
                <w:sz w:val="21"/>
                <w:szCs w:val="21"/>
                <w:highlight w:val="none"/>
                <w:lang w:val="en-US" w:eastAsia="zh-CN"/>
              </w:rPr>
              <w:t>12</w:t>
            </w:r>
            <w:r>
              <w:rPr>
                <w:rFonts w:hint="eastAsia" w:ascii="宋体" w:hAnsi="宋体" w:eastAsia="宋体" w:cs="宋体"/>
                <w:color w:val="auto"/>
                <w:sz w:val="21"/>
                <w:szCs w:val="21"/>
                <w:highlight w:val="none"/>
              </w:rPr>
              <w:t>分）</w:t>
            </w:r>
          </w:p>
        </w:tc>
        <w:tc>
          <w:tcPr>
            <w:tcW w:w="6253" w:type="dxa"/>
            <w:noWrap w:val="0"/>
            <w:vAlign w:val="center"/>
          </w:tcPr>
          <w:p w14:paraId="3652BDF3">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由评标委员会在相应档次内独立打分，投标人投标文件中没有提供项目实施方案的，本项不得分；所提供的项目实施方案未达到相应评审档次全部标准的，相应降低一个档次：</w:t>
            </w:r>
          </w:p>
          <w:p w14:paraId="5CAF1EFC">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一档（4分）：提供有基本满足项目建设需要的项目实施方案，方案内容包括但不限于交付部署、测试验证、验收、应急预案等详细措施，有明确的软件准备、安装部署、测试验证、发布交付等操作要求，能体现各环节高效协同，确保顺利完成到货安装。</w:t>
            </w:r>
          </w:p>
          <w:p w14:paraId="5B6312AF">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二档（8分）：在满足一档的基础上，提供包括但不限于交付部署、测试验证、验收、应急预案等子项方案，有完整的软件准备、安装部署、测试验证、发布交付等操作要求及记录表单。对项目实施全流程进行标准化管理，组织架构清晰，人员配备充分，防范措施详尽，提供完整且针对</w:t>
            </w:r>
            <w:r>
              <w:rPr>
                <w:rFonts w:hint="eastAsia" w:ascii="宋体" w:hAnsi="宋体" w:cs="宋体"/>
                <w:color w:val="auto"/>
                <w:sz w:val="21"/>
                <w:szCs w:val="21"/>
                <w:highlight w:val="none"/>
                <w:lang w:val="en-US" w:eastAsia="zh-CN"/>
              </w:rPr>
              <w:t>本项目</w:t>
            </w:r>
            <w:r>
              <w:rPr>
                <w:rFonts w:hint="eastAsia" w:ascii="宋体" w:hAnsi="宋体" w:eastAsia="宋体" w:cs="宋体"/>
                <w:color w:val="auto"/>
                <w:sz w:val="21"/>
                <w:szCs w:val="21"/>
                <w:highlight w:val="none"/>
                <w:lang w:eastAsia="zh-CN"/>
              </w:rPr>
              <w:t>特点的优化技术方案，列举关键性技术问题及解决措施（如多系统兼容性、新旧系统适配、数字化联动等），能提供清晰的系统架构图。</w:t>
            </w:r>
          </w:p>
          <w:p w14:paraId="1494A54B">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三档（12分）：在满足二档的基础上，提供详尽充分、结构清晰、专业标准的实施方案，有详尽标准化的软件准备、安装部署、测试验证、发布交付等操作规范体系；项目实施方案全面专业，清晰阐述</w:t>
            </w:r>
            <w:r>
              <w:rPr>
                <w:rFonts w:hint="eastAsia" w:ascii="宋体" w:hAnsi="宋体" w:cs="宋体"/>
                <w:color w:val="auto"/>
                <w:sz w:val="21"/>
                <w:szCs w:val="21"/>
                <w:highlight w:val="none"/>
                <w:lang w:val="en-US" w:eastAsia="zh-CN"/>
              </w:rPr>
              <w:t>本项目</w:t>
            </w:r>
            <w:r>
              <w:rPr>
                <w:rFonts w:hint="eastAsia" w:ascii="宋体" w:hAnsi="宋体" w:eastAsia="宋体" w:cs="宋体"/>
                <w:color w:val="auto"/>
                <w:sz w:val="21"/>
                <w:szCs w:val="21"/>
                <w:highlight w:val="none"/>
                <w:lang w:eastAsia="zh-CN"/>
              </w:rPr>
              <w:t>的重点难点问题及系统化解决措施（如差异化场景设计、多系统安全闭环管控、后期运维迭代机制等），形成协同、安全、闭环管理。项目实施方案有创新点，可保障项目建设高质量完成。</w:t>
            </w:r>
          </w:p>
        </w:tc>
      </w:tr>
      <w:tr w14:paraId="76B7C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713" w:type="dxa"/>
            <w:vMerge w:val="restart"/>
            <w:noWrap w:val="0"/>
            <w:vAlign w:val="center"/>
          </w:tcPr>
          <w:p w14:paraId="477A9369">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101" w:type="dxa"/>
            <w:vMerge w:val="restart"/>
            <w:noWrap w:val="0"/>
            <w:vAlign w:val="center"/>
          </w:tcPr>
          <w:p w14:paraId="6476BE66">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商务分（</w:t>
            </w:r>
            <w:r>
              <w:rPr>
                <w:rFonts w:hint="eastAsia" w:ascii="宋体" w:hAnsi="宋体" w:cs="宋体"/>
                <w:color w:val="auto"/>
                <w:sz w:val="21"/>
                <w:szCs w:val="21"/>
                <w:highlight w:val="none"/>
                <w:lang w:val="en-US" w:eastAsia="zh-CN"/>
              </w:rPr>
              <w:t>满分43分</w:t>
            </w:r>
            <w:r>
              <w:rPr>
                <w:rFonts w:hint="eastAsia" w:ascii="宋体" w:hAnsi="宋体" w:eastAsia="宋体" w:cs="宋体"/>
                <w:color w:val="auto"/>
                <w:sz w:val="21"/>
                <w:szCs w:val="21"/>
                <w:highlight w:val="none"/>
              </w:rPr>
              <w:t>）</w:t>
            </w:r>
          </w:p>
        </w:tc>
        <w:tc>
          <w:tcPr>
            <w:tcW w:w="1259" w:type="dxa"/>
            <w:noWrap w:val="0"/>
            <w:vAlign w:val="center"/>
          </w:tcPr>
          <w:p w14:paraId="1000CACC">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售后服务方案分（满分</w:t>
            </w:r>
            <w:r>
              <w:rPr>
                <w:rFonts w:hint="eastAsia" w:ascii="宋体" w:hAnsi="宋体" w:cs="宋体"/>
                <w:color w:val="auto"/>
                <w:sz w:val="21"/>
                <w:szCs w:val="21"/>
                <w:highlight w:val="none"/>
                <w:lang w:val="en-US" w:eastAsia="zh-CN"/>
              </w:rPr>
              <w:t>12</w:t>
            </w:r>
            <w:r>
              <w:rPr>
                <w:rFonts w:hint="eastAsia" w:ascii="宋体" w:hAnsi="宋体" w:eastAsia="宋体" w:cs="宋体"/>
                <w:color w:val="auto"/>
                <w:sz w:val="21"/>
                <w:szCs w:val="21"/>
                <w:highlight w:val="none"/>
              </w:rPr>
              <w:t>分）</w:t>
            </w:r>
          </w:p>
        </w:tc>
        <w:tc>
          <w:tcPr>
            <w:tcW w:w="6253" w:type="dxa"/>
            <w:noWrap w:val="0"/>
            <w:vAlign w:val="center"/>
          </w:tcPr>
          <w:p w14:paraId="78E06BCD">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由评标委员会在相应档次内独立打分，投标人投标文件中没有提供售后服务方案的，本项不得分；所提供的售后服务方案未达到相应评审档次全部标准的，相应降低一个档次：</w:t>
            </w:r>
          </w:p>
          <w:p w14:paraId="3E06BC6D">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一档（</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rPr>
              <w:t>分）：售后服务方案对“软件准备、安装部署、测试验证、发布交付、质保期维护方案、到达故障现场时间、故障出现解决方案、定期回访、备品备件”等服务内容满足招标文件售后服务的要求。其中接到采购人故障通知1小时内做出响应，6小时内远程排查处理故障；远程无法处理的，应在接到通知后24小时内到达现场维修。</w:t>
            </w:r>
          </w:p>
          <w:p w14:paraId="043A0460">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二档（</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rPr>
              <w:t xml:space="preserve">分）：售后服务方案对“软件准备、安装部署、测试验证、发布交付、质保期维护方案、到达故障现场时间、故障出现解决方案、定期回访、其他优惠措施、备品备件”等内容的描述完整，其中接到采购人故障通知30分钟内做出响应，4小时内远程排查处理故障；远程无法处理的，应在接到通知后18小时内到达现场维修。并就方案的各项内容编制有重点、难点应对措施，故障处理措施到位；提供7×24售后服务热线及专人对接服务，列明处理事件时间和相关人员责任分明，提供详细分工表。 </w:t>
            </w:r>
          </w:p>
          <w:p w14:paraId="49623BE8">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三档（</w:t>
            </w:r>
            <w:r>
              <w:rPr>
                <w:rFonts w:hint="eastAsia" w:ascii="宋体" w:hAnsi="宋体" w:cs="宋体"/>
                <w:color w:val="auto"/>
                <w:sz w:val="21"/>
                <w:szCs w:val="21"/>
                <w:highlight w:val="none"/>
                <w:lang w:val="en-US" w:eastAsia="zh-CN"/>
              </w:rPr>
              <w:t>12</w:t>
            </w:r>
            <w:r>
              <w:rPr>
                <w:rFonts w:hint="eastAsia" w:ascii="宋体" w:hAnsi="宋体" w:eastAsia="宋体" w:cs="宋体"/>
                <w:color w:val="auto"/>
                <w:sz w:val="21"/>
                <w:szCs w:val="21"/>
                <w:highlight w:val="none"/>
              </w:rPr>
              <w:t>分）：在满足二档的基础上，其中接到采购人故障通知15分钟内做出响应，4小时内远程排查处理故障；远程无法处理的，应在接到通知后12小时内到达现场维修。建立有售后服务应急预案（如重要节假日或其他重要时期，设备发生故障时提供备用机或其他替代解决的具体预案）；设备运维服务实施软硬件分级运维管理，根据设备运行工况制定差异化运维策略，细化日常监测、动态排查、参数校准、运行数据分析等深度运维内容；服务期内对系统或平台优化、修复已知问题、适配系统升级等有详细具体的售后服务方案；拥有完善的售后质量管理体系（如提供相关售后服务认证或售后服务管理制度文件），确保售后服务优质快捷。</w:t>
            </w:r>
          </w:p>
        </w:tc>
      </w:tr>
      <w:tr w14:paraId="4997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713" w:type="dxa"/>
            <w:vMerge w:val="continue"/>
            <w:noWrap w:val="0"/>
            <w:vAlign w:val="center"/>
          </w:tcPr>
          <w:p w14:paraId="3DE3B187">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val="en-US" w:eastAsia="zh-CN"/>
              </w:rPr>
            </w:pPr>
          </w:p>
        </w:tc>
        <w:tc>
          <w:tcPr>
            <w:tcW w:w="1101" w:type="dxa"/>
            <w:vMerge w:val="continue"/>
            <w:noWrap w:val="0"/>
            <w:vAlign w:val="center"/>
          </w:tcPr>
          <w:p w14:paraId="304C6034">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1259" w:type="dxa"/>
            <w:noWrap w:val="0"/>
            <w:vAlign w:val="center"/>
          </w:tcPr>
          <w:p w14:paraId="194BA4EB">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eastAsia="zh-CN"/>
              </w:rPr>
              <w:t>培训方案分（满分</w:t>
            </w:r>
            <w:r>
              <w:rPr>
                <w:rFonts w:hint="eastAsia" w:ascii="宋体" w:hAnsi="宋体" w:cs="宋体"/>
                <w:color w:val="auto"/>
                <w:sz w:val="21"/>
                <w:szCs w:val="21"/>
                <w:highlight w:val="none"/>
                <w:lang w:val="en-US" w:eastAsia="zh-CN"/>
              </w:rPr>
              <w:t>8分</w:t>
            </w:r>
            <w:r>
              <w:rPr>
                <w:rFonts w:hint="eastAsia" w:ascii="宋体" w:hAnsi="宋体" w:cs="宋体"/>
                <w:color w:val="auto"/>
                <w:sz w:val="21"/>
                <w:szCs w:val="21"/>
                <w:highlight w:val="none"/>
                <w:lang w:eastAsia="zh-CN"/>
              </w:rPr>
              <w:t>）</w:t>
            </w:r>
          </w:p>
        </w:tc>
        <w:tc>
          <w:tcPr>
            <w:tcW w:w="6253" w:type="dxa"/>
            <w:noWrap w:val="0"/>
            <w:vAlign w:val="center"/>
          </w:tcPr>
          <w:p w14:paraId="63C7134A">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由评标委员</w:t>
            </w:r>
            <w:r>
              <w:rPr>
                <w:rFonts w:hint="eastAsia" w:ascii="宋体" w:hAnsi="宋体" w:eastAsia="宋体" w:cs="宋体"/>
                <w:color w:val="auto"/>
                <w:sz w:val="21"/>
                <w:szCs w:val="21"/>
                <w:highlight w:val="none"/>
                <w:lang w:eastAsia="zh-CN"/>
              </w:rPr>
              <w:t>会</w:t>
            </w:r>
            <w:r>
              <w:rPr>
                <w:rFonts w:hint="eastAsia" w:ascii="宋体" w:hAnsi="宋体" w:eastAsia="宋体" w:cs="宋体"/>
                <w:color w:val="auto"/>
                <w:sz w:val="21"/>
                <w:szCs w:val="21"/>
                <w:highlight w:val="none"/>
              </w:rPr>
              <w:t>在相应档次内独立打分，投标人投标文件中没有提供</w:t>
            </w:r>
            <w:r>
              <w:rPr>
                <w:rFonts w:hint="eastAsia" w:ascii="宋体" w:hAnsi="宋体" w:eastAsia="宋体" w:cs="宋体"/>
                <w:color w:val="auto"/>
                <w:sz w:val="21"/>
                <w:szCs w:val="21"/>
                <w:highlight w:val="none"/>
                <w:lang w:val="en-US" w:eastAsia="zh-CN"/>
              </w:rPr>
              <w:t>培训方案</w:t>
            </w:r>
            <w:r>
              <w:rPr>
                <w:rFonts w:hint="eastAsia" w:ascii="宋体" w:hAnsi="宋体" w:eastAsia="宋体" w:cs="宋体"/>
                <w:color w:val="auto"/>
                <w:sz w:val="21"/>
                <w:szCs w:val="21"/>
                <w:highlight w:val="none"/>
              </w:rPr>
              <w:t>的，本项不得分；所提供的</w:t>
            </w:r>
            <w:r>
              <w:rPr>
                <w:rFonts w:hint="eastAsia" w:ascii="宋体" w:hAnsi="宋体" w:eastAsia="宋体" w:cs="宋体"/>
                <w:color w:val="auto"/>
                <w:sz w:val="21"/>
                <w:szCs w:val="21"/>
                <w:highlight w:val="none"/>
                <w:lang w:val="en-US" w:eastAsia="zh-CN"/>
              </w:rPr>
              <w:t>培训</w:t>
            </w:r>
            <w:r>
              <w:rPr>
                <w:rFonts w:hint="eastAsia" w:ascii="宋体" w:hAnsi="宋体" w:eastAsia="宋体" w:cs="宋体"/>
                <w:color w:val="auto"/>
                <w:sz w:val="21"/>
                <w:szCs w:val="21"/>
                <w:highlight w:val="none"/>
              </w:rPr>
              <w:t>方案未达到相应评审档次全部标准的，相应降低一个档次：</w:t>
            </w:r>
          </w:p>
          <w:p w14:paraId="3D327843">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一档（</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提供有简单的设备操作培训课程安排，提供的培训方案（包括但不限于培训计划、培训内容设置、人员配备等）</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培训方案包含的要点有缺漏或内容与要点相符但仅有纲要、内容简略，未展开详细阐述</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培训方案</w:t>
            </w:r>
            <w:r>
              <w:rPr>
                <w:rFonts w:hint="eastAsia" w:ascii="宋体" w:hAnsi="宋体" w:eastAsia="宋体" w:cs="宋体"/>
                <w:color w:val="auto"/>
                <w:sz w:val="21"/>
                <w:szCs w:val="21"/>
                <w:highlight w:val="none"/>
                <w:lang w:val="en-US" w:eastAsia="zh-CN"/>
              </w:rPr>
              <w:t>基本</w:t>
            </w:r>
            <w:r>
              <w:rPr>
                <w:rFonts w:hint="eastAsia" w:ascii="宋体" w:hAnsi="宋体" w:eastAsia="宋体" w:cs="宋体"/>
                <w:color w:val="auto"/>
                <w:sz w:val="21"/>
                <w:szCs w:val="21"/>
                <w:highlight w:val="none"/>
              </w:rPr>
              <w:t>满足采购人培训要求。</w:t>
            </w:r>
          </w:p>
          <w:p w14:paraId="181A959E">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二档（</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在满足一档的基础上，培训方案要点齐全、内容与要点相符、每个要点均有展开阐述但不够具体、有培训内容及时间安排、针对不同学科的课程课表、针对不同层次教师有不同的培训方案</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并</w:t>
            </w:r>
            <w:r>
              <w:rPr>
                <w:rFonts w:hint="eastAsia" w:ascii="宋体" w:hAnsi="宋体" w:eastAsia="宋体" w:cs="宋体"/>
                <w:color w:val="auto"/>
                <w:sz w:val="21"/>
                <w:szCs w:val="21"/>
                <w:highlight w:val="none"/>
              </w:rPr>
              <w:t>为采购人提供有专人指导的设备操作培训课程安排。</w:t>
            </w:r>
          </w:p>
          <w:p w14:paraId="7AFA8778">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三档（</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在满足二档的基础上，对培训内容有充分的理解，培训方案详细、具体，有针对性的培训内容、时间安排合理、科学详细，兼顾理论学习和实操训练。提供针对本项目培训资料（包括PPT、培训文档、文字材料、培训视频等材料）。承诺保证培训人员熟练掌握</w:t>
            </w:r>
            <w:r>
              <w:rPr>
                <w:rFonts w:hint="eastAsia" w:ascii="宋体" w:hAnsi="宋体" w:eastAsia="宋体" w:cs="宋体"/>
                <w:color w:val="auto"/>
                <w:sz w:val="21"/>
                <w:szCs w:val="21"/>
                <w:highlight w:val="none"/>
                <w:lang w:val="en-US" w:eastAsia="zh-CN"/>
              </w:rPr>
              <w:t>系统维护</w:t>
            </w:r>
            <w:r>
              <w:rPr>
                <w:rFonts w:hint="eastAsia" w:ascii="宋体" w:hAnsi="宋体" w:eastAsia="宋体" w:cs="宋体"/>
                <w:color w:val="auto"/>
                <w:sz w:val="21"/>
                <w:szCs w:val="21"/>
                <w:highlight w:val="none"/>
              </w:rPr>
              <w:t>及基本</w:t>
            </w:r>
            <w:r>
              <w:rPr>
                <w:rFonts w:hint="eastAsia" w:ascii="宋体" w:hAnsi="宋体" w:eastAsia="宋体" w:cs="宋体"/>
                <w:color w:val="auto"/>
                <w:sz w:val="21"/>
                <w:szCs w:val="21"/>
                <w:highlight w:val="none"/>
                <w:lang w:val="en-US" w:eastAsia="zh-CN"/>
              </w:rPr>
              <w:t>故障识别</w:t>
            </w:r>
            <w:r>
              <w:rPr>
                <w:rFonts w:hint="eastAsia" w:ascii="宋体" w:hAnsi="宋体" w:eastAsia="宋体" w:cs="宋体"/>
                <w:color w:val="auto"/>
                <w:sz w:val="21"/>
                <w:szCs w:val="21"/>
                <w:highlight w:val="none"/>
              </w:rPr>
              <w:t>等</w:t>
            </w:r>
            <w:r>
              <w:rPr>
                <w:rFonts w:hint="eastAsia" w:ascii="宋体" w:hAnsi="宋体" w:eastAsia="宋体" w:cs="宋体"/>
                <w:color w:val="auto"/>
                <w:sz w:val="21"/>
                <w:szCs w:val="21"/>
                <w:highlight w:val="none"/>
                <w:lang w:val="en-US" w:eastAsia="zh-CN"/>
              </w:rPr>
              <w:t>问题</w:t>
            </w:r>
            <w:r>
              <w:rPr>
                <w:rFonts w:hint="eastAsia" w:ascii="宋体" w:hAnsi="宋体" w:eastAsia="宋体" w:cs="宋体"/>
                <w:color w:val="auto"/>
                <w:sz w:val="21"/>
                <w:szCs w:val="21"/>
                <w:highlight w:val="none"/>
              </w:rPr>
              <w:t>。提供“培训+跟踪+复训”全流程服务，</w:t>
            </w:r>
            <w:r>
              <w:rPr>
                <w:rFonts w:hint="eastAsia" w:ascii="宋体" w:hAnsi="宋体" w:eastAsia="宋体" w:cs="宋体"/>
                <w:color w:val="auto"/>
                <w:sz w:val="21"/>
                <w:szCs w:val="21"/>
                <w:highlight w:val="none"/>
                <w:lang w:val="en-US" w:eastAsia="zh-CN"/>
              </w:rPr>
              <w:t>并有</w:t>
            </w:r>
            <w:r>
              <w:rPr>
                <w:rFonts w:hint="eastAsia" w:ascii="宋体" w:hAnsi="宋体" w:eastAsia="宋体" w:cs="宋体"/>
                <w:color w:val="auto"/>
                <w:sz w:val="21"/>
                <w:szCs w:val="21"/>
                <w:highlight w:val="none"/>
              </w:rPr>
              <w:t>开展教学效果回访培训承诺</w:t>
            </w:r>
            <w:r>
              <w:rPr>
                <w:rFonts w:hint="eastAsia" w:ascii="宋体" w:hAnsi="宋体" w:eastAsia="宋体" w:cs="宋体"/>
                <w:color w:val="auto"/>
                <w:sz w:val="21"/>
                <w:szCs w:val="21"/>
                <w:highlight w:val="none"/>
                <w:lang w:eastAsia="zh-CN"/>
              </w:rPr>
              <w:t>。</w:t>
            </w:r>
          </w:p>
        </w:tc>
      </w:tr>
      <w:tr w14:paraId="7775B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713" w:type="dxa"/>
            <w:vMerge w:val="continue"/>
            <w:noWrap w:val="0"/>
            <w:vAlign w:val="center"/>
          </w:tcPr>
          <w:p w14:paraId="7EB24426">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val="en-US" w:eastAsia="zh-CN"/>
              </w:rPr>
            </w:pPr>
          </w:p>
        </w:tc>
        <w:tc>
          <w:tcPr>
            <w:tcW w:w="1101" w:type="dxa"/>
            <w:vMerge w:val="continue"/>
            <w:noWrap w:val="0"/>
            <w:vAlign w:val="center"/>
          </w:tcPr>
          <w:p w14:paraId="58977534">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1259" w:type="dxa"/>
            <w:shd w:val="clear" w:color="auto" w:fill="auto"/>
            <w:noWrap w:val="0"/>
            <w:vAlign w:val="center"/>
          </w:tcPr>
          <w:p w14:paraId="63AB1B7E">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质保期（满分10分）</w:t>
            </w:r>
          </w:p>
        </w:tc>
        <w:tc>
          <w:tcPr>
            <w:tcW w:w="6253" w:type="dxa"/>
            <w:shd w:val="clear" w:color="auto" w:fill="auto"/>
            <w:noWrap w:val="0"/>
            <w:vAlign w:val="center"/>
          </w:tcPr>
          <w:p w14:paraId="0ABCD13C">
            <w:pPr>
              <w:pStyle w:val="101"/>
              <w:keepNext w:val="0"/>
              <w:keepLines w:val="0"/>
              <w:numPr>
                <w:ilvl w:val="0"/>
                <w:numId w:val="0"/>
              </w:numPr>
              <w:suppressLineNumbers w:val="0"/>
              <w:spacing w:before="172" w:beforeAutospacing="0" w:after="0" w:afterAutospacing="0" w:line="219" w:lineRule="auto"/>
              <w:ind w:left="0" w:leftChars="0" w:right="0" w:right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en-US" w:bidi="ar-SA"/>
              </w:rPr>
              <w:t>1.</w:t>
            </w:r>
            <w:r>
              <w:rPr>
                <w:rFonts w:hint="eastAsia" w:ascii="宋体" w:hAnsi="宋体" w:eastAsia="宋体" w:cs="宋体"/>
                <w:color w:val="auto"/>
                <w:kern w:val="2"/>
                <w:sz w:val="21"/>
                <w:szCs w:val="21"/>
                <w:highlight w:val="none"/>
                <w:lang w:val="en-US" w:eastAsia="zh-CN" w:bidi="ar-SA"/>
              </w:rPr>
              <w:t>质保期承诺:在满足招标文件规定的质保期（或运维服务期）最低年限要求的前提下，投标人承诺的超出年限每满一个整年得2分，不足一个整年的部分不计分，超出年限达到三个整年及以上的按满分6分计。</w:t>
            </w:r>
          </w:p>
          <w:p w14:paraId="4F83D53C">
            <w:pPr>
              <w:pStyle w:val="101"/>
              <w:keepNext w:val="0"/>
              <w:keepLines w:val="0"/>
              <w:numPr>
                <w:ilvl w:val="0"/>
                <w:numId w:val="0"/>
              </w:numPr>
              <w:suppressLineNumbers w:val="0"/>
              <w:spacing w:before="172" w:beforeAutospacing="0" w:after="0" w:afterAutospacing="0" w:line="219" w:lineRule="auto"/>
              <w:ind w:left="0" w:right="0" w:rightChars="0"/>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2.投标人承诺在质保期（或运维服务期）届满后提供免费软件版本升级（含功能更新及安全补丁）的，每承诺提供一次得2分，满分4分。</w:t>
            </w:r>
          </w:p>
          <w:p w14:paraId="1BDD8F76">
            <w:pPr>
              <w:keepNext w:val="0"/>
              <w:keepLines w:val="0"/>
              <w:suppressLineNumbers w:val="0"/>
              <w:spacing w:before="0" w:beforeAutospacing="0" w:after="0" w:afterAutospacing="0" w:line="360" w:lineRule="auto"/>
              <w:ind w:left="0" w:leftChars="0" w:right="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注：投标人须在投标文件中提供能清晰体现上述内容的质保期（或运维服务期）承诺函扫描件(格式自拟),质保期（或运维服务期）承诺函须加盖投标人公章。</w:t>
            </w:r>
          </w:p>
        </w:tc>
      </w:tr>
      <w:tr w14:paraId="682BE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713" w:type="dxa"/>
            <w:vMerge w:val="continue"/>
            <w:noWrap w:val="0"/>
            <w:vAlign w:val="center"/>
          </w:tcPr>
          <w:p w14:paraId="2424B977">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val="en-US" w:eastAsia="zh-CN"/>
              </w:rPr>
            </w:pPr>
          </w:p>
        </w:tc>
        <w:tc>
          <w:tcPr>
            <w:tcW w:w="1101" w:type="dxa"/>
            <w:vMerge w:val="continue"/>
            <w:noWrap w:val="0"/>
            <w:vAlign w:val="center"/>
          </w:tcPr>
          <w:p w14:paraId="7FB437F3">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1259" w:type="dxa"/>
            <w:noWrap w:val="0"/>
            <w:vAlign w:val="center"/>
          </w:tcPr>
          <w:p w14:paraId="044C5E16">
            <w:pPr>
              <w:keepNext w:val="0"/>
              <w:keepLines w:val="0"/>
              <w:suppressLineNumbers w:val="0"/>
              <w:spacing w:before="0" w:beforeAutospacing="0" w:after="0" w:afterAutospacing="0" w:line="360" w:lineRule="auto"/>
              <w:ind w:left="0" w:right="0"/>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val="en-US" w:eastAsia="zh-CN"/>
              </w:rPr>
              <w:t>信誉分（满分3分）</w:t>
            </w:r>
          </w:p>
        </w:tc>
        <w:tc>
          <w:tcPr>
            <w:tcW w:w="6253" w:type="dxa"/>
            <w:noWrap w:val="0"/>
            <w:vAlign w:val="center"/>
          </w:tcPr>
          <w:p w14:paraId="2C12835B">
            <w:pPr>
              <w:keepNext w:val="0"/>
              <w:keepLines w:val="0"/>
              <w:suppressLineNumbers w:val="0"/>
              <w:spacing w:before="0" w:beforeAutospacing="0" w:after="0" w:afterAutospacing="0" w:line="360" w:lineRule="auto"/>
              <w:ind w:left="0" w:right="0"/>
              <w:jc w:val="left"/>
              <w:rPr>
                <w:rFonts w:hint="default"/>
                <w:color w:val="auto"/>
                <w:highlight w:val="none"/>
                <w:lang w:val="en-US"/>
              </w:rPr>
            </w:pPr>
            <w:r>
              <w:rPr>
                <w:rFonts w:hint="default"/>
                <w:color w:val="auto"/>
                <w:highlight w:val="none"/>
                <w:lang w:val="en-US"/>
              </w:rPr>
              <w:t>投标人或制造商具有相关管理体系认证（ISO9001质量管理体系认证、ISO14001环境管理体系认证、ISO45001职业健康安全管理体系认证）的，每提供一项得1分，满分3分。投标文件中须提供上述证书有效期内复印件并加盖投标人公章，否则不予计分。</w:t>
            </w:r>
          </w:p>
        </w:tc>
      </w:tr>
      <w:tr w14:paraId="572D5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713" w:type="dxa"/>
            <w:vMerge w:val="continue"/>
            <w:noWrap w:val="0"/>
            <w:vAlign w:val="center"/>
          </w:tcPr>
          <w:p w14:paraId="60967562">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eastAsia="zh-CN"/>
              </w:rPr>
            </w:pPr>
          </w:p>
        </w:tc>
        <w:tc>
          <w:tcPr>
            <w:tcW w:w="1101" w:type="dxa"/>
            <w:vMerge w:val="continue"/>
            <w:noWrap w:val="0"/>
            <w:vAlign w:val="center"/>
          </w:tcPr>
          <w:p w14:paraId="14950D66">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eastAsia="zh-CN"/>
              </w:rPr>
            </w:pPr>
          </w:p>
        </w:tc>
        <w:tc>
          <w:tcPr>
            <w:tcW w:w="1259" w:type="dxa"/>
            <w:noWrap w:val="0"/>
            <w:vAlign w:val="center"/>
          </w:tcPr>
          <w:p w14:paraId="16ED7CBE">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color w:val="auto"/>
                <w:sz w:val="21"/>
                <w:szCs w:val="21"/>
                <w:highlight w:val="none"/>
              </w:rPr>
              <w:t>业绩分</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满分10分</w:t>
            </w:r>
            <w:r>
              <w:rPr>
                <w:rFonts w:hint="eastAsia" w:ascii="宋体" w:hAnsi="宋体" w:cs="宋体"/>
                <w:color w:val="auto"/>
                <w:sz w:val="21"/>
                <w:szCs w:val="21"/>
                <w:highlight w:val="none"/>
                <w:lang w:eastAsia="zh-CN"/>
              </w:rPr>
              <w:t>）</w:t>
            </w:r>
          </w:p>
        </w:tc>
        <w:tc>
          <w:tcPr>
            <w:tcW w:w="6253" w:type="dxa"/>
            <w:noWrap w:val="0"/>
            <w:vAlign w:val="center"/>
          </w:tcPr>
          <w:p w14:paraId="1C91E636">
            <w:pPr>
              <w:pStyle w:val="11"/>
              <w:keepNext w:val="0"/>
              <w:keepLines w:val="0"/>
              <w:suppressLineNumbers w:val="0"/>
              <w:spacing w:before="0" w:beforeAutospacing="0" w:afterAutospacing="0" w:line="360" w:lineRule="auto"/>
              <w:ind w:left="0" w:right="0" w:firstLine="0" w:firstLine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投标人或投标产品制造商2023年7月至投标截止时间止承接的类似项目销售业绩（类似项目销售业绩是指包含1项或多项与投标产品相同的项目销售业绩。投标文件中提供有效的合同复印件并加盖投标人公章，合同复印件需要清晰体现出合同首页、采购内容和日期、盖章页。合同内容不全或不清晰和，不计分。），每份业绩得2分，满分10分。同一项目分多个合同签订的，只计分一次。</w:t>
            </w:r>
          </w:p>
        </w:tc>
      </w:tr>
      <w:tr w14:paraId="1C649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713" w:type="dxa"/>
            <w:noWrap w:val="0"/>
            <w:vAlign w:val="center"/>
          </w:tcPr>
          <w:p w14:paraId="00D81FF0">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8613" w:type="dxa"/>
            <w:gridSpan w:val="3"/>
            <w:noWrap w:val="0"/>
            <w:vAlign w:val="center"/>
          </w:tcPr>
          <w:p w14:paraId="1101CAFC">
            <w:pPr>
              <w:pStyle w:val="11"/>
              <w:keepNext w:val="0"/>
              <w:keepLines w:val="0"/>
              <w:suppressLineNumbers w:val="0"/>
              <w:spacing w:before="0" w:beforeAutospacing="0" w:afterAutospacing="0" w:line="360" w:lineRule="auto"/>
              <w:ind w:left="0" w:right="0"/>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总得分=1+2+3</w:t>
            </w:r>
          </w:p>
        </w:tc>
      </w:tr>
    </w:tbl>
    <w:p w14:paraId="27682F13">
      <w:pPr>
        <w:pStyle w:val="14"/>
        <w:spacing w:line="360" w:lineRule="auto"/>
        <w:ind w:firstLine="315"/>
        <w:rPr>
          <w:rFonts w:hint="eastAsia" w:hAnsi="宋体"/>
          <w:bCs/>
          <w:color w:val="auto"/>
          <w:highlight w:val="none"/>
        </w:rPr>
      </w:pPr>
    </w:p>
    <w:p w14:paraId="51A0A463">
      <w:pPr>
        <w:pStyle w:val="14"/>
        <w:spacing w:line="360" w:lineRule="auto"/>
        <w:ind w:firstLine="315"/>
        <w:rPr>
          <w:rFonts w:hAnsi="宋体"/>
          <w:bCs/>
          <w:color w:val="auto"/>
          <w:highlight w:val="none"/>
        </w:rPr>
      </w:pPr>
      <w:r>
        <w:rPr>
          <w:rFonts w:hint="eastAsia" w:hAnsi="宋体"/>
          <w:bCs/>
          <w:color w:val="auto"/>
          <w:highlight w:val="none"/>
        </w:rPr>
        <w:t>注：1.计分方法按四舍五入取至百分位；</w:t>
      </w:r>
    </w:p>
    <w:p w14:paraId="39D5D822">
      <w:pPr>
        <w:rPr>
          <w:rFonts w:hint="eastAsia" w:ascii="Times New Roman" w:hAnsi="Times New Roman" w:eastAsia="宋体" w:cs="Times New Roman"/>
          <w:b/>
          <w:bCs/>
          <w:color w:val="auto"/>
          <w:kern w:val="2"/>
          <w:sz w:val="32"/>
          <w:szCs w:val="32"/>
          <w:highlight w:val="none"/>
          <w:lang w:val="en-US" w:eastAsia="zh-CN" w:bidi="ar-SA"/>
        </w:rPr>
      </w:pPr>
      <w:r>
        <w:rPr>
          <w:rFonts w:hint="eastAsia" w:hAnsi="宋体"/>
          <w:bCs/>
          <w:color w:val="auto"/>
          <w:highlight w:val="none"/>
        </w:rPr>
        <w:t xml:space="preserve">       </w:t>
      </w:r>
      <w:r>
        <w:rPr>
          <w:rFonts w:hint="eastAsia" w:asciiTheme="minorEastAsia" w:hAnsiTheme="minorEastAsia" w:eastAsiaTheme="minorEastAsia" w:cstheme="minorEastAsia"/>
          <w:bCs/>
          <w:color w:val="auto"/>
          <w:highlight w:val="none"/>
        </w:rPr>
        <w:t>2.因落实政府采购政策</w:t>
      </w:r>
      <w:r>
        <w:rPr>
          <w:rFonts w:hint="eastAsia" w:hAnsi="宋体"/>
          <w:bCs/>
          <w:color w:val="auto"/>
          <w:highlight w:val="none"/>
        </w:rPr>
        <w:t>进行价格调整的，以调整后的价格计算评标基准价。</w:t>
      </w:r>
    </w:p>
    <w:p w14:paraId="2560C5AB">
      <w:pPr>
        <w:rPr>
          <w:rFonts w:hint="eastAsia" w:ascii="Times New Roman" w:hAnsi="Times New Roman" w:eastAsia="宋体" w:cs="Times New Roman"/>
          <w:b/>
          <w:bCs/>
          <w:color w:val="auto"/>
          <w:kern w:val="2"/>
          <w:sz w:val="32"/>
          <w:szCs w:val="32"/>
          <w:highlight w:val="none"/>
          <w:lang w:val="en-US" w:eastAsia="zh-CN" w:bidi="ar-SA"/>
        </w:rPr>
      </w:pPr>
      <w:r>
        <w:rPr>
          <w:rFonts w:hint="eastAsia" w:ascii="Times New Roman" w:hAnsi="Times New Roman" w:eastAsia="宋体" w:cs="Times New Roman"/>
          <w:b/>
          <w:bCs/>
          <w:color w:val="auto"/>
          <w:kern w:val="2"/>
          <w:sz w:val="32"/>
          <w:szCs w:val="32"/>
          <w:highlight w:val="none"/>
          <w:lang w:val="en-US" w:eastAsia="zh-CN" w:bidi="ar-SA"/>
        </w:rPr>
        <w:br w:type="page"/>
      </w:r>
    </w:p>
    <w:p w14:paraId="30DA521A">
      <w:pPr>
        <w:jc w:val="center"/>
        <w:rPr>
          <w:rFonts w:hint="eastAsia" w:ascii="Times New Roman" w:hAnsi="Times New Roman" w:eastAsia="宋体" w:cs="Times New Roman"/>
          <w:b/>
          <w:bCs/>
          <w:color w:val="auto"/>
          <w:kern w:val="2"/>
          <w:sz w:val="32"/>
          <w:szCs w:val="32"/>
          <w:highlight w:val="none"/>
          <w:lang w:val="en-US" w:eastAsia="zh-CN" w:bidi="ar-SA"/>
        </w:rPr>
      </w:pPr>
      <w:r>
        <w:rPr>
          <w:rFonts w:hint="eastAsia" w:ascii="Times New Roman" w:hAnsi="Times New Roman" w:eastAsia="宋体" w:cs="Times New Roman"/>
          <w:b/>
          <w:bCs/>
          <w:color w:val="auto"/>
          <w:kern w:val="2"/>
          <w:sz w:val="32"/>
          <w:szCs w:val="32"/>
          <w:highlight w:val="none"/>
          <w:lang w:val="en-US" w:eastAsia="zh-CN" w:bidi="ar-SA"/>
        </w:rPr>
        <w:t>综合评分法（分标</w:t>
      </w:r>
      <w:r>
        <w:rPr>
          <w:rFonts w:hint="eastAsia" w:cs="Times New Roman"/>
          <w:b/>
          <w:bCs/>
          <w:color w:val="auto"/>
          <w:kern w:val="2"/>
          <w:sz w:val="32"/>
          <w:szCs w:val="32"/>
          <w:highlight w:val="none"/>
          <w:lang w:val="en-US" w:eastAsia="zh-CN" w:bidi="ar-SA"/>
        </w:rPr>
        <w:t>4</w:t>
      </w:r>
      <w:r>
        <w:rPr>
          <w:rFonts w:hint="eastAsia" w:ascii="Times New Roman" w:hAnsi="Times New Roman" w:eastAsia="宋体" w:cs="Times New Roman"/>
          <w:b/>
          <w:bCs/>
          <w:color w:val="auto"/>
          <w:kern w:val="2"/>
          <w:sz w:val="32"/>
          <w:szCs w:val="32"/>
          <w:highlight w:val="none"/>
          <w:lang w:val="en-US" w:eastAsia="zh-CN" w:bidi="ar-SA"/>
        </w:rPr>
        <w:t>）</w:t>
      </w:r>
    </w:p>
    <w:tbl>
      <w:tblPr>
        <w:tblStyle w:val="29"/>
        <w:tblpPr w:leftFromText="180" w:rightFromText="180" w:vertAnchor="text" w:horzAnchor="page" w:tblpX="1220" w:tblpY="656"/>
        <w:tblOverlap w:val="never"/>
        <w:tblW w:w="93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3"/>
        <w:gridCol w:w="1101"/>
        <w:gridCol w:w="1259"/>
        <w:gridCol w:w="6253"/>
      </w:tblGrid>
      <w:tr w14:paraId="0343B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13" w:type="dxa"/>
            <w:noWrap w:val="0"/>
            <w:vAlign w:val="center"/>
          </w:tcPr>
          <w:p w14:paraId="33AF6799">
            <w:pPr>
              <w:keepNext w:val="0"/>
              <w:keepLines w:val="0"/>
              <w:suppressLineNumbers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rPr>
              <w:t>序号</w:t>
            </w:r>
          </w:p>
        </w:tc>
        <w:tc>
          <w:tcPr>
            <w:tcW w:w="1101" w:type="dxa"/>
            <w:noWrap w:val="0"/>
            <w:vAlign w:val="center"/>
          </w:tcPr>
          <w:p w14:paraId="190A75B8">
            <w:pPr>
              <w:keepNext w:val="0"/>
              <w:keepLines w:val="0"/>
              <w:suppressLineNumbers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rPr>
              <w:t>评分类型</w:t>
            </w:r>
          </w:p>
        </w:tc>
        <w:tc>
          <w:tcPr>
            <w:tcW w:w="1259" w:type="dxa"/>
            <w:noWrap w:val="0"/>
            <w:vAlign w:val="center"/>
          </w:tcPr>
          <w:p w14:paraId="618BC49C">
            <w:pPr>
              <w:keepNext w:val="0"/>
              <w:keepLines w:val="0"/>
              <w:suppressLineNumbers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rPr>
              <w:t>评审因素</w:t>
            </w:r>
          </w:p>
        </w:tc>
        <w:tc>
          <w:tcPr>
            <w:tcW w:w="6253" w:type="dxa"/>
            <w:noWrap w:val="0"/>
            <w:vAlign w:val="center"/>
          </w:tcPr>
          <w:p w14:paraId="37F70104">
            <w:pPr>
              <w:keepNext w:val="0"/>
              <w:keepLines w:val="0"/>
              <w:suppressLineNumbers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rPr>
              <w:t>评标标准</w:t>
            </w:r>
          </w:p>
        </w:tc>
      </w:tr>
      <w:tr w14:paraId="6C8F4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713" w:type="dxa"/>
            <w:noWrap w:val="0"/>
            <w:vAlign w:val="center"/>
          </w:tcPr>
          <w:p w14:paraId="1AEE4B11">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101" w:type="dxa"/>
            <w:noWrap w:val="0"/>
            <w:vAlign w:val="center"/>
          </w:tcPr>
          <w:p w14:paraId="5E5381D7">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价格分（</w:t>
            </w:r>
            <w:r>
              <w:rPr>
                <w:rFonts w:hint="eastAsia" w:ascii="宋体" w:hAnsi="宋体" w:cs="宋体"/>
                <w:color w:val="auto"/>
                <w:sz w:val="21"/>
                <w:szCs w:val="21"/>
                <w:highlight w:val="none"/>
                <w:lang w:val="en-US" w:eastAsia="zh-CN"/>
              </w:rPr>
              <w:t>满分</w:t>
            </w:r>
            <w:r>
              <w:rPr>
                <w:rFonts w:hint="eastAsia" w:ascii="宋体" w:hAnsi="宋体" w:eastAsia="宋体" w:cs="宋体"/>
                <w:color w:val="auto"/>
                <w:sz w:val="21"/>
                <w:szCs w:val="21"/>
                <w:highlight w:val="none"/>
                <w:lang w:val="en-US" w:eastAsia="zh-CN"/>
              </w:rPr>
              <w:t>30分</w:t>
            </w:r>
            <w:r>
              <w:rPr>
                <w:rFonts w:hint="eastAsia" w:ascii="宋体" w:hAnsi="宋体" w:eastAsia="宋体" w:cs="宋体"/>
                <w:color w:val="auto"/>
                <w:sz w:val="21"/>
                <w:szCs w:val="21"/>
                <w:highlight w:val="none"/>
                <w:lang w:eastAsia="zh-CN"/>
              </w:rPr>
              <w:t>）</w:t>
            </w:r>
          </w:p>
        </w:tc>
        <w:tc>
          <w:tcPr>
            <w:tcW w:w="1259" w:type="dxa"/>
            <w:noWrap w:val="0"/>
            <w:vAlign w:val="center"/>
          </w:tcPr>
          <w:p w14:paraId="5602E8ED">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价格分（</w:t>
            </w:r>
            <w:r>
              <w:rPr>
                <w:rFonts w:hint="eastAsia" w:ascii="宋体" w:hAnsi="宋体" w:eastAsia="宋体" w:cs="宋体"/>
                <w:color w:val="auto"/>
                <w:sz w:val="21"/>
                <w:szCs w:val="21"/>
                <w:highlight w:val="none"/>
                <w:lang w:val="en-US" w:eastAsia="zh-CN"/>
              </w:rPr>
              <w:t>30分</w:t>
            </w:r>
            <w:r>
              <w:rPr>
                <w:rFonts w:hint="eastAsia" w:ascii="宋体" w:hAnsi="宋体" w:eastAsia="宋体" w:cs="宋体"/>
                <w:color w:val="auto"/>
                <w:sz w:val="21"/>
                <w:szCs w:val="21"/>
                <w:highlight w:val="none"/>
                <w:lang w:eastAsia="zh-CN"/>
              </w:rPr>
              <w:t>）</w:t>
            </w:r>
          </w:p>
        </w:tc>
        <w:tc>
          <w:tcPr>
            <w:tcW w:w="6253" w:type="dxa"/>
            <w:noWrap w:val="0"/>
            <w:vAlign w:val="center"/>
          </w:tcPr>
          <w:p w14:paraId="0C0D7CED">
            <w:pPr>
              <w:keepNext w:val="0"/>
              <w:keepLines w:val="0"/>
              <w:suppressLineNumbers w:val="0"/>
              <w:snapToGrid w:val="0"/>
              <w:spacing w:before="0" w:beforeAutospacing="0" w:after="0" w:afterAutospacing="0" w:line="360" w:lineRule="auto"/>
              <w:ind w:left="0" w:right="0" w:firstLine="233" w:firstLineChars="111"/>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（1）评标报价为投标人的投标报价进行政策性扣除后的价格，评标报价只是作为评标时使用。最终中标人的中标金额等于投标报价。</w:t>
            </w:r>
          </w:p>
          <w:p w14:paraId="40DFACA1">
            <w:pPr>
              <w:keepNext w:val="0"/>
              <w:keepLines w:val="0"/>
              <w:suppressLineNumbers w:val="0"/>
              <w:snapToGrid w:val="0"/>
              <w:spacing w:before="0" w:beforeAutospacing="0" w:after="0" w:afterAutospacing="0" w:line="360" w:lineRule="auto"/>
              <w:ind w:left="0" w:right="0" w:firstLine="233" w:firstLineChars="111"/>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rPr>
              <w:t>（2）政策性扣除计算方法</w:t>
            </w:r>
            <w:r>
              <w:rPr>
                <w:rFonts w:hint="eastAsia" w:ascii="宋体" w:hAnsi="宋体" w:cs="宋体"/>
                <w:bCs/>
                <w:color w:val="auto"/>
                <w:sz w:val="21"/>
                <w:szCs w:val="21"/>
                <w:highlight w:val="none"/>
                <w:lang w:eastAsia="zh-CN"/>
              </w:rPr>
              <w:t>：</w:t>
            </w:r>
          </w:p>
          <w:p w14:paraId="507334D0">
            <w:pPr>
              <w:keepNext w:val="0"/>
              <w:keepLines w:val="0"/>
              <w:suppressLineNumbers w:val="0"/>
              <w:snapToGrid w:val="0"/>
              <w:spacing w:before="0" w:beforeAutospacing="0" w:after="0" w:afterAutospacing="0" w:line="360" w:lineRule="auto"/>
              <w:ind w:left="0" w:right="0" w:firstLine="233" w:firstLineChars="111"/>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①根据《政府采购促进中小企业发展管理办法》（财库〔2020〕46号）及《广西壮族自治区财政厅关于持续优化政府采购营商环境推动高质量发展的通知》（桂财采〔2024〕55号）的规定，投标人在其投标文件中提供《中小企业声明函》，且其投标全部货物由小微企业制造的，对其投标报价给予10%的扣除，扣除后的价格为评标报价，即评标报价=投标报价×（1-10%）。除上述情况外，评标报价=投标报价。</w:t>
            </w:r>
          </w:p>
          <w:p w14:paraId="00BEE5A8">
            <w:pPr>
              <w:keepNext w:val="0"/>
              <w:keepLines w:val="0"/>
              <w:suppressLineNumbers w:val="0"/>
              <w:snapToGrid w:val="0"/>
              <w:spacing w:before="0" w:beforeAutospacing="0" w:after="0" w:afterAutospacing="0" w:line="360" w:lineRule="auto"/>
              <w:ind w:left="0" w:right="0" w:firstLine="233" w:firstLineChars="111"/>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②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14:paraId="3D1F51F0">
            <w:pPr>
              <w:keepNext w:val="0"/>
              <w:keepLines w:val="0"/>
              <w:suppressLineNumbers w:val="0"/>
              <w:snapToGrid w:val="0"/>
              <w:spacing w:before="0" w:beforeAutospacing="0" w:after="0" w:afterAutospacing="0" w:line="360" w:lineRule="auto"/>
              <w:ind w:left="0" w:right="0" w:firstLine="233" w:firstLineChars="111"/>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③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78B68C96">
            <w:pPr>
              <w:keepNext w:val="0"/>
              <w:keepLines w:val="0"/>
              <w:suppressLineNumbers w:val="0"/>
              <w:snapToGrid w:val="0"/>
              <w:spacing w:before="0" w:beforeAutospacing="0" w:after="0" w:afterAutospacing="0" w:line="360" w:lineRule="auto"/>
              <w:ind w:left="0" w:right="0" w:firstLine="233" w:firstLineChars="111"/>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rPr>
              <w:t>④按照</w:t>
            </w:r>
            <w:r>
              <w:rPr>
                <w:rFonts w:hint="eastAsia" w:ascii="宋体" w:hAnsi="宋体" w:eastAsia="宋体" w:cs="宋体"/>
                <w:color w:val="auto"/>
                <w:highlight w:val="none"/>
              </w:rPr>
              <w:t>《国务院办公厅关于在政府采购中实施本国产品标准及相关政策的通</w:t>
            </w:r>
            <w:r>
              <w:rPr>
                <w:rFonts w:hint="eastAsia" w:ascii="宋体" w:hAnsi="宋体" w:cs="宋体"/>
                <w:color w:val="auto"/>
                <w:highlight w:val="none"/>
              </w:rPr>
              <w:t>知》（国办发〔2025〕34号）</w:t>
            </w:r>
            <w:r>
              <w:rPr>
                <w:rFonts w:hint="eastAsia" w:ascii="宋体" w:hAnsi="宋体" w:eastAsia="宋体" w:cs="宋体"/>
                <w:bCs/>
                <w:color w:val="auto"/>
                <w:sz w:val="21"/>
                <w:szCs w:val="21"/>
                <w:highlight w:val="none"/>
              </w:rPr>
              <w:t>的规定，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扣除后的价格为评标报价，即评标报价=投标报价×（1-</w:t>
            </w:r>
            <w:r>
              <w:rPr>
                <w:rFonts w:hint="eastAsia" w:ascii="宋体" w:hAnsi="宋体" w:eastAsia="宋体" w:cs="宋体"/>
                <w:bCs/>
                <w:color w:val="auto"/>
                <w:sz w:val="21"/>
                <w:szCs w:val="21"/>
                <w:highlight w:val="none"/>
                <w:lang w:val="en-US" w:eastAsia="zh-CN"/>
              </w:rPr>
              <w:t>2</w:t>
            </w:r>
            <w:r>
              <w:rPr>
                <w:rFonts w:hint="eastAsia" w:ascii="宋体" w:hAnsi="宋体" w:eastAsia="宋体" w:cs="宋体"/>
                <w:bCs/>
                <w:color w:val="auto"/>
                <w:sz w:val="21"/>
                <w:szCs w:val="21"/>
                <w:highlight w:val="none"/>
              </w:rPr>
              <w:t>0%）。供应商在其投标文件中提供《关于符合本国产品标准的声明函》或财政部会同有关部门规定的有关证明文件，该产品视为本国产品。供应商对声明</w:t>
            </w:r>
            <w:r>
              <w:rPr>
                <w:rFonts w:hint="eastAsia" w:ascii="宋体" w:hAnsi="宋体" w:eastAsia="宋体" w:cs="宋体"/>
                <w:bCs/>
                <w:color w:val="auto"/>
                <w:sz w:val="21"/>
                <w:szCs w:val="21"/>
                <w:highlight w:val="none"/>
                <w:lang w:eastAsia="zh-CN"/>
              </w:rPr>
              <w:t>及证明文件</w:t>
            </w:r>
            <w:r>
              <w:rPr>
                <w:rFonts w:hint="eastAsia" w:ascii="宋体" w:hAnsi="宋体" w:eastAsia="宋体" w:cs="宋体"/>
                <w:bCs/>
                <w:color w:val="auto"/>
                <w:sz w:val="21"/>
                <w:szCs w:val="21"/>
                <w:highlight w:val="none"/>
              </w:rPr>
              <w:t>的真实性负责</w:t>
            </w:r>
            <w:r>
              <w:rPr>
                <w:rFonts w:hint="eastAsia" w:ascii="宋体" w:hAnsi="宋体" w:eastAsia="宋体" w:cs="宋体"/>
                <w:bCs/>
                <w:color w:val="auto"/>
                <w:sz w:val="21"/>
                <w:szCs w:val="21"/>
                <w:highlight w:val="none"/>
                <w:lang w:eastAsia="zh-CN"/>
              </w:rPr>
              <w:t>。</w:t>
            </w:r>
          </w:p>
          <w:p w14:paraId="12CEB0B5">
            <w:pPr>
              <w:keepNext w:val="0"/>
              <w:keepLines w:val="0"/>
              <w:suppressLineNumbers w:val="0"/>
              <w:snapToGrid w:val="0"/>
              <w:spacing w:before="0" w:beforeAutospacing="0" w:after="0" w:afterAutospacing="0" w:line="360" w:lineRule="auto"/>
              <w:ind w:left="0" w:right="0" w:firstLine="443" w:firstLineChars="211"/>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⑤供应商享受小微企业价格扣除政策的，可重复享受</w:t>
            </w:r>
            <w:r>
              <w:rPr>
                <w:rFonts w:hint="eastAsia" w:ascii="宋体" w:hAnsi="宋体" w:cs="宋体"/>
                <w:color w:val="auto"/>
                <w:highlight w:val="none"/>
              </w:rPr>
              <w:t>本国产品</w:t>
            </w:r>
            <w:r>
              <w:rPr>
                <w:rFonts w:hint="eastAsia" w:ascii="宋体" w:hAnsi="宋体" w:cs="宋体"/>
                <w:color w:val="auto"/>
                <w:highlight w:val="none"/>
                <w:lang w:eastAsia="zh-CN"/>
              </w:rPr>
              <w:t>价格扣除政策，即</w:t>
            </w:r>
            <w:r>
              <w:rPr>
                <w:rFonts w:hint="eastAsia" w:ascii="宋体" w:hAnsi="宋体" w:eastAsia="宋体" w:cs="宋体"/>
                <w:bCs/>
                <w:color w:val="auto"/>
                <w:sz w:val="21"/>
                <w:szCs w:val="21"/>
                <w:highlight w:val="none"/>
              </w:rPr>
              <w:t>评标报价</w:t>
            </w:r>
            <w:r>
              <w:rPr>
                <w:rFonts w:hint="eastAsia" w:ascii="宋体" w:hAnsi="宋体" w:cs="宋体"/>
                <w:color w:val="auto"/>
                <w:highlight w:val="none"/>
                <w:lang w:eastAsia="zh-CN"/>
              </w:rPr>
              <w:t>=投标报价</w:t>
            </w:r>
            <w:r>
              <w:rPr>
                <w:rFonts w:hint="eastAsia" w:ascii="宋体" w:hAnsi="宋体" w:eastAsia="宋体" w:cs="宋体"/>
                <w:bCs/>
                <w:color w:val="auto"/>
                <w:sz w:val="21"/>
                <w:szCs w:val="21"/>
                <w:highlight w:val="none"/>
              </w:rPr>
              <w:t>×</w:t>
            </w:r>
            <w:r>
              <w:rPr>
                <w:rFonts w:hint="eastAsia" w:ascii="宋体" w:hAnsi="宋体" w:cs="宋体"/>
                <w:color w:val="auto"/>
                <w:highlight w:val="none"/>
                <w:lang w:eastAsia="zh-CN"/>
              </w:rPr>
              <w:t>（</w:t>
            </w:r>
            <w:r>
              <w:rPr>
                <w:rFonts w:hint="eastAsia" w:ascii="宋体" w:hAnsi="宋体" w:cs="宋体"/>
                <w:color w:val="auto"/>
                <w:highlight w:val="none"/>
                <w:lang w:val="en-US" w:eastAsia="zh-CN"/>
              </w:rPr>
              <w:t>1－</w:t>
            </w:r>
            <w:r>
              <w:rPr>
                <w:rFonts w:hint="eastAsia" w:ascii="宋体" w:hAnsi="宋体" w:eastAsia="宋体" w:cs="宋体"/>
                <w:bCs/>
                <w:color w:val="auto"/>
                <w:sz w:val="21"/>
                <w:szCs w:val="21"/>
                <w:highlight w:val="none"/>
                <w:lang w:val="en-US" w:eastAsia="zh-CN"/>
              </w:rPr>
              <w:t>小微企业</w:t>
            </w:r>
            <w:r>
              <w:rPr>
                <w:rFonts w:hint="eastAsia" w:ascii="宋体" w:hAnsi="宋体" w:cs="宋体"/>
                <w:color w:val="auto"/>
                <w:highlight w:val="none"/>
                <w:lang w:eastAsia="zh-CN"/>
              </w:rPr>
              <w:t>价格</w:t>
            </w:r>
            <w:r>
              <w:rPr>
                <w:rFonts w:hint="eastAsia" w:ascii="宋体" w:hAnsi="宋体" w:eastAsia="宋体" w:cs="宋体"/>
                <w:bCs/>
                <w:color w:val="auto"/>
                <w:sz w:val="21"/>
                <w:szCs w:val="21"/>
                <w:highlight w:val="none"/>
                <w:lang w:val="en-US" w:eastAsia="zh-CN"/>
              </w:rPr>
              <w:t>扣除比例</w:t>
            </w:r>
            <w:r>
              <w:rPr>
                <w:rFonts w:hint="eastAsia" w:ascii="宋体" w:hAnsi="宋体" w:cs="宋体"/>
                <w:color w:val="auto"/>
                <w:highlight w:val="none"/>
                <w:lang w:eastAsia="zh-CN"/>
              </w:rPr>
              <w:t>-</w:t>
            </w:r>
            <w:r>
              <w:rPr>
                <w:rFonts w:hint="eastAsia" w:ascii="宋体" w:hAnsi="宋体" w:cs="宋体"/>
                <w:color w:val="auto"/>
                <w:highlight w:val="none"/>
                <w:lang w:val="en-US" w:eastAsia="zh-CN"/>
              </w:rPr>
              <w:t>本国产品</w:t>
            </w:r>
            <w:r>
              <w:rPr>
                <w:rFonts w:hint="eastAsia" w:ascii="宋体" w:hAnsi="宋体" w:cs="宋体"/>
                <w:color w:val="auto"/>
                <w:highlight w:val="none"/>
                <w:lang w:eastAsia="zh-CN"/>
              </w:rPr>
              <w:t>价格</w:t>
            </w:r>
            <w:r>
              <w:rPr>
                <w:rFonts w:hint="eastAsia" w:ascii="宋体" w:hAnsi="宋体" w:cs="宋体"/>
                <w:color w:val="auto"/>
                <w:highlight w:val="none"/>
                <w:lang w:val="en-US" w:eastAsia="zh-CN"/>
              </w:rPr>
              <w:t>扣除比例</w:t>
            </w:r>
            <w:r>
              <w:rPr>
                <w:rFonts w:hint="eastAsia" w:ascii="宋体" w:hAnsi="宋体" w:cs="宋体"/>
                <w:color w:val="auto"/>
                <w:highlight w:val="none"/>
                <w:lang w:eastAsia="zh-CN"/>
              </w:rPr>
              <w:t>），除上述情况外，</w:t>
            </w:r>
            <w:r>
              <w:rPr>
                <w:rFonts w:hint="eastAsia" w:ascii="宋体" w:hAnsi="宋体" w:eastAsia="宋体" w:cs="宋体"/>
                <w:bCs/>
                <w:color w:val="auto"/>
                <w:sz w:val="21"/>
                <w:szCs w:val="21"/>
                <w:highlight w:val="none"/>
              </w:rPr>
              <w:t>评标报价</w:t>
            </w:r>
            <w:r>
              <w:rPr>
                <w:rFonts w:hint="eastAsia" w:ascii="宋体" w:hAnsi="宋体" w:cs="宋体"/>
                <w:color w:val="auto"/>
                <w:highlight w:val="none"/>
                <w:lang w:eastAsia="zh-CN"/>
              </w:rPr>
              <w:t>=投标报价。</w:t>
            </w:r>
          </w:p>
          <w:p w14:paraId="1574E145">
            <w:pPr>
              <w:keepNext w:val="0"/>
              <w:keepLines w:val="0"/>
              <w:suppressLineNumbers w:val="0"/>
              <w:snapToGrid w:val="0"/>
              <w:spacing w:before="0" w:beforeAutospacing="0" w:after="0" w:afterAutospacing="0" w:line="360" w:lineRule="auto"/>
              <w:ind w:left="0" w:right="0" w:firstLine="233" w:firstLineChars="111"/>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w:t>
            </w:r>
            <w:r>
              <w:rPr>
                <w:rFonts w:hint="eastAsia" w:ascii="宋体" w:hAnsi="宋体" w:eastAsia="宋体" w:cs="宋体"/>
                <w:bCs/>
                <w:color w:val="auto"/>
                <w:sz w:val="21"/>
                <w:szCs w:val="21"/>
                <w:highlight w:val="none"/>
                <w:lang w:val="en-US" w:eastAsia="zh-CN"/>
              </w:rPr>
              <w:t>3</w:t>
            </w:r>
            <w:r>
              <w:rPr>
                <w:rFonts w:hint="eastAsia" w:ascii="宋体" w:hAnsi="宋体" w:eastAsia="宋体" w:cs="宋体"/>
                <w:bCs/>
                <w:color w:val="auto"/>
                <w:sz w:val="21"/>
                <w:szCs w:val="21"/>
                <w:highlight w:val="none"/>
              </w:rPr>
              <w:t>）满足招标文件要求且评标报价最低的为评标基准价，其价格分为满分。</w:t>
            </w:r>
          </w:p>
          <w:p w14:paraId="6CA1EF0B">
            <w:pPr>
              <w:keepNext w:val="0"/>
              <w:keepLines w:val="0"/>
              <w:suppressLineNumbers w:val="0"/>
              <w:spacing w:before="0" w:beforeAutospacing="0" w:after="0" w:afterAutospacing="0" w:line="360" w:lineRule="auto"/>
              <w:ind w:left="0" w:right="0" w:firstLine="233" w:firstLineChars="111"/>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w:t>
            </w:r>
            <w:r>
              <w:rPr>
                <w:rFonts w:hint="eastAsia" w:ascii="宋体" w:hAnsi="宋体" w:cs="宋体"/>
                <w:bCs/>
                <w:color w:val="auto"/>
                <w:sz w:val="21"/>
                <w:szCs w:val="21"/>
                <w:highlight w:val="none"/>
                <w:lang w:val="en-US" w:eastAsia="zh-CN"/>
              </w:rPr>
              <w:t>4</w:t>
            </w:r>
            <w:r>
              <w:rPr>
                <w:rFonts w:hint="eastAsia" w:ascii="宋体" w:hAnsi="宋体" w:eastAsia="宋体" w:cs="宋体"/>
                <w:bCs/>
                <w:color w:val="auto"/>
                <w:sz w:val="21"/>
                <w:szCs w:val="21"/>
                <w:highlight w:val="none"/>
              </w:rPr>
              <w:t xml:space="preserve">）价格分计算公式：        </w:t>
            </w:r>
          </w:p>
          <w:p w14:paraId="6F2D0CE8">
            <w:pPr>
              <w:keepNext w:val="0"/>
              <w:keepLines w:val="0"/>
              <w:suppressLineNumbers w:val="0"/>
              <w:bidi w:val="0"/>
              <w:spacing w:before="0" w:beforeAutospacing="0" w:after="0" w:afterAutospacing="0" w:line="360" w:lineRule="auto"/>
              <w:ind w:left="0" w:right="0" w:firstLine="420" w:firstLineChars="200"/>
              <w:jc w:val="both"/>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价格分=（评标基准价/评标报价）×</w:t>
            </w:r>
            <w:r>
              <w:rPr>
                <w:rFonts w:hint="eastAsia" w:ascii="宋体" w:hAnsi="宋体" w:eastAsia="宋体" w:cs="宋体"/>
                <w:bCs/>
                <w:color w:val="auto"/>
                <w:sz w:val="21"/>
                <w:szCs w:val="21"/>
                <w:highlight w:val="none"/>
                <w:u w:val="none"/>
              </w:rPr>
              <w:t>30</w:t>
            </w:r>
            <w:r>
              <w:rPr>
                <w:rFonts w:hint="eastAsia" w:ascii="宋体" w:hAnsi="宋体" w:eastAsia="宋体" w:cs="宋体"/>
                <w:bCs/>
                <w:color w:val="auto"/>
                <w:sz w:val="21"/>
                <w:szCs w:val="21"/>
                <w:highlight w:val="none"/>
              </w:rPr>
              <w:t>分</w:t>
            </w:r>
          </w:p>
        </w:tc>
      </w:tr>
      <w:tr w14:paraId="5CC84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713" w:type="dxa"/>
            <w:vMerge w:val="restart"/>
            <w:noWrap w:val="0"/>
            <w:vAlign w:val="center"/>
          </w:tcPr>
          <w:p w14:paraId="26189F45">
            <w:pPr>
              <w:keepNext w:val="0"/>
              <w:keepLines w:val="0"/>
              <w:suppressLineNumbers w:val="0"/>
              <w:bidi w:val="0"/>
              <w:spacing w:before="0" w:beforeAutospacing="0" w:after="0" w:afterAutospacing="0" w:line="360" w:lineRule="auto"/>
              <w:ind w:left="0"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p>
        </w:tc>
        <w:tc>
          <w:tcPr>
            <w:tcW w:w="1101" w:type="dxa"/>
            <w:vMerge w:val="restart"/>
            <w:noWrap w:val="0"/>
            <w:vAlign w:val="center"/>
          </w:tcPr>
          <w:p w14:paraId="5013C769">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技术分</w:t>
            </w:r>
            <w:r>
              <w:rPr>
                <w:rFonts w:hint="eastAsia" w:ascii="宋体" w:hAnsi="宋体" w:cs="宋体"/>
                <w:b w:val="0"/>
                <w:bCs w:val="0"/>
                <w:color w:val="auto"/>
                <w:sz w:val="21"/>
                <w:szCs w:val="21"/>
                <w:highlight w:val="none"/>
                <w:lang w:eastAsia="zh-CN"/>
              </w:rPr>
              <w:t>（</w:t>
            </w:r>
            <w:r>
              <w:rPr>
                <w:rFonts w:hint="eastAsia" w:ascii="宋体" w:hAnsi="宋体" w:cs="宋体"/>
                <w:color w:val="auto"/>
                <w:sz w:val="21"/>
                <w:szCs w:val="21"/>
                <w:highlight w:val="none"/>
                <w:lang w:val="en-US" w:eastAsia="zh-CN"/>
              </w:rPr>
              <w:t>满分29</w:t>
            </w:r>
            <w:r>
              <w:rPr>
                <w:rFonts w:hint="eastAsia" w:ascii="宋体" w:hAnsi="宋体" w:cs="宋体"/>
                <w:b w:val="0"/>
                <w:bCs w:val="0"/>
                <w:color w:val="auto"/>
                <w:sz w:val="21"/>
                <w:szCs w:val="21"/>
                <w:highlight w:val="none"/>
                <w:lang w:val="en-US" w:eastAsia="zh-CN"/>
              </w:rPr>
              <w:t>分</w:t>
            </w:r>
            <w:r>
              <w:rPr>
                <w:rFonts w:hint="eastAsia" w:ascii="宋体" w:hAnsi="宋体" w:cs="宋体"/>
                <w:b w:val="0"/>
                <w:bCs w:val="0"/>
                <w:color w:val="auto"/>
                <w:sz w:val="21"/>
                <w:szCs w:val="21"/>
                <w:highlight w:val="none"/>
                <w:lang w:eastAsia="zh-CN"/>
              </w:rPr>
              <w:t>）</w:t>
            </w:r>
          </w:p>
        </w:tc>
        <w:tc>
          <w:tcPr>
            <w:tcW w:w="1259" w:type="dxa"/>
            <w:noWrap w:val="0"/>
            <w:vAlign w:val="center"/>
          </w:tcPr>
          <w:p w14:paraId="33635D2D">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技术参数</w:t>
            </w:r>
            <w:r>
              <w:rPr>
                <w:rFonts w:hint="eastAsia" w:ascii="宋体" w:hAnsi="宋体" w:cs="宋体"/>
                <w:color w:val="auto"/>
                <w:sz w:val="21"/>
                <w:szCs w:val="21"/>
                <w:highlight w:val="none"/>
                <w:lang w:eastAsia="zh-CN"/>
              </w:rPr>
              <w:t>响应</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r>
              <w:rPr>
                <w:rFonts w:hint="eastAsia" w:ascii="宋体" w:hAnsi="宋体" w:cs="宋体"/>
                <w:color w:val="auto"/>
                <w:sz w:val="21"/>
                <w:szCs w:val="21"/>
                <w:highlight w:val="none"/>
                <w:lang w:val="en-US" w:eastAsia="zh-CN"/>
              </w:rPr>
              <w:t>17</w:t>
            </w:r>
            <w:r>
              <w:rPr>
                <w:rFonts w:hint="eastAsia" w:ascii="宋体" w:hAnsi="宋体" w:eastAsia="宋体" w:cs="宋体"/>
                <w:color w:val="auto"/>
                <w:sz w:val="21"/>
                <w:szCs w:val="21"/>
                <w:highlight w:val="none"/>
                <w:lang w:val="en-US" w:eastAsia="zh-CN"/>
              </w:rPr>
              <w:t>分</w:t>
            </w:r>
            <w:r>
              <w:rPr>
                <w:rFonts w:hint="eastAsia" w:ascii="宋体" w:hAnsi="宋体" w:eastAsia="宋体" w:cs="宋体"/>
                <w:color w:val="auto"/>
                <w:sz w:val="21"/>
                <w:szCs w:val="21"/>
                <w:highlight w:val="none"/>
                <w:lang w:eastAsia="zh-CN"/>
              </w:rPr>
              <w:t>）</w:t>
            </w:r>
          </w:p>
        </w:tc>
        <w:tc>
          <w:tcPr>
            <w:tcW w:w="6253" w:type="dxa"/>
            <w:noWrap w:val="0"/>
            <w:vAlign w:val="center"/>
          </w:tcPr>
          <w:p w14:paraId="490F1A47">
            <w:pPr>
              <w:keepNext w:val="0"/>
              <w:keepLines w:val="0"/>
              <w:suppressLineNumbers w:val="0"/>
              <w:snapToGrid w:val="0"/>
              <w:spacing w:before="0" w:beforeAutospacing="0" w:after="0" w:afterAutospacing="0" w:line="400" w:lineRule="exact"/>
              <w:ind w:left="0" w:right="0"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经评委评审，投标人的投标文件对第二章采购需求中标注“●”号（共5项）技术参数及性能（配置）要求响应情况进行评审：满足招标文件技术参数及性能（配置）要求中标注“●”号条款的技术指标、参数，提供相关技术支持证明材料。每提供一项技术支持证明材料且该证明材料能够证明满足招标文件技术参数要求的，得3分；不提供或不能证明满足招标文件技术参数要求的，得0分。本项最高得15分。</w:t>
            </w:r>
          </w:p>
          <w:p w14:paraId="134907AE">
            <w:pPr>
              <w:keepNext w:val="0"/>
              <w:keepLines w:val="0"/>
              <w:suppressLineNumbers w:val="0"/>
              <w:snapToGrid w:val="0"/>
              <w:spacing w:before="0" w:beforeAutospacing="0" w:after="0" w:afterAutospacing="0" w:line="400" w:lineRule="exact"/>
              <w:ind w:left="0" w:right="0"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2.除实质性参数（标注“▲”）、重要技术参数（标注“●”）外的</w:t>
            </w:r>
            <w:r>
              <w:rPr>
                <w:rFonts w:hint="eastAsia" w:ascii="宋体" w:hAnsi="宋体" w:cs="宋体"/>
                <w:color w:val="auto"/>
                <w:sz w:val="21"/>
                <w:szCs w:val="21"/>
                <w:highlight w:val="none"/>
                <w:lang w:val="en-US" w:eastAsia="zh-CN"/>
              </w:rPr>
              <w:t>参数</w:t>
            </w:r>
            <w:r>
              <w:rPr>
                <w:rFonts w:hint="eastAsia" w:ascii="宋体" w:hAnsi="宋体" w:eastAsia="宋体" w:cs="宋体"/>
                <w:color w:val="auto"/>
                <w:sz w:val="21"/>
                <w:szCs w:val="21"/>
                <w:highlight w:val="none"/>
                <w:lang w:val="en-US" w:eastAsia="zh-CN"/>
              </w:rPr>
              <w:t>为一般参数，一般参数完全满足或优于采购需求的得2分，一般参数存在任意一项负偏离的，本项不得分。</w:t>
            </w:r>
          </w:p>
          <w:p w14:paraId="20397C65">
            <w:pPr>
              <w:keepNext w:val="0"/>
              <w:keepLines w:val="0"/>
              <w:suppressLineNumbers w:val="0"/>
              <w:snapToGrid w:val="0"/>
              <w:spacing w:before="0" w:beforeAutospacing="0" w:after="0" w:afterAutospacing="0" w:line="400" w:lineRule="exact"/>
              <w:ind w:left="0" w:right="0"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1.招标文件第二章“技术参数及性能（配置）要求”中标注“▲”为实质性要求项，经评审认定负偏离或存在漏项的，投标无效。2.招标文件第二章“技术参数及性能（配置）要求”中标注“●”为重要技术参数项。招标文件第二章“技术参数及性能（配置）要求”中未标注“▲”或“●”为一般参数项。3.标注“●”号项为重要技术参数，提供技术支持证明材料，技术支持证明材料是指检测/检验/试验/测试报告、或公开发行的彩页、或制造商（生产厂家）官网截图或功能（界面）截图或产品相关技术证明并加盖投标人单位公章。若没按照要求提供，或提供的不同证明资料对同一技术参数描述不一致的，或提供的技术证明材料中的技术参数描述与“技术性能、参数偏离表”中的填写内容不符的，该项技术参数均不得分。</w:t>
            </w:r>
          </w:p>
        </w:tc>
      </w:tr>
      <w:tr w14:paraId="7EA22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3" w:type="dxa"/>
            <w:vMerge w:val="continue"/>
            <w:noWrap w:val="0"/>
            <w:vAlign w:val="center"/>
          </w:tcPr>
          <w:p w14:paraId="5B654EC1">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eastAsia="zh-CN"/>
              </w:rPr>
            </w:pPr>
          </w:p>
        </w:tc>
        <w:tc>
          <w:tcPr>
            <w:tcW w:w="1101" w:type="dxa"/>
            <w:vMerge w:val="continue"/>
            <w:noWrap w:val="0"/>
            <w:vAlign w:val="center"/>
          </w:tcPr>
          <w:p w14:paraId="0FE119D3">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eastAsia="zh-CN"/>
              </w:rPr>
            </w:pPr>
          </w:p>
        </w:tc>
        <w:tc>
          <w:tcPr>
            <w:tcW w:w="1259" w:type="dxa"/>
            <w:noWrap w:val="0"/>
            <w:vAlign w:val="center"/>
          </w:tcPr>
          <w:p w14:paraId="5225951C">
            <w:pPr>
              <w:keepNext w:val="0"/>
              <w:keepLines w:val="0"/>
              <w:suppressLineNumbers w:val="0"/>
              <w:spacing w:before="0" w:beforeAutospacing="0" w:after="0" w:afterAutospacing="0" w:line="360" w:lineRule="auto"/>
              <w:ind w:left="0" w:right="0"/>
              <w:jc w:val="both"/>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项目</w:t>
            </w:r>
            <w:r>
              <w:rPr>
                <w:rFonts w:hint="eastAsia" w:ascii="宋体" w:hAnsi="宋体" w:eastAsia="宋体" w:cs="宋体"/>
                <w:color w:val="auto"/>
                <w:sz w:val="21"/>
                <w:szCs w:val="21"/>
                <w:highlight w:val="none"/>
              </w:rPr>
              <w:t>实施方案分（满分</w:t>
            </w:r>
            <w:r>
              <w:rPr>
                <w:rFonts w:hint="eastAsia" w:ascii="宋体" w:hAnsi="宋体" w:cs="宋体"/>
                <w:color w:val="auto"/>
                <w:sz w:val="21"/>
                <w:szCs w:val="21"/>
                <w:highlight w:val="none"/>
                <w:lang w:val="en-US" w:eastAsia="zh-CN"/>
              </w:rPr>
              <w:t>12</w:t>
            </w:r>
            <w:r>
              <w:rPr>
                <w:rFonts w:hint="eastAsia" w:ascii="宋体" w:hAnsi="宋体" w:eastAsia="宋体" w:cs="宋体"/>
                <w:color w:val="auto"/>
                <w:sz w:val="21"/>
                <w:szCs w:val="21"/>
                <w:highlight w:val="none"/>
              </w:rPr>
              <w:t>分）</w:t>
            </w:r>
          </w:p>
        </w:tc>
        <w:tc>
          <w:tcPr>
            <w:tcW w:w="6253" w:type="dxa"/>
            <w:noWrap w:val="0"/>
            <w:vAlign w:val="center"/>
          </w:tcPr>
          <w:p w14:paraId="4D949D48">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由评标委员会在相应档次内独立打分，投标人投标文件中没有提供项目实施方案的，本项不得分；所提供的项目实施方案未达到相应评审档次全部标准的，相应降低一个档次：</w:t>
            </w:r>
          </w:p>
          <w:p w14:paraId="57D30636">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一档（4分）：提供有基本满足项目建设需要的项目实施方案，方案内容包括但不限于交付部署、测试验证、验收、应急预案等详细措施，有明确的软件准备、安装部署、测试验证、发布交付等操作要求，能体现各环节高效协同，确保顺利完成到货安装。</w:t>
            </w:r>
          </w:p>
          <w:p w14:paraId="35B4CE2B">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二档（8分）：在满足一档的基础上，提供包括但不限于交付部署、测试验证、验收、应急预案等子项方案，有完整的软件准备、安装部署、测试验证、发布交付等操作要求及记录表单。对项目实施全流程进行标准化管理，组织架构清晰，人员配备充分，防范措施详尽，提供完整且针对</w:t>
            </w:r>
            <w:r>
              <w:rPr>
                <w:rFonts w:hint="eastAsia" w:ascii="宋体" w:hAnsi="宋体" w:cs="宋体"/>
                <w:color w:val="auto"/>
                <w:sz w:val="21"/>
                <w:szCs w:val="21"/>
                <w:highlight w:val="none"/>
                <w:lang w:val="en-US" w:eastAsia="zh-CN"/>
              </w:rPr>
              <w:t>本项目</w:t>
            </w:r>
            <w:r>
              <w:rPr>
                <w:rFonts w:hint="eastAsia" w:ascii="宋体" w:hAnsi="宋体" w:eastAsia="宋体" w:cs="宋体"/>
                <w:color w:val="auto"/>
                <w:sz w:val="21"/>
                <w:szCs w:val="21"/>
                <w:highlight w:val="none"/>
                <w:lang w:eastAsia="zh-CN"/>
              </w:rPr>
              <w:t>特点的优化技术方案，列举关键性技术问题及解决措施（如多系统兼容性、新旧系统适配、数字化联动等），能提供清晰的系统架构图。</w:t>
            </w:r>
          </w:p>
          <w:p w14:paraId="4062FA85">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三档（12分）：在满足二档的基础上，提供详尽充分、结构清晰、专业标准的实施方案，有详尽标准化的软件准备、安装部署、测试验证、发布交付等操作规范体系；项目实施方案全面专业，清晰阐述</w:t>
            </w:r>
            <w:r>
              <w:rPr>
                <w:rFonts w:hint="eastAsia" w:ascii="宋体" w:hAnsi="宋体" w:cs="宋体"/>
                <w:color w:val="auto"/>
                <w:sz w:val="21"/>
                <w:szCs w:val="21"/>
                <w:highlight w:val="none"/>
                <w:lang w:val="en-US" w:eastAsia="zh-CN"/>
              </w:rPr>
              <w:t>本项目</w:t>
            </w:r>
            <w:r>
              <w:rPr>
                <w:rFonts w:hint="eastAsia" w:ascii="宋体" w:hAnsi="宋体" w:eastAsia="宋体" w:cs="宋体"/>
                <w:color w:val="auto"/>
                <w:sz w:val="21"/>
                <w:szCs w:val="21"/>
                <w:highlight w:val="none"/>
                <w:lang w:eastAsia="zh-CN"/>
              </w:rPr>
              <w:t>的重点难点问题及系统化解决措施（如差异化场景设计、多系统安全闭环管控、后期运维迭代机制等），形成协同、安全、闭环管理。项目实施方案有创新点，可保障项目建设高质量完成。</w:t>
            </w:r>
          </w:p>
        </w:tc>
      </w:tr>
      <w:tr w14:paraId="13BA0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713" w:type="dxa"/>
            <w:vMerge w:val="restart"/>
            <w:noWrap w:val="0"/>
            <w:vAlign w:val="center"/>
          </w:tcPr>
          <w:p w14:paraId="3F13DE1E">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101" w:type="dxa"/>
            <w:vMerge w:val="restart"/>
            <w:noWrap w:val="0"/>
            <w:vAlign w:val="center"/>
          </w:tcPr>
          <w:p w14:paraId="5D7D550C">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商务分（</w:t>
            </w:r>
            <w:r>
              <w:rPr>
                <w:rFonts w:hint="eastAsia" w:ascii="宋体" w:hAnsi="宋体" w:cs="宋体"/>
                <w:color w:val="auto"/>
                <w:sz w:val="21"/>
                <w:szCs w:val="21"/>
                <w:highlight w:val="none"/>
                <w:lang w:val="en-US" w:eastAsia="zh-CN"/>
              </w:rPr>
              <w:t>满分41分</w:t>
            </w:r>
            <w:r>
              <w:rPr>
                <w:rFonts w:hint="eastAsia" w:ascii="宋体" w:hAnsi="宋体" w:eastAsia="宋体" w:cs="宋体"/>
                <w:color w:val="auto"/>
                <w:sz w:val="21"/>
                <w:szCs w:val="21"/>
                <w:highlight w:val="none"/>
              </w:rPr>
              <w:t>）</w:t>
            </w:r>
          </w:p>
        </w:tc>
        <w:tc>
          <w:tcPr>
            <w:tcW w:w="1259" w:type="dxa"/>
            <w:noWrap w:val="0"/>
            <w:vAlign w:val="center"/>
          </w:tcPr>
          <w:p w14:paraId="65C222A9">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售后服务方案分（满分</w:t>
            </w:r>
            <w:r>
              <w:rPr>
                <w:rFonts w:hint="eastAsia" w:ascii="宋体" w:hAnsi="宋体" w:cs="宋体"/>
                <w:color w:val="auto"/>
                <w:sz w:val="21"/>
                <w:szCs w:val="21"/>
                <w:highlight w:val="none"/>
                <w:lang w:val="en-US" w:eastAsia="zh-CN"/>
              </w:rPr>
              <w:t>12</w:t>
            </w:r>
            <w:r>
              <w:rPr>
                <w:rFonts w:hint="eastAsia" w:ascii="宋体" w:hAnsi="宋体" w:eastAsia="宋体" w:cs="宋体"/>
                <w:color w:val="auto"/>
                <w:sz w:val="21"/>
                <w:szCs w:val="21"/>
                <w:highlight w:val="none"/>
              </w:rPr>
              <w:t>分）</w:t>
            </w:r>
          </w:p>
        </w:tc>
        <w:tc>
          <w:tcPr>
            <w:tcW w:w="6253" w:type="dxa"/>
            <w:noWrap w:val="0"/>
            <w:vAlign w:val="center"/>
          </w:tcPr>
          <w:p w14:paraId="602AC05E">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由评标委员会在相应档次内独立打分，投标人投标文件中没有提供售后服务方案的，本项不得分；所提供的售后服务方案未达到相应评审档次全部标准的，相应降低一个档次：</w:t>
            </w:r>
          </w:p>
          <w:p w14:paraId="518E905E">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一档（</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rPr>
              <w:t>分）：售后服务方案对“软件准备、安装部署、测试验证、发布交付、质保期维护方案、到达故障现场时间、故障出现解决方案、定期回访、备品备件”等服务内容满足招标文件售后服务的要求。其中接到采购人故障通知1小时内做出响应，6小时内远程排查处理故障；远程无法处理的，应在接到通知后24小时内到达现场维修。</w:t>
            </w:r>
          </w:p>
          <w:p w14:paraId="0225826D">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二档（</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rPr>
              <w:t xml:space="preserve">分）：售后服务方案对“软件准备、安装部署、测试验证、发布交付、质保期维护方案、到达故障现场时间、故障出现解决方案、定期回访、其他优惠措施、备品备件”等内容的描述完整，其中接到采购人故障通知30分钟内做出响应，4小时内远程排查处理故障；远程无法处理的，应在接到通知后18小时内到达现场维修。并就方案的各项内容编制有重点、难点应对措施，故障处理措施到位；提供7×24售后服务热线及专人对接服务，列明处理事件时间和相关人员责任分明，提供详细分工表。 </w:t>
            </w:r>
          </w:p>
          <w:p w14:paraId="1F5CB070">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三档（</w:t>
            </w:r>
            <w:r>
              <w:rPr>
                <w:rFonts w:hint="eastAsia" w:ascii="宋体" w:hAnsi="宋体" w:cs="宋体"/>
                <w:color w:val="auto"/>
                <w:sz w:val="21"/>
                <w:szCs w:val="21"/>
                <w:highlight w:val="none"/>
                <w:lang w:val="en-US" w:eastAsia="zh-CN"/>
              </w:rPr>
              <w:t>12</w:t>
            </w:r>
            <w:r>
              <w:rPr>
                <w:rFonts w:hint="eastAsia" w:ascii="宋体" w:hAnsi="宋体" w:eastAsia="宋体" w:cs="宋体"/>
                <w:color w:val="auto"/>
                <w:sz w:val="21"/>
                <w:szCs w:val="21"/>
                <w:highlight w:val="none"/>
              </w:rPr>
              <w:t>分）：在满足二档的基础上，其中接到采购人故障通知15分钟内做出响应，4小时内远程排查处理故障；远程无法处理的，应在接到通知后12小时内到达现场维修。建立有售后服务应急预案（如重要节假日或其他重要时期，设备发生故障时提供备用机或其他替代解决的具体预案）；设备运维服务实施软硬件分级运维管理，根据设备运行工况制定差异化运维策略，细化日常监测、动态排查、参数校准、运行数据分析等深度运维内容；服务期内对系统或平台优化、修复已知问题、适配系统升级等有详细具体的售后服务方案；拥有完善的售后质量管理体系（如提供相关售后服务认证或售后服务管理制度文件），确保售后服务优质快捷。</w:t>
            </w:r>
          </w:p>
        </w:tc>
      </w:tr>
      <w:tr w14:paraId="3111B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713" w:type="dxa"/>
            <w:vMerge w:val="continue"/>
            <w:noWrap w:val="0"/>
            <w:vAlign w:val="center"/>
          </w:tcPr>
          <w:p w14:paraId="771382E2">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val="en-US" w:eastAsia="zh-CN"/>
              </w:rPr>
            </w:pPr>
          </w:p>
        </w:tc>
        <w:tc>
          <w:tcPr>
            <w:tcW w:w="1101" w:type="dxa"/>
            <w:vMerge w:val="continue"/>
            <w:noWrap w:val="0"/>
            <w:vAlign w:val="center"/>
          </w:tcPr>
          <w:p w14:paraId="3B3585CF">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1259" w:type="dxa"/>
            <w:noWrap w:val="0"/>
            <w:vAlign w:val="center"/>
          </w:tcPr>
          <w:p w14:paraId="5DD38641">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eastAsia="zh-CN"/>
              </w:rPr>
              <w:t>培训方案分（满分</w:t>
            </w:r>
            <w:r>
              <w:rPr>
                <w:rFonts w:hint="eastAsia" w:ascii="宋体" w:hAnsi="宋体" w:cs="宋体"/>
                <w:color w:val="auto"/>
                <w:sz w:val="21"/>
                <w:szCs w:val="21"/>
                <w:highlight w:val="none"/>
                <w:lang w:val="en-US" w:eastAsia="zh-CN"/>
              </w:rPr>
              <w:t>6分</w:t>
            </w:r>
            <w:r>
              <w:rPr>
                <w:rFonts w:hint="eastAsia" w:ascii="宋体" w:hAnsi="宋体" w:cs="宋体"/>
                <w:color w:val="auto"/>
                <w:sz w:val="21"/>
                <w:szCs w:val="21"/>
                <w:highlight w:val="none"/>
                <w:lang w:eastAsia="zh-CN"/>
              </w:rPr>
              <w:t>）</w:t>
            </w:r>
          </w:p>
        </w:tc>
        <w:tc>
          <w:tcPr>
            <w:tcW w:w="6253" w:type="dxa"/>
            <w:noWrap w:val="0"/>
            <w:vAlign w:val="center"/>
          </w:tcPr>
          <w:p w14:paraId="4322F9D7">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由评标委员</w:t>
            </w:r>
            <w:r>
              <w:rPr>
                <w:rFonts w:hint="eastAsia" w:ascii="宋体" w:hAnsi="宋体" w:eastAsia="宋体" w:cs="宋体"/>
                <w:color w:val="auto"/>
                <w:sz w:val="21"/>
                <w:szCs w:val="21"/>
                <w:highlight w:val="none"/>
                <w:lang w:eastAsia="zh-CN"/>
              </w:rPr>
              <w:t>会</w:t>
            </w:r>
            <w:r>
              <w:rPr>
                <w:rFonts w:hint="eastAsia" w:ascii="宋体" w:hAnsi="宋体" w:eastAsia="宋体" w:cs="宋体"/>
                <w:color w:val="auto"/>
                <w:sz w:val="21"/>
                <w:szCs w:val="21"/>
                <w:highlight w:val="none"/>
              </w:rPr>
              <w:t>在相应档次内独立打分，投标人投标文件中没有提供</w:t>
            </w:r>
            <w:r>
              <w:rPr>
                <w:rFonts w:hint="eastAsia" w:ascii="宋体" w:hAnsi="宋体" w:eastAsia="宋体" w:cs="宋体"/>
                <w:color w:val="auto"/>
                <w:sz w:val="21"/>
                <w:szCs w:val="21"/>
                <w:highlight w:val="none"/>
                <w:lang w:val="en-US" w:eastAsia="zh-CN"/>
              </w:rPr>
              <w:t>培训方案</w:t>
            </w:r>
            <w:r>
              <w:rPr>
                <w:rFonts w:hint="eastAsia" w:ascii="宋体" w:hAnsi="宋体" w:eastAsia="宋体" w:cs="宋体"/>
                <w:color w:val="auto"/>
                <w:sz w:val="21"/>
                <w:szCs w:val="21"/>
                <w:highlight w:val="none"/>
              </w:rPr>
              <w:t>的，本项不得分；所提供的</w:t>
            </w:r>
            <w:r>
              <w:rPr>
                <w:rFonts w:hint="eastAsia" w:ascii="宋体" w:hAnsi="宋体" w:eastAsia="宋体" w:cs="宋体"/>
                <w:color w:val="auto"/>
                <w:sz w:val="21"/>
                <w:szCs w:val="21"/>
                <w:highlight w:val="none"/>
                <w:lang w:val="en-US" w:eastAsia="zh-CN"/>
              </w:rPr>
              <w:t>培训</w:t>
            </w:r>
            <w:r>
              <w:rPr>
                <w:rFonts w:hint="eastAsia" w:ascii="宋体" w:hAnsi="宋体" w:eastAsia="宋体" w:cs="宋体"/>
                <w:color w:val="auto"/>
                <w:sz w:val="21"/>
                <w:szCs w:val="21"/>
                <w:highlight w:val="none"/>
              </w:rPr>
              <w:t>方案未达到相应评审档次全部标准的，相应降低一个档次：</w:t>
            </w:r>
          </w:p>
          <w:p w14:paraId="676BC136">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一档（</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提供有简单的设备操作培训课程安排，提供的培训方案（包括但不限于培训计划、培训内容设置、人员配备等）</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培训方案包含的要点有缺漏或内容与要点相符但仅有纲要、内容简略，未展开详细阐述</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培训方案</w:t>
            </w:r>
            <w:r>
              <w:rPr>
                <w:rFonts w:hint="eastAsia" w:ascii="宋体" w:hAnsi="宋体" w:eastAsia="宋体" w:cs="宋体"/>
                <w:color w:val="auto"/>
                <w:sz w:val="21"/>
                <w:szCs w:val="21"/>
                <w:highlight w:val="none"/>
                <w:lang w:val="en-US" w:eastAsia="zh-CN"/>
              </w:rPr>
              <w:t>基本</w:t>
            </w:r>
            <w:r>
              <w:rPr>
                <w:rFonts w:hint="eastAsia" w:ascii="宋体" w:hAnsi="宋体" w:eastAsia="宋体" w:cs="宋体"/>
                <w:color w:val="auto"/>
                <w:sz w:val="21"/>
                <w:szCs w:val="21"/>
                <w:highlight w:val="none"/>
              </w:rPr>
              <w:t>满足采购人培训要求。</w:t>
            </w:r>
          </w:p>
          <w:p w14:paraId="29226093">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二档（</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在满足一档的基础上，培训方案要点齐全、内容与要点相符、每个要点均有展开阐述但不够具体、有培训内容及时间安排、针对不同学科的课程课表、针对不同层次教师有不同的培训方案</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并</w:t>
            </w:r>
            <w:r>
              <w:rPr>
                <w:rFonts w:hint="eastAsia" w:ascii="宋体" w:hAnsi="宋体" w:eastAsia="宋体" w:cs="宋体"/>
                <w:color w:val="auto"/>
                <w:sz w:val="21"/>
                <w:szCs w:val="21"/>
                <w:highlight w:val="none"/>
              </w:rPr>
              <w:t>为采购人提供有专人指导的设备操作培训课程安排。</w:t>
            </w:r>
          </w:p>
          <w:p w14:paraId="0ACCC735">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三档（</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在满足二档的基础上，对培训内容有充分的理解，培训方案详细、具体，有针对性的培训内容、时间安排合理、科学详细，兼顾理论学习和实操训练。提供针对本项目培训资料（包括PPT、培训文档、文字材料、培训视频等材料）。承诺保证培训人员熟练掌握</w:t>
            </w:r>
            <w:r>
              <w:rPr>
                <w:rFonts w:hint="eastAsia" w:ascii="宋体" w:hAnsi="宋体" w:eastAsia="宋体" w:cs="宋体"/>
                <w:color w:val="auto"/>
                <w:sz w:val="21"/>
                <w:szCs w:val="21"/>
                <w:highlight w:val="none"/>
                <w:lang w:val="en-US" w:eastAsia="zh-CN"/>
              </w:rPr>
              <w:t>系统维护</w:t>
            </w:r>
            <w:r>
              <w:rPr>
                <w:rFonts w:hint="eastAsia" w:ascii="宋体" w:hAnsi="宋体" w:eastAsia="宋体" w:cs="宋体"/>
                <w:color w:val="auto"/>
                <w:sz w:val="21"/>
                <w:szCs w:val="21"/>
                <w:highlight w:val="none"/>
              </w:rPr>
              <w:t>及基本</w:t>
            </w:r>
            <w:r>
              <w:rPr>
                <w:rFonts w:hint="eastAsia" w:ascii="宋体" w:hAnsi="宋体" w:eastAsia="宋体" w:cs="宋体"/>
                <w:color w:val="auto"/>
                <w:sz w:val="21"/>
                <w:szCs w:val="21"/>
                <w:highlight w:val="none"/>
                <w:lang w:val="en-US" w:eastAsia="zh-CN"/>
              </w:rPr>
              <w:t>故障识别</w:t>
            </w:r>
            <w:r>
              <w:rPr>
                <w:rFonts w:hint="eastAsia" w:ascii="宋体" w:hAnsi="宋体" w:eastAsia="宋体" w:cs="宋体"/>
                <w:color w:val="auto"/>
                <w:sz w:val="21"/>
                <w:szCs w:val="21"/>
                <w:highlight w:val="none"/>
              </w:rPr>
              <w:t>等</w:t>
            </w:r>
            <w:r>
              <w:rPr>
                <w:rFonts w:hint="eastAsia" w:ascii="宋体" w:hAnsi="宋体" w:eastAsia="宋体" w:cs="宋体"/>
                <w:color w:val="auto"/>
                <w:sz w:val="21"/>
                <w:szCs w:val="21"/>
                <w:highlight w:val="none"/>
                <w:lang w:val="en-US" w:eastAsia="zh-CN"/>
              </w:rPr>
              <w:t>问题</w:t>
            </w:r>
            <w:r>
              <w:rPr>
                <w:rFonts w:hint="eastAsia" w:ascii="宋体" w:hAnsi="宋体" w:eastAsia="宋体" w:cs="宋体"/>
                <w:color w:val="auto"/>
                <w:sz w:val="21"/>
                <w:szCs w:val="21"/>
                <w:highlight w:val="none"/>
              </w:rPr>
              <w:t>。提供“培训+跟踪+复训”全流程服务，</w:t>
            </w:r>
            <w:r>
              <w:rPr>
                <w:rFonts w:hint="eastAsia" w:ascii="宋体" w:hAnsi="宋体" w:eastAsia="宋体" w:cs="宋体"/>
                <w:color w:val="auto"/>
                <w:sz w:val="21"/>
                <w:szCs w:val="21"/>
                <w:highlight w:val="none"/>
                <w:lang w:val="en-US" w:eastAsia="zh-CN"/>
              </w:rPr>
              <w:t>并有</w:t>
            </w:r>
            <w:r>
              <w:rPr>
                <w:rFonts w:hint="eastAsia" w:ascii="宋体" w:hAnsi="宋体" w:eastAsia="宋体" w:cs="宋体"/>
                <w:color w:val="auto"/>
                <w:sz w:val="21"/>
                <w:szCs w:val="21"/>
                <w:highlight w:val="none"/>
              </w:rPr>
              <w:t>开展教学效果回访培训承诺</w:t>
            </w:r>
            <w:r>
              <w:rPr>
                <w:rFonts w:hint="eastAsia" w:ascii="宋体" w:hAnsi="宋体" w:eastAsia="宋体" w:cs="宋体"/>
                <w:color w:val="auto"/>
                <w:sz w:val="21"/>
                <w:szCs w:val="21"/>
                <w:highlight w:val="none"/>
                <w:lang w:eastAsia="zh-CN"/>
              </w:rPr>
              <w:t>。</w:t>
            </w:r>
          </w:p>
        </w:tc>
      </w:tr>
      <w:tr w14:paraId="3BAC3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713" w:type="dxa"/>
            <w:vMerge w:val="continue"/>
            <w:noWrap w:val="0"/>
            <w:vAlign w:val="center"/>
          </w:tcPr>
          <w:p w14:paraId="71764656">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val="en-US" w:eastAsia="zh-CN"/>
              </w:rPr>
            </w:pPr>
          </w:p>
        </w:tc>
        <w:tc>
          <w:tcPr>
            <w:tcW w:w="1101" w:type="dxa"/>
            <w:vMerge w:val="continue"/>
            <w:noWrap w:val="0"/>
            <w:vAlign w:val="center"/>
          </w:tcPr>
          <w:p w14:paraId="42D9A542">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1259" w:type="dxa"/>
            <w:shd w:val="clear" w:color="auto" w:fill="auto"/>
            <w:noWrap w:val="0"/>
            <w:vAlign w:val="center"/>
          </w:tcPr>
          <w:p w14:paraId="46902501">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质保期（满分10分）</w:t>
            </w:r>
          </w:p>
        </w:tc>
        <w:tc>
          <w:tcPr>
            <w:tcW w:w="6253" w:type="dxa"/>
            <w:shd w:val="clear" w:color="auto" w:fill="auto"/>
            <w:noWrap w:val="0"/>
            <w:vAlign w:val="center"/>
          </w:tcPr>
          <w:p w14:paraId="2CB59058">
            <w:pPr>
              <w:pStyle w:val="101"/>
              <w:keepNext w:val="0"/>
              <w:keepLines w:val="0"/>
              <w:numPr>
                <w:ilvl w:val="0"/>
                <w:numId w:val="0"/>
              </w:numPr>
              <w:suppressLineNumbers w:val="0"/>
              <w:spacing w:before="172" w:beforeAutospacing="0" w:after="0" w:afterAutospacing="0" w:line="219" w:lineRule="auto"/>
              <w:ind w:left="0" w:leftChars="0" w:right="0" w:right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en-US" w:bidi="ar-SA"/>
              </w:rPr>
              <w:t>1.</w:t>
            </w:r>
            <w:r>
              <w:rPr>
                <w:rFonts w:hint="eastAsia" w:ascii="宋体" w:hAnsi="宋体" w:eastAsia="宋体" w:cs="宋体"/>
                <w:color w:val="auto"/>
                <w:kern w:val="2"/>
                <w:sz w:val="21"/>
                <w:szCs w:val="21"/>
                <w:highlight w:val="none"/>
                <w:lang w:val="en-US" w:eastAsia="zh-CN" w:bidi="ar-SA"/>
              </w:rPr>
              <w:t>质保期承诺:在满足招标文件规定的质保期（或运维服务期）最低年限要求的前提下，投标人承诺的超出年限每满一个整年得2分，不足一个整年的部分不计分，超出年限达到三个整年及以上的按满分6分计。</w:t>
            </w:r>
          </w:p>
          <w:p w14:paraId="15EDCF03">
            <w:pPr>
              <w:pStyle w:val="101"/>
              <w:keepNext w:val="0"/>
              <w:keepLines w:val="0"/>
              <w:numPr>
                <w:ilvl w:val="0"/>
                <w:numId w:val="0"/>
              </w:numPr>
              <w:suppressLineNumbers w:val="0"/>
              <w:spacing w:before="172" w:beforeAutospacing="0" w:after="0" w:afterAutospacing="0" w:line="219" w:lineRule="auto"/>
              <w:ind w:left="0" w:right="0" w:rightChars="0"/>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2.投标人承诺在质保期（或运维服务期）届满后提供免费软件版本升级（含功能更新及安全补丁）的，每承诺提供一次得2分，满分4分。</w:t>
            </w:r>
          </w:p>
          <w:p w14:paraId="3953B4DB">
            <w:pPr>
              <w:keepNext w:val="0"/>
              <w:keepLines w:val="0"/>
              <w:suppressLineNumbers w:val="0"/>
              <w:spacing w:before="0" w:beforeAutospacing="0" w:after="0" w:afterAutospacing="0" w:line="360" w:lineRule="auto"/>
              <w:ind w:left="0" w:leftChars="0" w:right="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注：投标人须在投标文件中提供能清晰体现上述内容的质保期（或运维服务期）承诺函扫描件(格式自拟),质保期（或运维服务期）承诺函须加盖投标人公章。</w:t>
            </w:r>
          </w:p>
        </w:tc>
      </w:tr>
      <w:tr w14:paraId="479DC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713" w:type="dxa"/>
            <w:vMerge w:val="continue"/>
            <w:noWrap w:val="0"/>
            <w:vAlign w:val="center"/>
          </w:tcPr>
          <w:p w14:paraId="0F9494D1">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val="en-US" w:eastAsia="zh-CN"/>
              </w:rPr>
            </w:pPr>
          </w:p>
        </w:tc>
        <w:tc>
          <w:tcPr>
            <w:tcW w:w="1101" w:type="dxa"/>
            <w:vMerge w:val="continue"/>
            <w:noWrap w:val="0"/>
            <w:vAlign w:val="center"/>
          </w:tcPr>
          <w:p w14:paraId="0232F602">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1259" w:type="dxa"/>
            <w:noWrap w:val="0"/>
            <w:vAlign w:val="center"/>
          </w:tcPr>
          <w:p w14:paraId="509E5895">
            <w:pPr>
              <w:keepNext w:val="0"/>
              <w:keepLines w:val="0"/>
              <w:suppressLineNumbers w:val="0"/>
              <w:spacing w:before="0" w:beforeAutospacing="0" w:after="0" w:afterAutospacing="0" w:line="360" w:lineRule="auto"/>
              <w:ind w:left="0" w:right="0"/>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val="en-US" w:eastAsia="zh-CN"/>
              </w:rPr>
              <w:t>信誉分（满分3分）</w:t>
            </w:r>
          </w:p>
        </w:tc>
        <w:tc>
          <w:tcPr>
            <w:tcW w:w="6253" w:type="dxa"/>
            <w:noWrap w:val="0"/>
            <w:vAlign w:val="center"/>
          </w:tcPr>
          <w:p w14:paraId="72C99ED0">
            <w:pPr>
              <w:keepNext w:val="0"/>
              <w:keepLines w:val="0"/>
              <w:suppressLineNumbers w:val="0"/>
              <w:spacing w:before="0" w:beforeAutospacing="0" w:after="0" w:afterAutospacing="0" w:line="360" w:lineRule="auto"/>
              <w:ind w:left="0" w:right="0"/>
              <w:jc w:val="left"/>
              <w:rPr>
                <w:rFonts w:hint="default"/>
                <w:color w:val="auto"/>
                <w:highlight w:val="none"/>
                <w:lang w:val="en-US"/>
              </w:rPr>
            </w:pPr>
            <w:r>
              <w:rPr>
                <w:rFonts w:hint="default"/>
                <w:color w:val="auto"/>
                <w:highlight w:val="none"/>
                <w:lang w:val="en-US"/>
              </w:rPr>
              <w:t>投标人或制造商具有相关管理体系认证（ISO9001质量管理体系认证、ISO14001环境管理体系认证、ISO45001职业健康安全管理体系认证）的，每提供一项得1分，满分3分。投标文件中须提供上述证书有效期内复印件并加盖投标人公章，否则不予计分。</w:t>
            </w:r>
          </w:p>
        </w:tc>
      </w:tr>
      <w:tr w14:paraId="5CE7B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713" w:type="dxa"/>
            <w:vMerge w:val="continue"/>
            <w:noWrap w:val="0"/>
            <w:vAlign w:val="center"/>
          </w:tcPr>
          <w:p w14:paraId="3EC18A90">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eastAsia="zh-CN"/>
              </w:rPr>
            </w:pPr>
          </w:p>
        </w:tc>
        <w:tc>
          <w:tcPr>
            <w:tcW w:w="1101" w:type="dxa"/>
            <w:vMerge w:val="continue"/>
            <w:noWrap w:val="0"/>
            <w:vAlign w:val="center"/>
          </w:tcPr>
          <w:p w14:paraId="0FF01AC6">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eastAsia="zh-CN"/>
              </w:rPr>
            </w:pPr>
          </w:p>
        </w:tc>
        <w:tc>
          <w:tcPr>
            <w:tcW w:w="1259" w:type="dxa"/>
            <w:noWrap w:val="0"/>
            <w:vAlign w:val="center"/>
          </w:tcPr>
          <w:p w14:paraId="31F2E353">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color w:val="auto"/>
                <w:sz w:val="21"/>
                <w:szCs w:val="21"/>
                <w:highlight w:val="none"/>
              </w:rPr>
              <w:t>业绩分</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满分10分</w:t>
            </w:r>
            <w:r>
              <w:rPr>
                <w:rFonts w:hint="eastAsia" w:ascii="宋体" w:hAnsi="宋体" w:cs="宋体"/>
                <w:color w:val="auto"/>
                <w:sz w:val="21"/>
                <w:szCs w:val="21"/>
                <w:highlight w:val="none"/>
                <w:lang w:eastAsia="zh-CN"/>
              </w:rPr>
              <w:t>）</w:t>
            </w:r>
          </w:p>
        </w:tc>
        <w:tc>
          <w:tcPr>
            <w:tcW w:w="6253" w:type="dxa"/>
            <w:noWrap w:val="0"/>
            <w:vAlign w:val="center"/>
          </w:tcPr>
          <w:p w14:paraId="2AA13168">
            <w:pPr>
              <w:pStyle w:val="11"/>
              <w:keepNext w:val="0"/>
              <w:keepLines w:val="0"/>
              <w:suppressLineNumbers w:val="0"/>
              <w:spacing w:before="0" w:beforeAutospacing="0" w:afterAutospacing="0" w:line="360" w:lineRule="auto"/>
              <w:ind w:left="0" w:right="0" w:firstLine="0" w:firstLine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投标人或投标产品制造商2023年7月至投标截止时间止承接的类似项目销售业绩（类似项目销售业绩是指包含1项或多项与投标产品相同的项目销售业绩。投标文件中提供有效的合同复印件并加盖投标人公章，合同复印件需要清晰体现出合同首页、采购内容和日期、盖章页。合同内容不全或不清晰和，不计分。），每份业绩得</w:t>
            </w:r>
            <w:r>
              <w:rPr>
                <w:rFonts w:hint="eastAsia" w:ascii="宋体" w:hAnsi="宋体" w:cs="宋体"/>
                <w:color w:val="auto"/>
                <w:kern w:val="2"/>
                <w:sz w:val="21"/>
                <w:szCs w:val="21"/>
                <w:highlight w:val="none"/>
                <w:lang w:val="en-US" w:eastAsia="zh-CN" w:bidi="ar-SA"/>
              </w:rPr>
              <w:t>2</w:t>
            </w:r>
            <w:r>
              <w:rPr>
                <w:rFonts w:hint="eastAsia" w:ascii="宋体" w:hAnsi="宋体" w:eastAsia="宋体" w:cs="宋体"/>
                <w:color w:val="auto"/>
                <w:kern w:val="2"/>
                <w:sz w:val="21"/>
                <w:szCs w:val="21"/>
                <w:highlight w:val="none"/>
                <w:lang w:val="en-US" w:eastAsia="zh-CN" w:bidi="ar-SA"/>
              </w:rPr>
              <w:t>分，满分</w:t>
            </w:r>
            <w:r>
              <w:rPr>
                <w:rFonts w:hint="eastAsia" w:ascii="宋体" w:hAnsi="宋体" w:cs="宋体"/>
                <w:color w:val="auto"/>
                <w:kern w:val="2"/>
                <w:sz w:val="21"/>
                <w:szCs w:val="21"/>
                <w:highlight w:val="none"/>
                <w:lang w:val="en-US" w:eastAsia="zh-CN" w:bidi="ar-SA"/>
              </w:rPr>
              <w:t>10</w:t>
            </w:r>
            <w:r>
              <w:rPr>
                <w:rFonts w:hint="eastAsia" w:ascii="宋体" w:hAnsi="宋体" w:eastAsia="宋体" w:cs="宋体"/>
                <w:color w:val="auto"/>
                <w:kern w:val="2"/>
                <w:sz w:val="21"/>
                <w:szCs w:val="21"/>
                <w:highlight w:val="none"/>
                <w:lang w:val="en-US" w:eastAsia="zh-CN" w:bidi="ar-SA"/>
              </w:rPr>
              <w:t>分。同一项目分多个合同签订的，只计分一次。</w:t>
            </w:r>
          </w:p>
        </w:tc>
      </w:tr>
      <w:tr w14:paraId="2A389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713" w:type="dxa"/>
            <w:noWrap w:val="0"/>
            <w:vAlign w:val="center"/>
          </w:tcPr>
          <w:p w14:paraId="57A1FCA3">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8613" w:type="dxa"/>
            <w:gridSpan w:val="3"/>
            <w:noWrap w:val="0"/>
            <w:vAlign w:val="center"/>
          </w:tcPr>
          <w:p w14:paraId="60054B07">
            <w:pPr>
              <w:pStyle w:val="11"/>
              <w:keepNext w:val="0"/>
              <w:keepLines w:val="0"/>
              <w:suppressLineNumbers w:val="0"/>
              <w:spacing w:before="0" w:beforeAutospacing="0" w:afterAutospacing="0" w:line="360" w:lineRule="auto"/>
              <w:ind w:left="0" w:right="0"/>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总得分=1+2+3</w:t>
            </w:r>
          </w:p>
        </w:tc>
      </w:tr>
    </w:tbl>
    <w:p w14:paraId="0698D396">
      <w:pPr>
        <w:pStyle w:val="14"/>
        <w:spacing w:line="360" w:lineRule="auto"/>
        <w:ind w:firstLine="315"/>
        <w:rPr>
          <w:rFonts w:hint="eastAsia" w:hAnsi="宋体"/>
          <w:bCs/>
          <w:color w:val="auto"/>
          <w:highlight w:val="none"/>
        </w:rPr>
      </w:pPr>
    </w:p>
    <w:p w14:paraId="624EB910">
      <w:pPr>
        <w:pStyle w:val="14"/>
        <w:spacing w:line="360" w:lineRule="auto"/>
        <w:ind w:firstLine="315"/>
        <w:rPr>
          <w:rFonts w:hAnsi="宋体"/>
          <w:bCs/>
          <w:color w:val="auto"/>
          <w:highlight w:val="none"/>
        </w:rPr>
      </w:pPr>
      <w:r>
        <w:rPr>
          <w:rFonts w:hint="eastAsia" w:hAnsi="宋体"/>
          <w:bCs/>
          <w:color w:val="auto"/>
          <w:highlight w:val="none"/>
        </w:rPr>
        <w:t>注：1.计分方法按四舍五入取至百分位；</w:t>
      </w:r>
    </w:p>
    <w:p w14:paraId="6094EF7F">
      <w:pPr>
        <w:rPr>
          <w:rFonts w:hint="eastAsia" w:ascii="Times New Roman" w:hAnsi="Times New Roman" w:eastAsia="宋体" w:cs="Times New Roman"/>
          <w:b/>
          <w:bCs/>
          <w:color w:val="auto"/>
          <w:kern w:val="2"/>
          <w:sz w:val="32"/>
          <w:szCs w:val="32"/>
          <w:highlight w:val="none"/>
          <w:lang w:val="en-US" w:eastAsia="zh-CN" w:bidi="ar-SA"/>
        </w:rPr>
      </w:pPr>
      <w:r>
        <w:rPr>
          <w:rFonts w:hint="eastAsia" w:hAnsi="宋体"/>
          <w:bCs/>
          <w:color w:val="auto"/>
          <w:highlight w:val="none"/>
        </w:rPr>
        <w:t xml:space="preserve">       </w:t>
      </w:r>
      <w:r>
        <w:rPr>
          <w:rFonts w:hint="eastAsia" w:asciiTheme="minorEastAsia" w:hAnsiTheme="minorEastAsia" w:eastAsiaTheme="minorEastAsia" w:cstheme="minorEastAsia"/>
          <w:bCs/>
          <w:color w:val="auto"/>
          <w:highlight w:val="none"/>
        </w:rPr>
        <w:t>2.因落实政府采购政策</w:t>
      </w:r>
      <w:r>
        <w:rPr>
          <w:rFonts w:hint="eastAsia" w:hAnsi="宋体"/>
          <w:bCs/>
          <w:color w:val="auto"/>
          <w:highlight w:val="none"/>
        </w:rPr>
        <w:t>进行价格调整的，以调整后的价格计算评标基准价。</w:t>
      </w:r>
    </w:p>
    <w:p w14:paraId="52E325F5">
      <w:pPr>
        <w:rPr>
          <w:rFonts w:hint="eastAsia" w:ascii="Times New Roman" w:hAnsi="Times New Roman" w:eastAsia="宋体" w:cs="Times New Roman"/>
          <w:b/>
          <w:bCs/>
          <w:color w:val="auto"/>
          <w:kern w:val="2"/>
          <w:sz w:val="32"/>
          <w:szCs w:val="32"/>
          <w:highlight w:val="none"/>
          <w:lang w:val="en-US" w:eastAsia="zh-CN" w:bidi="ar-SA"/>
        </w:rPr>
      </w:pPr>
    </w:p>
    <w:p w14:paraId="7EEC51F8">
      <w:pPr>
        <w:rPr>
          <w:rFonts w:hint="eastAsia" w:ascii="Times New Roman" w:hAnsi="Times New Roman" w:eastAsia="宋体" w:cs="Times New Roman"/>
          <w:b/>
          <w:bCs/>
          <w:color w:val="auto"/>
          <w:kern w:val="2"/>
          <w:sz w:val="32"/>
          <w:szCs w:val="32"/>
          <w:highlight w:val="none"/>
          <w:lang w:val="en-US" w:eastAsia="zh-CN" w:bidi="ar-SA"/>
        </w:rPr>
      </w:pPr>
      <w:r>
        <w:rPr>
          <w:rFonts w:hint="eastAsia" w:ascii="Times New Roman" w:hAnsi="Times New Roman" w:eastAsia="宋体" w:cs="Times New Roman"/>
          <w:b/>
          <w:bCs/>
          <w:color w:val="auto"/>
          <w:kern w:val="2"/>
          <w:sz w:val="32"/>
          <w:szCs w:val="32"/>
          <w:highlight w:val="none"/>
          <w:lang w:val="en-US" w:eastAsia="zh-CN" w:bidi="ar-SA"/>
        </w:rPr>
        <w:br w:type="page"/>
      </w:r>
    </w:p>
    <w:p w14:paraId="4C9E169C">
      <w:pPr>
        <w:jc w:val="center"/>
        <w:rPr>
          <w:rFonts w:hint="eastAsia" w:ascii="Times New Roman" w:hAnsi="Times New Roman" w:eastAsia="宋体" w:cs="Times New Roman"/>
          <w:b/>
          <w:bCs/>
          <w:color w:val="auto"/>
          <w:kern w:val="2"/>
          <w:sz w:val="32"/>
          <w:szCs w:val="32"/>
          <w:highlight w:val="none"/>
          <w:lang w:val="en-US" w:eastAsia="zh-CN" w:bidi="ar-SA"/>
        </w:rPr>
      </w:pPr>
      <w:r>
        <w:rPr>
          <w:rFonts w:hint="eastAsia" w:ascii="Times New Roman" w:hAnsi="Times New Roman" w:eastAsia="宋体" w:cs="Times New Roman"/>
          <w:b/>
          <w:bCs/>
          <w:color w:val="auto"/>
          <w:kern w:val="2"/>
          <w:sz w:val="32"/>
          <w:szCs w:val="32"/>
          <w:highlight w:val="none"/>
          <w:lang w:val="en-US" w:eastAsia="zh-CN" w:bidi="ar-SA"/>
        </w:rPr>
        <w:t>综合评分法（分标</w:t>
      </w:r>
      <w:r>
        <w:rPr>
          <w:rFonts w:hint="eastAsia" w:cs="Times New Roman"/>
          <w:b/>
          <w:bCs/>
          <w:color w:val="auto"/>
          <w:kern w:val="2"/>
          <w:sz w:val="32"/>
          <w:szCs w:val="32"/>
          <w:highlight w:val="none"/>
          <w:lang w:val="en-US" w:eastAsia="zh-CN" w:bidi="ar-SA"/>
        </w:rPr>
        <w:t>5</w:t>
      </w:r>
      <w:r>
        <w:rPr>
          <w:rFonts w:hint="eastAsia" w:ascii="Times New Roman" w:hAnsi="Times New Roman" w:eastAsia="宋体" w:cs="Times New Roman"/>
          <w:b/>
          <w:bCs/>
          <w:color w:val="auto"/>
          <w:kern w:val="2"/>
          <w:sz w:val="32"/>
          <w:szCs w:val="32"/>
          <w:highlight w:val="none"/>
          <w:lang w:val="en-US" w:eastAsia="zh-CN" w:bidi="ar-SA"/>
        </w:rPr>
        <w:t>）</w:t>
      </w:r>
    </w:p>
    <w:tbl>
      <w:tblPr>
        <w:tblStyle w:val="29"/>
        <w:tblpPr w:leftFromText="180" w:rightFromText="180" w:vertAnchor="text" w:horzAnchor="page" w:tblpX="1220" w:tblpY="656"/>
        <w:tblOverlap w:val="never"/>
        <w:tblW w:w="93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3"/>
        <w:gridCol w:w="1101"/>
        <w:gridCol w:w="1259"/>
        <w:gridCol w:w="6253"/>
      </w:tblGrid>
      <w:tr w14:paraId="4D46B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13" w:type="dxa"/>
            <w:noWrap w:val="0"/>
            <w:vAlign w:val="center"/>
          </w:tcPr>
          <w:p w14:paraId="38A742E8">
            <w:pPr>
              <w:keepNext w:val="0"/>
              <w:keepLines w:val="0"/>
              <w:suppressLineNumbers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rPr>
              <w:t>序号</w:t>
            </w:r>
          </w:p>
        </w:tc>
        <w:tc>
          <w:tcPr>
            <w:tcW w:w="1101" w:type="dxa"/>
            <w:noWrap w:val="0"/>
            <w:vAlign w:val="center"/>
          </w:tcPr>
          <w:p w14:paraId="033A0744">
            <w:pPr>
              <w:keepNext w:val="0"/>
              <w:keepLines w:val="0"/>
              <w:suppressLineNumbers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rPr>
              <w:t>评分类型</w:t>
            </w:r>
          </w:p>
        </w:tc>
        <w:tc>
          <w:tcPr>
            <w:tcW w:w="1259" w:type="dxa"/>
            <w:noWrap w:val="0"/>
            <w:vAlign w:val="center"/>
          </w:tcPr>
          <w:p w14:paraId="30E23DBF">
            <w:pPr>
              <w:keepNext w:val="0"/>
              <w:keepLines w:val="0"/>
              <w:suppressLineNumbers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rPr>
              <w:t>评审因素</w:t>
            </w:r>
          </w:p>
        </w:tc>
        <w:tc>
          <w:tcPr>
            <w:tcW w:w="6253" w:type="dxa"/>
            <w:noWrap w:val="0"/>
            <w:vAlign w:val="center"/>
          </w:tcPr>
          <w:p w14:paraId="5F4A1D39">
            <w:pPr>
              <w:keepNext w:val="0"/>
              <w:keepLines w:val="0"/>
              <w:suppressLineNumbers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rPr>
              <w:t>评标标准</w:t>
            </w:r>
          </w:p>
        </w:tc>
      </w:tr>
      <w:tr w14:paraId="40726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713" w:type="dxa"/>
            <w:noWrap w:val="0"/>
            <w:vAlign w:val="center"/>
          </w:tcPr>
          <w:p w14:paraId="3BB59BCD">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101" w:type="dxa"/>
            <w:noWrap w:val="0"/>
            <w:vAlign w:val="center"/>
          </w:tcPr>
          <w:p w14:paraId="0EDA5829">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价格分（</w:t>
            </w:r>
            <w:r>
              <w:rPr>
                <w:rFonts w:hint="eastAsia" w:ascii="宋体" w:hAnsi="宋体" w:cs="宋体"/>
                <w:color w:val="auto"/>
                <w:sz w:val="21"/>
                <w:szCs w:val="21"/>
                <w:highlight w:val="none"/>
                <w:lang w:val="en-US" w:eastAsia="zh-CN"/>
              </w:rPr>
              <w:t>满分</w:t>
            </w:r>
            <w:r>
              <w:rPr>
                <w:rFonts w:hint="eastAsia" w:ascii="宋体" w:hAnsi="宋体" w:eastAsia="宋体" w:cs="宋体"/>
                <w:color w:val="auto"/>
                <w:sz w:val="21"/>
                <w:szCs w:val="21"/>
                <w:highlight w:val="none"/>
                <w:lang w:val="en-US" w:eastAsia="zh-CN"/>
              </w:rPr>
              <w:t>30分</w:t>
            </w:r>
            <w:r>
              <w:rPr>
                <w:rFonts w:hint="eastAsia" w:ascii="宋体" w:hAnsi="宋体" w:eastAsia="宋体" w:cs="宋体"/>
                <w:color w:val="auto"/>
                <w:sz w:val="21"/>
                <w:szCs w:val="21"/>
                <w:highlight w:val="none"/>
                <w:lang w:eastAsia="zh-CN"/>
              </w:rPr>
              <w:t>）</w:t>
            </w:r>
          </w:p>
        </w:tc>
        <w:tc>
          <w:tcPr>
            <w:tcW w:w="1259" w:type="dxa"/>
            <w:noWrap w:val="0"/>
            <w:vAlign w:val="center"/>
          </w:tcPr>
          <w:p w14:paraId="6AE03B95">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价格分（</w:t>
            </w:r>
            <w:r>
              <w:rPr>
                <w:rFonts w:hint="eastAsia" w:ascii="宋体" w:hAnsi="宋体" w:eastAsia="宋体" w:cs="宋体"/>
                <w:color w:val="auto"/>
                <w:sz w:val="21"/>
                <w:szCs w:val="21"/>
                <w:highlight w:val="none"/>
                <w:lang w:val="en-US" w:eastAsia="zh-CN"/>
              </w:rPr>
              <w:t>30分</w:t>
            </w:r>
            <w:r>
              <w:rPr>
                <w:rFonts w:hint="eastAsia" w:ascii="宋体" w:hAnsi="宋体" w:eastAsia="宋体" w:cs="宋体"/>
                <w:color w:val="auto"/>
                <w:sz w:val="21"/>
                <w:szCs w:val="21"/>
                <w:highlight w:val="none"/>
                <w:lang w:eastAsia="zh-CN"/>
              </w:rPr>
              <w:t>）</w:t>
            </w:r>
          </w:p>
        </w:tc>
        <w:tc>
          <w:tcPr>
            <w:tcW w:w="6253" w:type="dxa"/>
            <w:noWrap w:val="0"/>
            <w:vAlign w:val="center"/>
          </w:tcPr>
          <w:p w14:paraId="27B3F822">
            <w:pPr>
              <w:keepNext w:val="0"/>
              <w:keepLines w:val="0"/>
              <w:suppressLineNumbers w:val="0"/>
              <w:snapToGrid w:val="0"/>
              <w:spacing w:before="0" w:beforeAutospacing="0" w:after="0" w:afterAutospacing="0" w:line="360" w:lineRule="auto"/>
              <w:ind w:left="0" w:right="0" w:firstLine="233" w:firstLineChars="111"/>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（1）评标报价为投标人的投标报价进行政策性扣除后的价格，评标报价只是作为评标时使用。最终中标人的中标金额等于投标报价。</w:t>
            </w:r>
          </w:p>
          <w:p w14:paraId="2F34186D">
            <w:pPr>
              <w:keepNext w:val="0"/>
              <w:keepLines w:val="0"/>
              <w:suppressLineNumbers w:val="0"/>
              <w:snapToGrid w:val="0"/>
              <w:spacing w:before="0" w:beforeAutospacing="0" w:after="0" w:afterAutospacing="0" w:line="360" w:lineRule="auto"/>
              <w:ind w:left="0" w:right="0" w:firstLine="233" w:firstLineChars="111"/>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rPr>
              <w:t>（2）政策性扣除计算方法</w:t>
            </w:r>
            <w:r>
              <w:rPr>
                <w:rFonts w:hint="eastAsia" w:ascii="宋体" w:hAnsi="宋体" w:cs="宋体"/>
                <w:bCs/>
                <w:color w:val="auto"/>
                <w:sz w:val="21"/>
                <w:szCs w:val="21"/>
                <w:highlight w:val="none"/>
                <w:lang w:eastAsia="zh-CN"/>
              </w:rPr>
              <w:t>：</w:t>
            </w:r>
          </w:p>
          <w:p w14:paraId="2BA5CDA4">
            <w:pPr>
              <w:keepNext w:val="0"/>
              <w:keepLines w:val="0"/>
              <w:suppressLineNumbers w:val="0"/>
              <w:snapToGrid w:val="0"/>
              <w:spacing w:before="0" w:beforeAutospacing="0" w:after="0" w:afterAutospacing="0" w:line="360" w:lineRule="auto"/>
              <w:ind w:left="0" w:right="0" w:firstLine="233" w:firstLineChars="111"/>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①根据《政府采购促进中小企业发展管理办法》（财库〔2020〕46号）及《广西壮族自治区财政厅关于持续优化政府采购营商环境推动高质量发展的通知》（桂财采〔2024〕55号）的规定，投标人在其投标文件中提供《中小企业声明函》，且其投标全部货物由小微企业制造的，对其投标报价给予10%的扣除，扣除后的价格为评标报价，即评标报价=投标报价×（1-10%）。除上述情况外，评标报价=投标报价。</w:t>
            </w:r>
          </w:p>
          <w:p w14:paraId="6970FD78">
            <w:pPr>
              <w:keepNext w:val="0"/>
              <w:keepLines w:val="0"/>
              <w:suppressLineNumbers w:val="0"/>
              <w:snapToGrid w:val="0"/>
              <w:spacing w:before="0" w:beforeAutospacing="0" w:after="0" w:afterAutospacing="0" w:line="360" w:lineRule="auto"/>
              <w:ind w:left="0" w:right="0" w:firstLine="233" w:firstLineChars="111"/>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②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14:paraId="0979ED56">
            <w:pPr>
              <w:keepNext w:val="0"/>
              <w:keepLines w:val="0"/>
              <w:suppressLineNumbers w:val="0"/>
              <w:snapToGrid w:val="0"/>
              <w:spacing w:before="0" w:beforeAutospacing="0" w:after="0" w:afterAutospacing="0" w:line="360" w:lineRule="auto"/>
              <w:ind w:left="0" w:right="0" w:firstLine="233" w:firstLineChars="111"/>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③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33D414E3">
            <w:pPr>
              <w:keepNext w:val="0"/>
              <w:keepLines w:val="0"/>
              <w:suppressLineNumbers w:val="0"/>
              <w:snapToGrid w:val="0"/>
              <w:spacing w:before="0" w:beforeAutospacing="0" w:after="0" w:afterAutospacing="0" w:line="360" w:lineRule="auto"/>
              <w:ind w:left="0" w:right="0" w:firstLine="233" w:firstLineChars="111"/>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rPr>
              <w:t>④按照</w:t>
            </w:r>
            <w:r>
              <w:rPr>
                <w:rFonts w:hint="eastAsia" w:ascii="宋体" w:hAnsi="宋体" w:eastAsia="宋体" w:cs="宋体"/>
                <w:color w:val="auto"/>
                <w:highlight w:val="none"/>
              </w:rPr>
              <w:t>《国务院办公厅关于在政府采购中实施本国产品标准及相关政策的通</w:t>
            </w:r>
            <w:r>
              <w:rPr>
                <w:rFonts w:hint="eastAsia" w:ascii="宋体" w:hAnsi="宋体" w:cs="宋体"/>
                <w:color w:val="auto"/>
                <w:highlight w:val="none"/>
              </w:rPr>
              <w:t>知》（国办发〔2025〕34号）</w:t>
            </w:r>
            <w:r>
              <w:rPr>
                <w:rFonts w:hint="eastAsia" w:ascii="宋体" w:hAnsi="宋体" w:eastAsia="宋体" w:cs="宋体"/>
                <w:bCs/>
                <w:color w:val="auto"/>
                <w:sz w:val="21"/>
                <w:szCs w:val="21"/>
                <w:highlight w:val="none"/>
              </w:rPr>
              <w:t>的规定，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扣除后的价格为评标报价，即评标报价=投标报价×（1-</w:t>
            </w:r>
            <w:r>
              <w:rPr>
                <w:rFonts w:hint="eastAsia" w:ascii="宋体" w:hAnsi="宋体" w:eastAsia="宋体" w:cs="宋体"/>
                <w:bCs/>
                <w:color w:val="auto"/>
                <w:sz w:val="21"/>
                <w:szCs w:val="21"/>
                <w:highlight w:val="none"/>
                <w:lang w:val="en-US" w:eastAsia="zh-CN"/>
              </w:rPr>
              <w:t>2</w:t>
            </w:r>
            <w:r>
              <w:rPr>
                <w:rFonts w:hint="eastAsia" w:ascii="宋体" w:hAnsi="宋体" w:eastAsia="宋体" w:cs="宋体"/>
                <w:bCs/>
                <w:color w:val="auto"/>
                <w:sz w:val="21"/>
                <w:szCs w:val="21"/>
                <w:highlight w:val="none"/>
              </w:rPr>
              <w:t>0%）。供应商在其投标文件中提供《关于符合本国产品标准的声明函》或财政部会同有关部门规定的有关证明文件，该产品视为本国产品。供应商对声明</w:t>
            </w:r>
            <w:r>
              <w:rPr>
                <w:rFonts w:hint="eastAsia" w:ascii="宋体" w:hAnsi="宋体" w:eastAsia="宋体" w:cs="宋体"/>
                <w:bCs/>
                <w:color w:val="auto"/>
                <w:sz w:val="21"/>
                <w:szCs w:val="21"/>
                <w:highlight w:val="none"/>
                <w:lang w:eastAsia="zh-CN"/>
              </w:rPr>
              <w:t>及证明文件</w:t>
            </w:r>
            <w:r>
              <w:rPr>
                <w:rFonts w:hint="eastAsia" w:ascii="宋体" w:hAnsi="宋体" w:eastAsia="宋体" w:cs="宋体"/>
                <w:bCs/>
                <w:color w:val="auto"/>
                <w:sz w:val="21"/>
                <w:szCs w:val="21"/>
                <w:highlight w:val="none"/>
              </w:rPr>
              <w:t>的真实性负责</w:t>
            </w:r>
            <w:r>
              <w:rPr>
                <w:rFonts w:hint="eastAsia" w:ascii="宋体" w:hAnsi="宋体" w:eastAsia="宋体" w:cs="宋体"/>
                <w:bCs/>
                <w:color w:val="auto"/>
                <w:sz w:val="21"/>
                <w:szCs w:val="21"/>
                <w:highlight w:val="none"/>
                <w:lang w:eastAsia="zh-CN"/>
              </w:rPr>
              <w:t>。</w:t>
            </w:r>
          </w:p>
          <w:p w14:paraId="1C3F7531">
            <w:pPr>
              <w:keepNext w:val="0"/>
              <w:keepLines w:val="0"/>
              <w:suppressLineNumbers w:val="0"/>
              <w:snapToGrid w:val="0"/>
              <w:spacing w:before="0" w:beforeAutospacing="0" w:after="0" w:afterAutospacing="0" w:line="360" w:lineRule="auto"/>
              <w:ind w:left="0" w:right="0" w:firstLine="443" w:firstLineChars="211"/>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⑤供应商享受小微企业价格扣除政策的，可重复享受</w:t>
            </w:r>
            <w:r>
              <w:rPr>
                <w:rFonts w:hint="eastAsia" w:ascii="宋体" w:hAnsi="宋体" w:cs="宋体"/>
                <w:color w:val="auto"/>
                <w:highlight w:val="none"/>
              </w:rPr>
              <w:t>本国产品</w:t>
            </w:r>
            <w:r>
              <w:rPr>
                <w:rFonts w:hint="eastAsia" w:ascii="宋体" w:hAnsi="宋体" w:cs="宋体"/>
                <w:color w:val="auto"/>
                <w:highlight w:val="none"/>
                <w:lang w:eastAsia="zh-CN"/>
              </w:rPr>
              <w:t>价格扣除政策，即</w:t>
            </w:r>
            <w:r>
              <w:rPr>
                <w:rFonts w:hint="eastAsia" w:ascii="宋体" w:hAnsi="宋体" w:eastAsia="宋体" w:cs="宋体"/>
                <w:bCs/>
                <w:color w:val="auto"/>
                <w:sz w:val="21"/>
                <w:szCs w:val="21"/>
                <w:highlight w:val="none"/>
              </w:rPr>
              <w:t>评标报价</w:t>
            </w:r>
            <w:r>
              <w:rPr>
                <w:rFonts w:hint="eastAsia" w:ascii="宋体" w:hAnsi="宋体" w:cs="宋体"/>
                <w:color w:val="auto"/>
                <w:highlight w:val="none"/>
                <w:lang w:eastAsia="zh-CN"/>
              </w:rPr>
              <w:t>=投标报价</w:t>
            </w:r>
            <w:r>
              <w:rPr>
                <w:rFonts w:hint="eastAsia" w:ascii="宋体" w:hAnsi="宋体" w:eastAsia="宋体" w:cs="宋体"/>
                <w:bCs/>
                <w:color w:val="auto"/>
                <w:sz w:val="21"/>
                <w:szCs w:val="21"/>
                <w:highlight w:val="none"/>
              </w:rPr>
              <w:t>×</w:t>
            </w:r>
            <w:r>
              <w:rPr>
                <w:rFonts w:hint="eastAsia" w:ascii="宋体" w:hAnsi="宋体" w:cs="宋体"/>
                <w:color w:val="auto"/>
                <w:highlight w:val="none"/>
                <w:lang w:eastAsia="zh-CN"/>
              </w:rPr>
              <w:t>（</w:t>
            </w:r>
            <w:r>
              <w:rPr>
                <w:rFonts w:hint="eastAsia" w:ascii="宋体" w:hAnsi="宋体" w:cs="宋体"/>
                <w:color w:val="auto"/>
                <w:highlight w:val="none"/>
                <w:lang w:val="en-US" w:eastAsia="zh-CN"/>
              </w:rPr>
              <w:t>1－</w:t>
            </w:r>
            <w:r>
              <w:rPr>
                <w:rFonts w:hint="eastAsia" w:ascii="宋体" w:hAnsi="宋体" w:eastAsia="宋体" w:cs="宋体"/>
                <w:bCs/>
                <w:color w:val="auto"/>
                <w:sz w:val="21"/>
                <w:szCs w:val="21"/>
                <w:highlight w:val="none"/>
                <w:lang w:val="en-US" w:eastAsia="zh-CN"/>
              </w:rPr>
              <w:t>小微企业</w:t>
            </w:r>
            <w:r>
              <w:rPr>
                <w:rFonts w:hint="eastAsia" w:ascii="宋体" w:hAnsi="宋体" w:cs="宋体"/>
                <w:color w:val="auto"/>
                <w:highlight w:val="none"/>
                <w:lang w:eastAsia="zh-CN"/>
              </w:rPr>
              <w:t>价格</w:t>
            </w:r>
            <w:r>
              <w:rPr>
                <w:rFonts w:hint="eastAsia" w:ascii="宋体" w:hAnsi="宋体" w:eastAsia="宋体" w:cs="宋体"/>
                <w:bCs/>
                <w:color w:val="auto"/>
                <w:sz w:val="21"/>
                <w:szCs w:val="21"/>
                <w:highlight w:val="none"/>
                <w:lang w:val="en-US" w:eastAsia="zh-CN"/>
              </w:rPr>
              <w:t>扣除比例</w:t>
            </w:r>
            <w:r>
              <w:rPr>
                <w:rFonts w:hint="eastAsia" w:ascii="宋体" w:hAnsi="宋体" w:cs="宋体"/>
                <w:color w:val="auto"/>
                <w:highlight w:val="none"/>
                <w:lang w:eastAsia="zh-CN"/>
              </w:rPr>
              <w:t>-</w:t>
            </w:r>
            <w:r>
              <w:rPr>
                <w:rFonts w:hint="eastAsia" w:ascii="宋体" w:hAnsi="宋体" w:cs="宋体"/>
                <w:color w:val="auto"/>
                <w:highlight w:val="none"/>
                <w:lang w:val="en-US" w:eastAsia="zh-CN"/>
              </w:rPr>
              <w:t>本国产品</w:t>
            </w:r>
            <w:r>
              <w:rPr>
                <w:rFonts w:hint="eastAsia" w:ascii="宋体" w:hAnsi="宋体" w:cs="宋体"/>
                <w:color w:val="auto"/>
                <w:highlight w:val="none"/>
                <w:lang w:eastAsia="zh-CN"/>
              </w:rPr>
              <w:t>价格</w:t>
            </w:r>
            <w:r>
              <w:rPr>
                <w:rFonts w:hint="eastAsia" w:ascii="宋体" w:hAnsi="宋体" w:cs="宋体"/>
                <w:color w:val="auto"/>
                <w:highlight w:val="none"/>
                <w:lang w:val="en-US" w:eastAsia="zh-CN"/>
              </w:rPr>
              <w:t>扣除比例</w:t>
            </w:r>
            <w:r>
              <w:rPr>
                <w:rFonts w:hint="eastAsia" w:ascii="宋体" w:hAnsi="宋体" w:cs="宋体"/>
                <w:color w:val="auto"/>
                <w:highlight w:val="none"/>
                <w:lang w:eastAsia="zh-CN"/>
              </w:rPr>
              <w:t>），除上述情况外，</w:t>
            </w:r>
            <w:r>
              <w:rPr>
                <w:rFonts w:hint="eastAsia" w:ascii="宋体" w:hAnsi="宋体" w:eastAsia="宋体" w:cs="宋体"/>
                <w:bCs/>
                <w:color w:val="auto"/>
                <w:sz w:val="21"/>
                <w:szCs w:val="21"/>
                <w:highlight w:val="none"/>
              </w:rPr>
              <w:t>评标报价</w:t>
            </w:r>
            <w:r>
              <w:rPr>
                <w:rFonts w:hint="eastAsia" w:ascii="宋体" w:hAnsi="宋体" w:cs="宋体"/>
                <w:color w:val="auto"/>
                <w:highlight w:val="none"/>
                <w:lang w:eastAsia="zh-CN"/>
              </w:rPr>
              <w:t>=投标报价。</w:t>
            </w:r>
          </w:p>
          <w:p w14:paraId="108B8D44">
            <w:pPr>
              <w:keepNext w:val="0"/>
              <w:keepLines w:val="0"/>
              <w:suppressLineNumbers w:val="0"/>
              <w:snapToGrid w:val="0"/>
              <w:spacing w:before="0" w:beforeAutospacing="0" w:after="0" w:afterAutospacing="0" w:line="360" w:lineRule="auto"/>
              <w:ind w:left="0" w:right="0" w:firstLine="233" w:firstLineChars="111"/>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w:t>
            </w:r>
            <w:r>
              <w:rPr>
                <w:rFonts w:hint="eastAsia" w:ascii="宋体" w:hAnsi="宋体" w:eastAsia="宋体" w:cs="宋体"/>
                <w:bCs/>
                <w:color w:val="auto"/>
                <w:sz w:val="21"/>
                <w:szCs w:val="21"/>
                <w:highlight w:val="none"/>
                <w:lang w:val="en-US" w:eastAsia="zh-CN"/>
              </w:rPr>
              <w:t>3</w:t>
            </w:r>
            <w:r>
              <w:rPr>
                <w:rFonts w:hint="eastAsia" w:ascii="宋体" w:hAnsi="宋体" w:eastAsia="宋体" w:cs="宋体"/>
                <w:bCs/>
                <w:color w:val="auto"/>
                <w:sz w:val="21"/>
                <w:szCs w:val="21"/>
                <w:highlight w:val="none"/>
              </w:rPr>
              <w:t>）满足招标文件要求且评标报价最低的为评标基准价，其价格分为满分。</w:t>
            </w:r>
          </w:p>
          <w:p w14:paraId="0D5AEBFD">
            <w:pPr>
              <w:keepNext w:val="0"/>
              <w:keepLines w:val="0"/>
              <w:suppressLineNumbers w:val="0"/>
              <w:spacing w:before="0" w:beforeAutospacing="0" w:after="0" w:afterAutospacing="0" w:line="360" w:lineRule="auto"/>
              <w:ind w:left="0" w:right="0" w:firstLine="233" w:firstLineChars="111"/>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w:t>
            </w:r>
            <w:r>
              <w:rPr>
                <w:rFonts w:hint="eastAsia" w:ascii="宋体" w:hAnsi="宋体" w:cs="宋体"/>
                <w:bCs/>
                <w:color w:val="auto"/>
                <w:sz w:val="21"/>
                <w:szCs w:val="21"/>
                <w:highlight w:val="none"/>
                <w:lang w:val="en-US" w:eastAsia="zh-CN"/>
              </w:rPr>
              <w:t>4</w:t>
            </w:r>
            <w:r>
              <w:rPr>
                <w:rFonts w:hint="eastAsia" w:ascii="宋体" w:hAnsi="宋体" w:eastAsia="宋体" w:cs="宋体"/>
                <w:bCs/>
                <w:color w:val="auto"/>
                <w:sz w:val="21"/>
                <w:szCs w:val="21"/>
                <w:highlight w:val="none"/>
              </w:rPr>
              <w:t xml:space="preserve">）价格分计算公式：        </w:t>
            </w:r>
          </w:p>
          <w:p w14:paraId="49940529">
            <w:pPr>
              <w:keepNext w:val="0"/>
              <w:keepLines w:val="0"/>
              <w:suppressLineNumbers w:val="0"/>
              <w:bidi w:val="0"/>
              <w:spacing w:before="0" w:beforeAutospacing="0" w:after="0" w:afterAutospacing="0" w:line="360" w:lineRule="auto"/>
              <w:ind w:left="0" w:right="0" w:firstLine="420" w:firstLineChars="200"/>
              <w:jc w:val="both"/>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价格分=（评标基准价/评标报价）×</w:t>
            </w:r>
            <w:r>
              <w:rPr>
                <w:rFonts w:hint="eastAsia" w:ascii="宋体" w:hAnsi="宋体" w:eastAsia="宋体" w:cs="宋体"/>
                <w:bCs/>
                <w:color w:val="auto"/>
                <w:sz w:val="21"/>
                <w:szCs w:val="21"/>
                <w:highlight w:val="none"/>
                <w:u w:val="none"/>
              </w:rPr>
              <w:t>30</w:t>
            </w:r>
            <w:r>
              <w:rPr>
                <w:rFonts w:hint="eastAsia" w:ascii="宋体" w:hAnsi="宋体" w:eastAsia="宋体" w:cs="宋体"/>
                <w:bCs/>
                <w:color w:val="auto"/>
                <w:sz w:val="21"/>
                <w:szCs w:val="21"/>
                <w:highlight w:val="none"/>
              </w:rPr>
              <w:t>分</w:t>
            </w:r>
          </w:p>
        </w:tc>
      </w:tr>
      <w:tr w14:paraId="763E4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713" w:type="dxa"/>
            <w:vMerge w:val="restart"/>
            <w:noWrap w:val="0"/>
            <w:vAlign w:val="center"/>
          </w:tcPr>
          <w:p w14:paraId="64058AB7">
            <w:pPr>
              <w:keepNext w:val="0"/>
              <w:keepLines w:val="0"/>
              <w:suppressLineNumbers w:val="0"/>
              <w:bidi w:val="0"/>
              <w:spacing w:before="0" w:beforeAutospacing="0" w:after="0" w:afterAutospacing="0" w:line="360" w:lineRule="auto"/>
              <w:ind w:left="0"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p>
        </w:tc>
        <w:tc>
          <w:tcPr>
            <w:tcW w:w="1101" w:type="dxa"/>
            <w:vMerge w:val="restart"/>
            <w:noWrap w:val="0"/>
            <w:vAlign w:val="center"/>
          </w:tcPr>
          <w:p w14:paraId="1A9609E1">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技术分</w:t>
            </w:r>
            <w:r>
              <w:rPr>
                <w:rFonts w:hint="eastAsia" w:ascii="宋体" w:hAnsi="宋体" w:cs="宋体"/>
                <w:b w:val="0"/>
                <w:bCs w:val="0"/>
                <w:color w:val="auto"/>
                <w:sz w:val="21"/>
                <w:szCs w:val="21"/>
                <w:highlight w:val="none"/>
                <w:lang w:eastAsia="zh-CN"/>
              </w:rPr>
              <w:t>（</w:t>
            </w:r>
            <w:r>
              <w:rPr>
                <w:rFonts w:hint="eastAsia" w:ascii="宋体" w:hAnsi="宋体" w:cs="宋体"/>
                <w:color w:val="auto"/>
                <w:sz w:val="21"/>
                <w:szCs w:val="21"/>
                <w:highlight w:val="none"/>
                <w:lang w:val="en-US" w:eastAsia="zh-CN"/>
              </w:rPr>
              <w:t>满分27</w:t>
            </w:r>
            <w:r>
              <w:rPr>
                <w:rFonts w:hint="eastAsia" w:ascii="宋体" w:hAnsi="宋体" w:cs="宋体"/>
                <w:b w:val="0"/>
                <w:bCs w:val="0"/>
                <w:color w:val="auto"/>
                <w:sz w:val="21"/>
                <w:szCs w:val="21"/>
                <w:highlight w:val="none"/>
                <w:lang w:val="en-US" w:eastAsia="zh-CN"/>
              </w:rPr>
              <w:t>分</w:t>
            </w:r>
            <w:r>
              <w:rPr>
                <w:rFonts w:hint="eastAsia" w:ascii="宋体" w:hAnsi="宋体" w:cs="宋体"/>
                <w:b w:val="0"/>
                <w:bCs w:val="0"/>
                <w:color w:val="auto"/>
                <w:sz w:val="21"/>
                <w:szCs w:val="21"/>
                <w:highlight w:val="none"/>
                <w:lang w:eastAsia="zh-CN"/>
              </w:rPr>
              <w:t>）</w:t>
            </w:r>
          </w:p>
        </w:tc>
        <w:tc>
          <w:tcPr>
            <w:tcW w:w="1259" w:type="dxa"/>
            <w:noWrap w:val="0"/>
            <w:vAlign w:val="center"/>
          </w:tcPr>
          <w:p w14:paraId="1A6803F4">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技术参数</w:t>
            </w:r>
            <w:r>
              <w:rPr>
                <w:rFonts w:hint="eastAsia" w:ascii="宋体" w:hAnsi="宋体" w:cs="宋体"/>
                <w:color w:val="auto"/>
                <w:sz w:val="21"/>
                <w:szCs w:val="21"/>
                <w:highlight w:val="none"/>
                <w:lang w:eastAsia="zh-CN"/>
              </w:rPr>
              <w:t>响应</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r>
              <w:rPr>
                <w:rFonts w:hint="eastAsia" w:ascii="宋体" w:hAnsi="宋体" w:cs="宋体"/>
                <w:color w:val="auto"/>
                <w:sz w:val="21"/>
                <w:szCs w:val="21"/>
                <w:highlight w:val="none"/>
                <w:lang w:val="en-US" w:eastAsia="zh-CN"/>
              </w:rPr>
              <w:t>15</w:t>
            </w:r>
            <w:r>
              <w:rPr>
                <w:rFonts w:hint="eastAsia" w:ascii="宋体" w:hAnsi="宋体" w:eastAsia="宋体" w:cs="宋体"/>
                <w:color w:val="auto"/>
                <w:sz w:val="21"/>
                <w:szCs w:val="21"/>
                <w:highlight w:val="none"/>
                <w:lang w:val="en-US" w:eastAsia="zh-CN"/>
              </w:rPr>
              <w:t>分</w:t>
            </w:r>
            <w:r>
              <w:rPr>
                <w:rFonts w:hint="eastAsia" w:ascii="宋体" w:hAnsi="宋体" w:eastAsia="宋体" w:cs="宋体"/>
                <w:color w:val="auto"/>
                <w:sz w:val="21"/>
                <w:szCs w:val="21"/>
                <w:highlight w:val="none"/>
                <w:lang w:eastAsia="zh-CN"/>
              </w:rPr>
              <w:t>）</w:t>
            </w:r>
          </w:p>
        </w:tc>
        <w:tc>
          <w:tcPr>
            <w:tcW w:w="6253" w:type="dxa"/>
            <w:noWrap w:val="0"/>
            <w:vAlign w:val="center"/>
          </w:tcPr>
          <w:p w14:paraId="4C69C6CE">
            <w:pPr>
              <w:keepNext w:val="0"/>
              <w:keepLines w:val="0"/>
              <w:suppressLineNumbers w:val="0"/>
              <w:snapToGrid w:val="0"/>
              <w:spacing w:before="0" w:beforeAutospacing="0" w:after="0" w:afterAutospacing="0" w:line="400" w:lineRule="exact"/>
              <w:ind w:left="0" w:right="0"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经评委评审，投标人的投标文件对招标文件第二章“技术参数及性能（配置）要求”完全响应且无任何负偏离或漏项的，得基础分15分；</w:t>
            </w:r>
            <w:r>
              <w:rPr>
                <w:rFonts w:hint="eastAsia" w:ascii="宋体" w:hAnsi="宋体" w:cs="宋体"/>
                <w:color w:val="auto"/>
                <w:sz w:val="21"/>
                <w:szCs w:val="21"/>
                <w:highlight w:val="none"/>
                <w:lang w:val="en-US" w:eastAsia="zh-CN"/>
              </w:rPr>
              <w:t>一般参数</w:t>
            </w:r>
            <w:r>
              <w:rPr>
                <w:rFonts w:hint="eastAsia" w:ascii="宋体" w:hAnsi="宋体" w:eastAsia="宋体" w:cs="宋体"/>
                <w:color w:val="auto"/>
                <w:sz w:val="21"/>
                <w:szCs w:val="21"/>
                <w:highlight w:val="none"/>
                <w:lang w:val="en-US" w:eastAsia="zh-CN"/>
              </w:rPr>
              <w:t>不满足第二章“技术参数及性能（配置）要求”一般参数项要求的，即存在负偏离或存在漏项的，每一项扣3分，扣完为止。</w:t>
            </w:r>
          </w:p>
        </w:tc>
      </w:tr>
      <w:tr w14:paraId="63BA6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3" w:type="dxa"/>
            <w:vMerge w:val="continue"/>
            <w:noWrap w:val="0"/>
            <w:vAlign w:val="center"/>
          </w:tcPr>
          <w:p w14:paraId="52AF5343">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eastAsia="zh-CN"/>
              </w:rPr>
            </w:pPr>
          </w:p>
        </w:tc>
        <w:tc>
          <w:tcPr>
            <w:tcW w:w="1101" w:type="dxa"/>
            <w:vMerge w:val="continue"/>
            <w:noWrap w:val="0"/>
            <w:vAlign w:val="center"/>
          </w:tcPr>
          <w:p w14:paraId="69EDAB29">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eastAsia="zh-CN"/>
              </w:rPr>
            </w:pPr>
          </w:p>
        </w:tc>
        <w:tc>
          <w:tcPr>
            <w:tcW w:w="1259" w:type="dxa"/>
            <w:noWrap w:val="0"/>
            <w:vAlign w:val="center"/>
          </w:tcPr>
          <w:p w14:paraId="06967D14">
            <w:pPr>
              <w:keepNext w:val="0"/>
              <w:keepLines w:val="0"/>
              <w:suppressLineNumbers w:val="0"/>
              <w:spacing w:before="0" w:beforeAutospacing="0" w:after="0" w:afterAutospacing="0" w:line="360" w:lineRule="auto"/>
              <w:ind w:left="0" w:right="0"/>
              <w:jc w:val="both"/>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项目</w:t>
            </w:r>
            <w:r>
              <w:rPr>
                <w:rFonts w:hint="eastAsia" w:ascii="宋体" w:hAnsi="宋体" w:eastAsia="宋体" w:cs="宋体"/>
                <w:color w:val="auto"/>
                <w:sz w:val="21"/>
                <w:szCs w:val="21"/>
                <w:highlight w:val="none"/>
              </w:rPr>
              <w:t>实施方案分（满分</w:t>
            </w:r>
            <w:r>
              <w:rPr>
                <w:rFonts w:hint="eastAsia" w:ascii="宋体" w:hAnsi="宋体" w:cs="宋体"/>
                <w:color w:val="auto"/>
                <w:sz w:val="21"/>
                <w:szCs w:val="21"/>
                <w:highlight w:val="none"/>
                <w:lang w:val="en-US" w:eastAsia="zh-CN"/>
              </w:rPr>
              <w:t>12</w:t>
            </w:r>
            <w:r>
              <w:rPr>
                <w:rFonts w:hint="eastAsia" w:ascii="宋体" w:hAnsi="宋体" w:eastAsia="宋体" w:cs="宋体"/>
                <w:color w:val="auto"/>
                <w:sz w:val="21"/>
                <w:szCs w:val="21"/>
                <w:highlight w:val="none"/>
              </w:rPr>
              <w:t>分）</w:t>
            </w:r>
          </w:p>
        </w:tc>
        <w:tc>
          <w:tcPr>
            <w:tcW w:w="6253" w:type="dxa"/>
            <w:noWrap w:val="0"/>
            <w:vAlign w:val="center"/>
          </w:tcPr>
          <w:p w14:paraId="69939FA9">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由评标委员会在相应档次内独立打分，投标人投标文件中没有提供项目实施方案的，本项不得分；所提供的项目实施方案未达到相应评审档次全部标准的，相应降低一个档次：</w:t>
            </w:r>
          </w:p>
          <w:p w14:paraId="021B9212">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一档（4分）：提供有基本满足项目建设需要的项目实施方案，方案内容包括但不限于交付部署、测试验证、验收、应急预案等详细措施，有明确的软件准备、安装部署、测试验证、发布交付等操作要求，能体现各环节高效协同，确保顺利完成到货安装。</w:t>
            </w:r>
          </w:p>
          <w:p w14:paraId="56AEC9A0">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二档（8分）：在满足一档的基础上，提供包括但不限于交付部署、测试验证、验收、应急预案等子项方案，有完整的软件准备、安装部署、测试验证、发布交付等操作要求及记录表单。对项目实施全流程进行标准化管理，组织架构清晰，人员配备充分，防范措施详尽，提供完整且针对</w:t>
            </w:r>
            <w:r>
              <w:rPr>
                <w:rFonts w:hint="eastAsia" w:ascii="宋体" w:hAnsi="宋体" w:cs="宋体"/>
                <w:color w:val="auto"/>
                <w:sz w:val="21"/>
                <w:szCs w:val="21"/>
                <w:highlight w:val="none"/>
                <w:lang w:val="en-US" w:eastAsia="zh-CN"/>
              </w:rPr>
              <w:t>本项目</w:t>
            </w:r>
            <w:r>
              <w:rPr>
                <w:rFonts w:hint="eastAsia" w:ascii="宋体" w:hAnsi="宋体" w:eastAsia="宋体" w:cs="宋体"/>
                <w:color w:val="auto"/>
                <w:sz w:val="21"/>
                <w:szCs w:val="21"/>
                <w:highlight w:val="none"/>
                <w:lang w:eastAsia="zh-CN"/>
              </w:rPr>
              <w:t>特点的优化技术方案，列举关键性技术问题及解决措施（如多系统兼容性、新旧系统适配、数字化联动等），能提供清晰的系统架构图。</w:t>
            </w:r>
          </w:p>
          <w:p w14:paraId="6E01232F">
            <w:pPr>
              <w:keepNext w:val="0"/>
              <w:keepLines w:val="0"/>
              <w:suppressLineNumbers w:val="0"/>
              <w:spacing w:before="0" w:beforeAutospacing="0" w:after="0" w:afterAutospacing="0" w:line="360" w:lineRule="auto"/>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三档（12分）：在满足二档的基础上，提供详尽充分、结构清晰、专业标准的实施方案，有详尽标准化的软件准备、安装部署、测试验证、发布交付等操作规范体系；项目实施方案全面专业，清晰阐述</w:t>
            </w:r>
            <w:r>
              <w:rPr>
                <w:rFonts w:hint="eastAsia" w:ascii="宋体" w:hAnsi="宋体" w:cs="宋体"/>
                <w:color w:val="auto"/>
                <w:sz w:val="21"/>
                <w:szCs w:val="21"/>
                <w:highlight w:val="none"/>
                <w:lang w:val="en-US" w:eastAsia="zh-CN"/>
              </w:rPr>
              <w:t>本项目</w:t>
            </w:r>
            <w:r>
              <w:rPr>
                <w:rFonts w:hint="eastAsia" w:ascii="宋体" w:hAnsi="宋体" w:eastAsia="宋体" w:cs="宋体"/>
                <w:color w:val="auto"/>
                <w:sz w:val="21"/>
                <w:szCs w:val="21"/>
                <w:highlight w:val="none"/>
                <w:lang w:eastAsia="zh-CN"/>
              </w:rPr>
              <w:t>的重点难点问题及系统化解决措施（如差异化场景设计、多系统安全闭环管控、后期运维迭代机制等），形成协同、安全、闭环管理。项目实施方案有创新点，可保障项目建设高质量完成。</w:t>
            </w:r>
          </w:p>
        </w:tc>
      </w:tr>
      <w:tr w14:paraId="4C267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713" w:type="dxa"/>
            <w:vMerge w:val="restart"/>
            <w:noWrap w:val="0"/>
            <w:vAlign w:val="center"/>
          </w:tcPr>
          <w:p w14:paraId="5E85406B">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101" w:type="dxa"/>
            <w:vMerge w:val="restart"/>
            <w:noWrap w:val="0"/>
            <w:vAlign w:val="center"/>
          </w:tcPr>
          <w:p w14:paraId="6CB0F7E7">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商务分（</w:t>
            </w:r>
            <w:r>
              <w:rPr>
                <w:rFonts w:hint="eastAsia" w:ascii="宋体" w:hAnsi="宋体" w:cs="宋体"/>
                <w:color w:val="auto"/>
                <w:sz w:val="21"/>
                <w:szCs w:val="21"/>
                <w:highlight w:val="none"/>
                <w:lang w:val="en-US" w:eastAsia="zh-CN"/>
              </w:rPr>
              <w:t>满分43分</w:t>
            </w:r>
            <w:r>
              <w:rPr>
                <w:rFonts w:hint="eastAsia" w:ascii="宋体" w:hAnsi="宋体" w:eastAsia="宋体" w:cs="宋体"/>
                <w:color w:val="auto"/>
                <w:sz w:val="21"/>
                <w:szCs w:val="21"/>
                <w:highlight w:val="none"/>
              </w:rPr>
              <w:t>）</w:t>
            </w:r>
          </w:p>
        </w:tc>
        <w:tc>
          <w:tcPr>
            <w:tcW w:w="1259" w:type="dxa"/>
            <w:noWrap w:val="0"/>
            <w:vAlign w:val="center"/>
          </w:tcPr>
          <w:p w14:paraId="022F5943">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售后服务方案分（满分</w:t>
            </w:r>
            <w:r>
              <w:rPr>
                <w:rFonts w:hint="eastAsia" w:ascii="宋体" w:hAnsi="宋体" w:cs="宋体"/>
                <w:color w:val="auto"/>
                <w:sz w:val="21"/>
                <w:szCs w:val="21"/>
                <w:highlight w:val="none"/>
                <w:lang w:val="en-US" w:eastAsia="zh-CN"/>
              </w:rPr>
              <w:t>12</w:t>
            </w:r>
            <w:r>
              <w:rPr>
                <w:rFonts w:hint="eastAsia" w:ascii="宋体" w:hAnsi="宋体" w:eastAsia="宋体" w:cs="宋体"/>
                <w:color w:val="auto"/>
                <w:sz w:val="21"/>
                <w:szCs w:val="21"/>
                <w:highlight w:val="none"/>
              </w:rPr>
              <w:t>分）</w:t>
            </w:r>
          </w:p>
        </w:tc>
        <w:tc>
          <w:tcPr>
            <w:tcW w:w="6253" w:type="dxa"/>
            <w:noWrap w:val="0"/>
            <w:vAlign w:val="center"/>
          </w:tcPr>
          <w:p w14:paraId="4CAF8171">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由评标委员会在相应档次内独立打分，投标人投标文件中没有提供售后服务方案的，本项不得分；所提供的售后服务方案未达到相应评审档次全部标准的，相应降低一个档次：</w:t>
            </w:r>
          </w:p>
          <w:p w14:paraId="3333F944">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一档（</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rPr>
              <w:t>分）：售后服务方案对“软件准备、安装部署、测试验证、发布交付、质保期维护方案、到达故障现场时间、故障出现解决方案、定期回访、备品备件”等服务内容满足招标文件售后服务的要求。其中接到采购人故障通知1小时内做出响应，6小时内远程排查处理故障；远程无法处理的，应在接到通知后24小时内到达现场维修。</w:t>
            </w:r>
          </w:p>
          <w:p w14:paraId="0D53E836">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二档（</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rPr>
              <w:t xml:space="preserve">分）：售后服务方案对“软件准备、安装部署、测试验证、发布交付、质保期维护方案、到达故障现场时间、故障出现解决方案、定期回访、其他优惠措施、备品备件”等内容的描述完整，其中接到采购人故障通知30分钟内做出响应，4小时内远程排查处理故障；远程无法处理的，应在接到通知后18小时内到达现场维修。并就方案的各项内容编制有重点、难点应对措施，故障处理措施到位；提供7×24售后服务热线及专人对接服务，列明处理事件时间和相关人员责任分明，提供详细分工表。 </w:t>
            </w:r>
          </w:p>
          <w:p w14:paraId="7A99CB20">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三档（</w:t>
            </w:r>
            <w:r>
              <w:rPr>
                <w:rFonts w:hint="eastAsia" w:ascii="宋体" w:hAnsi="宋体" w:cs="宋体"/>
                <w:color w:val="auto"/>
                <w:sz w:val="21"/>
                <w:szCs w:val="21"/>
                <w:highlight w:val="none"/>
                <w:lang w:val="en-US" w:eastAsia="zh-CN"/>
              </w:rPr>
              <w:t>12</w:t>
            </w:r>
            <w:r>
              <w:rPr>
                <w:rFonts w:hint="eastAsia" w:ascii="宋体" w:hAnsi="宋体" w:eastAsia="宋体" w:cs="宋体"/>
                <w:color w:val="auto"/>
                <w:sz w:val="21"/>
                <w:szCs w:val="21"/>
                <w:highlight w:val="none"/>
              </w:rPr>
              <w:t>分）：在满足二档的基础上，其中接到采购人故障通知15分钟内做出响应，4小时内远程排查处理故障；远程无法处理的，应在接到通知后12小时内到达现场维修。建立有售后服务应急预案（如重要节假日或其他重要时期，设备发生故障时提供备用机或其他替代解决的具体预案）；设备运维服务实施软硬件分级运维管理，根据设备运行工况制定差异化运维策略，细化日常监测、动态排查、参数校准、运行数据分析等深度运维内容；服务期内对系统或平台优化、修复已知问题、适配系统升级等有详细具体的售后服务方案；拥有完善的售后质量管理体系（如提供相关售后服务认证或售后服务管理制度文件），确保售后服务优质快捷。</w:t>
            </w:r>
          </w:p>
        </w:tc>
      </w:tr>
      <w:tr w14:paraId="39E38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713" w:type="dxa"/>
            <w:vMerge w:val="continue"/>
            <w:noWrap w:val="0"/>
            <w:vAlign w:val="center"/>
          </w:tcPr>
          <w:p w14:paraId="2C7CC1CD">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val="en-US" w:eastAsia="zh-CN"/>
              </w:rPr>
            </w:pPr>
          </w:p>
        </w:tc>
        <w:tc>
          <w:tcPr>
            <w:tcW w:w="1101" w:type="dxa"/>
            <w:vMerge w:val="continue"/>
            <w:noWrap w:val="0"/>
            <w:vAlign w:val="center"/>
          </w:tcPr>
          <w:p w14:paraId="0B2D9F8E">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1259" w:type="dxa"/>
            <w:noWrap w:val="0"/>
            <w:vAlign w:val="center"/>
          </w:tcPr>
          <w:p w14:paraId="1C7A4AF6">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eastAsia="zh-CN"/>
              </w:rPr>
              <w:t>培训方案分（满分</w:t>
            </w:r>
            <w:r>
              <w:rPr>
                <w:rFonts w:hint="default" w:ascii="宋体" w:hAnsi="宋体" w:cs="宋体"/>
                <w:color w:val="auto"/>
                <w:sz w:val="21"/>
                <w:szCs w:val="21"/>
                <w:highlight w:val="none"/>
                <w:lang w:val="en-US" w:eastAsia="zh-CN"/>
              </w:rPr>
              <w:t>6</w:t>
            </w:r>
            <w:r>
              <w:rPr>
                <w:rFonts w:hint="eastAsia" w:ascii="宋体" w:hAnsi="宋体" w:cs="宋体"/>
                <w:color w:val="auto"/>
                <w:sz w:val="21"/>
                <w:szCs w:val="21"/>
                <w:highlight w:val="none"/>
                <w:lang w:val="en-US" w:eastAsia="zh-CN"/>
              </w:rPr>
              <w:t>分</w:t>
            </w:r>
            <w:r>
              <w:rPr>
                <w:rFonts w:hint="eastAsia" w:ascii="宋体" w:hAnsi="宋体" w:cs="宋体"/>
                <w:color w:val="auto"/>
                <w:sz w:val="21"/>
                <w:szCs w:val="21"/>
                <w:highlight w:val="none"/>
                <w:lang w:eastAsia="zh-CN"/>
              </w:rPr>
              <w:t>）</w:t>
            </w:r>
          </w:p>
        </w:tc>
        <w:tc>
          <w:tcPr>
            <w:tcW w:w="6253" w:type="dxa"/>
            <w:noWrap w:val="0"/>
            <w:vAlign w:val="center"/>
          </w:tcPr>
          <w:p w14:paraId="1AEA52A1">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由评标委员</w:t>
            </w:r>
            <w:r>
              <w:rPr>
                <w:rFonts w:hint="eastAsia" w:ascii="宋体" w:hAnsi="宋体" w:eastAsia="宋体" w:cs="宋体"/>
                <w:color w:val="auto"/>
                <w:sz w:val="21"/>
                <w:szCs w:val="21"/>
                <w:highlight w:val="none"/>
                <w:lang w:eastAsia="zh-CN"/>
              </w:rPr>
              <w:t>会</w:t>
            </w:r>
            <w:r>
              <w:rPr>
                <w:rFonts w:hint="eastAsia" w:ascii="宋体" w:hAnsi="宋体" w:eastAsia="宋体" w:cs="宋体"/>
                <w:color w:val="auto"/>
                <w:sz w:val="21"/>
                <w:szCs w:val="21"/>
                <w:highlight w:val="none"/>
              </w:rPr>
              <w:t>在相应档次内独立打分，投标人投标文件中没有提供</w:t>
            </w:r>
            <w:r>
              <w:rPr>
                <w:rFonts w:hint="eastAsia" w:ascii="宋体" w:hAnsi="宋体" w:eastAsia="宋体" w:cs="宋体"/>
                <w:color w:val="auto"/>
                <w:sz w:val="21"/>
                <w:szCs w:val="21"/>
                <w:highlight w:val="none"/>
                <w:lang w:val="en-US" w:eastAsia="zh-CN"/>
              </w:rPr>
              <w:t>培训方案</w:t>
            </w:r>
            <w:r>
              <w:rPr>
                <w:rFonts w:hint="eastAsia" w:ascii="宋体" w:hAnsi="宋体" w:eastAsia="宋体" w:cs="宋体"/>
                <w:color w:val="auto"/>
                <w:sz w:val="21"/>
                <w:szCs w:val="21"/>
                <w:highlight w:val="none"/>
              </w:rPr>
              <w:t>的，本项不得分；所提供的</w:t>
            </w:r>
            <w:r>
              <w:rPr>
                <w:rFonts w:hint="eastAsia" w:ascii="宋体" w:hAnsi="宋体" w:eastAsia="宋体" w:cs="宋体"/>
                <w:color w:val="auto"/>
                <w:sz w:val="21"/>
                <w:szCs w:val="21"/>
                <w:highlight w:val="none"/>
                <w:lang w:val="en-US" w:eastAsia="zh-CN"/>
              </w:rPr>
              <w:t>培训</w:t>
            </w:r>
            <w:r>
              <w:rPr>
                <w:rFonts w:hint="eastAsia" w:ascii="宋体" w:hAnsi="宋体" w:eastAsia="宋体" w:cs="宋体"/>
                <w:color w:val="auto"/>
                <w:sz w:val="21"/>
                <w:szCs w:val="21"/>
                <w:highlight w:val="none"/>
              </w:rPr>
              <w:t>方案未达到相应评审档次全部标准的，相应降低一个档次：</w:t>
            </w:r>
          </w:p>
          <w:p w14:paraId="235D8FCB">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一档（</w:t>
            </w:r>
            <w:r>
              <w:rPr>
                <w:rFonts w:hint="default"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提供有简单的设备操作培训课程安排，提供的培训方案（包括但不限于培训计划、培训内容设置、人员配备等）</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培训方案包含的要点有缺漏或内容与要点相符但仅有纲要、内容简略，未展开详细阐述</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培训方案</w:t>
            </w:r>
            <w:r>
              <w:rPr>
                <w:rFonts w:hint="eastAsia" w:ascii="宋体" w:hAnsi="宋体" w:eastAsia="宋体" w:cs="宋体"/>
                <w:color w:val="auto"/>
                <w:sz w:val="21"/>
                <w:szCs w:val="21"/>
                <w:highlight w:val="none"/>
                <w:lang w:val="en-US" w:eastAsia="zh-CN"/>
              </w:rPr>
              <w:t>基本</w:t>
            </w:r>
            <w:r>
              <w:rPr>
                <w:rFonts w:hint="eastAsia" w:ascii="宋体" w:hAnsi="宋体" w:eastAsia="宋体" w:cs="宋体"/>
                <w:color w:val="auto"/>
                <w:sz w:val="21"/>
                <w:szCs w:val="21"/>
                <w:highlight w:val="none"/>
              </w:rPr>
              <w:t>满足采购人培训要求。</w:t>
            </w:r>
          </w:p>
          <w:p w14:paraId="7A337874">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二档（</w:t>
            </w:r>
            <w:r>
              <w:rPr>
                <w:rFonts w:hint="default"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在满足一档的基础上，培训方案要点齐全、内容与要点相符、每个要点均有展开阐述但不够具体、有培训内容及时间安排、针对不同学科的课程课表、针对不同层次教师有不同的培训方案</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并</w:t>
            </w:r>
            <w:r>
              <w:rPr>
                <w:rFonts w:hint="eastAsia" w:ascii="宋体" w:hAnsi="宋体" w:eastAsia="宋体" w:cs="宋体"/>
                <w:color w:val="auto"/>
                <w:sz w:val="21"/>
                <w:szCs w:val="21"/>
                <w:highlight w:val="none"/>
              </w:rPr>
              <w:t>为采购人提供有专人指导的设备操作培训课程安排。</w:t>
            </w:r>
          </w:p>
          <w:p w14:paraId="1483B24F">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三档（</w:t>
            </w:r>
            <w:r>
              <w:rPr>
                <w:rFonts w:hint="default"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在满足二档的基础上，对培训内容有充分的理解，培训方案详细、具体，有针对性的培训内容、时间安排合理、科学详细，兼顾理论学习和实操训练。提供针对本项目培训资料（包括PPT、培训文档、文字材料、培训视频等材料）。承诺保证培训人员熟练掌握</w:t>
            </w:r>
            <w:r>
              <w:rPr>
                <w:rFonts w:hint="eastAsia" w:ascii="宋体" w:hAnsi="宋体" w:eastAsia="宋体" w:cs="宋体"/>
                <w:color w:val="auto"/>
                <w:sz w:val="21"/>
                <w:szCs w:val="21"/>
                <w:highlight w:val="none"/>
                <w:lang w:val="en-US" w:eastAsia="zh-CN"/>
              </w:rPr>
              <w:t>系统维护</w:t>
            </w:r>
            <w:r>
              <w:rPr>
                <w:rFonts w:hint="eastAsia" w:ascii="宋体" w:hAnsi="宋体" w:eastAsia="宋体" w:cs="宋体"/>
                <w:color w:val="auto"/>
                <w:sz w:val="21"/>
                <w:szCs w:val="21"/>
                <w:highlight w:val="none"/>
              </w:rPr>
              <w:t>及基本</w:t>
            </w:r>
            <w:r>
              <w:rPr>
                <w:rFonts w:hint="eastAsia" w:ascii="宋体" w:hAnsi="宋体" w:eastAsia="宋体" w:cs="宋体"/>
                <w:color w:val="auto"/>
                <w:sz w:val="21"/>
                <w:szCs w:val="21"/>
                <w:highlight w:val="none"/>
                <w:lang w:val="en-US" w:eastAsia="zh-CN"/>
              </w:rPr>
              <w:t>故障识别</w:t>
            </w:r>
            <w:r>
              <w:rPr>
                <w:rFonts w:hint="eastAsia" w:ascii="宋体" w:hAnsi="宋体" w:eastAsia="宋体" w:cs="宋体"/>
                <w:color w:val="auto"/>
                <w:sz w:val="21"/>
                <w:szCs w:val="21"/>
                <w:highlight w:val="none"/>
              </w:rPr>
              <w:t>等</w:t>
            </w:r>
            <w:r>
              <w:rPr>
                <w:rFonts w:hint="eastAsia" w:ascii="宋体" w:hAnsi="宋体" w:eastAsia="宋体" w:cs="宋体"/>
                <w:color w:val="auto"/>
                <w:sz w:val="21"/>
                <w:szCs w:val="21"/>
                <w:highlight w:val="none"/>
                <w:lang w:val="en-US" w:eastAsia="zh-CN"/>
              </w:rPr>
              <w:t>问题</w:t>
            </w:r>
            <w:r>
              <w:rPr>
                <w:rFonts w:hint="eastAsia" w:ascii="宋体" w:hAnsi="宋体" w:eastAsia="宋体" w:cs="宋体"/>
                <w:color w:val="auto"/>
                <w:sz w:val="21"/>
                <w:szCs w:val="21"/>
                <w:highlight w:val="none"/>
              </w:rPr>
              <w:t>。提供“培训+跟踪+复训”全流程服务，</w:t>
            </w:r>
            <w:r>
              <w:rPr>
                <w:rFonts w:hint="eastAsia" w:ascii="宋体" w:hAnsi="宋体" w:eastAsia="宋体" w:cs="宋体"/>
                <w:color w:val="auto"/>
                <w:sz w:val="21"/>
                <w:szCs w:val="21"/>
                <w:highlight w:val="none"/>
                <w:lang w:val="en-US" w:eastAsia="zh-CN"/>
              </w:rPr>
              <w:t>并有</w:t>
            </w:r>
            <w:r>
              <w:rPr>
                <w:rFonts w:hint="eastAsia" w:ascii="宋体" w:hAnsi="宋体" w:eastAsia="宋体" w:cs="宋体"/>
                <w:color w:val="auto"/>
                <w:sz w:val="21"/>
                <w:szCs w:val="21"/>
                <w:highlight w:val="none"/>
              </w:rPr>
              <w:t>开展教学效果回访培训承诺</w:t>
            </w:r>
            <w:r>
              <w:rPr>
                <w:rFonts w:hint="eastAsia" w:ascii="宋体" w:hAnsi="宋体" w:eastAsia="宋体" w:cs="宋体"/>
                <w:color w:val="auto"/>
                <w:sz w:val="21"/>
                <w:szCs w:val="21"/>
                <w:highlight w:val="none"/>
                <w:lang w:eastAsia="zh-CN"/>
              </w:rPr>
              <w:t>。</w:t>
            </w:r>
          </w:p>
        </w:tc>
      </w:tr>
      <w:tr w14:paraId="1253E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713" w:type="dxa"/>
            <w:vMerge w:val="continue"/>
            <w:noWrap w:val="0"/>
            <w:vAlign w:val="center"/>
          </w:tcPr>
          <w:p w14:paraId="01E36AE6">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val="en-US" w:eastAsia="zh-CN"/>
              </w:rPr>
            </w:pPr>
          </w:p>
        </w:tc>
        <w:tc>
          <w:tcPr>
            <w:tcW w:w="1101" w:type="dxa"/>
            <w:vMerge w:val="continue"/>
            <w:noWrap w:val="0"/>
            <w:vAlign w:val="center"/>
          </w:tcPr>
          <w:p w14:paraId="0400A9F3">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1259" w:type="dxa"/>
            <w:shd w:val="clear" w:color="auto" w:fill="auto"/>
            <w:noWrap w:val="0"/>
            <w:vAlign w:val="center"/>
          </w:tcPr>
          <w:p w14:paraId="3E5266D7">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质保期（满分10分）</w:t>
            </w:r>
          </w:p>
        </w:tc>
        <w:tc>
          <w:tcPr>
            <w:tcW w:w="6253" w:type="dxa"/>
            <w:shd w:val="clear" w:color="auto" w:fill="auto"/>
            <w:noWrap w:val="0"/>
            <w:vAlign w:val="center"/>
          </w:tcPr>
          <w:p w14:paraId="789C411A">
            <w:pPr>
              <w:pStyle w:val="101"/>
              <w:keepNext w:val="0"/>
              <w:keepLines w:val="0"/>
              <w:numPr>
                <w:ilvl w:val="0"/>
                <w:numId w:val="0"/>
              </w:numPr>
              <w:suppressLineNumbers w:val="0"/>
              <w:spacing w:before="172" w:beforeAutospacing="0" w:after="0" w:afterAutospacing="0" w:line="219" w:lineRule="auto"/>
              <w:ind w:left="0" w:leftChars="0" w:right="0" w:right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en-US" w:bidi="ar-SA"/>
              </w:rPr>
              <w:t>1.</w:t>
            </w:r>
            <w:r>
              <w:rPr>
                <w:rFonts w:hint="eastAsia" w:ascii="宋体" w:hAnsi="宋体" w:eastAsia="宋体" w:cs="宋体"/>
                <w:color w:val="auto"/>
                <w:kern w:val="2"/>
                <w:sz w:val="21"/>
                <w:szCs w:val="21"/>
                <w:highlight w:val="none"/>
                <w:lang w:val="en-US" w:eastAsia="zh-CN" w:bidi="ar-SA"/>
              </w:rPr>
              <w:t>质保期承诺:在满足招标文件规定的质保期（或运维服务期）最低年限要求的前提下，投标人承诺的超出年限每满一个整年得2分，不足一个整年的部分不计分，超出年限达到三个整年及以上的按满分6分计。</w:t>
            </w:r>
          </w:p>
          <w:p w14:paraId="0C7E274A">
            <w:pPr>
              <w:pStyle w:val="101"/>
              <w:keepNext w:val="0"/>
              <w:keepLines w:val="0"/>
              <w:numPr>
                <w:ilvl w:val="0"/>
                <w:numId w:val="0"/>
              </w:numPr>
              <w:suppressLineNumbers w:val="0"/>
              <w:spacing w:before="172" w:beforeAutospacing="0" w:after="0" w:afterAutospacing="0" w:line="219" w:lineRule="auto"/>
              <w:ind w:left="0" w:right="0" w:rightChars="0"/>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2.投标人承诺在质保期（或运维服务期）届满后提供免费软件版本升级（含功能更新及安全补丁）的，每承诺提供一次得2分，满分4分。</w:t>
            </w:r>
          </w:p>
          <w:p w14:paraId="381C5869">
            <w:pPr>
              <w:keepNext w:val="0"/>
              <w:keepLines w:val="0"/>
              <w:suppressLineNumbers w:val="0"/>
              <w:spacing w:before="0" w:beforeAutospacing="0" w:after="0" w:afterAutospacing="0" w:line="360" w:lineRule="auto"/>
              <w:ind w:left="0" w:leftChars="0" w:right="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注：投标人须在投标文件中提供能清晰体现上述内容的质保期（或运维服务期）承诺函扫描件(格式自拟),质保期（或运维服务期）承诺函须加盖投标人公章。</w:t>
            </w:r>
          </w:p>
        </w:tc>
      </w:tr>
      <w:tr w14:paraId="3FA1F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713" w:type="dxa"/>
            <w:vMerge w:val="continue"/>
            <w:noWrap w:val="0"/>
            <w:vAlign w:val="center"/>
          </w:tcPr>
          <w:p w14:paraId="0D0667EA">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val="en-US" w:eastAsia="zh-CN"/>
              </w:rPr>
            </w:pPr>
          </w:p>
        </w:tc>
        <w:tc>
          <w:tcPr>
            <w:tcW w:w="1101" w:type="dxa"/>
            <w:vMerge w:val="continue"/>
            <w:noWrap w:val="0"/>
            <w:vAlign w:val="center"/>
          </w:tcPr>
          <w:p w14:paraId="1FDEC5B4">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1259" w:type="dxa"/>
            <w:noWrap w:val="0"/>
            <w:vAlign w:val="center"/>
          </w:tcPr>
          <w:p w14:paraId="551E9F76">
            <w:pPr>
              <w:keepNext w:val="0"/>
              <w:keepLines w:val="0"/>
              <w:suppressLineNumbers w:val="0"/>
              <w:spacing w:before="0" w:beforeAutospacing="0" w:after="0" w:afterAutospacing="0" w:line="360" w:lineRule="auto"/>
              <w:ind w:left="0" w:right="0"/>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val="en-US" w:eastAsia="zh-CN"/>
              </w:rPr>
              <w:t>信誉分（满分5分）</w:t>
            </w:r>
          </w:p>
        </w:tc>
        <w:tc>
          <w:tcPr>
            <w:tcW w:w="6253" w:type="dxa"/>
            <w:noWrap w:val="0"/>
            <w:vAlign w:val="center"/>
          </w:tcPr>
          <w:p w14:paraId="568D550D">
            <w:pPr>
              <w:keepNext w:val="0"/>
              <w:keepLines w:val="0"/>
              <w:suppressLineNumbers w:val="0"/>
              <w:spacing w:before="0" w:beforeAutospacing="0" w:after="0" w:afterAutospacing="0" w:line="360" w:lineRule="auto"/>
              <w:ind w:left="0" w:right="0"/>
              <w:jc w:val="left"/>
              <w:rPr>
                <w:rFonts w:hint="default"/>
                <w:color w:val="auto"/>
                <w:highlight w:val="none"/>
                <w:lang w:val="en-US"/>
              </w:rPr>
            </w:pPr>
            <w:r>
              <w:rPr>
                <w:rFonts w:hint="default"/>
                <w:color w:val="auto"/>
                <w:highlight w:val="none"/>
                <w:lang w:val="en-US"/>
              </w:rPr>
              <w:t>1.投标人或制造商具有本采购项目对应医学影像虚拟实验教学平台自有计算机软件著作权登记证书的，得2分（需在投标文件中提供有效的证书复印件，未提供不得分），满分2分。</w:t>
            </w:r>
          </w:p>
          <w:p w14:paraId="0DFCCDBD">
            <w:pPr>
              <w:keepNext w:val="0"/>
              <w:keepLines w:val="0"/>
              <w:suppressLineNumbers w:val="0"/>
              <w:spacing w:before="0" w:beforeAutospacing="0" w:after="0" w:afterAutospacing="0" w:line="360" w:lineRule="auto"/>
              <w:ind w:left="0" w:right="0"/>
              <w:jc w:val="left"/>
              <w:rPr>
                <w:rFonts w:hint="default"/>
                <w:color w:val="auto"/>
                <w:highlight w:val="none"/>
                <w:lang w:val="en-US"/>
              </w:rPr>
            </w:pPr>
            <w:r>
              <w:rPr>
                <w:rFonts w:hint="default"/>
                <w:color w:val="auto"/>
                <w:highlight w:val="none"/>
                <w:lang w:val="en-US"/>
              </w:rPr>
              <w:t>2.投标人或制造商具有相关管理体系认证（ISO9001质量管理体系认证、ISO14001环境管理体系认证、ISO45001职业健康安全管理体系认证）的，每提供一项得1分，满分3分。投标文件中须提供上述证书有效期内复印件并加盖投标人公章，否则不予计分。</w:t>
            </w:r>
          </w:p>
        </w:tc>
      </w:tr>
      <w:tr w14:paraId="52830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713" w:type="dxa"/>
            <w:vMerge w:val="continue"/>
            <w:noWrap w:val="0"/>
            <w:vAlign w:val="center"/>
          </w:tcPr>
          <w:p w14:paraId="0B3F694D">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eastAsia="zh-CN"/>
              </w:rPr>
            </w:pPr>
          </w:p>
        </w:tc>
        <w:tc>
          <w:tcPr>
            <w:tcW w:w="1101" w:type="dxa"/>
            <w:vMerge w:val="continue"/>
            <w:noWrap w:val="0"/>
            <w:vAlign w:val="center"/>
          </w:tcPr>
          <w:p w14:paraId="2E43E348">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eastAsia="zh-CN"/>
              </w:rPr>
            </w:pPr>
          </w:p>
        </w:tc>
        <w:tc>
          <w:tcPr>
            <w:tcW w:w="1259" w:type="dxa"/>
            <w:noWrap w:val="0"/>
            <w:vAlign w:val="center"/>
          </w:tcPr>
          <w:p w14:paraId="5EF718BB">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color w:val="auto"/>
                <w:sz w:val="21"/>
                <w:szCs w:val="21"/>
                <w:highlight w:val="none"/>
              </w:rPr>
              <w:t>业绩分</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满分10分</w:t>
            </w:r>
            <w:r>
              <w:rPr>
                <w:rFonts w:hint="eastAsia" w:ascii="宋体" w:hAnsi="宋体" w:cs="宋体"/>
                <w:color w:val="auto"/>
                <w:sz w:val="21"/>
                <w:szCs w:val="21"/>
                <w:highlight w:val="none"/>
                <w:lang w:eastAsia="zh-CN"/>
              </w:rPr>
              <w:t>）</w:t>
            </w:r>
          </w:p>
        </w:tc>
        <w:tc>
          <w:tcPr>
            <w:tcW w:w="6253" w:type="dxa"/>
            <w:noWrap w:val="0"/>
            <w:vAlign w:val="center"/>
          </w:tcPr>
          <w:p w14:paraId="20ED8B28">
            <w:pPr>
              <w:pStyle w:val="11"/>
              <w:keepNext w:val="0"/>
              <w:keepLines w:val="0"/>
              <w:suppressLineNumbers w:val="0"/>
              <w:spacing w:before="0" w:beforeAutospacing="0" w:afterAutospacing="0" w:line="360" w:lineRule="auto"/>
              <w:ind w:left="0" w:right="0" w:firstLine="0" w:firstLine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投标人或投标产品制造商2023年7月至投标截止时间止承接的类似项目销售业绩（类似项目销售业绩是指包含1项或多项与投标产品相同的项目销售业绩。投标文件中提供有效的合同复印件并加盖投标人公章，合同复印件需要清晰体现出合同首页、采购内容和日期、盖章页。合同内容不全或不清晰和，不计分。），每份业绩得2分，满分10分。同一项目分多个合同签订的，只计分一次。</w:t>
            </w:r>
          </w:p>
        </w:tc>
      </w:tr>
      <w:tr w14:paraId="7F347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713" w:type="dxa"/>
            <w:noWrap w:val="0"/>
            <w:vAlign w:val="center"/>
          </w:tcPr>
          <w:p w14:paraId="02CDE858">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8613" w:type="dxa"/>
            <w:gridSpan w:val="3"/>
            <w:noWrap w:val="0"/>
            <w:vAlign w:val="center"/>
          </w:tcPr>
          <w:p w14:paraId="7E5BE1F2">
            <w:pPr>
              <w:pStyle w:val="11"/>
              <w:keepNext w:val="0"/>
              <w:keepLines w:val="0"/>
              <w:suppressLineNumbers w:val="0"/>
              <w:spacing w:before="0" w:beforeAutospacing="0" w:afterAutospacing="0" w:line="360" w:lineRule="auto"/>
              <w:ind w:left="0" w:right="0"/>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总得分=1+2+3</w:t>
            </w:r>
          </w:p>
        </w:tc>
      </w:tr>
    </w:tbl>
    <w:p w14:paraId="766145AD">
      <w:pPr>
        <w:pStyle w:val="14"/>
        <w:spacing w:line="360" w:lineRule="auto"/>
        <w:ind w:firstLine="315"/>
        <w:rPr>
          <w:rFonts w:hint="eastAsia" w:hAnsi="宋体"/>
          <w:bCs/>
          <w:color w:val="auto"/>
          <w:highlight w:val="none"/>
        </w:rPr>
      </w:pPr>
    </w:p>
    <w:p w14:paraId="6DBBA87B">
      <w:pPr>
        <w:pStyle w:val="14"/>
        <w:spacing w:line="360" w:lineRule="auto"/>
        <w:ind w:firstLine="315"/>
        <w:rPr>
          <w:rFonts w:hAnsi="宋体"/>
          <w:bCs/>
          <w:color w:val="auto"/>
          <w:highlight w:val="none"/>
        </w:rPr>
      </w:pPr>
      <w:r>
        <w:rPr>
          <w:rFonts w:hint="eastAsia" w:hAnsi="宋体"/>
          <w:bCs/>
          <w:color w:val="auto"/>
          <w:highlight w:val="none"/>
        </w:rPr>
        <w:t>注：1.计分方法按四舍五入取至百分位；</w:t>
      </w:r>
    </w:p>
    <w:p w14:paraId="35C34572">
      <w:pPr>
        <w:rPr>
          <w:rFonts w:hint="eastAsia" w:ascii="Times New Roman" w:hAnsi="Times New Roman" w:eastAsia="宋体" w:cs="Times New Roman"/>
          <w:b/>
          <w:bCs/>
          <w:color w:val="auto"/>
          <w:kern w:val="2"/>
          <w:sz w:val="32"/>
          <w:szCs w:val="32"/>
          <w:highlight w:val="none"/>
          <w:lang w:val="en-US" w:eastAsia="zh-CN" w:bidi="ar-SA"/>
        </w:rPr>
      </w:pPr>
      <w:r>
        <w:rPr>
          <w:rFonts w:hint="eastAsia" w:hAnsi="宋体"/>
          <w:bCs/>
          <w:color w:val="auto"/>
          <w:highlight w:val="none"/>
        </w:rPr>
        <w:t xml:space="preserve">       </w:t>
      </w:r>
      <w:r>
        <w:rPr>
          <w:rFonts w:hint="eastAsia" w:asciiTheme="minorEastAsia" w:hAnsiTheme="minorEastAsia" w:eastAsiaTheme="minorEastAsia" w:cstheme="minorEastAsia"/>
          <w:bCs/>
          <w:color w:val="auto"/>
          <w:highlight w:val="none"/>
        </w:rPr>
        <w:t>2.因落实政府采购政策</w:t>
      </w:r>
      <w:r>
        <w:rPr>
          <w:rFonts w:hint="eastAsia" w:hAnsi="宋体"/>
          <w:bCs/>
          <w:color w:val="auto"/>
          <w:highlight w:val="none"/>
        </w:rPr>
        <w:t>进行价格调整的，以调整后的价格计算评标基准价。</w:t>
      </w:r>
    </w:p>
    <w:p w14:paraId="2936D341">
      <w:pPr>
        <w:rPr>
          <w:rFonts w:hint="eastAsia" w:ascii="Times New Roman" w:hAnsi="Times New Roman" w:eastAsia="宋体" w:cs="Times New Roman"/>
          <w:b/>
          <w:bCs/>
          <w:color w:val="auto"/>
          <w:kern w:val="2"/>
          <w:sz w:val="32"/>
          <w:szCs w:val="32"/>
          <w:highlight w:val="none"/>
          <w:lang w:val="en-US" w:eastAsia="zh-CN" w:bidi="ar-SA"/>
        </w:rPr>
      </w:pPr>
    </w:p>
    <w:p w14:paraId="52E64432">
      <w:pPr>
        <w:rPr>
          <w:rFonts w:hint="eastAsia" w:ascii="Times New Roman" w:hAnsi="Times New Roman" w:eastAsia="宋体" w:cs="Times New Roman"/>
          <w:b/>
          <w:bCs/>
          <w:color w:val="auto"/>
          <w:kern w:val="2"/>
          <w:sz w:val="32"/>
          <w:szCs w:val="32"/>
          <w:highlight w:val="none"/>
          <w:lang w:val="en-US" w:eastAsia="zh-CN" w:bidi="ar-SA"/>
        </w:rPr>
      </w:pPr>
      <w:r>
        <w:rPr>
          <w:rFonts w:hint="eastAsia" w:ascii="Times New Roman" w:hAnsi="Times New Roman" w:eastAsia="宋体" w:cs="Times New Roman"/>
          <w:b/>
          <w:bCs/>
          <w:color w:val="auto"/>
          <w:kern w:val="2"/>
          <w:sz w:val="32"/>
          <w:szCs w:val="32"/>
          <w:highlight w:val="none"/>
          <w:lang w:val="en-US" w:eastAsia="zh-CN" w:bidi="ar-SA"/>
        </w:rPr>
        <w:br w:type="page"/>
      </w:r>
    </w:p>
    <w:p w14:paraId="57ECC499">
      <w:pPr>
        <w:jc w:val="center"/>
        <w:rPr>
          <w:rFonts w:hint="eastAsia" w:ascii="Times New Roman" w:hAnsi="Times New Roman" w:eastAsia="宋体" w:cs="Times New Roman"/>
          <w:b/>
          <w:bCs/>
          <w:color w:val="auto"/>
          <w:kern w:val="2"/>
          <w:sz w:val="32"/>
          <w:szCs w:val="32"/>
          <w:highlight w:val="none"/>
          <w:lang w:val="en-US" w:eastAsia="zh-CN" w:bidi="ar-SA"/>
        </w:rPr>
      </w:pPr>
      <w:r>
        <w:rPr>
          <w:rFonts w:hint="eastAsia" w:ascii="Times New Roman" w:hAnsi="Times New Roman" w:eastAsia="宋体" w:cs="Times New Roman"/>
          <w:b/>
          <w:bCs/>
          <w:color w:val="auto"/>
          <w:kern w:val="2"/>
          <w:sz w:val="32"/>
          <w:szCs w:val="32"/>
          <w:highlight w:val="none"/>
          <w:lang w:val="en-US" w:eastAsia="zh-CN" w:bidi="ar-SA"/>
        </w:rPr>
        <w:t>综合评分法（分标</w:t>
      </w:r>
      <w:r>
        <w:rPr>
          <w:rFonts w:hint="eastAsia" w:cs="Times New Roman"/>
          <w:b/>
          <w:bCs/>
          <w:color w:val="auto"/>
          <w:kern w:val="2"/>
          <w:sz w:val="32"/>
          <w:szCs w:val="32"/>
          <w:highlight w:val="none"/>
          <w:lang w:val="en-US" w:eastAsia="zh-CN" w:bidi="ar-SA"/>
        </w:rPr>
        <w:t>6</w:t>
      </w:r>
      <w:r>
        <w:rPr>
          <w:rFonts w:hint="eastAsia" w:ascii="Times New Roman" w:hAnsi="Times New Roman" w:eastAsia="宋体" w:cs="Times New Roman"/>
          <w:b/>
          <w:bCs/>
          <w:color w:val="auto"/>
          <w:kern w:val="2"/>
          <w:sz w:val="32"/>
          <w:szCs w:val="32"/>
          <w:highlight w:val="none"/>
          <w:lang w:val="en-US" w:eastAsia="zh-CN" w:bidi="ar-SA"/>
        </w:rPr>
        <w:t>）</w:t>
      </w:r>
    </w:p>
    <w:tbl>
      <w:tblPr>
        <w:tblStyle w:val="29"/>
        <w:tblpPr w:leftFromText="180" w:rightFromText="180" w:vertAnchor="text" w:horzAnchor="page" w:tblpX="1220" w:tblpY="656"/>
        <w:tblOverlap w:val="never"/>
        <w:tblW w:w="93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3"/>
        <w:gridCol w:w="1101"/>
        <w:gridCol w:w="1259"/>
        <w:gridCol w:w="6253"/>
      </w:tblGrid>
      <w:tr w14:paraId="01CD9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13" w:type="dxa"/>
            <w:noWrap w:val="0"/>
            <w:vAlign w:val="center"/>
          </w:tcPr>
          <w:p w14:paraId="2BF1BA5E">
            <w:pPr>
              <w:keepNext w:val="0"/>
              <w:keepLines w:val="0"/>
              <w:suppressLineNumbers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rPr>
              <w:t>序号</w:t>
            </w:r>
          </w:p>
        </w:tc>
        <w:tc>
          <w:tcPr>
            <w:tcW w:w="1101" w:type="dxa"/>
            <w:noWrap w:val="0"/>
            <w:vAlign w:val="center"/>
          </w:tcPr>
          <w:p w14:paraId="2FAD8D0C">
            <w:pPr>
              <w:keepNext w:val="0"/>
              <w:keepLines w:val="0"/>
              <w:suppressLineNumbers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rPr>
              <w:t>评分类型</w:t>
            </w:r>
          </w:p>
        </w:tc>
        <w:tc>
          <w:tcPr>
            <w:tcW w:w="1259" w:type="dxa"/>
            <w:noWrap w:val="0"/>
            <w:vAlign w:val="center"/>
          </w:tcPr>
          <w:p w14:paraId="636F994B">
            <w:pPr>
              <w:keepNext w:val="0"/>
              <w:keepLines w:val="0"/>
              <w:suppressLineNumbers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rPr>
              <w:t>评审因素</w:t>
            </w:r>
          </w:p>
        </w:tc>
        <w:tc>
          <w:tcPr>
            <w:tcW w:w="6253" w:type="dxa"/>
            <w:noWrap w:val="0"/>
            <w:vAlign w:val="center"/>
          </w:tcPr>
          <w:p w14:paraId="477DA62C">
            <w:pPr>
              <w:keepNext w:val="0"/>
              <w:keepLines w:val="0"/>
              <w:suppressLineNumbers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rPr>
              <w:t>评标标准</w:t>
            </w:r>
          </w:p>
        </w:tc>
      </w:tr>
      <w:tr w14:paraId="3E53F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713" w:type="dxa"/>
            <w:noWrap w:val="0"/>
            <w:vAlign w:val="center"/>
          </w:tcPr>
          <w:p w14:paraId="1F3C1E38">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101" w:type="dxa"/>
            <w:noWrap w:val="0"/>
            <w:vAlign w:val="center"/>
          </w:tcPr>
          <w:p w14:paraId="774C9D1D">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价格分（满分</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0分</w:t>
            </w:r>
            <w:r>
              <w:rPr>
                <w:rFonts w:hint="eastAsia" w:ascii="宋体" w:hAnsi="宋体" w:eastAsia="宋体" w:cs="宋体"/>
                <w:color w:val="auto"/>
                <w:sz w:val="21"/>
                <w:szCs w:val="21"/>
                <w:highlight w:val="none"/>
                <w:lang w:eastAsia="zh-CN"/>
              </w:rPr>
              <w:t>）</w:t>
            </w:r>
          </w:p>
        </w:tc>
        <w:tc>
          <w:tcPr>
            <w:tcW w:w="1259" w:type="dxa"/>
            <w:noWrap w:val="0"/>
            <w:vAlign w:val="center"/>
          </w:tcPr>
          <w:p w14:paraId="7F611884">
            <w:pPr>
              <w:keepNext w:val="0"/>
              <w:keepLines w:val="0"/>
              <w:suppressLineNumbers w:val="0"/>
              <w:bidi w:val="0"/>
              <w:spacing w:before="0" w:beforeAutospacing="0" w:after="0" w:afterAutospacing="0" w:line="360" w:lineRule="auto"/>
              <w:ind w:left="0"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价格分</w:t>
            </w:r>
            <w:r>
              <w:rPr>
                <w:rFonts w:hint="eastAsia" w:ascii="宋体" w:hAnsi="宋体" w:eastAsia="宋体" w:cs="宋体"/>
                <w:color w:val="auto"/>
                <w:sz w:val="21"/>
                <w:szCs w:val="21"/>
                <w:highlight w:val="none"/>
                <w:lang w:val="en-US" w:eastAsia="zh-CN"/>
              </w:rPr>
              <w:t>(满分</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0分）</w:t>
            </w:r>
          </w:p>
        </w:tc>
        <w:tc>
          <w:tcPr>
            <w:tcW w:w="6253" w:type="dxa"/>
            <w:noWrap w:val="0"/>
            <w:vAlign w:val="center"/>
          </w:tcPr>
          <w:p w14:paraId="0F71F689">
            <w:pPr>
              <w:keepNext w:val="0"/>
              <w:keepLines w:val="0"/>
              <w:suppressLineNumbers w:val="0"/>
              <w:snapToGrid w:val="0"/>
              <w:spacing w:before="0" w:beforeAutospacing="0" w:after="0" w:afterAutospacing="0" w:line="360" w:lineRule="auto"/>
              <w:ind w:left="0" w:right="0" w:firstLine="233" w:firstLineChars="111"/>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（1）评标报价为投标人的投标报价进行政策性扣除后的价格，评标报价只是作为评标时使用。最终中标人的中标金额等于投标报价。</w:t>
            </w:r>
          </w:p>
          <w:p w14:paraId="5872030B">
            <w:pPr>
              <w:keepNext w:val="0"/>
              <w:keepLines w:val="0"/>
              <w:suppressLineNumbers w:val="0"/>
              <w:snapToGrid w:val="0"/>
              <w:spacing w:before="0" w:beforeAutospacing="0" w:after="0" w:afterAutospacing="0" w:line="360" w:lineRule="auto"/>
              <w:ind w:left="0" w:right="0" w:firstLine="233" w:firstLineChars="111"/>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rPr>
              <w:t>（2）政策性扣除计算方法</w:t>
            </w:r>
            <w:r>
              <w:rPr>
                <w:rFonts w:hint="eastAsia" w:ascii="宋体" w:hAnsi="宋体" w:cs="宋体"/>
                <w:bCs/>
                <w:color w:val="auto"/>
                <w:sz w:val="21"/>
                <w:szCs w:val="21"/>
                <w:highlight w:val="none"/>
                <w:lang w:eastAsia="zh-CN"/>
              </w:rPr>
              <w:t>：</w:t>
            </w:r>
          </w:p>
          <w:p w14:paraId="04C31D9A">
            <w:pPr>
              <w:keepNext w:val="0"/>
              <w:keepLines w:val="0"/>
              <w:suppressLineNumbers w:val="0"/>
              <w:snapToGrid w:val="0"/>
              <w:spacing w:before="0" w:beforeAutospacing="0" w:after="0" w:afterAutospacing="0" w:line="360" w:lineRule="auto"/>
              <w:ind w:left="0" w:right="0" w:firstLine="233" w:firstLineChars="111"/>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①根据《政府采购促进中小企业发展管理办法》（财库〔2020〕46号）及《广西壮族自治区财政厅关于持续优化政府采购营商环境推动高质量发展的通知》（桂财采〔2024〕55号）的规定，投标人在其投标文件中提供《中小企业声明函》，且其投标全部货物由小微企业制造的，对其投标报价给予10%的扣除，扣除后的价格为评标报价，即评标报价=投标报价×（1-10%）。除上述情况外，评标报价=投标报价。</w:t>
            </w:r>
          </w:p>
          <w:p w14:paraId="19FD8958">
            <w:pPr>
              <w:keepNext w:val="0"/>
              <w:keepLines w:val="0"/>
              <w:suppressLineNumbers w:val="0"/>
              <w:snapToGrid w:val="0"/>
              <w:spacing w:before="0" w:beforeAutospacing="0" w:after="0" w:afterAutospacing="0" w:line="360" w:lineRule="auto"/>
              <w:ind w:left="0" w:right="0" w:firstLine="233" w:firstLineChars="111"/>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②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14:paraId="22328CE2">
            <w:pPr>
              <w:keepNext w:val="0"/>
              <w:keepLines w:val="0"/>
              <w:suppressLineNumbers w:val="0"/>
              <w:snapToGrid w:val="0"/>
              <w:spacing w:before="0" w:beforeAutospacing="0" w:after="0" w:afterAutospacing="0" w:line="360" w:lineRule="auto"/>
              <w:ind w:left="0" w:right="0" w:firstLine="233" w:firstLineChars="111"/>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③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44A06EEC">
            <w:pPr>
              <w:keepNext w:val="0"/>
              <w:keepLines w:val="0"/>
              <w:suppressLineNumbers w:val="0"/>
              <w:snapToGrid w:val="0"/>
              <w:spacing w:before="0" w:beforeAutospacing="0" w:after="0" w:afterAutospacing="0" w:line="360" w:lineRule="auto"/>
              <w:ind w:left="0" w:right="0" w:firstLine="233" w:firstLineChars="111"/>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rPr>
              <w:t>④按照</w:t>
            </w:r>
            <w:r>
              <w:rPr>
                <w:rFonts w:hint="eastAsia" w:ascii="宋体" w:hAnsi="宋体" w:eastAsia="宋体" w:cs="宋体"/>
                <w:color w:val="auto"/>
                <w:highlight w:val="none"/>
              </w:rPr>
              <w:t>《国务院办公厅关于在政府采购中实施本国产品标准及相关政策的通</w:t>
            </w:r>
            <w:r>
              <w:rPr>
                <w:rFonts w:hint="eastAsia" w:ascii="宋体" w:hAnsi="宋体" w:cs="宋体"/>
                <w:color w:val="auto"/>
                <w:highlight w:val="none"/>
              </w:rPr>
              <w:t>知》（国办发〔2025〕34号）</w:t>
            </w:r>
            <w:r>
              <w:rPr>
                <w:rFonts w:hint="eastAsia" w:ascii="宋体" w:hAnsi="宋体" w:eastAsia="宋体" w:cs="宋体"/>
                <w:bCs/>
                <w:color w:val="auto"/>
                <w:sz w:val="21"/>
                <w:szCs w:val="21"/>
                <w:highlight w:val="none"/>
              </w:rPr>
              <w:t>的规定，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扣除后的价格为评标报价，即评标报价=投标报价×（1-</w:t>
            </w:r>
            <w:r>
              <w:rPr>
                <w:rFonts w:hint="eastAsia" w:ascii="宋体" w:hAnsi="宋体" w:eastAsia="宋体" w:cs="宋体"/>
                <w:bCs/>
                <w:color w:val="auto"/>
                <w:sz w:val="21"/>
                <w:szCs w:val="21"/>
                <w:highlight w:val="none"/>
                <w:lang w:val="en-US" w:eastAsia="zh-CN"/>
              </w:rPr>
              <w:t>2</w:t>
            </w:r>
            <w:r>
              <w:rPr>
                <w:rFonts w:hint="eastAsia" w:ascii="宋体" w:hAnsi="宋体" w:eastAsia="宋体" w:cs="宋体"/>
                <w:bCs/>
                <w:color w:val="auto"/>
                <w:sz w:val="21"/>
                <w:szCs w:val="21"/>
                <w:highlight w:val="none"/>
              </w:rPr>
              <w:t>0%）。供应商在其投标文件中提供《关于符合本国产品标准的声明函》或财政部会同有关部门规定的有关证明文件，该产品视为本国产品。供应商对声明</w:t>
            </w:r>
            <w:r>
              <w:rPr>
                <w:rFonts w:hint="eastAsia" w:ascii="宋体" w:hAnsi="宋体" w:eastAsia="宋体" w:cs="宋体"/>
                <w:bCs/>
                <w:color w:val="auto"/>
                <w:sz w:val="21"/>
                <w:szCs w:val="21"/>
                <w:highlight w:val="none"/>
                <w:lang w:eastAsia="zh-CN"/>
              </w:rPr>
              <w:t>及证明文件</w:t>
            </w:r>
            <w:r>
              <w:rPr>
                <w:rFonts w:hint="eastAsia" w:ascii="宋体" w:hAnsi="宋体" w:eastAsia="宋体" w:cs="宋体"/>
                <w:bCs/>
                <w:color w:val="auto"/>
                <w:sz w:val="21"/>
                <w:szCs w:val="21"/>
                <w:highlight w:val="none"/>
              </w:rPr>
              <w:t>的真实性负责</w:t>
            </w:r>
            <w:r>
              <w:rPr>
                <w:rFonts w:hint="eastAsia" w:ascii="宋体" w:hAnsi="宋体" w:eastAsia="宋体" w:cs="宋体"/>
                <w:bCs/>
                <w:color w:val="auto"/>
                <w:sz w:val="21"/>
                <w:szCs w:val="21"/>
                <w:highlight w:val="none"/>
                <w:lang w:eastAsia="zh-CN"/>
              </w:rPr>
              <w:t>。</w:t>
            </w:r>
          </w:p>
          <w:p w14:paraId="58D9B460">
            <w:pPr>
              <w:keepNext w:val="0"/>
              <w:keepLines w:val="0"/>
              <w:suppressLineNumbers w:val="0"/>
              <w:snapToGrid w:val="0"/>
              <w:spacing w:before="0" w:beforeAutospacing="0" w:after="0" w:afterAutospacing="0" w:line="360" w:lineRule="auto"/>
              <w:ind w:left="0" w:right="0" w:firstLine="443" w:firstLineChars="211"/>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⑤供应商享受小微企业价格扣除政策的，可重复享受</w:t>
            </w:r>
            <w:r>
              <w:rPr>
                <w:rFonts w:hint="eastAsia" w:ascii="宋体" w:hAnsi="宋体" w:cs="宋体"/>
                <w:color w:val="auto"/>
                <w:highlight w:val="none"/>
              </w:rPr>
              <w:t>本国产品</w:t>
            </w:r>
            <w:r>
              <w:rPr>
                <w:rFonts w:hint="eastAsia" w:ascii="宋体" w:hAnsi="宋体" w:cs="宋体"/>
                <w:color w:val="auto"/>
                <w:highlight w:val="none"/>
                <w:lang w:eastAsia="zh-CN"/>
              </w:rPr>
              <w:t>价格扣除政策，即</w:t>
            </w:r>
            <w:r>
              <w:rPr>
                <w:rFonts w:hint="eastAsia" w:ascii="宋体" w:hAnsi="宋体" w:eastAsia="宋体" w:cs="宋体"/>
                <w:bCs/>
                <w:color w:val="auto"/>
                <w:sz w:val="21"/>
                <w:szCs w:val="21"/>
                <w:highlight w:val="none"/>
              </w:rPr>
              <w:t>评标报价</w:t>
            </w:r>
            <w:r>
              <w:rPr>
                <w:rFonts w:hint="eastAsia" w:ascii="宋体" w:hAnsi="宋体" w:cs="宋体"/>
                <w:color w:val="auto"/>
                <w:highlight w:val="none"/>
                <w:lang w:eastAsia="zh-CN"/>
              </w:rPr>
              <w:t>=投标报价</w:t>
            </w:r>
            <w:r>
              <w:rPr>
                <w:rFonts w:hint="eastAsia" w:ascii="宋体" w:hAnsi="宋体" w:eastAsia="宋体" w:cs="宋体"/>
                <w:bCs/>
                <w:color w:val="auto"/>
                <w:sz w:val="21"/>
                <w:szCs w:val="21"/>
                <w:highlight w:val="none"/>
              </w:rPr>
              <w:t>×</w:t>
            </w:r>
            <w:r>
              <w:rPr>
                <w:rFonts w:hint="eastAsia" w:ascii="宋体" w:hAnsi="宋体" w:cs="宋体"/>
                <w:color w:val="auto"/>
                <w:highlight w:val="none"/>
                <w:lang w:eastAsia="zh-CN"/>
              </w:rPr>
              <w:t>（</w:t>
            </w:r>
            <w:r>
              <w:rPr>
                <w:rFonts w:hint="eastAsia" w:ascii="宋体" w:hAnsi="宋体" w:cs="宋体"/>
                <w:color w:val="auto"/>
                <w:highlight w:val="none"/>
                <w:lang w:val="en-US" w:eastAsia="zh-CN"/>
              </w:rPr>
              <w:t>1－</w:t>
            </w:r>
            <w:r>
              <w:rPr>
                <w:rFonts w:hint="eastAsia" w:ascii="宋体" w:hAnsi="宋体" w:eastAsia="宋体" w:cs="宋体"/>
                <w:bCs/>
                <w:color w:val="auto"/>
                <w:sz w:val="21"/>
                <w:szCs w:val="21"/>
                <w:highlight w:val="none"/>
                <w:lang w:val="en-US" w:eastAsia="zh-CN"/>
              </w:rPr>
              <w:t>小微企业</w:t>
            </w:r>
            <w:r>
              <w:rPr>
                <w:rFonts w:hint="eastAsia" w:ascii="宋体" w:hAnsi="宋体" w:cs="宋体"/>
                <w:color w:val="auto"/>
                <w:highlight w:val="none"/>
                <w:lang w:eastAsia="zh-CN"/>
              </w:rPr>
              <w:t>价格</w:t>
            </w:r>
            <w:r>
              <w:rPr>
                <w:rFonts w:hint="eastAsia" w:ascii="宋体" w:hAnsi="宋体" w:eastAsia="宋体" w:cs="宋体"/>
                <w:bCs/>
                <w:color w:val="auto"/>
                <w:sz w:val="21"/>
                <w:szCs w:val="21"/>
                <w:highlight w:val="none"/>
                <w:lang w:val="en-US" w:eastAsia="zh-CN"/>
              </w:rPr>
              <w:t>扣除比例</w:t>
            </w:r>
            <w:r>
              <w:rPr>
                <w:rFonts w:hint="eastAsia" w:ascii="宋体" w:hAnsi="宋体" w:cs="宋体"/>
                <w:color w:val="auto"/>
                <w:highlight w:val="none"/>
                <w:lang w:eastAsia="zh-CN"/>
              </w:rPr>
              <w:t>-</w:t>
            </w:r>
            <w:r>
              <w:rPr>
                <w:rFonts w:hint="eastAsia" w:ascii="宋体" w:hAnsi="宋体" w:cs="宋体"/>
                <w:color w:val="auto"/>
                <w:highlight w:val="none"/>
                <w:lang w:val="en-US" w:eastAsia="zh-CN"/>
              </w:rPr>
              <w:t>本国产品</w:t>
            </w:r>
            <w:r>
              <w:rPr>
                <w:rFonts w:hint="eastAsia" w:ascii="宋体" w:hAnsi="宋体" w:cs="宋体"/>
                <w:color w:val="auto"/>
                <w:highlight w:val="none"/>
                <w:lang w:eastAsia="zh-CN"/>
              </w:rPr>
              <w:t>价格</w:t>
            </w:r>
            <w:r>
              <w:rPr>
                <w:rFonts w:hint="eastAsia" w:ascii="宋体" w:hAnsi="宋体" w:cs="宋体"/>
                <w:color w:val="auto"/>
                <w:highlight w:val="none"/>
                <w:lang w:val="en-US" w:eastAsia="zh-CN"/>
              </w:rPr>
              <w:t>扣除比例</w:t>
            </w:r>
            <w:r>
              <w:rPr>
                <w:rFonts w:hint="eastAsia" w:ascii="宋体" w:hAnsi="宋体" w:cs="宋体"/>
                <w:color w:val="auto"/>
                <w:highlight w:val="none"/>
                <w:lang w:eastAsia="zh-CN"/>
              </w:rPr>
              <w:t>），除上述情况外，</w:t>
            </w:r>
            <w:r>
              <w:rPr>
                <w:rFonts w:hint="eastAsia" w:ascii="宋体" w:hAnsi="宋体" w:eastAsia="宋体" w:cs="宋体"/>
                <w:bCs/>
                <w:color w:val="auto"/>
                <w:sz w:val="21"/>
                <w:szCs w:val="21"/>
                <w:highlight w:val="none"/>
              </w:rPr>
              <w:t>评标报价</w:t>
            </w:r>
            <w:r>
              <w:rPr>
                <w:rFonts w:hint="eastAsia" w:ascii="宋体" w:hAnsi="宋体" w:cs="宋体"/>
                <w:color w:val="auto"/>
                <w:highlight w:val="none"/>
                <w:lang w:eastAsia="zh-CN"/>
              </w:rPr>
              <w:t>=投标报价。</w:t>
            </w:r>
          </w:p>
          <w:p w14:paraId="1C07E92A">
            <w:pPr>
              <w:keepNext w:val="0"/>
              <w:keepLines w:val="0"/>
              <w:suppressLineNumbers w:val="0"/>
              <w:snapToGrid w:val="0"/>
              <w:spacing w:before="0" w:beforeAutospacing="0" w:after="0" w:afterAutospacing="0" w:line="360" w:lineRule="auto"/>
              <w:ind w:left="0" w:right="0" w:firstLine="233" w:firstLineChars="111"/>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w:t>
            </w:r>
            <w:r>
              <w:rPr>
                <w:rFonts w:hint="eastAsia" w:ascii="宋体" w:hAnsi="宋体" w:eastAsia="宋体" w:cs="宋体"/>
                <w:bCs/>
                <w:color w:val="auto"/>
                <w:sz w:val="21"/>
                <w:szCs w:val="21"/>
                <w:highlight w:val="none"/>
                <w:lang w:val="en-US" w:eastAsia="zh-CN"/>
              </w:rPr>
              <w:t>3</w:t>
            </w:r>
            <w:r>
              <w:rPr>
                <w:rFonts w:hint="eastAsia" w:ascii="宋体" w:hAnsi="宋体" w:eastAsia="宋体" w:cs="宋体"/>
                <w:bCs/>
                <w:color w:val="auto"/>
                <w:sz w:val="21"/>
                <w:szCs w:val="21"/>
                <w:highlight w:val="none"/>
              </w:rPr>
              <w:t>）满足招标文件要求且评标报价最低的为评标基准价，其价格分为满分。</w:t>
            </w:r>
          </w:p>
          <w:p w14:paraId="361791DD">
            <w:pPr>
              <w:keepNext w:val="0"/>
              <w:keepLines w:val="0"/>
              <w:suppressLineNumbers w:val="0"/>
              <w:spacing w:before="0" w:beforeAutospacing="0" w:after="0" w:afterAutospacing="0" w:line="360" w:lineRule="auto"/>
              <w:ind w:left="0" w:right="0" w:firstLine="233" w:firstLineChars="111"/>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w:t>
            </w:r>
            <w:r>
              <w:rPr>
                <w:rFonts w:hint="eastAsia" w:ascii="宋体" w:hAnsi="宋体" w:cs="宋体"/>
                <w:bCs/>
                <w:color w:val="auto"/>
                <w:sz w:val="21"/>
                <w:szCs w:val="21"/>
                <w:highlight w:val="none"/>
                <w:lang w:val="en-US" w:eastAsia="zh-CN"/>
              </w:rPr>
              <w:t>4</w:t>
            </w:r>
            <w:r>
              <w:rPr>
                <w:rFonts w:hint="eastAsia" w:ascii="宋体" w:hAnsi="宋体" w:eastAsia="宋体" w:cs="宋体"/>
                <w:bCs/>
                <w:color w:val="auto"/>
                <w:sz w:val="21"/>
                <w:szCs w:val="21"/>
                <w:highlight w:val="none"/>
              </w:rPr>
              <w:t xml:space="preserve">）价格分计算公式：        </w:t>
            </w:r>
          </w:p>
          <w:p w14:paraId="48622882">
            <w:pPr>
              <w:keepNext w:val="0"/>
              <w:keepLines w:val="0"/>
              <w:suppressLineNumbers w:val="0"/>
              <w:bidi w:val="0"/>
              <w:spacing w:before="0" w:beforeAutospacing="0" w:after="0" w:afterAutospacing="0" w:line="360" w:lineRule="auto"/>
              <w:ind w:left="0" w:right="0" w:firstLine="420" w:firstLineChars="200"/>
              <w:jc w:val="both"/>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价格分=（评标基准价/评标报价）×</w:t>
            </w:r>
            <w:r>
              <w:rPr>
                <w:rFonts w:hint="eastAsia" w:ascii="宋体" w:hAnsi="宋体" w:cs="宋体"/>
                <w:bCs/>
                <w:color w:val="auto"/>
                <w:sz w:val="21"/>
                <w:szCs w:val="21"/>
                <w:highlight w:val="none"/>
                <w:u w:val="none"/>
                <w:lang w:val="en-US" w:eastAsia="zh-CN"/>
              </w:rPr>
              <w:t>4</w:t>
            </w:r>
            <w:r>
              <w:rPr>
                <w:rFonts w:hint="eastAsia" w:ascii="宋体" w:hAnsi="宋体" w:eastAsia="宋体" w:cs="宋体"/>
                <w:bCs/>
                <w:color w:val="auto"/>
                <w:sz w:val="21"/>
                <w:szCs w:val="21"/>
                <w:highlight w:val="none"/>
                <w:u w:val="none"/>
              </w:rPr>
              <w:t>0</w:t>
            </w:r>
            <w:r>
              <w:rPr>
                <w:rFonts w:hint="eastAsia" w:ascii="宋体" w:hAnsi="宋体" w:eastAsia="宋体" w:cs="宋体"/>
                <w:bCs/>
                <w:color w:val="auto"/>
                <w:sz w:val="21"/>
                <w:szCs w:val="21"/>
                <w:highlight w:val="none"/>
              </w:rPr>
              <w:t>分</w:t>
            </w:r>
          </w:p>
        </w:tc>
      </w:tr>
      <w:tr w14:paraId="212BD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trPr>
        <w:tc>
          <w:tcPr>
            <w:tcW w:w="713" w:type="dxa"/>
            <w:vMerge w:val="restart"/>
            <w:noWrap w:val="0"/>
            <w:vAlign w:val="center"/>
          </w:tcPr>
          <w:p w14:paraId="6EB67CD6">
            <w:pPr>
              <w:keepNext w:val="0"/>
              <w:keepLines w:val="0"/>
              <w:suppressLineNumbers w:val="0"/>
              <w:bidi w:val="0"/>
              <w:spacing w:before="0" w:beforeAutospacing="0" w:after="0" w:afterAutospacing="0" w:line="360" w:lineRule="auto"/>
              <w:ind w:left="0"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p>
        </w:tc>
        <w:tc>
          <w:tcPr>
            <w:tcW w:w="1101" w:type="dxa"/>
            <w:vMerge w:val="restart"/>
            <w:noWrap w:val="0"/>
            <w:vAlign w:val="center"/>
          </w:tcPr>
          <w:p w14:paraId="16FF0D3D">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技术分</w:t>
            </w:r>
            <w:r>
              <w:rPr>
                <w:rFonts w:hint="eastAsia" w:ascii="宋体" w:hAnsi="宋体" w:cs="宋体"/>
                <w:b w:val="0"/>
                <w:bCs w:val="0"/>
                <w:color w:val="auto"/>
                <w:sz w:val="21"/>
                <w:szCs w:val="21"/>
                <w:highlight w:val="none"/>
                <w:lang w:eastAsia="zh-CN"/>
              </w:rPr>
              <w:t>（满分</w:t>
            </w:r>
            <w:r>
              <w:rPr>
                <w:rFonts w:hint="eastAsia" w:ascii="宋体" w:hAnsi="宋体" w:cs="宋体"/>
                <w:b w:val="0"/>
                <w:bCs w:val="0"/>
                <w:color w:val="auto"/>
                <w:sz w:val="21"/>
                <w:szCs w:val="21"/>
                <w:highlight w:val="none"/>
                <w:lang w:val="en-US" w:eastAsia="zh-CN"/>
              </w:rPr>
              <w:t>46分</w:t>
            </w:r>
            <w:r>
              <w:rPr>
                <w:rFonts w:hint="eastAsia" w:ascii="宋体" w:hAnsi="宋体" w:cs="宋体"/>
                <w:b w:val="0"/>
                <w:bCs w:val="0"/>
                <w:color w:val="auto"/>
                <w:sz w:val="21"/>
                <w:szCs w:val="21"/>
                <w:highlight w:val="none"/>
                <w:lang w:eastAsia="zh-CN"/>
              </w:rPr>
              <w:t>）</w:t>
            </w:r>
          </w:p>
        </w:tc>
        <w:tc>
          <w:tcPr>
            <w:tcW w:w="1259" w:type="dxa"/>
            <w:noWrap w:val="0"/>
            <w:vAlign w:val="center"/>
          </w:tcPr>
          <w:p w14:paraId="122F8168">
            <w:pPr>
              <w:keepNext w:val="0"/>
              <w:keepLines w:val="0"/>
              <w:suppressLineNumbers w:val="0"/>
              <w:spacing w:before="0" w:beforeAutospacing="0" w:after="0" w:afterAutospacing="0" w:line="360" w:lineRule="auto"/>
              <w:ind w:left="0"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技术参数</w:t>
            </w:r>
            <w:r>
              <w:rPr>
                <w:rFonts w:hint="eastAsia" w:ascii="宋体" w:hAnsi="宋体" w:cs="宋体"/>
                <w:color w:val="auto"/>
                <w:sz w:val="21"/>
                <w:szCs w:val="21"/>
                <w:highlight w:val="none"/>
                <w:lang w:eastAsia="zh-CN"/>
              </w:rPr>
              <w:t>响应</w:t>
            </w:r>
            <w:r>
              <w:rPr>
                <w:rFonts w:hint="eastAsia" w:ascii="宋体" w:hAnsi="宋体" w:eastAsia="宋体" w:cs="宋体"/>
                <w:color w:val="auto"/>
                <w:sz w:val="21"/>
                <w:szCs w:val="21"/>
                <w:highlight w:val="none"/>
              </w:rPr>
              <w:t>分（满分</w:t>
            </w:r>
            <w:r>
              <w:rPr>
                <w:rFonts w:hint="eastAsia" w:ascii="宋体" w:hAnsi="宋体" w:cs="宋体"/>
                <w:color w:val="auto"/>
                <w:sz w:val="21"/>
                <w:szCs w:val="21"/>
                <w:highlight w:val="none"/>
                <w:lang w:val="en-US" w:eastAsia="zh-CN"/>
              </w:rPr>
              <w:t>15</w:t>
            </w:r>
            <w:r>
              <w:rPr>
                <w:rFonts w:hint="eastAsia" w:ascii="宋体" w:hAnsi="宋体" w:eastAsia="宋体" w:cs="宋体"/>
                <w:color w:val="auto"/>
                <w:sz w:val="21"/>
                <w:szCs w:val="21"/>
                <w:highlight w:val="none"/>
              </w:rPr>
              <w:t>分）</w:t>
            </w:r>
          </w:p>
        </w:tc>
        <w:tc>
          <w:tcPr>
            <w:tcW w:w="6253" w:type="dxa"/>
            <w:noWrap w:val="0"/>
            <w:vAlign w:val="center"/>
          </w:tcPr>
          <w:p w14:paraId="3C766EDC">
            <w:pPr>
              <w:pStyle w:val="14"/>
              <w:keepNext w:val="0"/>
              <w:keepLines w:val="0"/>
              <w:suppressLineNumbers w:val="0"/>
              <w:spacing w:before="0" w:beforeAutospacing="0" w:after="0" w:afterAutospacing="0" w:line="440" w:lineRule="exact"/>
              <w:ind w:left="0" w:right="0" w:firstLine="420" w:firstLineChars="200"/>
              <w:rPr>
                <w:rFonts w:hint="eastAsia" w:eastAsia="黑体"/>
                <w:color w:val="auto"/>
                <w:highlight w:val="none"/>
                <w:lang w:val="en-US" w:eastAsia="zh-CN"/>
              </w:rPr>
            </w:pPr>
            <w:r>
              <w:rPr>
                <w:rFonts w:hint="eastAsia" w:ascii="宋体" w:hAnsi="宋体" w:eastAsia="宋体" w:cs="宋体"/>
                <w:color w:val="auto"/>
                <w:sz w:val="21"/>
                <w:szCs w:val="21"/>
                <w:highlight w:val="none"/>
                <w:lang w:val="en-US" w:eastAsia="zh-CN"/>
              </w:rPr>
              <w:t>经评委评审，投标人的投标文件对招标文件第二章“技术参数及性能（配置）要求”完全响应且无任何负偏离或漏项的，得基础分15分；</w:t>
            </w:r>
            <w:r>
              <w:rPr>
                <w:rFonts w:hint="eastAsia" w:ascii="宋体" w:hAnsi="宋体" w:cs="宋体"/>
                <w:color w:val="auto"/>
                <w:sz w:val="21"/>
                <w:szCs w:val="21"/>
                <w:highlight w:val="none"/>
                <w:lang w:val="en-US" w:eastAsia="zh-CN"/>
              </w:rPr>
              <w:t>一般参数</w:t>
            </w:r>
            <w:r>
              <w:rPr>
                <w:rFonts w:hint="eastAsia" w:ascii="宋体" w:hAnsi="宋体" w:eastAsia="宋体" w:cs="宋体"/>
                <w:color w:val="auto"/>
                <w:sz w:val="21"/>
                <w:szCs w:val="21"/>
                <w:highlight w:val="none"/>
                <w:lang w:val="en-US" w:eastAsia="zh-CN"/>
              </w:rPr>
              <w:t>不满足第二章“技术参数及性能（配置）要求”一般参数项要求的，即存在负偏离或存在漏项的，每一项扣3分，扣完为止。</w:t>
            </w:r>
          </w:p>
        </w:tc>
      </w:tr>
      <w:tr w14:paraId="77D92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2" w:hRule="atLeast"/>
        </w:trPr>
        <w:tc>
          <w:tcPr>
            <w:tcW w:w="713" w:type="dxa"/>
            <w:vMerge w:val="continue"/>
            <w:noWrap w:val="0"/>
            <w:vAlign w:val="center"/>
          </w:tcPr>
          <w:p w14:paraId="3951F332">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eastAsia="zh-CN"/>
              </w:rPr>
            </w:pPr>
          </w:p>
        </w:tc>
        <w:tc>
          <w:tcPr>
            <w:tcW w:w="1101" w:type="dxa"/>
            <w:vMerge w:val="continue"/>
            <w:noWrap w:val="0"/>
            <w:vAlign w:val="center"/>
          </w:tcPr>
          <w:p w14:paraId="7402B03E">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eastAsia="zh-CN"/>
              </w:rPr>
            </w:pPr>
          </w:p>
        </w:tc>
        <w:tc>
          <w:tcPr>
            <w:tcW w:w="1259" w:type="dxa"/>
            <w:noWrap w:val="0"/>
            <w:vAlign w:val="center"/>
          </w:tcPr>
          <w:p w14:paraId="753AC120">
            <w:pPr>
              <w:keepNext w:val="0"/>
              <w:keepLines w:val="0"/>
              <w:suppressLineNumbers w:val="0"/>
              <w:spacing w:before="0" w:beforeAutospacing="0" w:after="0" w:afterAutospacing="0" w:line="360" w:lineRule="auto"/>
              <w:ind w:left="0"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项目</w:t>
            </w:r>
            <w:r>
              <w:rPr>
                <w:rFonts w:hint="eastAsia" w:ascii="宋体" w:hAnsi="宋体" w:eastAsia="宋体" w:cs="宋体"/>
                <w:color w:val="auto"/>
                <w:sz w:val="21"/>
                <w:szCs w:val="21"/>
                <w:highlight w:val="none"/>
              </w:rPr>
              <w:t>实施方案分（满分</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tc>
        <w:tc>
          <w:tcPr>
            <w:tcW w:w="6253" w:type="dxa"/>
            <w:noWrap w:val="0"/>
            <w:vAlign w:val="center"/>
          </w:tcPr>
          <w:p w14:paraId="08A713C6">
            <w:pPr>
              <w:keepNext w:val="0"/>
              <w:keepLines w:val="0"/>
              <w:suppressLineNumbers w:val="0"/>
              <w:spacing w:before="0" w:beforeAutospacing="0" w:after="0" w:afterAutospacing="0"/>
              <w:ind w:left="0" w:right="0"/>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由评标委员会根据各投标人提供的项目实施方案(方案内容包含：</w:t>
            </w:r>
            <w:r>
              <w:rPr>
                <w:rFonts w:hint="eastAsia" w:ascii="宋体" w:hAnsi="宋体" w:eastAsia="宋体" w:cs="宋体"/>
                <w:b/>
                <w:bCs/>
                <w:color w:val="auto"/>
                <w:kern w:val="2"/>
                <w:sz w:val="21"/>
                <w:szCs w:val="21"/>
                <w:highlight w:val="none"/>
                <w:lang w:val="en-US" w:eastAsia="zh-CN" w:bidi="ar-SA"/>
              </w:rPr>
              <w:t>①软件及交付物质量控制措施②软件</w:t>
            </w:r>
            <w:r>
              <w:rPr>
                <w:rFonts w:hint="eastAsia" w:ascii="宋体" w:hAnsi="宋体" w:eastAsia="宋体" w:cs="宋体"/>
                <w:b/>
                <w:bCs/>
                <w:i w:val="0"/>
                <w:iCs w:val="0"/>
                <w:caps w:val="0"/>
                <w:color w:val="000000"/>
                <w:spacing w:val="0"/>
                <w:sz w:val="21"/>
                <w:szCs w:val="21"/>
                <w:shd w:val="clear" w:fill="FAFAFA"/>
              </w:rPr>
              <w:t>及交付物配置管理</w:t>
            </w:r>
            <w:r>
              <w:rPr>
                <w:rFonts w:hint="eastAsia" w:ascii="宋体" w:hAnsi="宋体" w:eastAsia="宋体" w:cs="宋体"/>
                <w:b/>
                <w:bCs/>
                <w:color w:val="auto"/>
                <w:kern w:val="2"/>
                <w:sz w:val="21"/>
                <w:szCs w:val="21"/>
                <w:highlight w:val="none"/>
                <w:lang w:val="en-US" w:eastAsia="zh-CN" w:bidi="ar-SA"/>
              </w:rPr>
              <w:t>措施③</w:t>
            </w:r>
            <w:r>
              <w:rPr>
                <w:rStyle w:val="31"/>
                <w:rFonts w:hint="eastAsia" w:ascii="宋体" w:hAnsi="宋体" w:eastAsia="宋体" w:cs="宋体"/>
                <w:b/>
                <w:bCs/>
                <w:i w:val="0"/>
                <w:iCs w:val="0"/>
                <w:caps w:val="0"/>
                <w:color w:val="000000"/>
                <w:spacing w:val="0"/>
                <w:sz w:val="21"/>
                <w:szCs w:val="21"/>
                <w:shd w:val="clear" w:fill="FAFAFA"/>
              </w:rPr>
              <w:t>交付物封装措施</w:t>
            </w:r>
            <w:r>
              <w:rPr>
                <w:rFonts w:hint="eastAsia" w:ascii="宋体" w:hAnsi="宋体" w:eastAsia="宋体" w:cs="宋体"/>
                <w:b/>
                <w:bCs/>
                <w:color w:val="auto"/>
                <w:kern w:val="2"/>
                <w:sz w:val="21"/>
                <w:szCs w:val="21"/>
                <w:highlight w:val="none"/>
                <w:lang w:val="en-US" w:eastAsia="zh-CN" w:bidi="ar-SA"/>
              </w:rPr>
              <w:t>④</w:t>
            </w:r>
            <w:r>
              <w:rPr>
                <w:rStyle w:val="31"/>
                <w:rFonts w:hint="eastAsia" w:ascii="宋体" w:hAnsi="宋体" w:eastAsia="宋体" w:cs="宋体"/>
                <w:b/>
                <w:bCs/>
                <w:i w:val="0"/>
                <w:iCs w:val="0"/>
                <w:caps w:val="0"/>
                <w:color w:val="000000"/>
                <w:spacing w:val="0"/>
                <w:sz w:val="21"/>
                <w:szCs w:val="21"/>
                <w:shd w:val="clear" w:fill="FAFAFA"/>
              </w:rPr>
              <w:t>软件交付与分发安排</w:t>
            </w:r>
            <w:r>
              <w:rPr>
                <w:rFonts w:hint="eastAsia" w:ascii="宋体" w:hAnsi="宋体" w:eastAsia="宋体" w:cs="宋体"/>
                <w:b/>
                <w:bCs/>
                <w:color w:val="auto"/>
                <w:kern w:val="2"/>
                <w:sz w:val="21"/>
                <w:szCs w:val="21"/>
                <w:highlight w:val="none"/>
                <w:lang w:val="en-US" w:eastAsia="zh-CN" w:bidi="ar-SA"/>
              </w:rPr>
              <w:t>⑤</w:t>
            </w:r>
            <w:r>
              <w:rPr>
                <w:rFonts w:hint="eastAsia" w:ascii="宋体" w:hAnsi="宋体" w:eastAsia="宋体" w:cs="宋体"/>
                <w:b/>
                <w:bCs/>
                <w:i w:val="0"/>
                <w:iCs w:val="0"/>
                <w:caps w:val="0"/>
                <w:color w:val="000000"/>
                <w:spacing w:val="0"/>
                <w:sz w:val="21"/>
                <w:szCs w:val="21"/>
                <w:shd w:val="clear" w:fill="FAFAFA"/>
              </w:rPr>
              <w:t>项目实施进度计划</w:t>
            </w:r>
            <w:r>
              <w:rPr>
                <w:rFonts w:hint="eastAsia" w:ascii="宋体" w:hAnsi="宋体" w:eastAsia="宋体" w:cs="宋体"/>
                <w:b/>
                <w:bCs/>
                <w:color w:val="auto"/>
                <w:kern w:val="2"/>
                <w:sz w:val="21"/>
                <w:szCs w:val="21"/>
                <w:highlight w:val="none"/>
                <w:lang w:val="en-US" w:eastAsia="zh-CN" w:bidi="ar-SA"/>
              </w:rPr>
              <w:t>⑥</w:t>
            </w:r>
            <w:r>
              <w:rPr>
                <w:rStyle w:val="31"/>
                <w:rFonts w:hint="eastAsia" w:ascii="宋体" w:hAnsi="宋体" w:eastAsia="宋体" w:cs="宋体"/>
                <w:b/>
                <w:bCs/>
                <w:i w:val="0"/>
                <w:iCs w:val="0"/>
                <w:caps w:val="0"/>
                <w:color w:val="000000"/>
                <w:spacing w:val="0"/>
                <w:sz w:val="21"/>
                <w:szCs w:val="21"/>
                <w:shd w:val="clear" w:fill="FAFAFA"/>
              </w:rPr>
              <w:t>软件版本发布、交付与部署的计划安排及说明</w:t>
            </w:r>
            <w:r>
              <w:rPr>
                <w:rFonts w:hint="eastAsia" w:ascii="宋体" w:hAnsi="宋体" w:eastAsia="宋体" w:cs="宋体"/>
                <w:b/>
                <w:bCs/>
                <w:color w:val="auto"/>
                <w:kern w:val="2"/>
                <w:sz w:val="21"/>
                <w:szCs w:val="21"/>
                <w:highlight w:val="none"/>
                <w:lang w:val="en-US" w:eastAsia="zh-CN" w:bidi="ar-SA"/>
              </w:rPr>
              <w:t>⑦</w:t>
            </w:r>
            <w:r>
              <w:rPr>
                <w:rStyle w:val="31"/>
                <w:rFonts w:hint="eastAsia" w:ascii="宋体" w:hAnsi="宋体" w:eastAsia="宋体" w:cs="宋体"/>
                <w:b/>
                <w:bCs/>
                <w:i w:val="0"/>
                <w:iCs w:val="0"/>
                <w:caps w:val="0"/>
                <w:color w:val="000000"/>
                <w:spacing w:val="0"/>
                <w:sz w:val="21"/>
                <w:szCs w:val="21"/>
                <w:shd w:val="clear" w:fill="FAFAFA"/>
              </w:rPr>
              <w:t>交付过程安全保护措施</w:t>
            </w:r>
            <w:r>
              <w:rPr>
                <w:rFonts w:hint="eastAsia" w:ascii="宋体" w:hAnsi="宋体" w:eastAsia="宋体" w:cs="宋体"/>
                <w:b/>
                <w:bCs/>
                <w:color w:val="auto"/>
                <w:kern w:val="2"/>
                <w:sz w:val="21"/>
                <w:szCs w:val="21"/>
                <w:highlight w:val="none"/>
                <w:lang w:val="en-US" w:eastAsia="zh-CN" w:bidi="ar-SA"/>
              </w:rPr>
              <w:t>⑧</w:t>
            </w:r>
            <w:r>
              <w:rPr>
                <w:rStyle w:val="31"/>
                <w:rFonts w:hint="eastAsia" w:ascii="宋体" w:hAnsi="宋体" w:eastAsia="宋体" w:cs="宋体"/>
                <w:b/>
                <w:bCs/>
                <w:i w:val="0"/>
                <w:iCs w:val="0"/>
                <w:caps w:val="0"/>
                <w:color w:val="000000"/>
                <w:spacing w:val="0"/>
                <w:sz w:val="21"/>
                <w:szCs w:val="21"/>
                <w:shd w:val="clear" w:fill="FAFAFA"/>
              </w:rPr>
              <w:t>软件运行应急预案</w:t>
            </w:r>
            <w:r>
              <w:rPr>
                <w:rFonts w:hint="eastAsia" w:ascii="宋体" w:hAnsi="宋体" w:eastAsia="宋体" w:cs="宋体"/>
                <w:b/>
                <w:bCs/>
                <w:color w:val="auto"/>
                <w:kern w:val="2"/>
                <w:sz w:val="21"/>
                <w:szCs w:val="21"/>
                <w:highlight w:val="none"/>
                <w:lang w:val="en-US" w:eastAsia="zh-CN" w:bidi="ar-SA"/>
              </w:rPr>
              <w:t>⑨</w:t>
            </w:r>
            <w:r>
              <w:rPr>
                <w:rStyle w:val="31"/>
                <w:rFonts w:hint="eastAsia" w:ascii="宋体" w:hAnsi="宋体" w:eastAsia="宋体" w:cs="宋体"/>
                <w:b/>
                <w:bCs/>
                <w:i w:val="0"/>
                <w:iCs w:val="0"/>
                <w:caps w:val="0"/>
                <w:color w:val="000000"/>
                <w:spacing w:val="0"/>
                <w:sz w:val="21"/>
                <w:szCs w:val="21"/>
                <w:shd w:val="clear" w:fill="FAFAFA"/>
                <w:lang w:val="en-US" w:eastAsia="zh-CN"/>
              </w:rPr>
              <w:t>软件验收</w:t>
            </w:r>
            <w:r>
              <w:rPr>
                <w:rStyle w:val="31"/>
                <w:rFonts w:hint="eastAsia" w:ascii="宋体" w:hAnsi="宋体" w:eastAsia="宋体" w:cs="宋体"/>
                <w:b/>
                <w:bCs/>
                <w:i w:val="0"/>
                <w:iCs w:val="0"/>
                <w:caps w:val="0"/>
                <w:color w:val="000000"/>
                <w:spacing w:val="0"/>
                <w:sz w:val="21"/>
                <w:szCs w:val="21"/>
                <w:shd w:val="clear" w:fill="FAFAFA"/>
              </w:rPr>
              <w:t>措施</w:t>
            </w:r>
            <w:r>
              <w:rPr>
                <w:rFonts w:hint="eastAsia" w:ascii="宋体" w:hAnsi="宋体" w:eastAsia="宋体" w:cs="宋体"/>
                <w:b/>
                <w:bCs/>
                <w:color w:val="auto"/>
                <w:kern w:val="2"/>
                <w:sz w:val="21"/>
                <w:szCs w:val="21"/>
                <w:highlight w:val="none"/>
                <w:lang w:val="en-US" w:eastAsia="zh-CN" w:bidi="ar-SA"/>
              </w:rPr>
              <w:t>)</w:t>
            </w:r>
            <w:r>
              <w:rPr>
                <w:rFonts w:hint="eastAsia" w:ascii="宋体" w:hAnsi="宋体" w:eastAsia="宋体" w:cs="宋体"/>
                <w:b w:val="0"/>
                <w:bCs w:val="0"/>
                <w:color w:val="auto"/>
                <w:kern w:val="2"/>
                <w:sz w:val="21"/>
                <w:szCs w:val="21"/>
                <w:highlight w:val="none"/>
                <w:lang w:val="en-US" w:eastAsia="zh-CN" w:bidi="ar-SA"/>
              </w:rPr>
              <w:t>进行独立打分。</w:t>
            </w:r>
          </w:p>
          <w:p w14:paraId="3CC11968">
            <w:pPr>
              <w:keepNext w:val="0"/>
              <w:keepLines w:val="0"/>
              <w:suppressLineNumbers w:val="0"/>
              <w:spacing w:before="0" w:beforeAutospacing="0" w:after="0" w:afterAutospacing="0"/>
              <w:ind w:left="0" w:right="0"/>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注 ：</w:t>
            </w:r>
          </w:p>
          <w:p w14:paraId="33566801">
            <w:pPr>
              <w:keepNext w:val="0"/>
              <w:keepLines w:val="0"/>
              <w:suppressLineNumbers w:val="0"/>
              <w:spacing w:before="0" w:beforeAutospacing="0" w:after="0" w:afterAutospacing="0"/>
              <w:ind w:left="0" w:right="0"/>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(1)评分标准中所称“缺陷”是指以下4项：</w:t>
            </w:r>
          </w:p>
          <w:p w14:paraId="0AF532E4">
            <w:pPr>
              <w:keepNext w:val="0"/>
              <w:keepLines w:val="0"/>
              <w:suppressLineNumbers w:val="0"/>
              <w:spacing w:before="0" w:beforeAutospacing="0" w:after="0" w:afterAutospacing="0"/>
              <w:ind w:left="0" w:right="0"/>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①提供的方案内容缺项；②套用其他项目内容；③对同一问题前后表述矛盾；④存在逻辑漏洞或常识错误。</w:t>
            </w:r>
          </w:p>
          <w:p w14:paraId="67285A5E">
            <w:pPr>
              <w:keepNext w:val="0"/>
              <w:keepLines w:val="0"/>
              <w:suppressLineNumbers w:val="0"/>
              <w:spacing w:before="0" w:beforeAutospacing="0" w:after="0" w:afterAutospacing="0"/>
              <w:ind w:left="0" w:right="0"/>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(2)</w:t>
            </w:r>
            <w:r>
              <w:rPr>
                <w:rFonts w:hint="eastAsia" w:ascii="宋体" w:hAnsi="宋体" w:eastAsia="宋体" w:cs="宋体"/>
                <w:b/>
                <w:bCs/>
                <w:color w:val="auto"/>
                <w:szCs w:val="21"/>
                <w:highlight w:val="none"/>
              </w:rPr>
              <w:t>由评标委员</w:t>
            </w:r>
            <w:r>
              <w:rPr>
                <w:rFonts w:hint="eastAsia" w:ascii="宋体" w:hAnsi="宋体" w:eastAsia="宋体" w:cs="宋体"/>
                <w:b/>
                <w:bCs/>
                <w:color w:val="auto"/>
                <w:szCs w:val="21"/>
                <w:highlight w:val="none"/>
                <w:lang w:eastAsia="zh-CN"/>
              </w:rPr>
              <w:t>会</w:t>
            </w:r>
            <w:r>
              <w:rPr>
                <w:rFonts w:hint="eastAsia" w:ascii="宋体" w:hAnsi="宋体" w:eastAsia="宋体" w:cs="宋体"/>
                <w:b/>
                <w:bCs/>
                <w:color w:val="auto"/>
                <w:szCs w:val="21"/>
                <w:highlight w:val="none"/>
              </w:rPr>
              <w:t>在相应档次内独立打分，投标人投标文件中没有提供</w:t>
            </w:r>
            <w:r>
              <w:rPr>
                <w:rFonts w:hint="eastAsia" w:ascii="宋体" w:hAnsi="宋体" w:eastAsia="宋体" w:cs="宋体"/>
                <w:b/>
                <w:bCs/>
                <w:color w:val="auto"/>
                <w:szCs w:val="21"/>
                <w:highlight w:val="none"/>
                <w:lang w:val="en-US" w:eastAsia="zh-CN"/>
              </w:rPr>
              <w:t>项目实施方案</w:t>
            </w:r>
            <w:r>
              <w:rPr>
                <w:rFonts w:hint="eastAsia" w:ascii="宋体" w:hAnsi="宋体" w:eastAsia="宋体" w:cs="宋体"/>
                <w:b/>
                <w:bCs/>
                <w:color w:val="auto"/>
                <w:szCs w:val="21"/>
                <w:highlight w:val="none"/>
              </w:rPr>
              <w:t>的，本项不得分；所提供的</w:t>
            </w:r>
            <w:r>
              <w:rPr>
                <w:rFonts w:hint="eastAsia" w:ascii="宋体" w:hAnsi="宋体" w:eastAsia="宋体" w:cs="宋体"/>
                <w:b/>
                <w:bCs/>
                <w:color w:val="auto"/>
                <w:szCs w:val="21"/>
                <w:highlight w:val="none"/>
                <w:lang w:val="en-US" w:eastAsia="zh-CN"/>
              </w:rPr>
              <w:t>项目实施方案</w:t>
            </w:r>
            <w:r>
              <w:rPr>
                <w:rFonts w:hint="eastAsia" w:ascii="宋体" w:hAnsi="宋体" w:eastAsia="宋体" w:cs="宋体"/>
                <w:b/>
                <w:bCs/>
                <w:color w:val="auto"/>
                <w:szCs w:val="21"/>
                <w:highlight w:val="none"/>
              </w:rPr>
              <w:t>未达到相应评审档次全部标准的，相应降低一个档次</w:t>
            </w:r>
            <w:r>
              <w:rPr>
                <w:rFonts w:hint="eastAsia" w:ascii="宋体" w:hAnsi="宋体" w:eastAsia="宋体" w:cs="宋体"/>
                <w:b w:val="0"/>
                <w:bCs w:val="0"/>
                <w:color w:val="auto"/>
                <w:sz w:val="21"/>
                <w:szCs w:val="21"/>
                <w:highlight w:val="none"/>
              </w:rPr>
              <w:t>：</w:t>
            </w:r>
          </w:p>
          <w:p w14:paraId="5A8543AE">
            <w:pPr>
              <w:keepNext w:val="0"/>
              <w:keepLines w:val="0"/>
              <w:suppressLineNumbers w:val="0"/>
              <w:spacing w:before="0" w:beforeAutospacing="0" w:after="0" w:afterAutospacing="0"/>
              <w:ind w:left="0" w:right="0"/>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一档(</w:t>
            </w:r>
            <w:r>
              <w:rPr>
                <w:rFonts w:hint="eastAsia" w:ascii="宋体" w:hAnsi="宋体" w:cs="宋体"/>
                <w:b w:val="0"/>
                <w:bCs w:val="0"/>
                <w:color w:val="auto"/>
                <w:kern w:val="2"/>
                <w:sz w:val="21"/>
                <w:szCs w:val="21"/>
                <w:highlight w:val="none"/>
                <w:lang w:val="en-US" w:eastAsia="zh-CN" w:bidi="ar-SA"/>
              </w:rPr>
              <w:t>4</w:t>
            </w:r>
            <w:r>
              <w:rPr>
                <w:rFonts w:hint="eastAsia" w:ascii="宋体" w:hAnsi="宋体" w:eastAsia="宋体" w:cs="宋体"/>
                <w:b w:val="0"/>
                <w:bCs w:val="0"/>
                <w:color w:val="auto"/>
                <w:kern w:val="2"/>
                <w:sz w:val="21"/>
                <w:szCs w:val="21"/>
                <w:highlight w:val="none"/>
                <w:lang w:val="en-US" w:eastAsia="zh-CN" w:bidi="ar-SA"/>
              </w:rPr>
              <w:t>分):项目实施方案不能提供上述要求方案包含的9项完整内容，方案存在缺陷≥1项，提供项目实施方案各项内容简单，内容堆砌冗余、欠完善。</w:t>
            </w:r>
          </w:p>
          <w:p w14:paraId="61601E86">
            <w:pPr>
              <w:keepNext w:val="0"/>
              <w:keepLines w:val="0"/>
              <w:suppressLineNumbers w:val="0"/>
              <w:spacing w:before="0" w:beforeAutospacing="0" w:after="0" w:afterAutospacing="0"/>
              <w:ind w:left="0" w:right="0"/>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二档(</w:t>
            </w:r>
            <w:r>
              <w:rPr>
                <w:rFonts w:hint="eastAsia" w:ascii="宋体" w:hAnsi="宋体" w:cs="宋体"/>
                <w:b w:val="0"/>
                <w:bCs w:val="0"/>
                <w:color w:val="auto"/>
                <w:kern w:val="2"/>
                <w:sz w:val="21"/>
                <w:szCs w:val="21"/>
                <w:highlight w:val="none"/>
                <w:lang w:val="en-US" w:eastAsia="zh-CN" w:bidi="ar-SA"/>
              </w:rPr>
              <w:t>7</w:t>
            </w:r>
            <w:r>
              <w:rPr>
                <w:rFonts w:hint="eastAsia" w:ascii="宋体" w:hAnsi="宋体" w:eastAsia="宋体" w:cs="宋体"/>
                <w:b w:val="0"/>
                <w:bCs w:val="0"/>
                <w:color w:val="auto"/>
                <w:kern w:val="2"/>
                <w:sz w:val="21"/>
                <w:szCs w:val="21"/>
                <w:highlight w:val="none"/>
                <w:lang w:val="en-US" w:eastAsia="zh-CN" w:bidi="ar-SA"/>
              </w:rPr>
              <w:t>分):项目实施方案能提供上述要求方案包含的9项完整内容，方案不存在缺陷，方案已阐述</w:t>
            </w:r>
            <w:r>
              <w:rPr>
                <w:rFonts w:hint="eastAsia" w:ascii="宋体" w:hAnsi="宋体" w:cs="宋体"/>
                <w:b w:val="0"/>
                <w:bCs w:val="0"/>
                <w:color w:val="auto"/>
                <w:kern w:val="2"/>
                <w:sz w:val="21"/>
                <w:szCs w:val="21"/>
                <w:highlight w:val="none"/>
                <w:lang w:val="en-US" w:eastAsia="zh-CN" w:bidi="ar-SA"/>
              </w:rPr>
              <w:t>软件及交付物</w:t>
            </w:r>
            <w:r>
              <w:rPr>
                <w:rFonts w:hint="eastAsia" w:ascii="宋体" w:hAnsi="宋体" w:eastAsia="宋体" w:cs="宋体"/>
                <w:b w:val="0"/>
                <w:bCs w:val="0"/>
                <w:color w:val="auto"/>
                <w:kern w:val="2"/>
                <w:sz w:val="21"/>
                <w:szCs w:val="21"/>
                <w:highlight w:val="none"/>
                <w:lang w:val="en-US" w:eastAsia="zh-CN" w:bidi="ar-SA"/>
              </w:rPr>
              <w:t>质量控制、</w:t>
            </w:r>
            <w:r>
              <w:rPr>
                <w:rFonts w:hint="eastAsia" w:ascii="宋体" w:hAnsi="宋体" w:cs="宋体"/>
                <w:b w:val="0"/>
                <w:bCs w:val="0"/>
                <w:color w:val="auto"/>
                <w:kern w:val="2"/>
                <w:sz w:val="21"/>
                <w:szCs w:val="21"/>
                <w:highlight w:val="none"/>
                <w:lang w:val="en-US" w:eastAsia="zh-CN" w:bidi="ar-SA"/>
              </w:rPr>
              <w:t>配置管理</w:t>
            </w:r>
            <w:r>
              <w:rPr>
                <w:rFonts w:hint="eastAsia" w:ascii="宋体" w:hAnsi="宋体" w:eastAsia="宋体" w:cs="宋体"/>
                <w:b w:val="0"/>
                <w:bCs w:val="0"/>
                <w:color w:val="auto"/>
                <w:kern w:val="2"/>
                <w:sz w:val="21"/>
                <w:szCs w:val="21"/>
                <w:highlight w:val="none"/>
                <w:lang w:val="en-US" w:eastAsia="zh-CN" w:bidi="ar-SA"/>
              </w:rPr>
              <w:t>、</w:t>
            </w:r>
            <w:r>
              <w:rPr>
                <w:rFonts w:hint="eastAsia" w:ascii="宋体" w:hAnsi="宋体" w:cs="宋体"/>
                <w:b w:val="0"/>
                <w:bCs w:val="0"/>
                <w:color w:val="auto"/>
                <w:kern w:val="2"/>
                <w:sz w:val="21"/>
                <w:szCs w:val="21"/>
                <w:highlight w:val="none"/>
                <w:lang w:val="en-US" w:eastAsia="zh-CN" w:bidi="ar-SA"/>
              </w:rPr>
              <w:t>封装</w:t>
            </w:r>
            <w:r>
              <w:rPr>
                <w:rFonts w:hint="eastAsia" w:ascii="宋体" w:hAnsi="宋体" w:eastAsia="宋体" w:cs="宋体"/>
                <w:b w:val="0"/>
                <w:bCs w:val="0"/>
                <w:color w:val="auto"/>
                <w:kern w:val="2"/>
                <w:sz w:val="21"/>
                <w:szCs w:val="21"/>
                <w:highlight w:val="none"/>
                <w:lang w:val="en-US" w:eastAsia="zh-CN" w:bidi="ar-SA"/>
              </w:rPr>
              <w:t>、</w:t>
            </w:r>
            <w:r>
              <w:rPr>
                <w:rFonts w:hint="eastAsia" w:ascii="宋体" w:hAnsi="宋体" w:cs="宋体"/>
                <w:b w:val="0"/>
                <w:bCs w:val="0"/>
                <w:color w:val="auto"/>
                <w:kern w:val="2"/>
                <w:sz w:val="21"/>
                <w:szCs w:val="21"/>
                <w:highlight w:val="none"/>
                <w:lang w:val="en-US" w:eastAsia="zh-CN" w:bidi="ar-SA"/>
              </w:rPr>
              <w:t>软件交付与分发安排</w:t>
            </w:r>
            <w:r>
              <w:rPr>
                <w:rFonts w:hint="eastAsia" w:ascii="宋体" w:hAnsi="宋体" w:eastAsia="宋体" w:cs="宋体"/>
                <w:b w:val="0"/>
                <w:bCs w:val="0"/>
                <w:color w:val="auto"/>
                <w:kern w:val="2"/>
                <w:sz w:val="21"/>
                <w:szCs w:val="21"/>
                <w:highlight w:val="none"/>
                <w:lang w:val="en-US" w:eastAsia="zh-CN" w:bidi="ar-SA"/>
              </w:rPr>
              <w:t>措施，明确</w:t>
            </w:r>
            <w:r>
              <w:rPr>
                <w:rFonts w:hint="eastAsia" w:ascii="宋体" w:hAnsi="宋体" w:cs="宋体"/>
                <w:b w:val="0"/>
                <w:bCs w:val="0"/>
                <w:color w:val="auto"/>
                <w:kern w:val="2"/>
                <w:sz w:val="21"/>
                <w:szCs w:val="21"/>
                <w:highlight w:val="none"/>
                <w:lang w:val="en-US" w:eastAsia="zh-CN" w:bidi="ar-SA"/>
              </w:rPr>
              <w:t>软件</w:t>
            </w:r>
            <w:r>
              <w:rPr>
                <w:rFonts w:hint="eastAsia" w:ascii="宋体" w:hAnsi="宋体" w:eastAsia="宋体" w:cs="宋体"/>
                <w:b w:val="0"/>
                <w:bCs w:val="0"/>
                <w:color w:val="auto"/>
                <w:kern w:val="2"/>
                <w:sz w:val="21"/>
                <w:szCs w:val="21"/>
                <w:highlight w:val="none"/>
                <w:lang w:val="en-US" w:eastAsia="zh-CN" w:bidi="ar-SA"/>
              </w:rPr>
              <w:t>出厂、</w:t>
            </w:r>
            <w:r>
              <w:rPr>
                <w:rFonts w:hint="eastAsia" w:ascii="宋体" w:hAnsi="宋体" w:cs="宋体"/>
                <w:b w:val="0"/>
                <w:bCs w:val="0"/>
                <w:color w:val="auto"/>
                <w:kern w:val="2"/>
                <w:sz w:val="21"/>
                <w:szCs w:val="21"/>
                <w:highlight w:val="none"/>
                <w:lang w:val="en-US" w:eastAsia="zh-CN" w:bidi="ar-SA"/>
              </w:rPr>
              <w:t>分发</w:t>
            </w:r>
            <w:r>
              <w:rPr>
                <w:rFonts w:hint="eastAsia" w:ascii="宋体" w:hAnsi="宋体" w:eastAsia="宋体" w:cs="宋体"/>
                <w:b w:val="0"/>
                <w:bCs w:val="0"/>
                <w:color w:val="auto"/>
                <w:kern w:val="2"/>
                <w:sz w:val="21"/>
                <w:szCs w:val="21"/>
                <w:highlight w:val="none"/>
                <w:lang w:val="en-US" w:eastAsia="zh-CN" w:bidi="ar-SA"/>
              </w:rPr>
              <w:t>、</w:t>
            </w:r>
            <w:r>
              <w:rPr>
                <w:rFonts w:hint="eastAsia" w:ascii="宋体" w:hAnsi="宋体" w:cs="宋体"/>
                <w:b w:val="0"/>
                <w:bCs w:val="0"/>
                <w:color w:val="auto"/>
                <w:kern w:val="2"/>
                <w:sz w:val="21"/>
                <w:szCs w:val="21"/>
                <w:highlight w:val="none"/>
                <w:lang w:val="en-US" w:eastAsia="zh-CN" w:bidi="ar-SA"/>
              </w:rPr>
              <w:t>交付</w:t>
            </w:r>
            <w:r>
              <w:rPr>
                <w:rFonts w:hint="eastAsia" w:ascii="宋体" w:hAnsi="宋体" w:eastAsia="宋体" w:cs="宋体"/>
                <w:b w:val="0"/>
                <w:bCs w:val="0"/>
                <w:color w:val="auto"/>
                <w:kern w:val="2"/>
                <w:sz w:val="21"/>
                <w:szCs w:val="21"/>
                <w:highlight w:val="none"/>
                <w:lang w:val="en-US" w:eastAsia="zh-CN" w:bidi="ar-SA"/>
              </w:rPr>
              <w:t>全流程计划安排，细化各阶段工作部署、进度计划及进度管控措施，具备项目管理计划文档、项目管理组织机构图及实施进度说明，对</w:t>
            </w:r>
            <w:r>
              <w:rPr>
                <w:rFonts w:hint="eastAsia" w:ascii="宋体" w:hAnsi="宋体" w:cs="宋体"/>
                <w:b w:val="0"/>
                <w:bCs w:val="0"/>
                <w:color w:val="auto"/>
                <w:kern w:val="2"/>
                <w:sz w:val="21"/>
                <w:szCs w:val="21"/>
                <w:highlight w:val="none"/>
                <w:lang w:val="en-US" w:eastAsia="zh-CN" w:bidi="ar-SA"/>
              </w:rPr>
              <w:t>封装</w:t>
            </w:r>
            <w:r>
              <w:rPr>
                <w:rFonts w:hint="eastAsia" w:ascii="宋体" w:hAnsi="宋体" w:eastAsia="宋体" w:cs="宋体"/>
                <w:b w:val="0"/>
                <w:bCs w:val="0"/>
                <w:color w:val="auto"/>
                <w:kern w:val="2"/>
                <w:sz w:val="21"/>
                <w:szCs w:val="21"/>
                <w:highlight w:val="none"/>
                <w:lang w:val="en-US" w:eastAsia="zh-CN" w:bidi="ar-SA"/>
              </w:rPr>
              <w:t>、</w:t>
            </w:r>
            <w:r>
              <w:rPr>
                <w:rFonts w:hint="eastAsia" w:ascii="宋体" w:hAnsi="宋体" w:cs="宋体"/>
                <w:b w:val="0"/>
                <w:bCs w:val="0"/>
                <w:color w:val="auto"/>
                <w:kern w:val="2"/>
                <w:sz w:val="21"/>
                <w:szCs w:val="21"/>
                <w:highlight w:val="none"/>
                <w:lang w:val="en-US" w:eastAsia="zh-CN" w:bidi="ar-SA"/>
              </w:rPr>
              <w:t>软件交付与分发安排</w:t>
            </w:r>
            <w:r>
              <w:rPr>
                <w:rFonts w:hint="eastAsia" w:ascii="宋体" w:hAnsi="宋体" w:eastAsia="宋体" w:cs="宋体"/>
                <w:b w:val="0"/>
                <w:bCs w:val="0"/>
                <w:color w:val="auto"/>
                <w:kern w:val="2"/>
                <w:sz w:val="21"/>
                <w:szCs w:val="21"/>
                <w:highlight w:val="none"/>
                <w:lang w:val="en-US" w:eastAsia="zh-CN" w:bidi="ar-SA"/>
              </w:rPr>
              <w:t>环节作出相应方案说明，应急解决方案内容包含应急场景、处置流程、响应机制。整体方案内容较详细、明晰，满足本项目采购需求。</w:t>
            </w:r>
          </w:p>
          <w:p w14:paraId="218AFD4A">
            <w:pPr>
              <w:keepNext w:val="0"/>
              <w:keepLines w:val="0"/>
              <w:suppressLineNumbers w:val="0"/>
              <w:spacing w:before="0" w:beforeAutospacing="0" w:after="0" w:afterAutospacing="0"/>
              <w:ind w:left="0" w:right="0"/>
              <w:rPr>
                <w:rFonts w:hint="eastAsia" w:ascii="宋体" w:hAnsi="宋体" w:eastAsia="宋体" w:cs="宋体"/>
                <w:color w:val="auto"/>
                <w:highlight w:val="none"/>
                <w:lang w:eastAsia="zh-CN"/>
              </w:rPr>
            </w:pPr>
            <w:r>
              <w:rPr>
                <w:rFonts w:hint="eastAsia" w:ascii="宋体" w:hAnsi="宋体" w:eastAsia="宋体" w:cs="宋体"/>
                <w:b w:val="0"/>
                <w:bCs w:val="0"/>
                <w:color w:val="auto"/>
                <w:kern w:val="2"/>
                <w:sz w:val="21"/>
                <w:szCs w:val="21"/>
                <w:highlight w:val="none"/>
                <w:lang w:val="en-US" w:eastAsia="zh-CN" w:bidi="ar-SA"/>
              </w:rPr>
              <w:t>三档(1</w:t>
            </w:r>
            <w:r>
              <w:rPr>
                <w:rFonts w:hint="eastAsia" w:ascii="宋体" w:hAnsi="宋体" w:cs="宋体"/>
                <w:b w:val="0"/>
                <w:bCs w:val="0"/>
                <w:color w:val="auto"/>
                <w:kern w:val="2"/>
                <w:sz w:val="21"/>
                <w:szCs w:val="21"/>
                <w:highlight w:val="none"/>
                <w:lang w:val="en-US" w:eastAsia="zh-CN" w:bidi="ar-SA"/>
              </w:rPr>
              <w:t>0</w:t>
            </w:r>
            <w:r>
              <w:rPr>
                <w:rFonts w:hint="eastAsia" w:ascii="宋体" w:hAnsi="宋体" w:eastAsia="宋体" w:cs="宋体"/>
                <w:b w:val="0"/>
                <w:bCs w:val="0"/>
                <w:color w:val="auto"/>
                <w:kern w:val="2"/>
                <w:sz w:val="21"/>
                <w:szCs w:val="21"/>
                <w:highlight w:val="none"/>
                <w:lang w:val="en-US" w:eastAsia="zh-CN" w:bidi="ar-SA"/>
              </w:rPr>
              <w:t>分):在满足二档的基础上，方案能进一步完善项目管理体系，补充项目管理组织机构图、项目管理框架、技术管理构架，构建了完整的双层项目管控体系；增设本项目专项风险预判、风险分析及风险应对处置措施，具备全过程风险管控能力；细化完善产品安装、项目验收各阶段专项实施细则，实现</w:t>
            </w:r>
            <w:r>
              <w:rPr>
                <w:rFonts w:hint="eastAsia" w:ascii="宋体" w:hAnsi="宋体" w:cs="宋体"/>
                <w:b w:val="0"/>
                <w:bCs w:val="0"/>
                <w:color w:val="auto"/>
                <w:kern w:val="2"/>
                <w:sz w:val="21"/>
                <w:szCs w:val="21"/>
                <w:highlight w:val="none"/>
                <w:lang w:val="en-US" w:eastAsia="zh-CN" w:bidi="ar-SA"/>
              </w:rPr>
              <w:t>软件</w:t>
            </w:r>
            <w:r>
              <w:rPr>
                <w:rFonts w:hint="eastAsia" w:ascii="宋体" w:hAnsi="宋体" w:eastAsia="宋体" w:cs="宋体"/>
                <w:b w:val="0"/>
                <w:bCs w:val="0"/>
                <w:color w:val="auto"/>
                <w:kern w:val="2"/>
                <w:sz w:val="21"/>
                <w:szCs w:val="21"/>
                <w:highlight w:val="none"/>
                <w:lang w:val="en-US" w:eastAsia="zh-CN" w:bidi="ar-SA"/>
              </w:rPr>
              <w:t>出厂、</w:t>
            </w:r>
            <w:r>
              <w:rPr>
                <w:rFonts w:hint="eastAsia" w:ascii="宋体" w:hAnsi="宋体" w:cs="宋体"/>
                <w:b w:val="0"/>
                <w:bCs w:val="0"/>
                <w:color w:val="auto"/>
                <w:kern w:val="2"/>
                <w:sz w:val="21"/>
                <w:szCs w:val="21"/>
                <w:highlight w:val="none"/>
                <w:lang w:val="en-US" w:eastAsia="zh-CN" w:bidi="ar-SA"/>
              </w:rPr>
              <w:t>分发</w:t>
            </w:r>
            <w:r>
              <w:rPr>
                <w:rFonts w:hint="eastAsia" w:ascii="宋体" w:hAnsi="宋体" w:eastAsia="宋体" w:cs="宋体"/>
                <w:b w:val="0"/>
                <w:bCs w:val="0"/>
                <w:color w:val="auto"/>
                <w:kern w:val="2"/>
                <w:sz w:val="21"/>
                <w:szCs w:val="21"/>
                <w:highlight w:val="none"/>
                <w:lang w:val="en-US" w:eastAsia="zh-CN" w:bidi="ar-SA"/>
              </w:rPr>
              <w:t>、</w:t>
            </w:r>
            <w:r>
              <w:rPr>
                <w:rFonts w:hint="eastAsia" w:ascii="宋体" w:hAnsi="宋体" w:cs="宋体"/>
                <w:b w:val="0"/>
                <w:bCs w:val="0"/>
                <w:color w:val="auto"/>
                <w:kern w:val="2"/>
                <w:sz w:val="21"/>
                <w:szCs w:val="21"/>
                <w:highlight w:val="none"/>
                <w:lang w:val="en-US" w:eastAsia="zh-CN" w:bidi="ar-SA"/>
              </w:rPr>
              <w:t>封装</w:t>
            </w:r>
            <w:r>
              <w:rPr>
                <w:rFonts w:hint="eastAsia" w:ascii="宋体" w:hAnsi="宋体" w:eastAsia="宋体" w:cs="宋体"/>
                <w:b w:val="0"/>
                <w:bCs w:val="0"/>
                <w:color w:val="auto"/>
                <w:kern w:val="2"/>
                <w:sz w:val="21"/>
                <w:szCs w:val="21"/>
                <w:highlight w:val="none"/>
                <w:lang w:val="en-US" w:eastAsia="zh-CN" w:bidi="ar-SA"/>
              </w:rPr>
              <w:t>、安装</w:t>
            </w:r>
            <w:r>
              <w:rPr>
                <w:rFonts w:hint="eastAsia" w:ascii="宋体" w:hAnsi="宋体" w:cs="宋体"/>
                <w:b w:val="0"/>
                <w:bCs w:val="0"/>
                <w:color w:val="auto"/>
                <w:kern w:val="2"/>
                <w:sz w:val="21"/>
                <w:szCs w:val="21"/>
                <w:highlight w:val="none"/>
                <w:lang w:val="en-US" w:eastAsia="zh-CN" w:bidi="ar-SA"/>
              </w:rPr>
              <w:t>部署</w:t>
            </w:r>
            <w:r>
              <w:rPr>
                <w:rFonts w:hint="eastAsia" w:ascii="宋体" w:hAnsi="宋体" w:eastAsia="宋体" w:cs="宋体"/>
                <w:b w:val="0"/>
                <w:bCs w:val="0"/>
                <w:color w:val="auto"/>
                <w:kern w:val="2"/>
                <w:sz w:val="21"/>
                <w:szCs w:val="21"/>
                <w:highlight w:val="none"/>
                <w:lang w:val="en-US" w:eastAsia="zh-CN" w:bidi="ar-SA"/>
              </w:rPr>
              <w:t>、调试验收全流程闭环管控。整体方案内容详细、 条理清晰、有针对性，完全满足本项目采购需求。</w:t>
            </w:r>
          </w:p>
        </w:tc>
      </w:tr>
      <w:tr w14:paraId="1695E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713" w:type="dxa"/>
            <w:vMerge w:val="restart"/>
            <w:noWrap w:val="0"/>
            <w:vAlign w:val="center"/>
          </w:tcPr>
          <w:p w14:paraId="1DCE1E0F">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val="en-US" w:eastAsia="zh-CN"/>
              </w:rPr>
            </w:pPr>
          </w:p>
        </w:tc>
        <w:tc>
          <w:tcPr>
            <w:tcW w:w="1101" w:type="dxa"/>
            <w:vMerge w:val="restart"/>
            <w:noWrap w:val="0"/>
            <w:vAlign w:val="center"/>
          </w:tcPr>
          <w:p w14:paraId="6BE06CA7">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lang w:eastAsia="zh-CN"/>
              </w:rPr>
            </w:pPr>
          </w:p>
        </w:tc>
        <w:tc>
          <w:tcPr>
            <w:tcW w:w="1259" w:type="dxa"/>
            <w:noWrap w:val="0"/>
            <w:vAlign w:val="center"/>
          </w:tcPr>
          <w:p w14:paraId="3F322428">
            <w:pPr>
              <w:pStyle w:val="101"/>
              <w:keepNext w:val="0"/>
              <w:keepLines w:val="0"/>
              <w:suppressLineNumbers w:val="0"/>
              <w:spacing w:before="69" w:beforeAutospacing="0" w:after="0" w:afterAutospacing="0" w:line="407" w:lineRule="auto"/>
              <w:ind w:left="0" w:right="57"/>
              <w:rPr>
                <w:rFonts w:hint="eastAsia" w:ascii="宋体" w:hAnsi="宋体" w:eastAsia="宋体" w:cs="宋体"/>
                <w:color w:val="auto"/>
                <w:sz w:val="21"/>
                <w:szCs w:val="21"/>
                <w:highlight w:val="none"/>
                <w:lang w:val="en-US" w:eastAsia="zh-CN"/>
              </w:rPr>
            </w:pPr>
            <w:r>
              <w:rPr>
                <w:rFonts w:hint="eastAsia"/>
                <w:color w:val="auto"/>
                <w:highlight w:val="none"/>
                <w:lang w:val="en-US" w:eastAsia="zh-CN"/>
              </w:rPr>
              <w:t>系统软件部署</w:t>
            </w:r>
            <w:r>
              <w:rPr>
                <w:color w:val="auto"/>
                <w:highlight w:val="none"/>
              </w:rPr>
              <w:t>与调试方案</w:t>
            </w:r>
            <w:r>
              <w:rPr>
                <w:rFonts w:hint="eastAsia"/>
                <w:color w:val="auto"/>
                <w:highlight w:val="none"/>
                <w:lang w:eastAsia="zh-CN"/>
              </w:rPr>
              <w:t>（满分</w:t>
            </w:r>
            <w:r>
              <w:rPr>
                <w:rFonts w:hint="eastAsia"/>
                <w:color w:val="auto"/>
                <w:highlight w:val="none"/>
                <w:lang w:val="en-US" w:eastAsia="zh-CN"/>
              </w:rPr>
              <w:t>9分</w:t>
            </w:r>
            <w:r>
              <w:rPr>
                <w:rFonts w:hint="eastAsia"/>
                <w:color w:val="auto"/>
                <w:highlight w:val="none"/>
                <w:lang w:eastAsia="zh-CN"/>
              </w:rPr>
              <w:t>）</w:t>
            </w:r>
          </w:p>
        </w:tc>
        <w:tc>
          <w:tcPr>
            <w:tcW w:w="6253" w:type="dxa"/>
            <w:noWrap w:val="0"/>
            <w:vAlign w:val="center"/>
          </w:tcPr>
          <w:p w14:paraId="768D261B">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由评标委员会</w:t>
            </w:r>
            <w:r>
              <w:rPr>
                <w:rFonts w:hint="eastAsia" w:ascii="宋体" w:hAnsi="宋体" w:eastAsia="宋体" w:cs="宋体"/>
                <w:color w:val="auto"/>
                <w:highlight w:val="none"/>
              </w:rPr>
              <w:t>根据各投标人的系统软件部署与调试方案(方案内容包含：① 部署、调试进度计划安排表②部署、调试关键环节③保证工期的措施④进度计划表⑤驻场人员配置⑥现场</w:t>
            </w:r>
            <w:r>
              <w:rPr>
                <w:rFonts w:hint="eastAsia" w:ascii="宋体" w:hAnsi="宋体" w:cs="宋体"/>
                <w:color w:val="auto"/>
                <w:highlight w:val="none"/>
                <w:lang w:val="en-US" w:eastAsia="zh-CN"/>
              </w:rPr>
              <w:t>部署所需</w:t>
            </w:r>
            <w:r>
              <w:rPr>
                <w:rFonts w:hint="eastAsia" w:ascii="宋体" w:hAnsi="宋体" w:eastAsia="宋体" w:cs="宋体"/>
                <w:color w:val="auto"/>
                <w:highlight w:val="none"/>
              </w:rPr>
              <w:t>设备⑦</w:t>
            </w:r>
            <w:r>
              <w:rPr>
                <w:rFonts w:hint="eastAsia" w:ascii="宋体" w:hAnsi="宋体" w:cs="宋体"/>
                <w:color w:val="auto"/>
                <w:highlight w:val="none"/>
                <w:lang w:val="en-US" w:eastAsia="zh-CN"/>
              </w:rPr>
              <w:t>部署</w:t>
            </w:r>
            <w:r>
              <w:rPr>
                <w:rFonts w:hint="eastAsia" w:ascii="宋体" w:hAnsi="宋体" w:eastAsia="宋体" w:cs="宋体"/>
                <w:color w:val="auto"/>
                <w:highlight w:val="none"/>
              </w:rPr>
              <w:t>工具配备⑧现场</w:t>
            </w:r>
            <w:r>
              <w:rPr>
                <w:rFonts w:hint="eastAsia" w:ascii="宋体" w:hAnsi="宋体" w:cs="宋体"/>
                <w:color w:val="auto"/>
                <w:highlight w:val="none"/>
                <w:lang w:val="en-US" w:eastAsia="zh-CN"/>
              </w:rPr>
              <w:t>部署</w:t>
            </w:r>
            <w:r>
              <w:rPr>
                <w:rFonts w:hint="eastAsia" w:ascii="宋体" w:hAnsi="宋体" w:eastAsia="宋体" w:cs="宋体"/>
                <w:color w:val="auto"/>
                <w:highlight w:val="none"/>
              </w:rPr>
              <w:t>安全</w:t>
            </w:r>
            <w:r>
              <w:rPr>
                <w:rFonts w:hint="eastAsia" w:ascii="宋体" w:hAnsi="宋体" w:cs="宋体"/>
                <w:color w:val="auto"/>
                <w:highlight w:val="none"/>
                <w:lang w:val="en-US" w:eastAsia="zh-CN"/>
              </w:rPr>
              <w:t>保障</w:t>
            </w:r>
            <w:r>
              <w:rPr>
                <w:rFonts w:hint="eastAsia" w:ascii="宋体" w:hAnsi="宋体" w:eastAsia="宋体" w:cs="宋体"/>
                <w:color w:val="auto"/>
                <w:highlight w:val="none"/>
              </w:rPr>
              <w:t>措施)</w:t>
            </w:r>
            <w:r>
              <w:rPr>
                <w:rFonts w:hint="eastAsia" w:ascii="宋体" w:hAnsi="宋体" w:eastAsia="宋体" w:cs="宋体"/>
                <w:color w:val="auto"/>
                <w:highlight w:val="none"/>
                <w:lang w:val="en-US" w:eastAsia="zh-CN"/>
              </w:rPr>
              <w:t>进行独立</w:t>
            </w:r>
            <w:r>
              <w:rPr>
                <w:rFonts w:hint="eastAsia" w:ascii="宋体" w:hAnsi="宋体" w:eastAsia="宋体" w:cs="宋体"/>
                <w:color w:val="auto"/>
                <w:highlight w:val="none"/>
              </w:rPr>
              <w:t>打分。</w:t>
            </w:r>
          </w:p>
          <w:p w14:paraId="1CA093D4">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宋体" w:hAnsi="宋体" w:eastAsia="宋体" w:cs="宋体"/>
                <w:color w:val="auto"/>
                <w:highlight w:val="none"/>
              </w:rPr>
              <w:t>注 ：</w:t>
            </w:r>
          </w:p>
          <w:p w14:paraId="7457DC7E">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宋体" w:hAnsi="宋体" w:eastAsia="宋体" w:cs="宋体"/>
                <w:color w:val="auto"/>
                <w:highlight w:val="none"/>
              </w:rPr>
              <w:t>(1)评分标准中所称“缺陷”是指以下4项：</w:t>
            </w:r>
          </w:p>
          <w:p w14:paraId="6618F8B7">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宋体" w:hAnsi="宋体" w:eastAsia="宋体" w:cs="宋体"/>
                <w:color w:val="auto"/>
                <w:highlight w:val="none"/>
              </w:rPr>
              <w:t>①提供的方案内容缺项；②套用其他项目内容；③对同一问题前后表述矛盾；④存在逻辑漏洞或常识错误。</w:t>
            </w:r>
          </w:p>
          <w:p w14:paraId="72E701FE">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b/>
                <w:bCs/>
                <w:color w:val="auto"/>
                <w:szCs w:val="21"/>
                <w:highlight w:val="none"/>
              </w:rPr>
              <w:t>由评标委员</w:t>
            </w:r>
            <w:r>
              <w:rPr>
                <w:rFonts w:hint="eastAsia" w:ascii="宋体" w:hAnsi="宋体" w:eastAsia="宋体" w:cs="宋体"/>
                <w:b/>
                <w:bCs/>
                <w:color w:val="auto"/>
                <w:szCs w:val="21"/>
                <w:highlight w:val="none"/>
                <w:lang w:eastAsia="zh-CN"/>
              </w:rPr>
              <w:t>会</w:t>
            </w:r>
            <w:r>
              <w:rPr>
                <w:rFonts w:hint="eastAsia" w:ascii="宋体" w:hAnsi="宋体" w:eastAsia="宋体" w:cs="宋体"/>
                <w:b/>
                <w:bCs/>
                <w:color w:val="auto"/>
                <w:szCs w:val="21"/>
                <w:highlight w:val="none"/>
              </w:rPr>
              <w:t>在相应档次内独立打分，投标人投标文件中没有提供</w:t>
            </w:r>
            <w:r>
              <w:rPr>
                <w:b/>
                <w:bCs/>
                <w:color w:val="auto"/>
                <w:highlight w:val="none"/>
              </w:rPr>
              <w:t>设备安装与调试方案</w:t>
            </w:r>
            <w:r>
              <w:rPr>
                <w:rFonts w:hint="eastAsia" w:ascii="宋体" w:hAnsi="宋体" w:eastAsia="宋体" w:cs="宋体"/>
                <w:b/>
                <w:bCs/>
                <w:color w:val="auto"/>
                <w:szCs w:val="21"/>
                <w:highlight w:val="none"/>
              </w:rPr>
              <w:t>的，本项不得分；所提供的设备安装与调试方案未达到相应评审档次全部标准的，相应降低一个档次</w:t>
            </w:r>
            <w:r>
              <w:rPr>
                <w:rFonts w:hint="eastAsia" w:ascii="宋体" w:hAnsi="宋体" w:eastAsia="宋体" w:cs="宋体"/>
                <w:b/>
                <w:bCs/>
                <w:color w:val="auto"/>
                <w:sz w:val="21"/>
                <w:szCs w:val="21"/>
                <w:highlight w:val="none"/>
              </w:rPr>
              <w:t>：</w:t>
            </w:r>
          </w:p>
          <w:p w14:paraId="496F9D77">
            <w:pPr>
              <w:keepNext w:val="0"/>
              <w:keepLines w:val="0"/>
              <w:suppressLineNumbers w:val="0"/>
              <w:spacing w:before="0" w:beforeAutospacing="0" w:after="0" w:afterAutospacing="0"/>
              <w:ind w:left="0" w:righ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一档(</w:t>
            </w:r>
            <w:r>
              <w:rPr>
                <w:rFonts w:hint="eastAsia" w:ascii="宋体" w:hAnsi="宋体" w:cs="宋体"/>
                <w:color w:val="auto"/>
                <w:highlight w:val="none"/>
                <w:lang w:val="en-US" w:eastAsia="zh-CN"/>
              </w:rPr>
              <w:t>3</w:t>
            </w:r>
            <w:r>
              <w:rPr>
                <w:rFonts w:hint="eastAsia" w:ascii="宋体" w:hAnsi="宋体" w:eastAsia="宋体" w:cs="宋体"/>
                <w:color w:val="auto"/>
                <w:highlight w:val="none"/>
                <w:lang w:val="en-US" w:eastAsia="zh-CN"/>
              </w:rPr>
              <w:t>分):</w:t>
            </w:r>
            <w:r>
              <w:rPr>
                <w:rFonts w:hint="eastAsia" w:ascii="宋体" w:hAnsi="宋体" w:cs="宋体"/>
                <w:color w:val="auto"/>
                <w:highlight w:val="none"/>
                <w:lang w:val="en-US" w:eastAsia="zh-CN"/>
              </w:rPr>
              <w:t>系统软件部署</w:t>
            </w:r>
            <w:r>
              <w:rPr>
                <w:rFonts w:hint="eastAsia" w:ascii="宋体" w:hAnsi="宋体" w:eastAsia="宋体" w:cs="宋体"/>
                <w:color w:val="auto"/>
                <w:highlight w:val="none"/>
                <w:lang w:val="en-US" w:eastAsia="zh-CN"/>
              </w:rPr>
              <w:t>与调试方案不能提供上述要求方案包含的完整内容，设备的安装与调试方案存在缺陷≥1项，提供</w:t>
            </w:r>
            <w:r>
              <w:rPr>
                <w:rFonts w:hint="eastAsia" w:ascii="宋体" w:hAnsi="宋体" w:cs="宋体"/>
                <w:color w:val="auto"/>
                <w:highlight w:val="none"/>
                <w:lang w:val="en-US" w:eastAsia="zh-CN"/>
              </w:rPr>
              <w:t>系统软件部署</w:t>
            </w:r>
            <w:r>
              <w:rPr>
                <w:rFonts w:hint="eastAsia" w:ascii="宋体" w:hAnsi="宋体" w:eastAsia="宋体" w:cs="宋体"/>
                <w:color w:val="auto"/>
                <w:highlight w:val="none"/>
                <w:lang w:val="en-US" w:eastAsia="zh-CN"/>
              </w:rPr>
              <w:t>与调试方案各项内容简单，内容堆砌冗余、欠完善。</w:t>
            </w:r>
          </w:p>
          <w:p w14:paraId="5433BA61">
            <w:pPr>
              <w:keepNext w:val="0"/>
              <w:keepLines w:val="0"/>
              <w:suppressLineNumbers w:val="0"/>
              <w:spacing w:before="0" w:beforeAutospacing="0" w:after="0" w:afterAutospacing="0"/>
              <w:ind w:left="0" w:righ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二档(</w:t>
            </w:r>
            <w:r>
              <w:rPr>
                <w:rFonts w:hint="eastAsia" w:ascii="宋体" w:hAnsi="宋体" w:cs="宋体"/>
                <w:color w:val="auto"/>
                <w:highlight w:val="none"/>
                <w:lang w:val="en-US" w:eastAsia="zh-CN"/>
              </w:rPr>
              <w:t>6</w:t>
            </w:r>
            <w:r>
              <w:rPr>
                <w:rFonts w:hint="eastAsia" w:ascii="宋体" w:hAnsi="宋体" w:eastAsia="宋体" w:cs="宋体"/>
                <w:color w:val="auto"/>
                <w:highlight w:val="none"/>
                <w:lang w:val="en-US" w:eastAsia="zh-CN"/>
              </w:rPr>
              <w:t>分):</w:t>
            </w:r>
            <w:r>
              <w:rPr>
                <w:rFonts w:hint="eastAsia" w:ascii="宋体" w:hAnsi="宋体" w:cs="宋体"/>
                <w:color w:val="auto"/>
                <w:highlight w:val="none"/>
                <w:lang w:val="en-US" w:eastAsia="zh-CN"/>
              </w:rPr>
              <w:t>系统软件部署</w:t>
            </w:r>
            <w:r>
              <w:rPr>
                <w:rFonts w:hint="eastAsia" w:ascii="宋体" w:hAnsi="宋体" w:eastAsia="宋体" w:cs="宋体"/>
                <w:color w:val="auto"/>
                <w:highlight w:val="none"/>
                <w:lang w:val="en-US" w:eastAsia="zh-CN"/>
              </w:rPr>
              <w:t>与调试方案能提供上述要求方案包含的8项完整内容，方案不存在缺陷，提供分阶段的</w:t>
            </w:r>
            <w:r>
              <w:rPr>
                <w:rFonts w:hint="eastAsia" w:ascii="宋体" w:hAnsi="宋体" w:cs="宋体"/>
                <w:color w:val="auto"/>
                <w:highlight w:val="none"/>
                <w:lang w:val="en-US" w:eastAsia="zh-CN"/>
              </w:rPr>
              <w:t>部署</w:t>
            </w:r>
            <w:r>
              <w:rPr>
                <w:rFonts w:hint="eastAsia" w:ascii="宋体" w:hAnsi="宋体" w:eastAsia="宋体" w:cs="宋体"/>
                <w:color w:val="auto"/>
                <w:highlight w:val="none"/>
                <w:lang w:val="en-US" w:eastAsia="zh-CN"/>
              </w:rPr>
              <w:t>调试进度计划表，包含进场、</w:t>
            </w:r>
            <w:r>
              <w:rPr>
                <w:rFonts w:hint="eastAsia" w:ascii="宋体" w:hAnsi="宋体" w:cs="宋体"/>
                <w:color w:val="auto"/>
                <w:highlight w:val="none"/>
                <w:lang w:val="en-US" w:eastAsia="zh-CN"/>
              </w:rPr>
              <w:t>部署</w:t>
            </w:r>
            <w:r>
              <w:rPr>
                <w:rFonts w:hint="eastAsia" w:ascii="宋体" w:hAnsi="宋体" w:eastAsia="宋体" w:cs="宋体"/>
                <w:color w:val="auto"/>
                <w:highlight w:val="none"/>
                <w:lang w:val="en-US" w:eastAsia="zh-CN"/>
              </w:rPr>
              <w:t>、安装、调试、自</w:t>
            </w:r>
            <w:r>
              <w:rPr>
                <w:rFonts w:hint="eastAsia" w:ascii="宋体" w:hAnsi="宋体" w:cs="宋体"/>
                <w:color w:val="auto"/>
                <w:highlight w:val="none"/>
                <w:lang w:val="en-US" w:eastAsia="zh-CN"/>
              </w:rPr>
              <w:t>测</w:t>
            </w:r>
            <w:r>
              <w:rPr>
                <w:rFonts w:hint="eastAsia" w:ascii="宋体" w:hAnsi="宋体" w:eastAsia="宋体" w:cs="宋体"/>
                <w:color w:val="auto"/>
                <w:highlight w:val="none"/>
                <w:lang w:val="en-US" w:eastAsia="zh-CN"/>
              </w:rPr>
              <w:t>、交付等关键节点，人员、设备</w:t>
            </w:r>
            <w:r>
              <w:rPr>
                <w:rFonts w:hint="eastAsia" w:ascii="宋体" w:hAnsi="宋体" w:cs="宋体"/>
                <w:color w:val="auto"/>
                <w:highlight w:val="none"/>
                <w:lang w:val="en-US" w:eastAsia="zh-CN"/>
              </w:rPr>
              <w:t>和工</w:t>
            </w:r>
            <w:r>
              <w:rPr>
                <w:rFonts w:hint="eastAsia" w:ascii="宋体" w:hAnsi="宋体" w:eastAsia="宋体" w:cs="宋体"/>
                <w:color w:val="auto"/>
                <w:highlight w:val="none"/>
                <w:lang w:val="en-US" w:eastAsia="zh-CN"/>
              </w:rPr>
              <w:t>具</w:t>
            </w:r>
            <w:r>
              <w:rPr>
                <w:rFonts w:hint="eastAsia" w:ascii="宋体" w:hAnsi="宋体" w:cs="宋体"/>
                <w:color w:val="auto"/>
                <w:highlight w:val="none"/>
                <w:lang w:val="en-US" w:eastAsia="zh-CN"/>
              </w:rPr>
              <w:t>配备</w:t>
            </w:r>
            <w:r>
              <w:rPr>
                <w:rFonts w:hint="eastAsia" w:ascii="宋体" w:hAnsi="宋体" w:eastAsia="宋体" w:cs="宋体"/>
                <w:color w:val="auto"/>
                <w:highlight w:val="none"/>
                <w:lang w:val="en-US" w:eastAsia="zh-CN"/>
              </w:rPr>
              <w:t>满足项目整体</w:t>
            </w:r>
            <w:r>
              <w:rPr>
                <w:rFonts w:hint="eastAsia" w:ascii="宋体" w:hAnsi="宋体" w:cs="宋体"/>
                <w:color w:val="auto"/>
                <w:highlight w:val="none"/>
                <w:lang w:val="en-US" w:eastAsia="zh-CN"/>
              </w:rPr>
              <w:t>实施</w:t>
            </w:r>
            <w:r>
              <w:rPr>
                <w:rFonts w:hint="eastAsia" w:ascii="宋体" w:hAnsi="宋体" w:eastAsia="宋体" w:cs="宋体"/>
                <w:color w:val="auto"/>
                <w:highlight w:val="none"/>
                <w:lang w:val="en-US" w:eastAsia="zh-CN"/>
              </w:rPr>
              <w:t>要求，工序明确关键步骤；提供现场标准化管理；整体方案内容较详细、明晰，满足本项目采购需求。</w:t>
            </w:r>
          </w:p>
          <w:p w14:paraId="41D9C34F">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三档(</w:t>
            </w:r>
            <w:r>
              <w:rPr>
                <w:rFonts w:hint="eastAsia" w:ascii="宋体" w:hAnsi="宋体" w:cs="宋体"/>
                <w:color w:val="auto"/>
                <w:highlight w:val="none"/>
                <w:lang w:val="en-US" w:eastAsia="zh-CN"/>
              </w:rPr>
              <w:t>9</w:t>
            </w:r>
            <w:r>
              <w:rPr>
                <w:rFonts w:hint="eastAsia" w:ascii="宋体" w:hAnsi="宋体" w:eastAsia="宋体" w:cs="宋体"/>
                <w:color w:val="auto"/>
                <w:highlight w:val="none"/>
                <w:lang w:val="en-US" w:eastAsia="zh-CN"/>
              </w:rPr>
              <w:t>分):在满足二档的基础上，方案提供贴合本项目的精细化施工进度计划，细化至具体工作日/实施时段，明确各分项工作起止日前、交叉实施排布、节点管控目标、工期滞后补救节点，时序逻辑严密，可直接指导项目实施；能细化</w:t>
            </w:r>
            <w:r>
              <w:rPr>
                <w:rFonts w:hint="eastAsia" w:ascii="宋体" w:hAnsi="宋体" w:cs="宋体"/>
                <w:color w:val="auto"/>
                <w:highlight w:val="none"/>
                <w:lang w:val="en-US" w:eastAsia="zh-CN"/>
              </w:rPr>
              <w:t>系统部署</w:t>
            </w:r>
            <w:r>
              <w:rPr>
                <w:rFonts w:hint="eastAsia" w:ascii="宋体" w:hAnsi="宋体" w:eastAsia="宋体" w:cs="宋体"/>
                <w:color w:val="auto"/>
                <w:highlight w:val="none"/>
                <w:lang w:val="en-US" w:eastAsia="zh-CN"/>
              </w:rPr>
              <w:t>安装</w:t>
            </w:r>
            <w:r>
              <w:rPr>
                <w:rFonts w:hint="eastAsia" w:ascii="宋体" w:hAnsi="宋体" w:cs="宋体"/>
                <w:color w:val="auto"/>
                <w:highlight w:val="none"/>
                <w:lang w:val="en-US" w:eastAsia="zh-CN"/>
              </w:rPr>
              <w:t>调试</w:t>
            </w:r>
            <w:r>
              <w:rPr>
                <w:rFonts w:hint="eastAsia" w:ascii="宋体" w:hAnsi="宋体" w:eastAsia="宋体" w:cs="宋体"/>
                <w:color w:val="auto"/>
                <w:highlight w:val="none"/>
                <w:lang w:val="en-US" w:eastAsia="zh-CN"/>
              </w:rPr>
              <w:t>完整工序、分步施工步骤、专项</w:t>
            </w:r>
            <w:r>
              <w:rPr>
                <w:rFonts w:hint="eastAsia" w:ascii="宋体" w:hAnsi="宋体" w:cs="宋体"/>
                <w:color w:val="auto"/>
                <w:highlight w:val="none"/>
                <w:lang w:val="en-US" w:eastAsia="zh-CN"/>
              </w:rPr>
              <w:t>部署</w:t>
            </w:r>
            <w:r>
              <w:rPr>
                <w:rFonts w:hint="eastAsia" w:ascii="宋体" w:hAnsi="宋体" w:eastAsia="宋体" w:cs="宋体"/>
                <w:color w:val="auto"/>
                <w:highlight w:val="none"/>
                <w:lang w:val="en-US" w:eastAsia="zh-CN"/>
              </w:rPr>
              <w:t>技术要点，工序流程规范、贴合本项目特点；驻场人员配置贴合项目实施，能提供详细的劳动力调配计划，规避窝工、人力闲置问题，人员进场匹配实施进度；拟投入的工具仪器配备及进场时间匹配进度计划，实行现场定量、定点、标准化</w:t>
            </w:r>
            <w:r>
              <w:rPr>
                <w:rFonts w:hint="eastAsia" w:ascii="宋体" w:hAnsi="宋体" w:cs="宋体"/>
                <w:color w:val="auto"/>
                <w:highlight w:val="none"/>
                <w:lang w:val="en-US" w:eastAsia="zh-CN"/>
              </w:rPr>
              <w:t>规划</w:t>
            </w:r>
            <w:r>
              <w:rPr>
                <w:rFonts w:hint="eastAsia" w:ascii="宋体" w:hAnsi="宋体" w:eastAsia="宋体" w:cs="宋体"/>
                <w:color w:val="auto"/>
                <w:highlight w:val="none"/>
                <w:lang w:val="en-US" w:eastAsia="zh-CN"/>
              </w:rPr>
              <w:t>管理；各专业</w:t>
            </w:r>
            <w:r>
              <w:rPr>
                <w:rFonts w:hint="eastAsia" w:ascii="宋体" w:hAnsi="宋体" w:cs="宋体"/>
                <w:color w:val="auto"/>
                <w:highlight w:val="none"/>
                <w:lang w:val="en-US" w:eastAsia="zh-CN"/>
              </w:rPr>
              <w:t>部署</w:t>
            </w:r>
            <w:r>
              <w:rPr>
                <w:rFonts w:hint="eastAsia" w:ascii="宋体" w:hAnsi="宋体" w:eastAsia="宋体" w:cs="宋体"/>
                <w:color w:val="auto"/>
                <w:highlight w:val="none"/>
                <w:lang w:val="en-US" w:eastAsia="zh-CN"/>
              </w:rPr>
              <w:t>工序衔接、交叉配合顺畅高效，</w:t>
            </w:r>
            <w:r>
              <w:rPr>
                <w:rFonts w:hint="eastAsia" w:ascii="宋体" w:hAnsi="宋体" w:cs="宋体"/>
                <w:color w:val="auto"/>
                <w:highlight w:val="none"/>
                <w:lang w:val="en-US" w:eastAsia="zh-CN"/>
              </w:rPr>
              <w:t>部署调试</w:t>
            </w:r>
            <w:r>
              <w:rPr>
                <w:rFonts w:hint="eastAsia" w:ascii="宋体" w:hAnsi="宋体" w:eastAsia="宋体" w:cs="宋体"/>
                <w:color w:val="auto"/>
                <w:highlight w:val="none"/>
                <w:lang w:val="en-US" w:eastAsia="zh-CN"/>
              </w:rPr>
              <w:t>安全保障措施内容详细，措施覆盖全实施场景；能结合本项目</w:t>
            </w:r>
            <w:r>
              <w:rPr>
                <w:rFonts w:hint="eastAsia" w:ascii="宋体" w:hAnsi="宋体" w:cs="宋体"/>
                <w:color w:val="auto"/>
                <w:highlight w:val="none"/>
                <w:lang w:val="en-US" w:eastAsia="zh-CN"/>
              </w:rPr>
              <w:t>部署</w:t>
            </w:r>
            <w:r>
              <w:rPr>
                <w:rFonts w:hint="eastAsia" w:ascii="宋体" w:hAnsi="宋体" w:eastAsia="宋体" w:cs="宋体"/>
                <w:color w:val="auto"/>
                <w:highlight w:val="none"/>
                <w:lang w:val="en-US" w:eastAsia="zh-CN"/>
              </w:rPr>
              <w:t>安装</w:t>
            </w:r>
            <w:r>
              <w:rPr>
                <w:rFonts w:hint="eastAsia" w:ascii="宋体" w:hAnsi="宋体" w:cs="宋体"/>
                <w:color w:val="auto"/>
                <w:highlight w:val="none"/>
                <w:lang w:val="en-US" w:eastAsia="zh-CN"/>
              </w:rPr>
              <w:t>、调试</w:t>
            </w:r>
            <w:r>
              <w:rPr>
                <w:rFonts w:hint="eastAsia" w:ascii="宋体" w:hAnsi="宋体" w:eastAsia="宋体" w:cs="宋体"/>
                <w:color w:val="auto"/>
                <w:highlight w:val="none"/>
                <w:lang w:val="en-US" w:eastAsia="zh-CN"/>
              </w:rPr>
              <w:t>特点提出合理化建议；整体方案内容详细、条理清晰、有针对性，完全满足本项目采购需求。</w:t>
            </w:r>
          </w:p>
        </w:tc>
      </w:tr>
      <w:tr w14:paraId="5EFC1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713" w:type="dxa"/>
            <w:vMerge w:val="continue"/>
            <w:noWrap w:val="0"/>
            <w:vAlign w:val="center"/>
          </w:tcPr>
          <w:p w14:paraId="0BB8B8B0">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val="en-US" w:eastAsia="zh-CN"/>
              </w:rPr>
            </w:pPr>
          </w:p>
        </w:tc>
        <w:tc>
          <w:tcPr>
            <w:tcW w:w="1101" w:type="dxa"/>
            <w:vMerge w:val="continue"/>
            <w:noWrap w:val="0"/>
            <w:vAlign w:val="center"/>
          </w:tcPr>
          <w:p w14:paraId="79F50693">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1259" w:type="dxa"/>
            <w:noWrap w:val="0"/>
            <w:vAlign w:val="center"/>
          </w:tcPr>
          <w:p w14:paraId="480FA457">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eastAsia="zh-CN"/>
              </w:rPr>
              <w:t>培训方案分（满分</w:t>
            </w:r>
            <w:r>
              <w:rPr>
                <w:rFonts w:hint="eastAsia" w:ascii="宋体" w:hAnsi="宋体" w:cs="宋体"/>
                <w:color w:val="auto"/>
                <w:sz w:val="21"/>
                <w:szCs w:val="21"/>
                <w:highlight w:val="none"/>
                <w:lang w:val="en-US" w:eastAsia="zh-CN"/>
              </w:rPr>
              <w:t>6分</w:t>
            </w:r>
            <w:r>
              <w:rPr>
                <w:rFonts w:hint="eastAsia" w:ascii="宋体" w:hAnsi="宋体" w:cs="宋体"/>
                <w:color w:val="auto"/>
                <w:sz w:val="21"/>
                <w:szCs w:val="21"/>
                <w:highlight w:val="none"/>
                <w:lang w:eastAsia="zh-CN"/>
              </w:rPr>
              <w:t>）</w:t>
            </w:r>
          </w:p>
        </w:tc>
        <w:tc>
          <w:tcPr>
            <w:tcW w:w="6253" w:type="dxa"/>
            <w:noWrap w:val="0"/>
            <w:vAlign w:val="center"/>
          </w:tcPr>
          <w:p w14:paraId="7D06EF50">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由评标委员会</w:t>
            </w:r>
            <w:r>
              <w:rPr>
                <w:rFonts w:hint="eastAsia" w:ascii="宋体" w:hAnsi="宋体" w:eastAsia="宋体" w:cs="宋体"/>
                <w:color w:val="auto"/>
                <w:highlight w:val="none"/>
              </w:rPr>
              <w:t>根据各投标人的培训方案</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方案内容包含：①</w:t>
            </w:r>
            <w:r>
              <w:rPr>
                <w:rFonts w:hint="eastAsia" w:ascii="宋体" w:hAnsi="宋体" w:cs="宋体"/>
                <w:color w:val="auto"/>
                <w:highlight w:val="none"/>
                <w:lang w:val="en-US" w:eastAsia="zh-CN"/>
              </w:rPr>
              <w:t>系统</w:t>
            </w:r>
            <w:r>
              <w:rPr>
                <w:rFonts w:hint="eastAsia" w:ascii="宋体" w:hAnsi="宋体" w:eastAsia="宋体" w:cs="宋体"/>
                <w:color w:val="auto"/>
                <w:highlight w:val="none"/>
              </w:rPr>
              <w:t>组成及工作原理②</w:t>
            </w:r>
            <w:r>
              <w:rPr>
                <w:rFonts w:hint="eastAsia" w:ascii="宋体" w:hAnsi="宋体" w:cs="宋体"/>
                <w:color w:val="auto"/>
                <w:highlight w:val="none"/>
                <w:lang w:val="en-US" w:eastAsia="zh-CN"/>
              </w:rPr>
              <w:t>系统</w:t>
            </w:r>
            <w:r>
              <w:rPr>
                <w:rFonts w:hint="eastAsia" w:ascii="宋体" w:hAnsi="宋体" w:eastAsia="宋体" w:cs="宋体"/>
                <w:color w:val="auto"/>
                <w:highlight w:val="none"/>
              </w:rPr>
              <w:t>操作规程(方法)③</w:t>
            </w:r>
            <w:r>
              <w:rPr>
                <w:rFonts w:hint="eastAsia" w:ascii="宋体" w:hAnsi="宋体" w:cs="宋体"/>
                <w:color w:val="auto"/>
                <w:highlight w:val="none"/>
                <w:lang w:val="en-US" w:eastAsia="zh-CN"/>
              </w:rPr>
              <w:t>系统</w:t>
            </w:r>
            <w:r>
              <w:rPr>
                <w:rFonts w:hint="eastAsia" w:ascii="宋体" w:hAnsi="宋体" w:eastAsia="宋体" w:cs="宋体"/>
                <w:color w:val="auto"/>
                <w:highlight w:val="none"/>
              </w:rPr>
              <w:t>常见故障处理④系统相关的维护</w:t>
            </w:r>
            <w:r>
              <w:rPr>
                <w:rFonts w:hint="eastAsia" w:ascii="宋体" w:hAnsi="宋体" w:cs="宋体"/>
                <w:color w:val="auto"/>
                <w:highlight w:val="none"/>
                <w:lang w:val="en-US" w:eastAsia="zh-CN"/>
              </w:rPr>
              <w:t>服务</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进行独立</w:t>
            </w:r>
            <w:r>
              <w:rPr>
                <w:rFonts w:hint="eastAsia" w:ascii="宋体" w:hAnsi="宋体" w:eastAsia="宋体" w:cs="宋体"/>
                <w:color w:val="auto"/>
                <w:highlight w:val="none"/>
              </w:rPr>
              <w:t>打分。</w:t>
            </w:r>
          </w:p>
          <w:p w14:paraId="716D3ED8">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宋体" w:hAnsi="宋体" w:eastAsia="宋体" w:cs="宋体"/>
                <w:color w:val="auto"/>
                <w:highlight w:val="none"/>
              </w:rPr>
              <w:t>注 ：</w:t>
            </w:r>
          </w:p>
          <w:p w14:paraId="64333599">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宋体" w:hAnsi="宋体" w:eastAsia="宋体" w:cs="宋体"/>
                <w:color w:val="auto"/>
                <w:highlight w:val="none"/>
              </w:rPr>
              <w:t>(1)评分标准中所称“缺陷”是指以下4项：</w:t>
            </w:r>
          </w:p>
          <w:p w14:paraId="4C363A02">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宋体" w:hAnsi="宋体" w:eastAsia="宋体" w:cs="宋体"/>
                <w:color w:val="auto"/>
                <w:highlight w:val="none"/>
              </w:rPr>
              <w:t>①提供的方案内容缺项；②套用其他项目内容；③对同一问题前后表述矛盾；④存在逻辑漏洞或常识错误。</w:t>
            </w:r>
          </w:p>
          <w:p w14:paraId="4F8102AF">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b/>
                <w:bCs/>
                <w:color w:val="auto"/>
                <w:szCs w:val="21"/>
                <w:highlight w:val="none"/>
              </w:rPr>
              <w:t>由评标委员</w:t>
            </w:r>
            <w:r>
              <w:rPr>
                <w:rFonts w:hint="eastAsia" w:ascii="宋体" w:hAnsi="宋体" w:eastAsia="宋体" w:cs="宋体"/>
                <w:b/>
                <w:bCs/>
                <w:color w:val="auto"/>
                <w:szCs w:val="21"/>
                <w:highlight w:val="none"/>
                <w:lang w:eastAsia="zh-CN"/>
              </w:rPr>
              <w:t>会</w:t>
            </w:r>
            <w:r>
              <w:rPr>
                <w:rFonts w:hint="eastAsia" w:ascii="宋体" w:hAnsi="宋体" w:eastAsia="宋体" w:cs="宋体"/>
                <w:b/>
                <w:bCs/>
                <w:color w:val="auto"/>
                <w:szCs w:val="21"/>
                <w:highlight w:val="none"/>
              </w:rPr>
              <w:t>在相应档次内独立打分，投标人投标文件中没有提供</w:t>
            </w:r>
            <w:r>
              <w:rPr>
                <w:rFonts w:hint="eastAsia"/>
                <w:b/>
                <w:bCs/>
                <w:color w:val="auto"/>
                <w:highlight w:val="none"/>
                <w:lang w:val="en-US" w:eastAsia="zh-CN"/>
              </w:rPr>
              <w:t>培训</w:t>
            </w:r>
            <w:r>
              <w:rPr>
                <w:b/>
                <w:bCs/>
                <w:color w:val="auto"/>
                <w:highlight w:val="none"/>
              </w:rPr>
              <w:t>方案</w:t>
            </w:r>
            <w:r>
              <w:rPr>
                <w:rFonts w:hint="eastAsia" w:ascii="宋体" w:hAnsi="宋体" w:eastAsia="宋体" w:cs="宋体"/>
                <w:b/>
                <w:bCs/>
                <w:color w:val="auto"/>
                <w:szCs w:val="21"/>
                <w:highlight w:val="none"/>
              </w:rPr>
              <w:t>的，本项不得分；所提供的</w:t>
            </w:r>
            <w:r>
              <w:rPr>
                <w:rFonts w:hint="eastAsia" w:ascii="宋体" w:hAnsi="宋体" w:cs="宋体"/>
                <w:b/>
                <w:bCs/>
                <w:color w:val="auto"/>
                <w:szCs w:val="21"/>
                <w:highlight w:val="none"/>
                <w:lang w:val="en-US" w:eastAsia="zh-CN"/>
              </w:rPr>
              <w:t>培训</w:t>
            </w:r>
            <w:r>
              <w:rPr>
                <w:rFonts w:hint="eastAsia" w:ascii="宋体" w:hAnsi="宋体" w:eastAsia="宋体" w:cs="宋体"/>
                <w:b/>
                <w:bCs/>
                <w:color w:val="auto"/>
                <w:szCs w:val="21"/>
                <w:highlight w:val="none"/>
              </w:rPr>
              <w:t>方案未达到相应评审档次全部标准的，相应降低一个档次</w:t>
            </w:r>
            <w:r>
              <w:rPr>
                <w:rFonts w:hint="eastAsia" w:ascii="宋体" w:hAnsi="宋体" w:eastAsia="宋体" w:cs="宋体"/>
                <w:b/>
                <w:bCs/>
                <w:color w:val="auto"/>
                <w:sz w:val="21"/>
                <w:szCs w:val="21"/>
                <w:highlight w:val="none"/>
              </w:rPr>
              <w:t>：</w:t>
            </w:r>
          </w:p>
          <w:p w14:paraId="2CDD628D">
            <w:pPr>
              <w:keepNext w:val="0"/>
              <w:keepLines w:val="0"/>
              <w:suppressLineNumbers w:val="0"/>
              <w:spacing w:before="0" w:beforeAutospacing="0" w:after="0" w:afterAutospacing="0"/>
              <w:ind w:left="0" w:righ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一档(</w:t>
            </w:r>
            <w:r>
              <w:rPr>
                <w:rFonts w:hint="eastAsia" w:ascii="宋体" w:hAnsi="宋体" w:cs="宋体"/>
                <w:color w:val="auto"/>
                <w:highlight w:val="none"/>
                <w:lang w:val="en-US" w:eastAsia="zh-CN"/>
              </w:rPr>
              <w:t>2</w:t>
            </w:r>
            <w:r>
              <w:rPr>
                <w:rFonts w:hint="eastAsia" w:ascii="宋体" w:hAnsi="宋体" w:eastAsia="宋体" w:cs="宋体"/>
                <w:color w:val="auto"/>
                <w:highlight w:val="none"/>
                <w:lang w:val="en-US" w:eastAsia="zh-CN"/>
              </w:rPr>
              <w:t>分):培训方案不能提供上述要求方案包含的完整内容，培训方案存在缺陷≥1项，提供的培训方案各项内容简单，内容堆砌冗余、欠完善。</w:t>
            </w:r>
          </w:p>
          <w:p w14:paraId="0F81624B">
            <w:pPr>
              <w:keepNext w:val="0"/>
              <w:keepLines w:val="0"/>
              <w:suppressLineNumbers w:val="0"/>
              <w:spacing w:before="0" w:beforeAutospacing="0" w:after="0" w:afterAutospacing="0"/>
              <w:ind w:left="0" w:righ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二档(</w:t>
            </w:r>
            <w:r>
              <w:rPr>
                <w:rFonts w:hint="eastAsia" w:ascii="宋体" w:hAnsi="宋体" w:cs="宋体"/>
                <w:color w:val="auto"/>
                <w:highlight w:val="none"/>
                <w:lang w:val="en-US" w:eastAsia="zh-CN"/>
              </w:rPr>
              <w:t>4</w:t>
            </w:r>
            <w:r>
              <w:rPr>
                <w:rFonts w:hint="eastAsia" w:ascii="宋体" w:hAnsi="宋体" w:eastAsia="宋体" w:cs="宋体"/>
                <w:color w:val="auto"/>
                <w:highlight w:val="none"/>
                <w:lang w:val="en-US" w:eastAsia="zh-CN"/>
              </w:rPr>
              <w:t>分):培训方案能提供上述要求方案包含的4项完整内容，方案不存在缺陷，能对</w:t>
            </w:r>
            <w:r>
              <w:rPr>
                <w:rFonts w:hint="eastAsia" w:ascii="宋体" w:hAnsi="宋体" w:cs="宋体"/>
                <w:color w:val="auto"/>
                <w:highlight w:val="none"/>
                <w:lang w:val="en-US" w:eastAsia="zh-CN"/>
              </w:rPr>
              <w:t>系统</w:t>
            </w:r>
            <w:r>
              <w:rPr>
                <w:rFonts w:hint="eastAsia" w:ascii="宋体" w:hAnsi="宋体" w:eastAsia="宋体" w:cs="宋体"/>
                <w:color w:val="auto"/>
                <w:highlight w:val="none"/>
                <w:lang w:val="en-US" w:eastAsia="zh-CN"/>
              </w:rPr>
              <w:t>基础构造、运行原理做通用性文字介绍；罗列常规操作步骤，说明基础操作流程；能列举高频故障及对应基础处置方式；列明常规保养项目与周期，方案有简单的培训大纲，培训时间安排、培训计划满足项目需求，整体方案内容较详细、明晰，满足本项目采购需求。</w:t>
            </w:r>
          </w:p>
          <w:p w14:paraId="52367252">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三档(</w:t>
            </w:r>
            <w:r>
              <w:rPr>
                <w:rFonts w:hint="eastAsia" w:ascii="宋体" w:hAnsi="宋体" w:cs="宋体"/>
                <w:color w:val="auto"/>
                <w:highlight w:val="none"/>
                <w:lang w:val="en-US" w:eastAsia="zh-CN"/>
              </w:rPr>
              <w:t>6</w:t>
            </w:r>
            <w:r>
              <w:rPr>
                <w:rFonts w:hint="eastAsia" w:ascii="宋体" w:hAnsi="宋体" w:eastAsia="宋体" w:cs="宋体"/>
                <w:color w:val="auto"/>
                <w:highlight w:val="none"/>
                <w:lang w:val="en-US" w:eastAsia="zh-CN"/>
              </w:rPr>
              <w:t>分):在满足二档的基础上，能结合本项目所投</w:t>
            </w:r>
            <w:r>
              <w:rPr>
                <w:rFonts w:hint="eastAsia" w:ascii="宋体" w:hAnsi="宋体" w:cs="宋体"/>
                <w:color w:val="auto"/>
                <w:highlight w:val="none"/>
                <w:lang w:val="en-US" w:eastAsia="zh-CN"/>
              </w:rPr>
              <w:t>软件系统</w:t>
            </w:r>
            <w:r>
              <w:rPr>
                <w:rFonts w:hint="eastAsia" w:ascii="宋体" w:hAnsi="宋体" w:eastAsia="宋体" w:cs="宋体"/>
                <w:color w:val="auto"/>
                <w:highlight w:val="none"/>
                <w:lang w:val="en-US" w:eastAsia="zh-CN"/>
              </w:rPr>
              <w:t>配置参数拆解各</w:t>
            </w:r>
            <w:r>
              <w:rPr>
                <w:rFonts w:hint="eastAsia" w:ascii="宋体" w:hAnsi="宋体" w:cs="宋体"/>
                <w:color w:val="auto"/>
                <w:highlight w:val="none"/>
                <w:lang w:val="en-US" w:eastAsia="zh-CN"/>
              </w:rPr>
              <w:t>系统</w:t>
            </w:r>
            <w:r>
              <w:rPr>
                <w:rFonts w:hint="eastAsia" w:ascii="宋体" w:hAnsi="宋体" w:eastAsia="宋体" w:cs="宋体"/>
                <w:color w:val="auto"/>
                <w:highlight w:val="none"/>
                <w:lang w:val="en-US" w:eastAsia="zh-CN"/>
              </w:rPr>
              <w:t>功能，配套结构说明，结合现场运行工况讲解</w:t>
            </w:r>
            <w:r>
              <w:rPr>
                <w:rFonts w:hint="eastAsia" w:ascii="宋体" w:hAnsi="宋体" w:cs="宋体"/>
                <w:color w:val="auto"/>
                <w:highlight w:val="none"/>
                <w:lang w:val="en-US" w:eastAsia="zh-CN"/>
              </w:rPr>
              <w:t>系统</w:t>
            </w:r>
            <w:r>
              <w:rPr>
                <w:rFonts w:hint="eastAsia" w:ascii="宋体" w:hAnsi="宋体" w:eastAsia="宋体" w:cs="宋体"/>
                <w:color w:val="auto"/>
                <w:highlight w:val="none"/>
                <w:lang w:val="en-US" w:eastAsia="zh-CN"/>
              </w:rPr>
              <w:t>整体工作逻辑，同步说明各</w:t>
            </w:r>
            <w:r>
              <w:rPr>
                <w:rFonts w:hint="eastAsia" w:ascii="宋体" w:hAnsi="宋体" w:cs="宋体"/>
                <w:color w:val="auto"/>
                <w:highlight w:val="none"/>
                <w:lang w:val="en-US" w:eastAsia="zh-CN"/>
              </w:rPr>
              <w:t>系统</w:t>
            </w:r>
            <w:r>
              <w:rPr>
                <w:rFonts w:hint="eastAsia" w:ascii="宋体" w:hAnsi="宋体" w:eastAsia="宋体" w:cs="宋体"/>
                <w:color w:val="auto"/>
                <w:highlight w:val="none"/>
                <w:lang w:val="en-US" w:eastAsia="zh-CN"/>
              </w:rPr>
              <w:t>联动运行要点，方便参训人员理解</w:t>
            </w:r>
            <w:r>
              <w:rPr>
                <w:rFonts w:hint="eastAsia" w:ascii="宋体" w:hAnsi="宋体" w:cs="宋体"/>
                <w:color w:val="auto"/>
                <w:highlight w:val="none"/>
                <w:lang w:val="en-US" w:eastAsia="zh-CN"/>
              </w:rPr>
              <w:t>系统</w:t>
            </w:r>
            <w:r>
              <w:rPr>
                <w:rFonts w:hint="eastAsia" w:ascii="宋体" w:hAnsi="宋体" w:eastAsia="宋体" w:cs="宋体"/>
                <w:color w:val="auto"/>
                <w:highlight w:val="none"/>
                <w:lang w:val="en-US" w:eastAsia="zh-CN"/>
              </w:rPr>
              <w:t>运行逻辑；分步细化开机、运行、停机、参数设置等全流程操作规范，明确关键操作节点、操作禁忌、误操作风险后果，现场同步开展上机实操示范教学，手把手指导人员实操练习；按故障类型分类梳理故障现象、故障成因、分步排查流程、临时处置方案、报修判定标准，针对疑难故障给出排查思路，配套现场模拟故障实操演练，让参训人员具备独立排查处置基础故障的能力；分级制定日常、季度、年度</w:t>
            </w:r>
            <w:r>
              <w:rPr>
                <w:rFonts w:hint="eastAsia" w:ascii="宋体" w:hAnsi="宋体" w:cs="宋体"/>
                <w:color w:val="auto"/>
                <w:highlight w:val="none"/>
                <w:lang w:val="en-US" w:eastAsia="zh-CN"/>
              </w:rPr>
              <w:t>维护</w:t>
            </w:r>
            <w:r>
              <w:rPr>
                <w:rFonts w:hint="eastAsia" w:ascii="宋体" w:hAnsi="宋体" w:eastAsia="宋体" w:cs="宋体"/>
                <w:color w:val="auto"/>
                <w:highlight w:val="none"/>
                <w:lang w:val="en-US" w:eastAsia="zh-CN"/>
              </w:rPr>
              <w:t>明细，明确</w:t>
            </w:r>
            <w:r>
              <w:rPr>
                <w:rFonts w:hint="eastAsia" w:ascii="宋体" w:hAnsi="宋体" w:cs="宋体"/>
                <w:color w:val="auto"/>
                <w:highlight w:val="none"/>
                <w:lang w:val="en-US" w:eastAsia="zh-CN"/>
              </w:rPr>
              <w:t>系统</w:t>
            </w:r>
            <w:r>
              <w:rPr>
                <w:rFonts w:hint="eastAsia" w:ascii="宋体" w:hAnsi="宋体" w:eastAsia="宋体" w:cs="宋体"/>
                <w:color w:val="auto"/>
                <w:highlight w:val="none"/>
                <w:lang w:val="en-US" w:eastAsia="zh-CN"/>
              </w:rPr>
              <w:t>操作方法、检查标准、验收要点，结合</w:t>
            </w:r>
            <w:r>
              <w:rPr>
                <w:rFonts w:hint="eastAsia" w:ascii="宋体" w:hAnsi="宋体" w:cs="宋体"/>
                <w:color w:val="auto"/>
                <w:highlight w:val="none"/>
                <w:lang w:val="en-US" w:eastAsia="zh-CN"/>
              </w:rPr>
              <w:t>系统</w:t>
            </w:r>
            <w:r>
              <w:rPr>
                <w:rFonts w:hint="eastAsia" w:ascii="宋体" w:hAnsi="宋体" w:eastAsia="宋体" w:cs="宋体"/>
                <w:color w:val="auto"/>
                <w:highlight w:val="none"/>
                <w:lang w:val="en-US" w:eastAsia="zh-CN"/>
              </w:rPr>
              <w:t>现场使用环境给出针对性</w:t>
            </w:r>
            <w:r>
              <w:rPr>
                <w:rFonts w:hint="eastAsia" w:ascii="宋体" w:hAnsi="宋体" w:cs="宋体"/>
                <w:color w:val="auto"/>
                <w:highlight w:val="none"/>
                <w:lang w:val="en-US" w:eastAsia="zh-CN"/>
              </w:rPr>
              <w:t>维保</w:t>
            </w:r>
            <w:r>
              <w:rPr>
                <w:rFonts w:hint="eastAsia" w:ascii="宋体" w:hAnsi="宋体" w:eastAsia="宋体" w:cs="宋体"/>
                <w:color w:val="auto"/>
                <w:highlight w:val="none"/>
                <w:lang w:val="en-US" w:eastAsia="zh-CN"/>
              </w:rPr>
              <w:t>优化建议，同步实操示范规范</w:t>
            </w:r>
            <w:r>
              <w:rPr>
                <w:rFonts w:hint="eastAsia" w:ascii="宋体" w:hAnsi="宋体" w:cs="宋体"/>
                <w:color w:val="auto"/>
                <w:highlight w:val="none"/>
                <w:lang w:val="en-US" w:eastAsia="zh-CN"/>
              </w:rPr>
              <w:t>维护</w:t>
            </w:r>
            <w:r>
              <w:rPr>
                <w:rFonts w:hint="eastAsia" w:ascii="宋体" w:hAnsi="宋体" w:eastAsia="宋体" w:cs="宋体"/>
                <w:color w:val="auto"/>
                <w:highlight w:val="none"/>
                <w:lang w:val="en-US" w:eastAsia="zh-CN"/>
              </w:rPr>
              <w:t>作业流程；整体方案内容详细、条理清晰、有针对性，完全满足本项目采购需求。</w:t>
            </w:r>
          </w:p>
        </w:tc>
      </w:tr>
      <w:tr w14:paraId="6D767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713" w:type="dxa"/>
            <w:vMerge w:val="continue"/>
            <w:noWrap w:val="0"/>
            <w:vAlign w:val="center"/>
          </w:tcPr>
          <w:p w14:paraId="709C9E4D">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eastAsia="zh-CN"/>
              </w:rPr>
            </w:pPr>
          </w:p>
        </w:tc>
        <w:tc>
          <w:tcPr>
            <w:tcW w:w="1101" w:type="dxa"/>
            <w:vMerge w:val="continue"/>
            <w:noWrap w:val="0"/>
            <w:vAlign w:val="center"/>
          </w:tcPr>
          <w:p w14:paraId="0068E3AD">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eastAsia="zh-CN"/>
              </w:rPr>
            </w:pPr>
          </w:p>
        </w:tc>
        <w:tc>
          <w:tcPr>
            <w:tcW w:w="1259" w:type="dxa"/>
            <w:noWrap w:val="0"/>
            <w:vAlign w:val="center"/>
          </w:tcPr>
          <w:p w14:paraId="748026E2">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b w:val="0"/>
                <w:bCs w:val="0"/>
                <w:color w:val="auto"/>
                <w:kern w:val="2"/>
                <w:sz w:val="21"/>
                <w:szCs w:val="21"/>
                <w:highlight w:val="none"/>
                <w:lang w:val="en-US" w:eastAsia="zh-CN" w:bidi="ar-SA"/>
              </w:rPr>
            </w:pPr>
            <w:r>
              <w:rPr>
                <w:color w:val="auto"/>
                <w:spacing w:val="2"/>
                <w:sz w:val="21"/>
                <w:szCs w:val="21"/>
                <w:highlight w:val="none"/>
              </w:rPr>
              <w:t>服务</w:t>
            </w:r>
            <w:r>
              <w:rPr>
                <w:color w:val="auto"/>
                <w:spacing w:val="-3"/>
                <w:sz w:val="21"/>
                <w:szCs w:val="21"/>
                <w:highlight w:val="none"/>
              </w:rPr>
              <w:t>承诺方案</w:t>
            </w:r>
            <w:r>
              <w:rPr>
                <w:color w:val="auto"/>
                <w:spacing w:val="14"/>
                <w:sz w:val="21"/>
                <w:szCs w:val="21"/>
                <w:highlight w:val="none"/>
              </w:rPr>
              <w:t>分</w:t>
            </w:r>
            <w:r>
              <w:rPr>
                <w:rFonts w:hint="eastAsia" w:ascii="宋体" w:hAnsi="宋体" w:eastAsia="宋体" w:cs="宋体"/>
                <w:color w:val="auto"/>
                <w:sz w:val="21"/>
                <w:szCs w:val="21"/>
                <w:highlight w:val="none"/>
              </w:rPr>
              <w:t>（满分</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分）</w:t>
            </w:r>
          </w:p>
        </w:tc>
        <w:tc>
          <w:tcPr>
            <w:tcW w:w="6253" w:type="dxa"/>
            <w:noWrap w:val="0"/>
            <w:vAlign w:val="center"/>
          </w:tcPr>
          <w:p w14:paraId="7531675A">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由评标委员会</w:t>
            </w:r>
            <w:r>
              <w:rPr>
                <w:rFonts w:hint="eastAsia" w:ascii="宋体" w:hAnsi="宋体" w:eastAsia="宋体" w:cs="宋体"/>
                <w:color w:val="auto"/>
                <w:highlight w:val="none"/>
              </w:rPr>
              <w:t>根据各投标人的服务承诺方案(方案内容包含：①服务团队配置②人员岗位职责③日常技术支持服务内容④服务响应 机制⑤</w:t>
            </w:r>
            <w:r>
              <w:rPr>
                <w:rFonts w:hint="eastAsia" w:ascii="宋体" w:hAnsi="宋体" w:cs="宋体"/>
                <w:color w:val="auto"/>
                <w:highlight w:val="none"/>
                <w:lang w:val="en-US" w:eastAsia="zh-CN"/>
              </w:rPr>
              <w:t>软件</w:t>
            </w:r>
            <w:r>
              <w:rPr>
                <w:rFonts w:hint="eastAsia" w:ascii="宋体" w:hAnsi="宋体" w:eastAsia="宋体" w:cs="宋体"/>
                <w:color w:val="auto"/>
                <w:highlight w:val="none"/>
              </w:rPr>
              <w:t>运维服务⑥巡检保养服务⑦故障处置服务⑧对接反馈服务全流程内容)</w:t>
            </w:r>
            <w:r>
              <w:rPr>
                <w:rFonts w:hint="eastAsia" w:ascii="宋体" w:hAnsi="宋体" w:eastAsia="宋体" w:cs="宋体"/>
                <w:color w:val="auto"/>
                <w:highlight w:val="none"/>
                <w:lang w:val="en-US" w:eastAsia="zh-CN"/>
              </w:rPr>
              <w:t>进行独立</w:t>
            </w:r>
            <w:r>
              <w:rPr>
                <w:rFonts w:hint="eastAsia" w:ascii="宋体" w:hAnsi="宋体" w:eastAsia="宋体" w:cs="宋体"/>
                <w:color w:val="auto"/>
                <w:highlight w:val="none"/>
              </w:rPr>
              <w:t>打分。</w:t>
            </w:r>
          </w:p>
          <w:p w14:paraId="68169BCA">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宋体" w:hAnsi="宋体" w:eastAsia="宋体" w:cs="宋体"/>
                <w:color w:val="auto"/>
                <w:highlight w:val="none"/>
              </w:rPr>
              <w:t>注：</w:t>
            </w:r>
          </w:p>
          <w:p w14:paraId="5C163394">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宋体" w:hAnsi="宋体" w:eastAsia="宋体" w:cs="宋体"/>
                <w:color w:val="auto"/>
                <w:highlight w:val="none"/>
              </w:rPr>
              <w:t>(1)评分标准中所称“缺陷”是指以下4项：</w:t>
            </w:r>
          </w:p>
          <w:p w14:paraId="6F03C877">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宋体" w:hAnsi="宋体" w:eastAsia="宋体" w:cs="宋体"/>
                <w:color w:val="auto"/>
                <w:highlight w:val="none"/>
              </w:rPr>
              <w:t>①提供的方案内容缺项；②套用其他项目内容；③对同一问题前后表述矛盾；④存在逻辑漏洞或常识错误。</w:t>
            </w:r>
          </w:p>
          <w:p w14:paraId="0D69AD2F">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b w:val="0"/>
                <w:bCs w:val="0"/>
                <w:color w:val="auto"/>
                <w:szCs w:val="21"/>
                <w:highlight w:val="none"/>
              </w:rPr>
              <w:t>由评标委员</w:t>
            </w:r>
            <w:r>
              <w:rPr>
                <w:rFonts w:hint="eastAsia" w:ascii="宋体" w:hAnsi="宋体" w:eastAsia="宋体" w:cs="宋体"/>
                <w:b w:val="0"/>
                <w:bCs w:val="0"/>
                <w:color w:val="auto"/>
                <w:szCs w:val="21"/>
                <w:highlight w:val="none"/>
                <w:lang w:eastAsia="zh-CN"/>
              </w:rPr>
              <w:t>会</w:t>
            </w:r>
            <w:r>
              <w:rPr>
                <w:rFonts w:hint="eastAsia" w:ascii="宋体" w:hAnsi="宋体" w:eastAsia="宋体" w:cs="宋体"/>
                <w:b w:val="0"/>
                <w:bCs w:val="0"/>
                <w:color w:val="auto"/>
                <w:szCs w:val="21"/>
                <w:highlight w:val="none"/>
              </w:rPr>
              <w:t>在相应档次内独立打分，投标人投标文件中没有提供</w:t>
            </w:r>
            <w:r>
              <w:rPr>
                <w:rFonts w:hint="eastAsia" w:ascii="宋体" w:hAnsi="宋体" w:eastAsia="宋体" w:cs="宋体"/>
                <w:b w:val="0"/>
                <w:bCs w:val="0"/>
                <w:color w:val="auto"/>
                <w:highlight w:val="none"/>
                <w:lang w:val="en-US" w:eastAsia="zh-CN"/>
              </w:rPr>
              <w:t>服务承诺</w:t>
            </w:r>
            <w:r>
              <w:rPr>
                <w:rFonts w:hint="eastAsia" w:ascii="宋体" w:hAnsi="宋体" w:eastAsia="宋体" w:cs="宋体"/>
                <w:b w:val="0"/>
                <w:bCs w:val="0"/>
                <w:color w:val="auto"/>
                <w:highlight w:val="none"/>
              </w:rPr>
              <w:t>方案</w:t>
            </w:r>
            <w:r>
              <w:rPr>
                <w:rFonts w:hint="eastAsia" w:ascii="宋体" w:hAnsi="宋体" w:eastAsia="宋体" w:cs="宋体"/>
                <w:b w:val="0"/>
                <w:bCs w:val="0"/>
                <w:color w:val="auto"/>
                <w:szCs w:val="21"/>
                <w:highlight w:val="none"/>
              </w:rPr>
              <w:t>的，本项不得分；所提供的</w:t>
            </w:r>
            <w:r>
              <w:rPr>
                <w:rFonts w:hint="eastAsia" w:ascii="宋体" w:hAnsi="宋体" w:eastAsia="宋体" w:cs="宋体"/>
                <w:b w:val="0"/>
                <w:bCs w:val="0"/>
                <w:color w:val="auto"/>
                <w:szCs w:val="21"/>
                <w:highlight w:val="none"/>
                <w:lang w:val="en-US" w:eastAsia="zh-CN"/>
              </w:rPr>
              <w:t>服务承诺</w:t>
            </w:r>
            <w:r>
              <w:rPr>
                <w:rFonts w:hint="eastAsia" w:ascii="宋体" w:hAnsi="宋体" w:eastAsia="宋体" w:cs="宋体"/>
                <w:b w:val="0"/>
                <w:bCs w:val="0"/>
                <w:color w:val="auto"/>
                <w:szCs w:val="21"/>
                <w:highlight w:val="none"/>
              </w:rPr>
              <w:t>方案未达到相应评审档次全部标准的，相应降低一个档次</w:t>
            </w:r>
            <w:r>
              <w:rPr>
                <w:rFonts w:hint="eastAsia" w:ascii="宋体" w:hAnsi="宋体" w:eastAsia="宋体" w:cs="宋体"/>
                <w:b w:val="0"/>
                <w:bCs w:val="0"/>
                <w:color w:val="auto"/>
                <w:sz w:val="21"/>
                <w:szCs w:val="21"/>
                <w:highlight w:val="none"/>
              </w:rPr>
              <w:t>：</w:t>
            </w:r>
          </w:p>
          <w:p w14:paraId="51623DDF">
            <w:pPr>
              <w:keepNext w:val="0"/>
              <w:keepLines w:val="0"/>
              <w:suppressLineNumbers w:val="0"/>
              <w:spacing w:before="0" w:beforeAutospacing="0" w:after="0" w:afterAutospacing="0"/>
              <w:ind w:left="0" w:righ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一档(</w:t>
            </w:r>
            <w:r>
              <w:rPr>
                <w:rFonts w:hint="eastAsia" w:ascii="宋体" w:hAnsi="宋体" w:cs="宋体"/>
                <w:color w:val="auto"/>
                <w:highlight w:val="none"/>
                <w:lang w:val="en-US" w:eastAsia="zh-CN"/>
              </w:rPr>
              <w:t>2</w:t>
            </w:r>
            <w:r>
              <w:rPr>
                <w:rFonts w:hint="eastAsia" w:ascii="宋体" w:hAnsi="宋体" w:eastAsia="宋体" w:cs="宋体"/>
                <w:color w:val="auto"/>
                <w:highlight w:val="none"/>
                <w:lang w:val="en-US" w:eastAsia="zh-CN"/>
              </w:rPr>
              <w:t>分):服务承诺方案不能提供上述要求方案包含的完整内容，服务承诺方案存在缺陷≥1项，提供的服务承诺方案各项内容简单，内容堆砌冗余、欠完善。</w:t>
            </w:r>
          </w:p>
          <w:p w14:paraId="066C4F13">
            <w:pPr>
              <w:keepNext w:val="0"/>
              <w:keepLines w:val="0"/>
              <w:suppressLineNumbers w:val="0"/>
              <w:spacing w:before="0" w:beforeAutospacing="0" w:after="0" w:afterAutospacing="0"/>
              <w:ind w:left="0" w:righ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二档(</w:t>
            </w:r>
            <w:r>
              <w:rPr>
                <w:rFonts w:hint="eastAsia" w:ascii="宋体" w:hAnsi="宋体" w:cs="宋体"/>
                <w:color w:val="auto"/>
                <w:highlight w:val="none"/>
                <w:lang w:val="en-US" w:eastAsia="zh-CN"/>
              </w:rPr>
              <w:t>4</w:t>
            </w:r>
            <w:r>
              <w:rPr>
                <w:rFonts w:hint="eastAsia" w:ascii="宋体" w:hAnsi="宋体" w:eastAsia="宋体" w:cs="宋体"/>
                <w:color w:val="auto"/>
                <w:highlight w:val="none"/>
                <w:lang w:val="en-US" w:eastAsia="zh-CN"/>
              </w:rPr>
              <w:t>分):服务承诺明确；日常技术支持内容涵盖咨询、指导、答疑等常态化服务；服务响应机制、响应时限、线上线下服务渠道齐全；提供软硬方案能提供上述要求方案包含的8项完整内容，方案不存在缺陷，方案明确项目专属技术服务团队，岗位架构清晰、人员配置到位、岗位职责分工件日常运维、状态排查、参数核对、运行监测等基础运维工作内容；巡检保养、故障处置、应急保障、对接反馈等服务内容较详细，服务保障措施可有效支撑项目正常运维工作，整体方案内容较详细、明晰，满足本项目采购需求。</w:t>
            </w:r>
          </w:p>
          <w:p w14:paraId="557AE033">
            <w:pPr>
              <w:keepNext w:val="0"/>
              <w:keepLines w:val="0"/>
              <w:suppressLineNumbers w:val="0"/>
              <w:spacing w:before="0" w:beforeAutospacing="0" w:after="0" w:afterAutospacing="0"/>
              <w:ind w:left="0" w:righ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三档(</w:t>
            </w:r>
            <w:r>
              <w:rPr>
                <w:rFonts w:hint="eastAsia" w:ascii="宋体" w:hAnsi="宋体" w:cs="宋体"/>
                <w:color w:val="auto"/>
                <w:highlight w:val="none"/>
                <w:lang w:val="en-US" w:eastAsia="zh-CN"/>
              </w:rPr>
              <w:t>6</w:t>
            </w:r>
            <w:r>
              <w:rPr>
                <w:rFonts w:hint="eastAsia" w:ascii="宋体" w:hAnsi="宋体" w:eastAsia="宋体" w:cs="宋体"/>
                <w:color w:val="auto"/>
                <w:highlight w:val="none"/>
                <w:lang w:val="en-US" w:eastAsia="zh-CN"/>
              </w:rPr>
              <w:t>分):在满足二档的基础上，所配置的项目专属技术服务团队能细化团队人员的技术能力结构，能明确项目专属对接联系人及对接方式；日常技术支持服务能结合项目实际场景细化全周期技术支持；建立全流程闭环对接反馈及问题处置机制，实现需求收集、登记派单、过程跟踪、处置反馈、复盘归档的完整闭环管理；能建立分级服务响应机制，区分普通、紧急、特急事项响应时效，形成派单、处置、回访、归档的标准化响应体系，响应层级清晰、处置流程规范、响应效率可控可追溯；设备运维服务实施软硬件分级运维管理，根据</w:t>
            </w:r>
            <w:r>
              <w:rPr>
                <w:rFonts w:hint="eastAsia" w:ascii="宋体" w:hAnsi="宋体" w:cs="宋体"/>
                <w:color w:val="auto"/>
                <w:highlight w:val="none"/>
                <w:lang w:val="en-US" w:eastAsia="zh-CN"/>
              </w:rPr>
              <w:t>系统</w:t>
            </w:r>
            <w:r>
              <w:rPr>
                <w:rFonts w:hint="eastAsia" w:ascii="宋体" w:hAnsi="宋体" w:eastAsia="宋体" w:cs="宋体"/>
                <w:color w:val="auto"/>
                <w:highlight w:val="none"/>
                <w:lang w:val="en-US" w:eastAsia="zh-CN"/>
              </w:rPr>
              <w:t>运行工况制定差异化运维策略，细化日常监测、动态排查、参数校准、运行数据分析等深度运维内容；巡检保养服务能贴合本项目</w:t>
            </w:r>
            <w:r>
              <w:rPr>
                <w:rFonts w:hint="eastAsia" w:ascii="宋体" w:hAnsi="宋体" w:cs="宋体"/>
                <w:color w:val="auto"/>
                <w:highlight w:val="none"/>
                <w:lang w:val="en-US" w:eastAsia="zh-CN"/>
              </w:rPr>
              <w:t>系统</w:t>
            </w:r>
            <w:r>
              <w:rPr>
                <w:rFonts w:hint="eastAsia" w:ascii="宋体" w:hAnsi="宋体" w:eastAsia="宋体" w:cs="宋体"/>
                <w:color w:val="auto"/>
                <w:highlight w:val="none"/>
                <w:lang w:val="en-US" w:eastAsia="zh-CN"/>
              </w:rPr>
              <w:t>的标准，明确固定巡检频次、完整巡检范围、逐项巡检细则、规范巡检流程；故障处置服务能区分一般故障、重大故障，配套对应的排查流程、处置步骤、修复标准、验收流程；构建全流程闭环服务机制，实现需求收集、登记派单、过程跟踪、结果反馈、问题复盘、资料归档全链条闭环管理；整体方案内容详细、条理清晰，完全满足本项目采购需求。</w:t>
            </w:r>
          </w:p>
        </w:tc>
      </w:tr>
      <w:tr w14:paraId="48411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713" w:type="dxa"/>
            <w:vMerge w:val="restart"/>
            <w:noWrap w:val="0"/>
            <w:vAlign w:val="center"/>
          </w:tcPr>
          <w:p w14:paraId="6E53D2DA">
            <w:pPr>
              <w:keepNext w:val="0"/>
              <w:keepLines w:val="0"/>
              <w:suppressLineNumbers w:val="0"/>
              <w:bidi w:val="0"/>
              <w:spacing w:before="0" w:beforeAutospacing="0" w:after="0" w:afterAutospacing="0" w:line="360" w:lineRule="auto"/>
              <w:ind w:left="0"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101" w:type="dxa"/>
            <w:vMerge w:val="restart"/>
            <w:noWrap w:val="0"/>
            <w:vAlign w:val="center"/>
          </w:tcPr>
          <w:p w14:paraId="0DF97B2C">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商务分（满分</w:t>
            </w:r>
            <w:r>
              <w:rPr>
                <w:rFonts w:hint="eastAsia" w:ascii="宋体" w:hAnsi="宋体" w:cs="宋体"/>
                <w:color w:val="auto"/>
                <w:sz w:val="21"/>
                <w:szCs w:val="21"/>
                <w:highlight w:val="none"/>
                <w:lang w:val="en-US" w:eastAsia="zh-CN"/>
              </w:rPr>
              <w:t>14分</w:t>
            </w:r>
            <w:r>
              <w:rPr>
                <w:rFonts w:hint="eastAsia" w:ascii="宋体" w:hAnsi="宋体" w:eastAsia="宋体" w:cs="宋体"/>
                <w:color w:val="auto"/>
                <w:sz w:val="21"/>
                <w:szCs w:val="21"/>
                <w:highlight w:val="none"/>
              </w:rPr>
              <w:t>）</w:t>
            </w:r>
          </w:p>
        </w:tc>
        <w:tc>
          <w:tcPr>
            <w:tcW w:w="1259" w:type="dxa"/>
            <w:shd w:val="clear" w:color="auto" w:fill="auto"/>
            <w:noWrap w:val="0"/>
            <w:vAlign w:val="center"/>
          </w:tcPr>
          <w:p w14:paraId="3B2C735B">
            <w:pPr>
              <w:keepNext w:val="0"/>
              <w:keepLines w:val="0"/>
              <w:suppressLineNumbers w:val="0"/>
              <w:adjustRightInd w:val="0"/>
              <w:spacing w:before="0" w:beforeAutospacing="0" w:after="0" w:afterAutospacing="0" w:line="360" w:lineRule="auto"/>
              <w:ind w:left="0" w:leftChars="0" w:right="0" w:rightChars="0"/>
              <w:jc w:val="center"/>
              <w:textAlignment w:val="baseline"/>
              <w:rPr>
                <w:rFonts w:hint="default"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质保期</w:t>
            </w:r>
            <w:r>
              <w:rPr>
                <w:rFonts w:hint="eastAsia" w:ascii="宋体" w:hAnsi="宋体" w:cs="宋体"/>
                <w:b w:val="0"/>
                <w:bCs w:val="0"/>
                <w:color w:val="auto"/>
                <w:kern w:val="2"/>
                <w:sz w:val="21"/>
                <w:szCs w:val="21"/>
                <w:highlight w:val="none"/>
                <w:lang w:val="en-US" w:eastAsia="zh-CN" w:bidi="ar-SA"/>
              </w:rPr>
              <w:t>（满分6分）</w:t>
            </w:r>
          </w:p>
        </w:tc>
        <w:tc>
          <w:tcPr>
            <w:tcW w:w="6253" w:type="dxa"/>
            <w:shd w:val="clear" w:color="auto" w:fill="auto"/>
            <w:noWrap w:val="0"/>
            <w:vAlign w:val="center"/>
          </w:tcPr>
          <w:p w14:paraId="048E59DB">
            <w:pPr>
              <w:pStyle w:val="101"/>
              <w:keepNext w:val="0"/>
              <w:keepLines w:val="0"/>
              <w:suppressLineNumbers w:val="0"/>
              <w:spacing w:before="172" w:beforeAutospacing="0" w:after="0" w:afterAutospacing="0" w:line="219" w:lineRule="auto"/>
              <w:ind w:left="0" w:right="0"/>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质保期承诺:在满足招标文件软件质保期最低要求的前提下，每超出一个整年，得2分的，不足一个整年的部分不计分，超出年限达到三个整年及以上的按满分6分计。</w:t>
            </w:r>
          </w:p>
          <w:p w14:paraId="53FF73F2">
            <w:pPr>
              <w:pStyle w:val="11"/>
              <w:keepNext w:val="0"/>
              <w:keepLines w:val="0"/>
              <w:suppressLineNumbers w:val="0"/>
              <w:spacing w:before="0" w:beforeAutospacing="0" w:afterAutospacing="0" w:line="360" w:lineRule="auto"/>
              <w:ind w:left="0" w:leftChars="0" w:right="0" w:rightChars="0" w:firstLine="410" w:firstLineChars="200"/>
              <w:rPr>
                <w:rFonts w:hint="default"/>
                <w:b/>
                <w:bCs/>
                <w:color w:val="auto"/>
                <w:spacing w:val="-3"/>
                <w:sz w:val="21"/>
                <w:szCs w:val="21"/>
                <w:highlight w:val="none"/>
                <w:lang w:val="en-US" w:eastAsia="zh-CN"/>
              </w:rPr>
            </w:pPr>
            <w:r>
              <w:rPr>
                <w:rFonts w:hint="eastAsia" w:ascii="宋体" w:hAnsi="宋体" w:eastAsia="宋体" w:cs="宋体"/>
                <w:b/>
                <w:bCs/>
                <w:color w:val="auto"/>
                <w:spacing w:val="-3"/>
                <w:sz w:val="21"/>
                <w:szCs w:val="21"/>
                <w:highlight w:val="none"/>
              </w:rPr>
              <w:t>注：投标人须在投标文件中提供质保期承诺函扫描件（格式自拟），承诺函应清晰体现上述各产品质保期承诺内容，并加盖投标人公章。未提供或承诺内容不符合上述要求的，本项不得分。</w:t>
            </w:r>
          </w:p>
        </w:tc>
      </w:tr>
      <w:tr w14:paraId="298EB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713" w:type="dxa"/>
            <w:vMerge w:val="continue"/>
            <w:noWrap w:val="0"/>
            <w:vAlign w:val="center"/>
          </w:tcPr>
          <w:p w14:paraId="1672626B">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eastAsia="zh-CN"/>
              </w:rPr>
            </w:pPr>
          </w:p>
        </w:tc>
        <w:tc>
          <w:tcPr>
            <w:tcW w:w="1101" w:type="dxa"/>
            <w:vMerge w:val="continue"/>
            <w:noWrap w:val="0"/>
            <w:vAlign w:val="center"/>
          </w:tcPr>
          <w:p w14:paraId="7C41224B">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color w:val="auto"/>
                <w:sz w:val="21"/>
                <w:szCs w:val="21"/>
                <w:highlight w:val="none"/>
                <w:lang w:eastAsia="zh-CN"/>
              </w:rPr>
            </w:pPr>
          </w:p>
        </w:tc>
        <w:tc>
          <w:tcPr>
            <w:tcW w:w="1259" w:type="dxa"/>
            <w:shd w:val="clear" w:color="auto" w:fill="auto"/>
            <w:noWrap w:val="0"/>
            <w:vAlign w:val="center"/>
          </w:tcPr>
          <w:p w14:paraId="20E8D8AD">
            <w:pPr>
              <w:keepNext w:val="0"/>
              <w:keepLines w:val="0"/>
              <w:suppressLineNumbers w:val="0"/>
              <w:adjustRightInd w:val="0"/>
              <w:spacing w:before="0" w:beforeAutospacing="0" w:after="0" w:afterAutospacing="0" w:line="360" w:lineRule="auto"/>
              <w:ind w:left="0" w:leftChars="0" w:right="0" w:rightChars="0"/>
              <w:jc w:val="center"/>
              <w:textAlignment w:val="baseline"/>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color w:val="auto"/>
                <w:sz w:val="21"/>
                <w:szCs w:val="21"/>
                <w:highlight w:val="none"/>
              </w:rPr>
              <w:t>业绩分</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满分8分</w:t>
            </w:r>
            <w:r>
              <w:rPr>
                <w:rFonts w:hint="eastAsia" w:ascii="宋体" w:hAnsi="宋体" w:cs="宋体"/>
                <w:color w:val="auto"/>
                <w:sz w:val="21"/>
                <w:szCs w:val="21"/>
                <w:highlight w:val="none"/>
                <w:lang w:eastAsia="zh-CN"/>
              </w:rPr>
              <w:t>）</w:t>
            </w:r>
          </w:p>
        </w:tc>
        <w:tc>
          <w:tcPr>
            <w:tcW w:w="6253" w:type="dxa"/>
            <w:shd w:val="clear" w:color="auto" w:fill="auto"/>
            <w:noWrap w:val="0"/>
            <w:vAlign w:val="center"/>
          </w:tcPr>
          <w:p w14:paraId="22D17AB7">
            <w:pPr>
              <w:pStyle w:val="11"/>
              <w:keepNext w:val="0"/>
              <w:keepLines w:val="0"/>
              <w:suppressLineNumbers w:val="0"/>
              <w:spacing w:before="0" w:beforeAutospacing="0" w:afterAutospacing="0" w:line="360" w:lineRule="auto"/>
              <w:ind w:left="0" w:leftChars="0" w:right="0" w:rightChars="0" w:firstLine="0" w:firstLineChars="0"/>
              <w:rPr>
                <w:rFonts w:hint="default" w:ascii="宋体" w:hAnsi="宋体" w:cs="宋体"/>
                <w:color w:val="auto"/>
                <w:sz w:val="21"/>
                <w:szCs w:val="21"/>
                <w:highlight w:val="none"/>
                <w:lang w:val="en-US" w:eastAsia="zh-CN"/>
              </w:rPr>
            </w:pPr>
            <w:r>
              <w:rPr>
                <w:rFonts w:hint="eastAsia" w:ascii="宋体" w:hAnsi="宋体" w:eastAsia="宋体" w:cs="宋体"/>
                <w:color w:val="auto"/>
                <w:sz w:val="21"/>
                <w:szCs w:val="21"/>
                <w:highlight w:val="none"/>
              </w:rPr>
              <w:t>投标人或投标产品制造商2023年7月至投标截止时间止承接的类似项目销售业绩（类似项目销售业绩是指包含1项或多项与投标产品相同的项目销售业绩。投标文件中提供有效的合同复印件并加盖投标人公章，合同复印件需要清晰体现出合同首页、采购内容和日期、盖章页。合同内容不全或不清晰和，不计分。），每份业绩得</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分，满分</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rPr>
              <w:t>分。同一项目分多个合同签订的，只计分一次。</w:t>
            </w:r>
          </w:p>
        </w:tc>
      </w:tr>
      <w:tr w14:paraId="2F552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713" w:type="dxa"/>
            <w:noWrap w:val="0"/>
            <w:vAlign w:val="center"/>
          </w:tcPr>
          <w:p w14:paraId="25E69ED8">
            <w:pPr>
              <w:keepNext w:val="0"/>
              <w:keepLines w:val="0"/>
              <w:suppressLineNumbers w:val="0"/>
              <w:bidi w:val="0"/>
              <w:spacing w:before="0" w:beforeAutospacing="0" w:after="0" w:afterAutospacing="0" w:line="360" w:lineRule="auto"/>
              <w:ind w:left="0"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p>
        </w:tc>
        <w:tc>
          <w:tcPr>
            <w:tcW w:w="8613" w:type="dxa"/>
            <w:gridSpan w:val="3"/>
            <w:noWrap w:val="0"/>
            <w:vAlign w:val="center"/>
          </w:tcPr>
          <w:p w14:paraId="1FFE8559">
            <w:pPr>
              <w:pStyle w:val="11"/>
              <w:keepNext w:val="0"/>
              <w:keepLines w:val="0"/>
              <w:suppressLineNumbers w:val="0"/>
              <w:spacing w:before="0" w:beforeAutospacing="0" w:afterAutospacing="0" w:line="360" w:lineRule="auto"/>
              <w:ind w:left="0" w:leftChars="0" w:right="0" w:rightChars="0" w:firstLine="420" w:firstLineChars="200"/>
              <w:rPr>
                <w:rFonts w:hint="eastAsia" w:ascii="宋体" w:hAnsi="宋体" w:eastAsia="宋体" w:cs="宋体"/>
                <w:color w:val="auto"/>
                <w:sz w:val="21"/>
                <w:szCs w:val="21"/>
                <w:highlight w:val="none"/>
              </w:rPr>
            </w:pPr>
            <w:r>
              <w:rPr>
                <w:rFonts w:hint="eastAsia" w:ascii="宋体" w:hAnsi="宋体" w:cs="宋体"/>
                <w:color w:val="auto"/>
                <w:kern w:val="2"/>
                <w:sz w:val="21"/>
                <w:szCs w:val="21"/>
                <w:highlight w:val="none"/>
                <w:lang w:val="en-US" w:eastAsia="zh-CN" w:bidi="ar-SA"/>
              </w:rPr>
              <w:t>总得分=1+2+3</w:t>
            </w:r>
          </w:p>
        </w:tc>
      </w:tr>
    </w:tbl>
    <w:p w14:paraId="1B644DDD">
      <w:pPr>
        <w:pStyle w:val="14"/>
        <w:spacing w:line="360" w:lineRule="auto"/>
        <w:ind w:firstLine="315"/>
        <w:rPr>
          <w:rFonts w:hint="eastAsia" w:hAnsi="宋体"/>
          <w:bCs/>
          <w:color w:val="auto"/>
          <w:highlight w:val="none"/>
        </w:rPr>
      </w:pPr>
    </w:p>
    <w:p w14:paraId="0D77D7C6">
      <w:pPr>
        <w:pStyle w:val="14"/>
        <w:spacing w:line="360" w:lineRule="auto"/>
        <w:ind w:firstLine="315"/>
        <w:rPr>
          <w:rFonts w:hAnsi="宋体"/>
          <w:bCs/>
          <w:color w:val="auto"/>
          <w:highlight w:val="none"/>
        </w:rPr>
      </w:pPr>
      <w:r>
        <w:rPr>
          <w:rFonts w:hint="eastAsia" w:hAnsi="宋体"/>
          <w:bCs/>
          <w:color w:val="auto"/>
          <w:highlight w:val="none"/>
        </w:rPr>
        <w:t>注：1.计分方法按四舍五入取至百分位；</w:t>
      </w:r>
    </w:p>
    <w:p w14:paraId="10118AD7">
      <w:pPr>
        <w:rPr>
          <w:rFonts w:hint="eastAsia" w:ascii="Times New Roman" w:hAnsi="Times New Roman" w:eastAsia="宋体" w:cs="Times New Roman"/>
          <w:b/>
          <w:bCs/>
          <w:color w:val="auto"/>
          <w:kern w:val="2"/>
          <w:sz w:val="32"/>
          <w:szCs w:val="32"/>
          <w:highlight w:val="none"/>
          <w:lang w:val="en-US" w:eastAsia="zh-CN" w:bidi="ar-SA"/>
        </w:rPr>
      </w:pPr>
      <w:r>
        <w:rPr>
          <w:rFonts w:hint="eastAsia" w:hAnsi="宋体"/>
          <w:bCs/>
          <w:color w:val="auto"/>
          <w:highlight w:val="none"/>
        </w:rPr>
        <w:t xml:space="preserve">       </w:t>
      </w:r>
      <w:r>
        <w:rPr>
          <w:rFonts w:hint="eastAsia" w:asciiTheme="minorEastAsia" w:hAnsiTheme="minorEastAsia" w:eastAsiaTheme="minorEastAsia" w:cstheme="minorEastAsia"/>
          <w:bCs/>
          <w:color w:val="auto"/>
          <w:highlight w:val="none"/>
        </w:rPr>
        <w:t>2.因落实政府采购政策</w:t>
      </w:r>
      <w:r>
        <w:rPr>
          <w:rFonts w:hint="eastAsia" w:hAnsi="宋体"/>
          <w:bCs/>
          <w:color w:val="auto"/>
          <w:highlight w:val="none"/>
        </w:rPr>
        <w:t>进行价格调整的，以调整后的价格计算评标基准价。</w:t>
      </w:r>
    </w:p>
    <w:p w14:paraId="71FEBD82">
      <w:pPr>
        <w:rPr>
          <w:rFonts w:hint="eastAsia" w:ascii="宋体" w:hAnsi="宋体" w:eastAsia="宋体" w:cs="宋体"/>
          <w:b w:val="0"/>
          <w:color w:val="auto"/>
          <w:sz w:val="30"/>
          <w:szCs w:val="30"/>
          <w:highlight w:val="none"/>
          <w:lang w:eastAsia="zh-CN"/>
        </w:rPr>
      </w:pPr>
    </w:p>
    <w:p w14:paraId="0414F478">
      <w:pPr>
        <w:rPr>
          <w:rFonts w:hint="eastAsia" w:ascii="宋体" w:hAnsi="宋体" w:eastAsia="宋体" w:cs="宋体"/>
          <w:b w:val="0"/>
          <w:color w:val="auto"/>
          <w:sz w:val="30"/>
          <w:szCs w:val="30"/>
          <w:highlight w:val="none"/>
        </w:rPr>
      </w:pPr>
      <w:r>
        <w:rPr>
          <w:rFonts w:hint="eastAsia" w:ascii="宋体" w:hAnsi="宋体" w:eastAsia="宋体" w:cs="宋体"/>
          <w:b w:val="0"/>
          <w:color w:val="auto"/>
          <w:sz w:val="30"/>
          <w:szCs w:val="30"/>
          <w:highlight w:val="none"/>
        </w:rPr>
        <w:br w:type="page"/>
      </w:r>
    </w:p>
    <w:p w14:paraId="62390829">
      <w:pPr>
        <w:pStyle w:val="3"/>
        <w:ind w:firstLine="450"/>
        <w:jc w:val="center"/>
        <w:rPr>
          <w:rFonts w:ascii="宋体" w:hAnsi="宋体" w:eastAsia="宋体" w:cs="宋体"/>
          <w:b w:val="0"/>
          <w:color w:val="auto"/>
          <w:sz w:val="30"/>
          <w:szCs w:val="30"/>
          <w:highlight w:val="none"/>
        </w:rPr>
      </w:pPr>
      <w:r>
        <w:rPr>
          <w:rFonts w:hint="eastAsia" w:ascii="宋体" w:hAnsi="宋体" w:eastAsia="宋体" w:cs="宋体"/>
          <w:b w:val="0"/>
          <w:color w:val="auto"/>
          <w:sz w:val="30"/>
          <w:szCs w:val="30"/>
          <w:highlight w:val="none"/>
        </w:rPr>
        <w:t>第四节 中标候选人推荐原则</w:t>
      </w:r>
      <w:bookmarkEnd w:id="219"/>
      <w:bookmarkEnd w:id="220"/>
      <w:bookmarkEnd w:id="221"/>
      <w:bookmarkEnd w:id="222"/>
    </w:p>
    <w:p w14:paraId="1BB23D15">
      <w:pPr>
        <w:spacing w:line="360" w:lineRule="auto"/>
        <w:ind w:firstLine="420" w:firstLineChars="200"/>
        <w:rPr>
          <w:color w:val="auto"/>
          <w:highlight w:val="none"/>
        </w:rPr>
      </w:pPr>
      <w:r>
        <w:rPr>
          <w:rFonts w:hint="eastAsia" w:hAnsi="宋体" w:cs="宋体"/>
          <w:color w:val="auto"/>
          <w:highlight w:val="none"/>
          <w:lang w:val="en-US" w:eastAsia="zh-CN"/>
        </w:rPr>
        <w:t>1</w:t>
      </w:r>
      <w:r>
        <w:rPr>
          <w:rFonts w:hint="eastAsia" w:hAnsi="宋体" w:cs="宋体"/>
          <w:color w:val="auto"/>
          <w:highlight w:val="none"/>
        </w:rPr>
        <w:t>.</w:t>
      </w:r>
      <w:r>
        <w:rPr>
          <w:rFonts w:hint="eastAsia" w:ascii="宋体" w:hAnsi="宋体"/>
          <w:color w:val="auto"/>
          <w:szCs w:val="20"/>
          <w:highlight w:val="none"/>
        </w:rPr>
        <w:t>评标委员会将根据总得分由高到低排列次序并推荐中标候选人。总得分相同时，依次按投标报价低优先、技术分</w:t>
      </w:r>
      <w:r>
        <w:rPr>
          <w:rFonts w:hint="eastAsia"/>
          <w:color w:val="auto"/>
          <w:highlight w:val="none"/>
        </w:rPr>
        <w:t>得分</w:t>
      </w:r>
      <w:r>
        <w:rPr>
          <w:rFonts w:hint="eastAsia" w:ascii="宋体" w:hAnsi="宋体"/>
          <w:color w:val="auto"/>
          <w:szCs w:val="20"/>
          <w:highlight w:val="none"/>
        </w:rPr>
        <w:t>高优先、商务分</w:t>
      </w:r>
      <w:r>
        <w:rPr>
          <w:rFonts w:hint="eastAsia"/>
          <w:color w:val="auto"/>
          <w:highlight w:val="none"/>
        </w:rPr>
        <w:t>得分</w:t>
      </w:r>
      <w:r>
        <w:rPr>
          <w:rFonts w:hint="eastAsia" w:ascii="宋体" w:hAnsi="宋体"/>
          <w:color w:val="auto"/>
          <w:szCs w:val="20"/>
          <w:highlight w:val="none"/>
        </w:rPr>
        <w:t>高优先的顺序排列。投标文件满足招标文件全部实质性要求，且按照评审因素的量化指标评审得分最高的投标人为排名第一的中标候选人。</w:t>
      </w:r>
    </w:p>
    <w:p w14:paraId="2CD5ADAD">
      <w:pPr>
        <w:pStyle w:val="14"/>
        <w:spacing w:line="360" w:lineRule="auto"/>
        <w:ind w:firstLine="420" w:firstLineChars="200"/>
        <w:rPr>
          <w:rFonts w:hint="eastAsia" w:hAnsi="宋体" w:cs="宋体"/>
          <w:color w:val="auto"/>
          <w:highlight w:val="none"/>
        </w:rPr>
      </w:pPr>
      <w:bookmarkStart w:id="223" w:name="OLE_LINK81"/>
      <w:r>
        <w:rPr>
          <w:rFonts w:hint="eastAsia" w:hAnsi="宋体" w:cs="宋体"/>
          <w:color w:val="auto"/>
          <w:highlight w:val="none"/>
        </w:rPr>
        <w:t>2.</w:t>
      </w:r>
      <w:bookmarkEnd w:id="223"/>
      <w:r>
        <w:rPr>
          <w:rFonts w:hint="eastAsia" w:hAnsi="宋体" w:cs="宋体"/>
          <w:color w:val="auto"/>
          <w:highlight w:val="none"/>
        </w:rPr>
        <w:t>根据《政府采购货物和服务招标投标管理办法》（财政部令第87号）第三十一条第二款规定，采用综合评分法的采购项目，</w:t>
      </w:r>
      <w:r>
        <w:rPr>
          <w:rFonts w:hint="eastAsia" w:hAnsi="宋体" w:cs="宋体"/>
          <w:color w:val="auto"/>
          <w:highlight w:val="none"/>
          <w:lang w:eastAsia="zh-CN"/>
        </w:rPr>
        <w:t>核心产品</w:t>
      </w:r>
      <w:r>
        <w:rPr>
          <w:rFonts w:hint="eastAsia" w:hAnsi="宋体" w:cs="宋体"/>
          <w:color w:val="auto"/>
          <w:highlight w:val="none"/>
        </w:rPr>
        <w:t>提供相同品牌产品且通过资格审查、符合性审查的不同投标人参加同一合同项下投标的，按一家投标人计算，评审后得分最高的同品牌投标人获得中标人推荐资格；评审得分相同的，按照“投标人须知前附表”</w:t>
      </w:r>
      <w:r>
        <w:rPr>
          <w:rFonts w:hint="eastAsia" w:hAnsi="宋体" w:cs="宋体"/>
          <w:color w:val="auto"/>
          <w:highlight w:val="none"/>
          <w:lang w:val="en-US" w:eastAsia="zh-CN"/>
        </w:rPr>
        <w:t>8.4条款的</w:t>
      </w:r>
      <w:r>
        <w:rPr>
          <w:rFonts w:hint="eastAsia" w:hAnsi="宋体" w:cs="宋体"/>
          <w:color w:val="auto"/>
          <w:highlight w:val="none"/>
        </w:rPr>
        <w:t>规定推荐</w:t>
      </w:r>
      <w:r>
        <w:rPr>
          <w:rFonts w:hint="eastAsia" w:hAnsi="宋体" w:cs="宋体"/>
          <w:color w:val="auto"/>
          <w:highlight w:val="none"/>
          <w:lang w:eastAsia="zh-CN"/>
        </w:rPr>
        <w:t>，</w:t>
      </w:r>
      <w:r>
        <w:rPr>
          <w:rFonts w:hint="eastAsia" w:hAnsi="宋体" w:cs="宋体"/>
          <w:color w:val="auto"/>
          <w:highlight w:val="none"/>
        </w:rPr>
        <w:t>确定后其他同品牌投标人不作为中标候选人。</w:t>
      </w:r>
    </w:p>
    <w:p w14:paraId="6178B770">
      <w:pPr>
        <w:pStyle w:val="14"/>
        <w:tabs>
          <w:tab w:val="left" w:pos="2472"/>
        </w:tabs>
        <w:spacing w:line="480" w:lineRule="exact"/>
        <w:ind w:firstLine="420" w:firstLineChars="200"/>
        <w:rPr>
          <w:rFonts w:hAnsi="宋体" w:cs="宋体"/>
          <w:color w:val="auto"/>
          <w:highlight w:val="none"/>
        </w:rPr>
      </w:pPr>
    </w:p>
    <w:p w14:paraId="382B5EAD">
      <w:pPr>
        <w:pStyle w:val="3"/>
        <w:spacing w:line="360" w:lineRule="auto"/>
        <w:ind w:firstLine="600" w:firstLineChars="200"/>
        <w:jc w:val="center"/>
        <w:rPr>
          <w:rFonts w:ascii="宋体" w:hAnsi="宋体" w:eastAsia="宋体" w:cs="宋体"/>
          <w:b w:val="0"/>
          <w:color w:val="auto"/>
          <w:sz w:val="30"/>
          <w:szCs w:val="30"/>
          <w:highlight w:val="none"/>
        </w:rPr>
      </w:pPr>
      <w:bookmarkStart w:id="224" w:name="_Toc21738"/>
      <w:bookmarkStart w:id="225" w:name="_Toc8014"/>
      <w:bookmarkStart w:id="226" w:name="_Toc29998"/>
      <w:bookmarkStart w:id="227" w:name="_Toc671"/>
      <w:r>
        <w:rPr>
          <w:rFonts w:hint="eastAsia" w:ascii="宋体" w:hAnsi="宋体" w:eastAsia="宋体" w:cs="宋体"/>
          <w:b w:val="0"/>
          <w:color w:val="auto"/>
          <w:sz w:val="30"/>
          <w:szCs w:val="30"/>
          <w:highlight w:val="none"/>
        </w:rPr>
        <w:t>第五节 评标报告</w:t>
      </w:r>
      <w:bookmarkEnd w:id="224"/>
      <w:bookmarkEnd w:id="225"/>
      <w:bookmarkEnd w:id="226"/>
      <w:bookmarkEnd w:id="227"/>
    </w:p>
    <w:p w14:paraId="77D6C666">
      <w:pPr>
        <w:pStyle w:val="74"/>
        <w:spacing w:before="0"/>
        <w:ind w:firstLine="482"/>
        <w:rPr>
          <w:rFonts w:ascii="宋体" w:hAnsi="宋体" w:cs="宋体"/>
          <w:b/>
          <w:bCs/>
          <w:color w:val="auto"/>
          <w:szCs w:val="24"/>
          <w:highlight w:val="none"/>
        </w:rPr>
      </w:pPr>
      <w:r>
        <w:rPr>
          <w:rFonts w:hint="eastAsia" w:ascii="宋体" w:hAnsi="宋体" w:cs="宋体"/>
          <w:b/>
          <w:bCs/>
          <w:color w:val="auto"/>
          <w:szCs w:val="24"/>
          <w:highlight w:val="none"/>
        </w:rPr>
        <w:t>（一）评标报告与推荐中标候选人</w:t>
      </w:r>
    </w:p>
    <w:p w14:paraId="4A979181">
      <w:pPr>
        <w:pStyle w:val="14"/>
        <w:tabs>
          <w:tab w:val="left" w:pos="2472"/>
        </w:tabs>
        <w:spacing w:line="360" w:lineRule="auto"/>
        <w:ind w:firstLine="420" w:firstLineChars="200"/>
        <w:rPr>
          <w:rFonts w:hAnsi="宋体" w:cs="宋体"/>
          <w:color w:val="auto"/>
          <w:highlight w:val="none"/>
        </w:rPr>
      </w:pPr>
      <w:r>
        <w:rPr>
          <w:rFonts w:hint="eastAsia" w:hAnsi="宋体" w:cs="宋体"/>
          <w:color w:val="auto"/>
          <w:highlight w:val="none"/>
        </w:rPr>
        <w:t>评标委员会根据原始评标记录和评标结果编写评标报告，并通过电子交易平台向采购人、采购代理机构提交。</w:t>
      </w:r>
    </w:p>
    <w:p w14:paraId="26E58240">
      <w:pPr>
        <w:widowControl/>
        <w:spacing w:line="360" w:lineRule="auto"/>
        <w:ind w:firstLine="482" w:firstLineChars="200"/>
        <w:jc w:val="left"/>
        <w:rPr>
          <w:rFonts w:ascii="宋体" w:hAnsi="宋体" w:cs="宋体"/>
          <w:b/>
          <w:bCs/>
          <w:color w:val="auto"/>
          <w:sz w:val="24"/>
          <w:highlight w:val="none"/>
        </w:rPr>
      </w:pPr>
      <w:r>
        <w:rPr>
          <w:rFonts w:hint="eastAsia" w:ascii="宋体" w:hAnsi="宋体" w:cs="宋体"/>
          <w:b/>
          <w:bCs/>
          <w:color w:val="auto"/>
          <w:sz w:val="24"/>
          <w:highlight w:val="none"/>
        </w:rPr>
        <w:t>（二）评标争议事项处理</w:t>
      </w:r>
    </w:p>
    <w:p w14:paraId="6689BAF6">
      <w:pPr>
        <w:pStyle w:val="14"/>
        <w:tabs>
          <w:tab w:val="left" w:pos="2472"/>
        </w:tabs>
        <w:spacing w:line="360" w:lineRule="auto"/>
        <w:ind w:firstLine="420" w:firstLineChars="200"/>
        <w:rPr>
          <w:rFonts w:hAnsi="宋体" w:cs="宋体"/>
          <w:color w:val="auto"/>
          <w:highlight w:val="none"/>
        </w:rPr>
      </w:pPr>
      <w:r>
        <w:rPr>
          <w:rFonts w:hint="eastAsia" w:hAnsi="宋体" w:cs="宋体"/>
          <w:color w:val="auto"/>
          <w:highlight w:val="none"/>
        </w:rPr>
        <w:t>评标委员会成员对需要共同认定的事项存在争议的，应当按照少数服从多数的原则作出结论。持不同意见的评标委员会成员应当在评标报告上签署不同意见及理由，否则视为同意评标报告。</w:t>
      </w:r>
    </w:p>
    <w:p w14:paraId="4C51733C">
      <w:pPr>
        <w:pStyle w:val="14"/>
        <w:tabs>
          <w:tab w:val="left" w:pos="2472"/>
        </w:tabs>
        <w:spacing w:line="460" w:lineRule="exact"/>
        <w:ind w:firstLine="542"/>
        <w:jc w:val="center"/>
        <w:rPr>
          <w:rFonts w:hAnsi="宋体" w:cs="宋体"/>
          <w:b/>
          <w:color w:val="auto"/>
          <w:sz w:val="36"/>
          <w:highlight w:val="none"/>
        </w:rPr>
      </w:pPr>
      <w:r>
        <w:rPr>
          <w:rFonts w:hint="eastAsia" w:hAnsi="宋体" w:cs="宋体"/>
          <w:b/>
          <w:color w:val="auto"/>
          <w:sz w:val="36"/>
          <w:highlight w:val="none"/>
        </w:rPr>
        <w:br w:type="page"/>
      </w:r>
    </w:p>
    <w:p w14:paraId="6EFD2A94">
      <w:pPr>
        <w:pStyle w:val="2"/>
        <w:bidi w:val="0"/>
        <w:jc w:val="center"/>
        <w:rPr>
          <w:rFonts w:hint="eastAsia"/>
          <w:color w:val="auto"/>
          <w:sz w:val="36"/>
          <w:szCs w:val="36"/>
          <w:highlight w:val="none"/>
        </w:rPr>
      </w:pPr>
      <w:bookmarkStart w:id="228" w:name="_Toc30669"/>
      <w:bookmarkStart w:id="229" w:name="_Toc1169"/>
      <w:bookmarkStart w:id="230" w:name="_Toc5426"/>
      <w:bookmarkStart w:id="231" w:name="_Toc17443"/>
      <w:bookmarkStart w:id="232" w:name="_Toc18142"/>
      <w:r>
        <w:rPr>
          <w:rFonts w:hint="eastAsia"/>
          <w:color w:val="auto"/>
          <w:sz w:val="36"/>
          <w:szCs w:val="36"/>
          <w:highlight w:val="none"/>
        </w:rPr>
        <w:t>第五章 拟签订的合同文本</w:t>
      </w:r>
      <w:bookmarkEnd w:id="228"/>
      <w:bookmarkEnd w:id="229"/>
      <w:bookmarkEnd w:id="230"/>
      <w:bookmarkEnd w:id="231"/>
      <w:bookmarkEnd w:id="232"/>
    </w:p>
    <w:p w14:paraId="0B0452A2">
      <w:pPr>
        <w:rPr>
          <w:rFonts w:ascii="宋体" w:hAnsi="宋体"/>
          <w:b/>
          <w:bCs/>
          <w:color w:val="auto"/>
          <w:szCs w:val="21"/>
          <w:highlight w:val="none"/>
        </w:rPr>
      </w:pPr>
      <w:r>
        <w:rPr>
          <w:rFonts w:ascii="方正仿宋_GB2312" w:hAnsi="楷体" w:eastAsia="方正仿宋_GB2312" w:cs="方正仿宋_GB2312"/>
          <w:color w:val="auto"/>
          <w:sz w:val="24"/>
          <w:highlight w:val="none"/>
          <w:lang w:bidi="ar"/>
        </w:rPr>
        <w:t>“广西政府采购云平台”合同编号：</w:t>
      </w:r>
    </w:p>
    <w:p w14:paraId="38E741B6">
      <w:pPr>
        <w:pStyle w:val="14"/>
        <w:jc w:val="both"/>
        <w:rPr>
          <w:rFonts w:hint="eastAsia" w:hAnsi="宋体"/>
          <w:b/>
          <w:color w:val="auto"/>
          <w:sz w:val="52"/>
          <w:szCs w:val="52"/>
          <w:highlight w:val="none"/>
        </w:rPr>
      </w:pPr>
    </w:p>
    <w:p w14:paraId="11E0AC87">
      <w:pPr>
        <w:pStyle w:val="14"/>
        <w:jc w:val="center"/>
        <w:rPr>
          <w:rFonts w:hint="eastAsia" w:hAnsi="宋体"/>
          <w:b/>
          <w:color w:val="auto"/>
          <w:sz w:val="52"/>
          <w:szCs w:val="52"/>
          <w:highlight w:val="none"/>
        </w:rPr>
      </w:pPr>
      <w:r>
        <w:rPr>
          <w:rFonts w:hint="eastAsia" w:hAnsi="宋体"/>
          <w:b/>
          <w:color w:val="auto"/>
          <w:sz w:val="52"/>
          <w:szCs w:val="52"/>
          <w:highlight w:val="none"/>
        </w:rPr>
        <w:t>广西壮族自治区政府采购合同</w:t>
      </w:r>
    </w:p>
    <w:p w14:paraId="6720D2C3">
      <w:pPr>
        <w:pStyle w:val="14"/>
        <w:rPr>
          <w:rFonts w:hint="eastAsia" w:hAnsi="宋体"/>
          <w:color w:val="auto"/>
          <w:highlight w:val="none"/>
        </w:rPr>
      </w:pPr>
    </w:p>
    <w:p w14:paraId="287AC213">
      <w:pPr>
        <w:pStyle w:val="14"/>
        <w:rPr>
          <w:rFonts w:hint="eastAsia" w:hAnsi="宋体"/>
          <w:color w:val="auto"/>
          <w:highlight w:val="none"/>
        </w:rPr>
      </w:pPr>
    </w:p>
    <w:p w14:paraId="6D8BFC62">
      <w:pPr>
        <w:pStyle w:val="14"/>
        <w:rPr>
          <w:rFonts w:hint="eastAsia" w:hAnsi="宋体"/>
          <w:color w:val="auto"/>
          <w:highlight w:val="none"/>
        </w:rPr>
      </w:pPr>
    </w:p>
    <w:p w14:paraId="275467FD">
      <w:pPr>
        <w:pStyle w:val="14"/>
        <w:ind w:left="3119" w:leftChars="757" w:hanging="1529" w:hangingChars="476"/>
        <w:rPr>
          <w:rFonts w:hint="eastAsia" w:hAnsi="宋体"/>
          <w:b/>
          <w:color w:val="auto"/>
          <w:sz w:val="32"/>
          <w:szCs w:val="32"/>
          <w:highlight w:val="none"/>
          <w:u w:val="single"/>
        </w:rPr>
      </w:pPr>
      <w:r>
        <w:rPr>
          <w:rFonts w:hint="eastAsia" w:hAnsi="宋体"/>
          <w:b/>
          <w:color w:val="auto"/>
          <w:sz w:val="32"/>
          <w:szCs w:val="32"/>
          <w:highlight w:val="none"/>
        </w:rPr>
        <w:t>合同名称：</w:t>
      </w:r>
      <w:r>
        <w:rPr>
          <w:rFonts w:hint="eastAsia" w:hAnsi="宋体"/>
          <w:b/>
          <w:color w:val="auto"/>
          <w:sz w:val="32"/>
          <w:szCs w:val="32"/>
          <w:highlight w:val="none"/>
          <w:u w:val="single"/>
        </w:rPr>
        <w:t xml:space="preserve">                            </w:t>
      </w:r>
    </w:p>
    <w:p w14:paraId="4149131E">
      <w:pPr>
        <w:pStyle w:val="14"/>
        <w:ind w:firstLine="1590" w:firstLineChars="495"/>
        <w:rPr>
          <w:rFonts w:hint="eastAsia" w:hAnsi="宋体"/>
          <w:b/>
          <w:color w:val="auto"/>
          <w:sz w:val="32"/>
          <w:szCs w:val="32"/>
          <w:highlight w:val="none"/>
        </w:rPr>
      </w:pPr>
    </w:p>
    <w:p w14:paraId="7638CDC0">
      <w:pPr>
        <w:pStyle w:val="14"/>
        <w:ind w:firstLine="1590" w:firstLineChars="495"/>
        <w:rPr>
          <w:rFonts w:hAnsi="宋体"/>
          <w:b/>
          <w:color w:val="auto"/>
          <w:sz w:val="32"/>
          <w:szCs w:val="32"/>
          <w:highlight w:val="none"/>
          <w:u w:val="single"/>
        </w:rPr>
      </w:pPr>
      <w:r>
        <w:rPr>
          <w:rFonts w:hint="eastAsia" w:hAnsi="宋体"/>
          <w:b/>
          <w:color w:val="auto"/>
          <w:sz w:val="32"/>
          <w:szCs w:val="32"/>
          <w:highlight w:val="none"/>
        </w:rPr>
        <w:t>合同编号：</w:t>
      </w:r>
      <w:r>
        <w:rPr>
          <w:rFonts w:hint="eastAsia" w:hAnsi="宋体"/>
          <w:b/>
          <w:color w:val="auto"/>
          <w:sz w:val="32"/>
          <w:szCs w:val="32"/>
          <w:highlight w:val="none"/>
          <w:u w:val="single"/>
        </w:rPr>
        <w:t xml:space="preserve">                            </w:t>
      </w:r>
    </w:p>
    <w:p w14:paraId="3F232C03">
      <w:pPr>
        <w:pStyle w:val="14"/>
        <w:ind w:firstLine="1590" w:firstLineChars="495"/>
        <w:rPr>
          <w:rFonts w:hAnsi="宋体"/>
          <w:b/>
          <w:color w:val="auto"/>
          <w:sz w:val="32"/>
          <w:szCs w:val="32"/>
          <w:highlight w:val="none"/>
          <w:u w:val="single"/>
        </w:rPr>
      </w:pPr>
      <w:r>
        <w:rPr>
          <w:rFonts w:hint="eastAsia" w:hAnsi="宋体"/>
          <w:b/>
          <w:color w:val="auto"/>
          <w:sz w:val="32"/>
          <w:szCs w:val="32"/>
          <w:highlight w:val="none"/>
        </w:rPr>
        <w:t>项目编号：</w:t>
      </w:r>
      <w:r>
        <w:rPr>
          <w:rFonts w:hint="eastAsia" w:hAnsi="宋体"/>
          <w:b/>
          <w:color w:val="auto"/>
          <w:sz w:val="32"/>
          <w:szCs w:val="32"/>
          <w:highlight w:val="none"/>
          <w:u w:val="single"/>
        </w:rPr>
        <w:t xml:space="preserve">                            </w:t>
      </w:r>
    </w:p>
    <w:p w14:paraId="0F8B92D7">
      <w:pPr>
        <w:pStyle w:val="14"/>
        <w:jc w:val="center"/>
        <w:rPr>
          <w:rFonts w:hint="eastAsia" w:hAnsi="宋体"/>
          <w:color w:val="auto"/>
          <w:highlight w:val="none"/>
        </w:rPr>
      </w:pPr>
    </w:p>
    <w:p w14:paraId="131E9881">
      <w:pPr>
        <w:pStyle w:val="14"/>
        <w:jc w:val="center"/>
        <w:rPr>
          <w:rFonts w:hint="eastAsia" w:hAnsi="宋体"/>
          <w:color w:val="auto"/>
          <w:highlight w:val="none"/>
        </w:rPr>
      </w:pPr>
    </w:p>
    <w:p w14:paraId="3653D9B5">
      <w:pPr>
        <w:pStyle w:val="14"/>
        <w:jc w:val="center"/>
        <w:rPr>
          <w:rFonts w:hint="eastAsia" w:hAnsi="宋体"/>
          <w:color w:val="auto"/>
          <w:highlight w:val="none"/>
        </w:rPr>
      </w:pPr>
    </w:p>
    <w:p w14:paraId="315E313E">
      <w:pPr>
        <w:pStyle w:val="14"/>
        <w:spacing w:after="156" w:afterLines="50" w:line="340" w:lineRule="exact"/>
        <w:ind w:firstLine="1590" w:firstLineChars="495"/>
        <w:rPr>
          <w:rFonts w:hint="eastAsia" w:hAnsi="宋体"/>
          <w:b/>
          <w:color w:val="auto"/>
          <w:sz w:val="32"/>
          <w:szCs w:val="32"/>
          <w:highlight w:val="none"/>
          <w:u w:val="single"/>
        </w:rPr>
      </w:pPr>
      <w:r>
        <w:rPr>
          <w:rFonts w:hint="eastAsia" w:hAnsi="宋体"/>
          <w:b/>
          <w:color w:val="auto"/>
          <w:sz w:val="32"/>
          <w:szCs w:val="32"/>
          <w:highlight w:val="none"/>
        </w:rPr>
        <w:t>采购单位（甲方）</w:t>
      </w:r>
      <w:r>
        <w:rPr>
          <w:rFonts w:hint="eastAsia" w:hAnsi="宋体"/>
          <w:b/>
          <w:color w:val="auto"/>
          <w:sz w:val="32"/>
          <w:szCs w:val="32"/>
          <w:highlight w:val="none"/>
          <w:u w:val="single"/>
        </w:rPr>
        <w:t xml:space="preserve">                      </w:t>
      </w:r>
    </w:p>
    <w:p w14:paraId="02ED59D7">
      <w:pPr>
        <w:pStyle w:val="14"/>
        <w:spacing w:line="340" w:lineRule="exact"/>
        <w:ind w:firstLine="1590" w:firstLineChars="495"/>
        <w:rPr>
          <w:rFonts w:hint="eastAsia" w:hAnsi="宋体"/>
          <w:b/>
          <w:color w:val="auto"/>
          <w:sz w:val="32"/>
          <w:szCs w:val="32"/>
          <w:highlight w:val="none"/>
        </w:rPr>
      </w:pPr>
    </w:p>
    <w:p w14:paraId="452E4D4D">
      <w:pPr>
        <w:pStyle w:val="14"/>
        <w:spacing w:after="156" w:afterLines="50" w:line="340" w:lineRule="exact"/>
        <w:ind w:firstLine="1590" w:firstLineChars="495"/>
        <w:rPr>
          <w:rFonts w:hint="eastAsia" w:hAnsi="宋体"/>
          <w:b/>
          <w:color w:val="auto"/>
          <w:sz w:val="32"/>
          <w:szCs w:val="32"/>
          <w:highlight w:val="none"/>
          <w:u w:val="single"/>
        </w:rPr>
      </w:pPr>
      <w:r>
        <w:rPr>
          <w:rFonts w:hint="eastAsia" w:hAnsi="宋体"/>
          <w:b/>
          <w:color w:val="auto"/>
          <w:sz w:val="32"/>
          <w:szCs w:val="32"/>
          <w:highlight w:val="none"/>
        </w:rPr>
        <w:t>供 应 商（乙方）</w:t>
      </w:r>
      <w:r>
        <w:rPr>
          <w:rFonts w:hint="eastAsia" w:hAnsi="宋体"/>
          <w:b/>
          <w:color w:val="auto"/>
          <w:sz w:val="32"/>
          <w:szCs w:val="32"/>
          <w:highlight w:val="none"/>
          <w:u w:val="single"/>
        </w:rPr>
        <w:t xml:space="preserve">                      </w:t>
      </w:r>
    </w:p>
    <w:p w14:paraId="071DF0DF">
      <w:pPr>
        <w:pStyle w:val="14"/>
        <w:spacing w:line="340" w:lineRule="exact"/>
        <w:ind w:firstLine="1590" w:firstLineChars="495"/>
        <w:rPr>
          <w:rFonts w:hint="eastAsia" w:hAnsi="宋体"/>
          <w:b/>
          <w:color w:val="auto"/>
          <w:sz w:val="32"/>
          <w:szCs w:val="32"/>
          <w:highlight w:val="none"/>
        </w:rPr>
      </w:pPr>
    </w:p>
    <w:p w14:paraId="520D3503">
      <w:pPr>
        <w:pStyle w:val="14"/>
        <w:jc w:val="center"/>
        <w:rPr>
          <w:rFonts w:hint="eastAsia" w:hAnsi="宋体"/>
          <w:color w:val="auto"/>
          <w:highlight w:val="none"/>
        </w:rPr>
      </w:pPr>
      <w:r>
        <w:rPr>
          <w:rFonts w:hint="eastAsia" w:hAnsi="宋体"/>
          <w:color w:val="auto"/>
          <w:highlight w:val="none"/>
        </w:rPr>
        <w:t xml:space="preserve"> </w:t>
      </w:r>
    </w:p>
    <w:p w14:paraId="5F420CCA">
      <w:pPr>
        <w:pStyle w:val="14"/>
        <w:jc w:val="center"/>
        <w:rPr>
          <w:rFonts w:hint="eastAsia" w:hAnsi="宋体"/>
          <w:color w:val="auto"/>
          <w:highlight w:val="none"/>
        </w:rPr>
      </w:pPr>
    </w:p>
    <w:p w14:paraId="539FF1D1">
      <w:pPr>
        <w:pStyle w:val="14"/>
        <w:jc w:val="center"/>
        <w:rPr>
          <w:rFonts w:hint="eastAsia" w:hAnsi="宋体"/>
          <w:color w:val="auto"/>
          <w:highlight w:val="none"/>
        </w:rPr>
      </w:pPr>
    </w:p>
    <w:p w14:paraId="0F7292E4">
      <w:pPr>
        <w:pStyle w:val="14"/>
        <w:ind w:firstLine="1590" w:firstLineChars="495"/>
        <w:rPr>
          <w:rFonts w:hint="eastAsia" w:hAnsi="宋体"/>
          <w:b/>
          <w:color w:val="auto"/>
          <w:sz w:val="32"/>
          <w:szCs w:val="32"/>
          <w:highlight w:val="none"/>
          <w:u w:val="single"/>
        </w:rPr>
      </w:pPr>
      <w:r>
        <w:rPr>
          <w:rFonts w:hint="eastAsia" w:hAnsi="宋体"/>
          <w:b/>
          <w:color w:val="auto"/>
          <w:sz w:val="32"/>
          <w:szCs w:val="32"/>
          <w:highlight w:val="none"/>
        </w:rPr>
        <w:t>签订合同地点：</w:t>
      </w:r>
      <w:r>
        <w:rPr>
          <w:rFonts w:hint="eastAsia" w:hAnsi="宋体"/>
          <w:b/>
          <w:color w:val="auto"/>
          <w:sz w:val="32"/>
          <w:szCs w:val="32"/>
          <w:highlight w:val="none"/>
          <w:u w:val="single"/>
        </w:rPr>
        <w:t xml:space="preserve">                       </w:t>
      </w:r>
    </w:p>
    <w:p w14:paraId="0A1102D1">
      <w:pPr>
        <w:pStyle w:val="14"/>
        <w:ind w:firstLine="1590" w:firstLineChars="495"/>
        <w:rPr>
          <w:rFonts w:hint="eastAsia" w:hAnsi="宋体"/>
          <w:color w:val="auto"/>
          <w:highlight w:val="none"/>
        </w:rPr>
      </w:pPr>
      <w:r>
        <w:rPr>
          <w:rFonts w:hint="eastAsia" w:hAnsi="宋体"/>
          <w:b/>
          <w:color w:val="auto"/>
          <w:sz w:val="32"/>
          <w:szCs w:val="32"/>
          <w:highlight w:val="none"/>
        </w:rPr>
        <w:t>签订合同时间：</w:t>
      </w:r>
      <w:r>
        <w:rPr>
          <w:rFonts w:hint="eastAsia" w:hAnsi="宋体"/>
          <w:b/>
          <w:color w:val="auto"/>
          <w:sz w:val="32"/>
          <w:szCs w:val="32"/>
          <w:highlight w:val="none"/>
          <w:u w:val="single"/>
        </w:rPr>
        <w:t xml:space="preserve">                       </w:t>
      </w:r>
    </w:p>
    <w:p w14:paraId="74A6D74F">
      <w:pPr>
        <w:pStyle w:val="14"/>
        <w:spacing w:line="420" w:lineRule="exact"/>
        <w:jc w:val="both"/>
        <w:rPr>
          <w:rFonts w:hint="eastAsia" w:hAnsi="宋体"/>
          <w:color w:val="auto"/>
          <w:highlight w:val="none"/>
        </w:rPr>
      </w:pPr>
    </w:p>
    <w:p w14:paraId="09B332D7">
      <w:pPr>
        <w:pStyle w:val="14"/>
        <w:spacing w:line="420" w:lineRule="exact"/>
        <w:jc w:val="center"/>
        <w:rPr>
          <w:rFonts w:hint="eastAsia" w:hAnsi="宋体"/>
          <w:color w:val="auto"/>
          <w:highlight w:val="none"/>
        </w:rPr>
      </w:pPr>
      <w:r>
        <w:rPr>
          <w:rFonts w:hint="eastAsia" w:hAnsi="宋体"/>
          <w:color w:val="auto"/>
          <w:highlight w:val="none"/>
        </w:rPr>
        <w:t>合同使用说明：根据《中华人民共和国政府采购法》《</w:t>
      </w:r>
      <w:r>
        <w:rPr>
          <w:color w:val="auto"/>
          <w:highlight w:val="none"/>
        </w:rPr>
        <w:t>中华人民共和国民法典</w:t>
      </w:r>
      <w:r>
        <w:rPr>
          <w:rFonts w:hint="eastAsia" w:hAnsi="宋体"/>
          <w:color w:val="auto"/>
          <w:highlight w:val="none"/>
        </w:rPr>
        <w:t>》等法律、法规规定，</w:t>
      </w:r>
    </w:p>
    <w:p w14:paraId="111BE63C">
      <w:pPr>
        <w:rPr>
          <w:rFonts w:hint="eastAsia" w:ascii="宋体" w:hAnsi="宋体" w:eastAsia="宋体" w:cs="宋体"/>
          <w:b/>
          <w:bCs/>
          <w:color w:val="auto"/>
          <w:sz w:val="32"/>
          <w:szCs w:val="32"/>
          <w:highlight w:val="none"/>
        </w:rPr>
      </w:pPr>
      <w:r>
        <w:rPr>
          <w:rFonts w:hint="eastAsia" w:hAnsi="宋体"/>
          <w:color w:val="auto"/>
          <w:highlight w:val="none"/>
        </w:rPr>
        <w:t>按照招标文件规定条款和中标供应商投标文件及其承诺，甲乙双方签订本合同。</w:t>
      </w:r>
    </w:p>
    <w:p w14:paraId="17D68774">
      <w:pP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p>
    <w:p w14:paraId="2B369380">
      <w:pPr>
        <w:snapToGrid w:val="0"/>
        <w:spacing w:line="400" w:lineRule="exact"/>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《广西壮族自治区政府采购合同》</w:t>
      </w:r>
    </w:p>
    <w:p w14:paraId="6CB2F7FB">
      <w:pPr>
        <w:snapToGrid w:val="0"/>
        <w:spacing w:line="360" w:lineRule="auto"/>
        <w:ind w:right="480" w:firstLine="5670" w:firstLineChars="2700"/>
        <w:rPr>
          <w:rFonts w:hint="eastAsia" w:ascii="宋体" w:hAnsi="宋体" w:eastAsia="宋体" w:cs="宋体"/>
          <w:bCs/>
          <w:color w:val="auto"/>
          <w:szCs w:val="21"/>
          <w:highlight w:val="none"/>
        </w:rPr>
      </w:pPr>
    </w:p>
    <w:p w14:paraId="566CE9A4">
      <w:pPr>
        <w:adjustRightInd w:val="0"/>
        <w:snapToGrid w:val="0"/>
        <w:spacing w:line="360" w:lineRule="auto"/>
        <w:ind w:firstLine="482" w:firstLineChars="200"/>
        <w:contextualSpacing/>
        <w:jc w:val="center"/>
        <w:outlineLvl w:val="9"/>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（最终以合同实际签署条款为准，本合同书格式仅供参考）</w:t>
      </w:r>
    </w:p>
    <w:p w14:paraId="12C45B6C">
      <w:pPr>
        <w:snapToGrid w:val="0"/>
        <w:spacing w:line="360" w:lineRule="auto"/>
        <w:ind w:right="480" w:firstLine="5670" w:firstLineChars="2700"/>
        <w:rPr>
          <w:rFonts w:hint="eastAsia" w:ascii="宋体" w:hAnsi="宋体" w:eastAsia="宋体" w:cs="宋体"/>
          <w:bCs/>
          <w:color w:val="auto"/>
          <w:szCs w:val="21"/>
          <w:highlight w:val="none"/>
        </w:rPr>
      </w:pPr>
    </w:p>
    <w:p w14:paraId="254B1F5F">
      <w:pPr>
        <w:snapToGrid w:val="0"/>
        <w:spacing w:line="360" w:lineRule="auto"/>
        <w:ind w:right="480" w:firstLine="5670" w:firstLineChars="2700"/>
        <w:rPr>
          <w:rFonts w:hint="eastAsia" w:ascii="宋体" w:hAnsi="宋体" w:eastAsia="宋体" w:cs="宋体"/>
          <w:bCs/>
          <w:color w:val="auto"/>
          <w:szCs w:val="21"/>
          <w:highlight w:val="none"/>
        </w:rPr>
      </w:pPr>
    </w:p>
    <w:p w14:paraId="49CDCDC0">
      <w:pPr>
        <w:snapToGrid w:val="0"/>
        <w:spacing w:line="360" w:lineRule="auto"/>
        <w:ind w:right="480" w:firstLine="5670" w:firstLineChars="2700"/>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合同编号：</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p>
    <w:p w14:paraId="2854FBB0">
      <w:pPr>
        <w:snapToGrid w:val="0"/>
        <w:spacing w:line="360" w:lineRule="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采购人（甲方）</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pacing w:val="-20"/>
          <w:szCs w:val="21"/>
          <w:highlight w:val="none"/>
        </w:rPr>
        <w:t>采 购 计 划 号</w:t>
      </w:r>
      <w:r>
        <w:rPr>
          <w:rFonts w:hint="eastAsia" w:ascii="宋体" w:hAnsi="宋体" w:eastAsia="宋体" w:cs="宋体"/>
          <w:color w:val="auto"/>
          <w:spacing w:val="-20"/>
          <w:szCs w:val="21"/>
          <w:highlight w:val="none"/>
          <w:lang w:eastAsia="zh-CN"/>
        </w:rPr>
        <w:t>：</w:t>
      </w:r>
      <w:r>
        <w:rPr>
          <w:rFonts w:hint="eastAsia" w:ascii="宋体" w:hAnsi="宋体" w:eastAsia="宋体" w:cs="宋体"/>
          <w:color w:val="auto"/>
          <w:szCs w:val="21"/>
          <w:highlight w:val="none"/>
          <w:u w:val="single"/>
        </w:rPr>
        <w:t xml:space="preserve">             </w:t>
      </w:r>
    </w:p>
    <w:p w14:paraId="523DEE3E">
      <w:pPr>
        <w:snapToGrid w:val="0"/>
        <w:spacing w:line="440" w:lineRule="exact"/>
        <w:rPr>
          <w:rFonts w:hint="eastAsia" w:ascii="宋体" w:hAnsi="宋体" w:eastAsia="宋体" w:cs="宋体"/>
          <w:color w:val="auto"/>
          <w:szCs w:val="21"/>
          <w:highlight w:val="none"/>
          <w:u w:val="single"/>
        </w:rPr>
      </w:pPr>
      <w:r>
        <w:rPr>
          <w:rFonts w:hint="eastAsia" w:ascii="宋体" w:hAnsi="宋体" w:cs="宋体"/>
          <w:color w:val="auto"/>
          <w:szCs w:val="21"/>
          <w:highlight w:val="none"/>
          <w:lang w:eastAsia="zh-CN"/>
        </w:rPr>
        <w:t>中标</w:t>
      </w:r>
      <w:r>
        <w:rPr>
          <w:rFonts w:hint="eastAsia" w:ascii="宋体" w:hAnsi="宋体" w:cs="宋体"/>
          <w:color w:val="auto"/>
          <w:szCs w:val="21"/>
          <w:highlight w:val="none"/>
          <w:lang w:val="en-US" w:eastAsia="zh-CN"/>
        </w:rPr>
        <w:t>人</w:t>
      </w:r>
      <w:r>
        <w:rPr>
          <w:rFonts w:hint="eastAsia" w:ascii="宋体" w:hAnsi="宋体" w:eastAsia="宋体" w:cs="宋体"/>
          <w:color w:val="auto"/>
          <w:szCs w:val="21"/>
          <w:highlight w:val="none"/>
        </w:rPr>
        <w:t>（乙方）</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p>
    <w:p w14:paraId="55BC2707">
      <w:pPr>
        <w:pStyle w:val="17"/>
        <w:spacing w:line="440" w:lineRule="exac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u w:val="none"/>
          <w:lang w:eastAsia="zh-CN"/>
        </w:rPr>
        <w:t>项目名称：</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 xml:space="preserve">                               </w:t>
      </w:r>
    </w:p>
    <w:p w14:paraId="6B4A032B">
      <w:pPr>
        <w:snapToGrid w:val="0"/>
        <w:spacing w:line="440" w:lineRule="exac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lang w:eastAsia="zh-CN"/>
        </w:rPr>
        <w:t>项目</w:t>
      </w:r>
      <w:r>
        <w:rPr>
          <w:rFonts w:hint="eastAsia" w:ascii="宋体" w:hAnsi="宋体" w:eastAsia="宋体" w:cs="宋体"/>
          <w:color w:val="auto"/>
          <w:spacing w:val="-20"/>
          <w:szCs w:val="21"/>
          <w:highlight w:val="none"/>
        </w:rPr>
        <w:t>编 号</w:t>
      </w:r>
      <w:r>
        <w:rPr>
          <w:rFonts w:hint="eastAsia" w:ascii="宋体" w:hAnsi="宋体" w:eastAsia="宋体" w:cs="宋体"/>
          <w:color w:val="auto"/>
          <w:spacing w:val="-20"/>
          <w:szCs w:val="21"/>
          <w:highlight w:val="none"/>
          <w:lang w:eastAsia="zh-CN"/>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p>
    <w:p w14:paraId="1D667C36">
      <w:pPr>
        <w:snapToGrid w:val="0"/>
        <w:spacing w:line="440" w:lineRule="exac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签订地点</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签订时间</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p>
    <w:p w14:paraId="522C7E50">
      <w:pPr>
        <w:snapToGrid w:val="0"/>
        <w:spacing w:line="360" w:lineRule="auto"/>
        <w:ind w:firstLine="420" w:firstLineChars="200"/>
        <w:rPr>
          <w:rFonts w:hint="eastAsia" w:ascii="宋体" w:hAnsi="宋体" w:eastAsia="宋体" w:cs="宋体"/>
          <w:color w:val="auto"/>
          <w:szCs w:val="21"/>
          <w:highlight w:val="none"/>
        </w:rPr>
      </w:pPr>
    </w:p>
    <w:p w14:paraId="186EA50D">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根据《中华人民共和国政府采购法》、《中华人民共和国民法典》等法律、法规规定，按照招标文件（采购文件）规定条款和投标文件及承诺，甲乙双方签订本合同。</w:t>
      </w:r>
    </w:p>
    <w:p w14:paraId="1BB5E360">
      <w:pPr>
        <w:spacing w:line="400" w:lineRule="exact"/>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第一条　合同标的</w:t>
      </w:r>
    </w:p>
    <w:p w14:paraId="219BBD8F">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供货一览表</w:t>
      </w:r>
    </w:p>
    <w:tbl>
      <w:tblPr>
        <w:tblStyle w:val="28"/>
        <w:tblpPr w:leftFromText="180" w:rightFromText="180" w:vertAnchor="text" w:horzAnchor="page" w:tblpX="1482" w:tblpY="46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0"/>
        <w:gridCol w:w="1268"/>
        <w:gridCol w:w="1572"/>
        <w:gridCol w:w="983"/>
        <w:gridCol w:w="912"/>
        <w:gridCol w:w="913"/>
        <w:gridCol w:w="950"/>
        <w:gridCol w:w="1000"/>
        <w:gridCol w:w="847"/>
      </w:tblGrid>
      <w:tr w14:paraId="2E2A4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5" w:hRule="atLeast"/>
        </w:trPr>
        <w:tc>
          <w:tcPr>
            <w:tcW w:w="670" w:type="dxa"/>
            <w:noWrap w:val="0"/>
            <w:vAlign w:val="center"/>
          </w:tcPr>
          <w:p w14:paraId="2D1ADDD2">
            <w:pPr>
              <w:keepNext w:val="0"/>
              <w:keepLines w:val="0"/>
              <w:suppressLineNumbers w:val="0"/>
              <w:spacing w:before="0" w:beforeAutospacing="0" w:after="0" w:afterAutospacing="0" w:line="400" w:lineRule="exact"/>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268" w:type="dxa"/>
            <w:noWrap w:val="0"/>
            <w:vAlign w:val="center"/>
          </w:tcPr>
          <w:p w14:paraId="0C439376">
            <w:pPr>
              <w:keepNext w:val="0"/>
              <w:keepLines w:val="0"/>
              <w:suppressLineNumbers w:val="0"/>
              <w:spacing w:before="0" w:beforeAutospacing="0" w:after="0" w:afterAutospacing="0" w:line="400" w:lineRule="exact"/>
              <w:ind w:left="0" w:right="0"/>
              <w:jc w:val="center"/>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标的</w:t>
            </w:r>
            <w:r>
              <w:rPr>
                <w:rFonts w:hint="eastAsia" w:ascii="宋体" w:hAnsi="宋体" w:eastAsia="宋体" w:cs="宋体"/>
                <w:color w:val="auto"/>
                <w:sz w:val="21"/>
                <w:szCs w:val="21"/>
                <w:highlight w:val="none"/>
              </w:rPr>
              <w:t>名称</w:t>
            </w:r>
          </w:p>
        </w:tc>
        <w:tc>
          <w:tcPr>
            <w:tcW w:w="1572" w:type="dxa"/>
            <w:noWrap w:val="0"/>
            <w:vAlign w:val="center"/>
          </w:tcPr>
          <w:p w14:paraId="1776AAC5">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auto"/>
                <w:kern w:val="2"/>
                <w:sz w:val="21"/>
                <w:szCs w:val="22"/>
                <w:highlight w:val="none"/>
                <w:lang w:val="en-US" w:eastAsia="zh-CN" w:bidi="ar-SA"/>
              </w:rPr>
            </w:pPr>
            <w:r>
              <w:rPr>
                <w:rFonts w:hint="eastAsia" w:ascii="宋体" w:hAnsi="宋体" w:cs="宋体"/>
                <w:color w:val="auto"/>
                <w:szCs w:val="22"/>
                <w:highlight w:val="none"/>
              </w:rPr>
              <w:t>规格型号</w:t>
            </w:r>
          </w:p>
        </w:tc>
        <w:tc>
          <w:tcPr>
            <w:tcW w:w="983" w:type="dxa"/>
            <w:noWrap w:val="0"/>
            <w:vAlign w:val="center"/>
          </w:tcPr>
          <w:p w14:paraId="450E452E">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auto"/>
                <w:kern w:val="2"/>
                <w:sz w:val="21"/>
                <w:szCs w:val="22"/>
                <w:highlight w:val="none"/>
                <w:lang w:val="en-US" w:eastAsia="zh-CN" w:bidi="ar-SA"/>
              </w:rPr>
            </w:pPr>
            <w:r>
              <w:rPr>
                <w:rFonts w:hint="eastAsia" w:ascii="宋体" w:hAnsi="宋体" w:cs="宋体"/>
                <w:color w:val="auto"/>
                <w:szCs w:val="22"/>
                <w:highlight w:val="none"/>
              </w:rPr>
              <w:t>品牌、国别</w:t>
            </w:r>
            <w:r>
              <w:rPr>
                <w:rFonts w:hint="eastAsia" w:ascii="宋体" w:hAnsi="宋体" w:cs="宋体"/>
                <w:color w:val="auto"/>
                <w:szCs w:val="22"/>
                <w:highlight w:val="none"/>
                <w:lang w:eastAsia="zh-CN"/>
              </w:rPr>
              <w:t>、</w:t>
            </w:r>
            <w:r>
              <w:rPr>
                <w:rFonts w:hint="eastAsia" w:ascii="宋体" w:hAnsi="宋体" w:cs="宋体"/>
                <w:color w:val="auto"/>
                <w:szCs w:val="22"/>
                <w:highlight w:val="none"/>
                <w:lang w:val="en-US" w:eastAsia="zh-CN"/>
              </w:rPr>
              <w:t>产地</w:t>
            </w:r>
            <w:r>
              <w:rPr>
                <w:rFonts w:hint="eastAsia" w:ascii="宋体" w:hAnsi="宋体" w:cs="宋体"/>
                <w:color w:val="auto"/>
                <w:szCs w:val="22"/>
                <w:highlight w:val="none"/>
              </w:rPr>
              <w:t>及制造商</w:t>
            </w:r>
          </w:p>
        </w:tc>
        <w:tc>
          <w:tcPr>
            <w:tcW w:w="912" w:type="dxa"/>
            <w:noWrap w:val="0"/>
            <w:vAlign w:val="center"/>
          </w:tcPr>
          <w:p w14:paraId="567E7C26">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数量</w:t>
            </w:r>
          </w:p>
        </w:tc>
        <w:tc>
          <w:tcPr>
            <w:tcW w:w="913" w:type="dxa"/>
            <w:noWrap w:val="0"/>
            <w:vAlign w:val="center"/>
          </w:tcPr>
          <w:p w14:paraId="4DC20921">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单位</w:t>
            </w:r>
          </w:p>
        </w:tc>
        <w:tc>
          <w:tcPr>
            <w:tcW w:w="950" w:type="dxa"/>
            <w:noWrap w:val="0"/>
            <w:vAlign w:val="center"/>
          </w:tcPr>
          <w:p w14:paraId="4E753B48">
            <w:pPr>
              <w:keepNext w:val="0"/>
              <w:keepLines w:val="0"/>
              <w:suppressLineNumbers w:val="0"/>
              <w:spacing w:before="0" w:beforeAutospacing="0" w:after="0" w:afterAutospacing="0" w:line="400" w:lineRule="exact"/>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w:t>
            </w:r>
            <w:r>
              <w:rPr>
                <w:rFonts w:hint="eastAsia" w:ascii="宋体" w:hAnsi="宋体" w:eastAsia="宋体" w:cs="宋体"/>
                <w:color w:val="auto"/>
                <w:sz w:val="21"/>
                <w:szCs w:val="21"/>
                <w:highlight w:val="none"/>
                <w:lang w:val="en"/>
              </w:rPr>
              <w:t xml:space="preserve"> </w:t>
            </w:r>
            <w:r>
              <w:rPr>
                <w:rFonts w:hint="eastAsia" w:ascii="宋体" w:hAnsi="宋体" w:eastAsia="宋体" w:cs="宋体"/>
                <w:color w:val="auto"/>
                <w:sz w:val="21"/>
                <w:szCs w:val="21"/>
                <w:highlight w:val="none"/>
              </w:rPr>
              <w:t>价</w:t>
            </w:r>
          </w:p>
          <w:p w14:paraId="0F6E78CE">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（元）</w:t>
            </w:r>
          </w:p>
        </w:tc>
        <w:tc>
          <w:tcPr>
            <w:tcW w:w="1000" w:type="dxa"/>
            <w:noWrap w:val="0"/>
            <w:vAlign w:val="center"/>
          </w:tcPr>
          <w:p w14:paraId="260D90A0">
            <w:pPr>
              <w:keepNext w:val="0"/>
              <w:keepLines w:val="0"/>
              <w:suppressLineNumbers w:val="0"/>
              <w:spacing w:before="0" w:beforeAutospacing="0" w:after="0" w:afterAutospacing="0" w:line="400" w:lineRule="exact"/>
              <w:ind w:left="0"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合价</w:t>
            </w:r>
          </w:p>
          <w:p w14:paraId="392747F4">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（元）</w:t>
            </w:r>
          </w:p>
        </w:tc>
        <w:tc>
          <w:tcPr>
            <w:tcW w:w="847" w:type="dxa"/>
            <w:noWrap w:val="0"/>
            <w:vAlign w:val="center"/>
          </w:tcPr>
          <w:p w14:paraId="34D970BD">
            <w:pPr>
              <w:keepNext w:val="0"/>
              <w:keepLines w:val="0"/>
              <w:suppressLineNumbers w:val="0"/>
              <w:spacing w:before="0" w:beforeAutospacing="0" w:after="0" w:afterAutospacing="0" w:line="400" w:lineRule="exact"/>
              <w:ind w:left="0" w:right="0"/>
              <w:jc w:val="center"/>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eastAsia="zh-CN"/>
              </w:rPr>
              <w:t>备注</w:t>
            </w:r>
          </w:p>
        </w:tc>
      </w:tr>
      <w:tr w14:paraId="28A08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2" w:hRule="atLeast"/>
        </w:trPr>
        <w:tc>
          <w:tcPr>
            <w:tcW w:w="670" w:type="dxa"/>
            <w:noWrap w:val="0"/>
            <w:vAlign w:val="center"/>
          </w:tcPr>
          <w:p w14:paraId="58BB3321">
            <w:pPr>
              <w:keepNext w:val="0"/>
              <w:keepLines w:val="0"/>
              <w:suppressLineNumbers w:val="0"/>
              <w:spacing w:before="0" w:beforeAutospacing="0" w:after="0" w:afterAutospacing="0" w:line="400" w:lineRule="exact"/>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68" w:type="dxa"/>
            <w:noWrap w:val="0"/>
            <w:vAlign w:val="center"/>
          </w:tcPr>
          <w:p w14:paraId="3E5CD74F">
            <w:pPr>
              <w:keepNext w:val="0"/>
              <w:keepLines w:val="0"/>
              <w:suppressLineNumbers w:val="0"/>
              <w:spacing w:before="0" w:beforeAutospacing="0" w:after="0" w:afterAutospacing="0" w:line="400" w:lineRule="exact"/>
              <w:ind w:left="0" w:right="0"/>
              <w:rPr>
                <w:rFonts w:hint="eastAsia" w:ascii="宋体" w:hAnsi="宋体" w:eastAsia="宋体" w:cs="宋体"/>
                <w:color w:val="auto"/>
                <w:sz w:val="21"/>
                <w:szCs w:val="21"/>
                <w:highlight w:val="none"/>
              </w:rPr>
            </w:pPr>
          </w:p>
        </w:tc>
        <w:tc>
          <w:tcPr>
            <w:tcW w:w="1572" w:type="dxa"/>
            <w:noWrap w:val="0"/>
            <w:vAlign w:val="center"/>
          </w:tcPr>
          <w:p w14:paraId="6D2307D6">
            <w:pPr>
              <w:keepNext w:val="0"/>
              <w:keepLines w:val="0"/>
              <w:suppressLineNumbers w:val="0"/>
              <w:spacing w:before="0" w:beforeAutospacing="0" w:after="0" w:afterAutospacing="0" w:line="400" w:lineRule="exact"/>
              <w:ind w:left="0" w:right="0"/>
              <w:rPr>
                <w:rFonts w:hint="eastAsia" w:ascii="宋体" w:hAnsi="宋体" w:eastAsia="宋体" w:cs="宋体"/>
                <w:color w:val="auto"/>
                <w:sz w:val="21"/>
                <w:szCs w:val="21"/>
                <w:highlight w:val="none"/>
              </w:rPr>
            </w:pPr>
          </w:p>
        </w:tc>
        <w:tc>
          <w:tcPr>
            <w:tcW w:w="983" w:type="dxa"/>
            <w:noWrap w:val="0"/>
            <w:vAlign w:val="center"/>
          </w:tcPr>
          <w:p w14:paraId="10B6CC1D">
            <w:pPr>
              <w:keepNext w:val="0"/>
              <w:keepLines w:val="0"/>
              <w:suppressLineNumbers w:val="0"/>
              <w:spacing w:before="0" w:beforeAutospacing="0" w:after="0" w:afterAutospacing="0" w:line="400" w:lineRule="exact"/>
              <w:ind w:left="0" w:right="0"/>
              <w:rPr>
                <w:rFonts w:hint="eastAsia" w:ascii="宋体" w:hAnsi="宋体" w:eastAsia="宋体" w:cs="宋体"/>
                <w:color w:val="auto"/>
                <w:sz w:val="21"/>
                <w:szCs w:val="21"/>
                <w:highlight w:val="none"/>
              </w:rPr>
            </w:pPr>
          </w:p>
        </w:tc>
        <w:tc>
          <w:tcPr>
            <w:tcW w:w="912" w:type="dxa"/>
            <w:noWrap w:val="0"/>
            <w:vAlign w:val="top"/>
          </w:tcPr>
          <w:p w14:paraId="06DC255F">
            <w:pPr>
              <w:keepNext w:val="0"/>
              <w:keepLines w:val="0"/>
              <w:suppressLineNumbers w:val="0"/>
              <w:spacing w:before="0" w:beforeAutospacing="0" w:after="0" w:afterAutospacing="0" w:line="400" w:lineRule="exact"/>
              <w:ind w:left="0" w:right="0"/>
              <w:rPr>
                <w:rFonts w:hint="eastAsia" w:ascii="宋体" w:hAnsi="宋体" w:eastAsia="宋体" w:cs="宋体"/>
                <w:color w:val="auto"/>
                <w:sz w:val="21"/>
                <w:szCs w:val="21"/>
                <w:highlight w:val="none"/>
              </w:rPr>
            </w:pPr>
          </w:p>
        </w:tc>
        <w:tc>
          <w:tcPr>
            <w:tcW w:w="913" w:type="dxa"/>
            <w:noWrap w:val="0"/>
            <w:vAlign w:val="top"/>
          </w:tcPr>
          <w:p w14:paraId="414F1B14">
            <w:pPr>
              <w:keepNext w:val="0"/>
              <w:keepLines w:val="0"/>
              <w:suppressLineNumbers w:val="0"/>
              <w:spacing w:before="0" w:beforeAutospacing="0" w:after="0" w:afterAutospacing="0" w:line="400" w:lineRule="exact"/>
              <w:ind w:left="0" w:right="0"/>
              <w:rPr>
                <w:rFonts w:hint="eastAsia" w:ascii="宋体" w:hAnsi="宋体" w:eastAsia="宋体" w:cs="宋体"/>
                <w:color w:val="auto"/>
                <w:sz w:val="21"/>
                <w:szCs w:val="21"/>
                <w:highlight w:val="none"/>
              </w:rPr>
            </w:pPr>
          </w:p>
        </w:tc>
        <w:tc>
          <w:tcPr>
            <w:tcW w:w="950" w:type="dxa"/>
            <w:noWrap w:val="0"/>
            <w:vAlign w:val="top"/>
          </w:tcPr>
          <w:p w14:paraId="1BBE9787">
            <w:pPr>
              <w:keepNext w:val="0"/>
              <w:keepLines w:val="0"/>
              <w:suppressLineNumbers w:val="0"/>
              <w:spacing w:before="0" w:beforeAutospacing="0" w:after="0" w:afterAutospacing="0" w:line="400" w:lineRule="exact"/>
              <w:ind w:left="0" w:right="0"/>
              <w:rPr>
                <w:rFonts w:hint="eastAsia" w:ascii="宋体" w:hAnsi="宋体" w:eastAsia="宋体" w:cs="宋体"/>
                <w:color w:val="auto"/>
                <w:sz w:val="21"/>
                <w:szCs w:val="21"/>
                <w:highlight w:val="none"/>
              </w:rPr>
            </w:pPr>
          </w:p>
        </w:tc>
        <w:tc>
          <w:tcPr>
            <w:tcW w:w="1000" w:type="dxa"/>
            <w:noWrap w:val="0"/>
            <w:vAlign w:val="center"/>
          </w:tcPr>
          <w:p w14:paraId="1815B17A">
            <w:pPr>
              <w:keepNext w:val="0"/>
              <w:keepLines w:val="0"/>
              <w:suppressLineNumbers w:val="0"/>
              <w:spacing w:before="0" w:beforeAutospacing="0" w:after="0" w:afterAutospacing="0" w:line="400" w:lineRule="exact"/>
              <w:ind w:left="0" w:right="0"/>
              <w:rPr>
                <w:rFonts w:hint="eastAsia" w:ascii="宋体" w:hAnsi="宋体" w:eastAsia="宋体" w:cs="宋体"/>
                <w:color w:val="auto"/>
                <w:sz w:val="21"/>
                <w:szCs w:val="21"/>
                <w:highlight w:val="none"/>
              </w:rPr>
            </w:pPr>
          </w:p>
        </w:tc>
        <w:tc>
          <w:tcPr>
            <w:tcW w:w="847" w:type="dxa"/>
            <w:noWrap w:val="0"/>
            <w:vAlign w:val="center"/>
          </w:tcPr>
          <w:p w14:paraId="3526D6DA">
            <w:pPr>
              <w:keepNext w:val="0"/>
              <w:keepLines w:val="0"/>
              <w:suppressLineNumbers w:val="0"/>
              <w:spacing w:before="0" w:beforeAutospacing="0" w:after="0" w:afterAutospacing="0" w:line="400" w:lineRule="exact"/>
              <w:ind w:left="0" w:right="0"/>
              <w:rPr>
                <w:rFonts w:hint="eastAsia" w:ascii="宋体" w:hAnsi="宋体" w:eastAsia="宋体" w:cs="宋体"/>
                <w:color w:val="auto"/>
                <w:sz w:val="21"/>
                <w:szCs w:val="21"/>
                <w:highlight w:val="none"/>
              </w:rPr>
            </w:pPr>
          </w:p>
        </w:tc>
      </w:tr>
      <w:tr w14:paraId="24882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2" w:hRule="atLeast"/>
        </w:trPr>
        <w:tc>
          <w:tcPr>
            <w:tcW w:w="670" w:type="dxa"/>
            <w:noWrap w:val="0"/>
            <w:vAlign w:val="center"/>
          </w:tcPr>
          <w:p w14:paraId="3C44972F">
            <w:pPr>
              <w:keepNext w:val="0"/>
              <w:keepLines w:val="0"/>
              <w:suppressLineNumbers w:val="0"/>
              <w:spacing w:before="0" w:beforeAutospacing="0" w:after="0" w:afterAutospacing="0" w:line="400" w:lineRule="exact"/>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268" w:type="dxa"/>
            <w:noWrap w:val="0"/>
            <w:vAlign w:val="center"/>
          </w:tcPr>
          <w:p w14:paraId="268B55C4">
            <w:pPr>
              <w:keepNext w:val="0"/>
              <w:keepLines w:val="0"/>
              <w:suppressLineNumbers w:val="0"/>
              <w:spacing w:before="0" w:beforeAutospacing="0" w:after="0" w:afterAutospacing="0" w:line="400" w:lineRule="exact"/>
              <w:ind w:left="0" w:right="0"/>
              <w:rPr>
                <w:rFonts w:hint="eastAsia" w:ascii="宋体" w:hAnsi="宋体" w:eastAsia="宋体" w:cs="宋体"/>
                <w:color w:val="auto"/>
                <w:sz w:val="21"/>
                <w:szCs w:val="21"/>
                <w:highlight w:val="none"/>
              </w:rPr>
            </w:pPr>
          </w:p>
        </w:tc>
        <w:tc>
          <w:tcPr>
            <w:tcW w:w="1572" w:type="dxa"/>
            <w:noWrap w:val="0"/>
            <w:vAlign w:val="center"/>
          </w:tcPr>
          <w:p w14:paraId="5A2DF9B6">
            <w:pPr>
              <w:keepNext w:val="0"/>
              <w:keepLines w:val="0"/>
              <w:suppressLineNumbers w:val="0"/>
              <w:spacing w:before="0" w:beforeAutospacing="0" w:after="0" w:afterAutospacing="0" w:line="400" w:lineRule="exact"/>
              <w:ind w:left="0" w:right="0"/>
              <w:rPr>
                <w:rFonts w:hint="eastAsia" w:ascii="宋体" w:hAnsi="宋体" w:eastAsia="宋体" w:cs="宋体"/>
                <w:color w:val="auto"/>
                <w:sz w:val="21"/>
                <w:szCs w:val="21"/>
                <w:highlight w:val="none"/>
              </w:rPr>
            </w:pPr>
          </w:p>
        </w:tc>
        <w:tc>
          <w:tcPr>
            <w:tcW w:w="983" w:type="dxa"/>
            <w:noWrap w:val="0"/>
            <w:vAlign w:val="center"/>
          </w:tcPr>
          <w:p w14:paraId="7611D35A">
            <w:pPr>
              <w:keepNext w:val="0"/>
              <w:keepLines w:val="0"/>
              <w:suppressLineNumbers w:val="0"/>
              <w:spacing w:before="0" w:beforeAutospacing="0" w:after="0" w:afterAutospacing="0" w:line="400" w:lineRule="exact"/>
              <w:ind w:left="0" w:right="0"/>
              <w:rPr>
                <w:rFonts w:hint="eastAsia" w:ascii="宋体" w:hAnsi="宋体" w:eastAsia="宋体" w:cs="宋体"/>
                <w:color w:val="auto"/>
                <w:sz w:val="21"/>
                <w:szCs w:val="21"/>
                <w:highlight w:val="none"/>
              </w:rPr>
            </w:pPr>
          </w:p>
        </w:tc>
        <w:tc>
          <w:tcPr>
            <w:tcW w:w="912" w:type="dxa"/>
            <w:noWrap w:val="0"/>
            <w:vAlign w:val="top"/>
          </w:tcPr>
          <w:p w14:paraId="0D7E986B">
            <w:pPr>
              <w:keepNext w:val="0"/>
              <w:keepLines w:val="0"/>
              <w:suppressLineNumbers w:val="0"/>
              <w:spacing w:before="0" w:beforeAutospacing="0" w:after="0" w:afterAutospacing="0" w:line="400" w:lineRule="exact"/>
              <w:ind w:left="0" w:right="0"/>
              <w:rPr>
                <w:rFonts w:hint="eastAsia" w:ascii="宋体" w:hAnsi="宋体" w:eastAsia="宋体" w:cs="宋体"/>
                <w:color w:val="auto"/>
                <w:sz w:val="21"/>
                <w:szCs w:val="21"/>
                <w:highlight w:val="none"/>
              </w:rPr>
            </w:pPr>
          </w:p>
        </w:tc>
        <w:tc>
          <w:tcPr>
            <w:tcW w:w="913" w:type="dxa"/>
            <w:noWrap w:val="0"/>
            <w:vAlign w:val="top"/>
          </w:tcPr>
          <w:p w14:paraId="659C09ED">
            <w:pPr>
              <w:keepNext w:val="0"/>
              <w:keepLines w:val="0"/>
              <w:suppressLineNumbers w:val="0"/>
              <w:spacing w:before="0" w:beforeAutospacing="0" w:after="0" w:afterAutospacing="0" w:line="400" w:lineRule="exact"/>
              <w:ind w:left="0" w:right="0"/>
              <w:rPr>
                <w:rFonts w:hint="eastAsia" w:ascii="宋体" w:hAnsi="宋体" w:eastAsia="宋体" w:cs="宋体"/>
                <w:color w:val="auto"/>
                <w:sz w:val="21"/>
                <w:szCs w:val="21"/>
                <w:highlight w:val="none"/>
              </w:rPr>
            </w:pPr>
          </w:p>
        </w:tc>
        <w:tc>
          <w:tcPr>
            <w:tcW w:w="950" w:type="dxa"/>
            <w:noWrap w:val="0"/>
            <w:vAlign w:val="top"/>
          </w:tcPr>
          <w:p w14:paraId="4DA2ADB0">
            <w:pPr>
              <w:keepNext w:val="0"/>
              <w:keepLines w:val="0"/>
              <w:suppressLineNumbers w:val="0"/>
              <w:spacing w:before="0" w:beforeAutospacing="0" w:after="0" w:afterAutospacing="0" w:line="400" w:lineRule="exact"/>
              <w:ind w:left="0" w:right="0"/>
              <w:rPr>
                <w:rFonts w:hint="eastAsia" w:ascii="宋体" w:hAnsi="宋体" w:eastAsia="宋体" w:cs="宋体"/>
                <w:color w:val="auto"/>
                <w:sz w:val="21"/>
                <w:szCs w:val="21"/>
                <w:highlight w:val="none"/>
              </w:rPr>
            </w:pPr>
          </w:p>
        </w:tc>
        <w:tc>
          <w:tcPr>
            <w:tcW w:w="1000" w:type="dxa"/>
            <w:noWrap w:val="0"/>
            <w:vAlign w:val="center"/>
          </w:tcPr>
          <w:p w14:paraId="42609CDA">
            <w:pPr>
              <w:keepNext w:val="0"/>
              <w:keepLines w:val="0"/>
              <w:suppressLineNumbers w:val="0"/>
              <w:spacing w:before="0" w:beforeAutospacing="0" w:after="0" w:afterAutospacing="0" w:line="400" w:lineRule="exact"/>
              <w:ind w:left="0" w:right="0"/>
              <w:rPr>
                <w:rFonts w:hint="eastAsia" w:ascii="宋体" w:hAnsi="宋体" w:eastAsia="宋体" w:cs="宋体"/>
                <w:color w:val="auto"/>
                <w:sz w:val="21"/>
                <w:szCs w:val="21"/>
                <w:highlight w:val="none"/>
              </w:rPr>
            </w:pPr>
          </w:p>
        </w:tc>
        <w:tc>
          <w:tcPr>
            <w:tcW w:w="847" w:type="dxa"/>
            <w:noWrap w:val="0"/>
            <w:vAlign w:val="center"/>
          </w:tcPr>
          <w:p w14:paraId="019F36A6">
            <w:pPr>
              <w:keepNext w:val="0"/>
              <w:keepLines w:val="0"/>
              <w:suppressLineNumbers w:val="0"/>
              <w:spacing w:before="0" w:beforeAutospacing="0" w:after="0" w:afterAutospacing="0" w:line="400" w:lineRule="exact"/>
              <w:ind w:left="0" w:right="0"/>
              <w:rPr>
                <w:rFonts w:hint="eastAsia" w:ascii="宋体" w:hAnsi="宋体" w:eastAsia="宋体" w:cs="宋体"/>
                <w:color w:val="auto"/>
                <w:sz w:val="21"/>
                <w:szCs w:val="21"/>
                <w:highlight w:val="none"/>
              </w:rPr>
            </w:pPr>
          </w:p>
        </w:tc>
      </w:tr>
      <w:tr w14:paraId="79835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2" w:hRule="atLeast"/>
        </w:trPr>
        <w:tc>
          <w:tcPr>
            <w:tcW w:w="670" w:type="dxa"/>
            <w:noWrap w:val="0"/>
            <w:vAlign w:val="center"/>
          </w:tcPr>
          <w:p w14:paraId="7CB50007">
            <w:pPr>
              <w:keepNext w:val="0"/>
              <w:keepLines w:val="0"/>
              <w:suppressLineNumbers w:val="0"/>
              <w:spacing w:before="0" w:beforeAutospacing="0" w:after="0" w:afterAutospacing="0" w:line="400" w:lineRule="exact"/>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268" w:type="dxa"/>
            <w:noWrap w:val="0"/>
            <w:vAlign w:val="center"/>
          </w:tcPr>
          <w:p w14:paraId="536AC568">
            <w:pPr>
              <w:keepNext w:val="0"/>
              <w:keepLines w:val="0"/>
              <w:suppressLineNumbers w:val="0"/>
              <w:spacing w:before="0" w:beforeAutospacing="0" w:after="0" w:afterAutospacing="0" w:line="400" w:lineRule="exact"/>
              <w:ind w:left="0" w:right="0"/>
              <w:rPr>
                <w:rFonts w:hint="eastAsia" w:ascii="宋体" w:hAnsi="宋体" w:eastAsia="宋体" w:cs="宋体"/>
                <w:color w:val="auto"/>
                <w:sz w:val="21"/>
                <w:szCs w:val="21"/>
                <w:highlight w:val="none"/>
              </w:rPr>
            </w:pPr>
          </w:p>
        </w:tc>
        <w:tc>
          <w:tcPr>
            <w:tcW w:w="1572" w:type="dxa"/>
            <w:noWrap w:val="0"/>
            <w:vAlign w:val="center"/>
          </w:tcPr>
          <w:p w14:paraId="003D7D38">
            <w:pPr>
              <w:keepNext w:val="0"/>
              <w:keepLines w:val="0"/>
              <w:suppressLineNumbers w:val="0"/>
              <w:spacing w:before="0" w:beforeAutospacing="0" w:after="0" w:afterAutospacing="0" w:line="400" w:lineRule="exact"/>
              <w:ind w:left="0" w:right="0"/>
              <w:rPr>
                <w:rFonts w:hint="eastAsia" w:ascii="宋体" w:hAnsi="宋体" w:eastAsia="宋体" w:cs="宋体"/>
                <w:color w:val="auto"/>
                <w:sz w:val="21"/>
                <w:szCs w:val="21"/>
                <w:highlight w:val="none"/>
              </w:rPr>
            </w:pPr>
          </w:p>
        </w:tc>
        <w:tc>
          <w:tcPr>
            <w:tcW w:w="983" w:type="dxa"/>
            <w:noWrap w:val="0"/>
            <w:vAlign w:val="center"/>
          </w:tcPr>
          <w:p w14:paraId="26E77840">
            <w:pPr>
              <w:keepNext w:val="0"/>
              <w:keepLines w:val="0"/>
              <w:suppressLineNumbers w:val="0"/>
              <w:spacing w:before="0" w:beforeAutospacing="0" w:after="0" w:afterAutospacing="0" w:line="400" w:lineRule="exact"/>
              <w:ind w:left="0" w:right="0"/>
              <w:rPr>
                <w:rFonts w:hint="eastAsia" w:ascii="宋体" w:hAnsi="宋体" w:eastAsia="宋体" w:cs="宋体"/>
                <w:color w:val="auto"/>
                <w:sz w:val="21"/>
                <w:szCs w:val="21"/>
                <w:highlight w:val="none"/>
              </w:rPr>
            </w:pPr>
          </w:p>
        </w:tc>
        <w:tc>
          <w:tcPr>
            <w:tcW w:w="912" w:type="dxa"/>
            <w:noWrap w:val="0"/>
            <w:vAlign w:val="top"/>
          </w:tcPr>
          <w:p w14:paraId="17FED1BD">
            <w:pPr>
              <w:keepNext w:val="0"/>
              <w:keepLines w:val="0"/>
              <w:suppressLineNumbers w:val="0"/>
              <w:spacing w:before="0" w:beforeAutospacing="0" w:after="0" w:afterAutospacing="0" w:line="400" w:lineRule="exact"/>
              <w:ind w:left="0" w:right="0"/>
              <w:rPr>
                <w:rFonts w:hint="eastAsia" w:ascii="宋体" w:hAnsi="宋体" w:eastAsia="宋体" w:cs="宋体"/>
                <w:color w:val="auto"/>
                <w:sz w:val="21"/>
                <w:szCs w:val="21"/>
                <w:highlight w:val="none"/>
              </w:rPr>
            </w:pPr>
          </w:p>
        </w:tc>
        <w:tc>
          <w:tcPr>
            <w:tcW w:w="913" w:type="dxa"/>
            <w:noWrap w:val="0"/>
            <w:vAlign w:val="top"/>
          </w:tcPr>
          <w:p w14:paraId="590A0725">
            <w:pPr>
              <w:keepNext w:val="0"/>
              <w:keepLines w:val="0"/>
              <w:suppressLineNumbers w:val="0"/>
              <w:spacing w:before="0" w:beforeAutospacing="0" w:after="0" w:afterAutospacing="0" w:line="400" w:lineRule="exact"/>
              <w:ind w:left="0" w:right="0"/>
              <w:rPr>
                <w:rFonts w:hint="eastAsia" w:ascii="宋体" w:hAnsi="宋体" w:eastAsia="宋体" w:cs="宋体"/>
                <w:color w:val="auto"/>
                <w:sz w:val="21"/>
                <w:szCs w:val="21"/>
                <w:highlight w:val="none"/>
              </w:rPr>
            </w:pPr>
          </w:p>
        </w:tc>
        <w:tc>
          <w:tcPr>
            <w:tcW w:w="950" w:type="dxa"/>
            <w:noWrap w:val="0"/>
            <w:vAlign w:val="top"/>
          </w:tcPr>
          <w:p w14:paraId="69A50212">
            <w:pPr>
              <w:keepNext w:val="0"/>
              <w:keepLines w:val="0"/>
              <w:suppressLineNumbers w:val="0"/>
              <w:spacing w:before="0" w:beforeAutospacing="0" w:after="0" w:afterAutospacing="0" w:line="400" w:lineRule="exact"/>
              <w:ind w:left="0" w:right="0"/>
              <w:rPr>
                <w:rFonts w:hint="eastAsia" w:ascii="宋体" w:hAnsi="宋体" w:eastAsia="宋体" w:cs="宋体"/>
                <w:color w:val="auto"/>
                <w:sz w:val="21"/>
                <w:szCs w:val="21"/>
                <w:highlight w:val="none"/>
              </w:rPr>
            </w:pPr>
          </w:p>
        </w:tc>
        <w:tc>
          <w:tcPr>
            <w:tcW w:w="1000" w:type="dxa"/>
            <w:noWrap w:val="0"/>
            <w:vAlign w:val="center"/>
          </w:tcPr>
          <w:p w14:paraId="00E1D398">
            <w:pPr>
              <w:keepNext w:val="0"/>
              <w:keepLines w:val="0"/>
              <w:suppressLineNumbers w:val="0"/>
              <w:spacing w:before="0" w:beforeAutospacing="0" w:after="0" w:afterAutospacing="0" w:line="400" w:lineRule="exact"/>
              <w:ind w:left="0" w:right="0"/>
              <w:rPr>
                <w:rFonts w:hint="eastAsia" w:ascii="宋体" w:hAnsi="宋体" w:eastAsia="宋体" w:cs="宋体"/>
                <w:color w:val="auto"/>
                <w:sz w:val="21"/>
                <w:szCs w:val="21"/>
                <w:highlight w:val="none"/>
              </w:rPr>
            </w:pPr>
          </w:p>
        </w:tc>
        <w:tc>
          <w:tcPr>
            <w:tcW w:w="847" w:type="dxa"/>
            <w:noWrap w:val="0"/>
            <w:vAlign w:val="center"/>
          </w:tcPr>
          <w:p w14:paraId="5BA8DEAE">
            <w:pPr>
              <w:keepNext w:val="0"/>
              <w:keepLines w:val="0"/>
              <w:suppressLineNumbers w:val="0"/>
              <w:spacing w:before="0" w:beforeAutospacing="0" w:after="0" w:afterAutospacing="0" w:line="400" w:lineRule="exact"/>
              <w:ind w:left="0" w:right="0"/>
              <w:rPr>
                <w:rFonts w:hint="eastAsia" w:ascii="宋体" w:hAnsi="宋体" w:eastAsia="宋体" w:cs="宋体"/>
                <w:color w:val="auto"/>
                <w:sz w:val="21"/>
                <w:szCs w:val="21"/>
                <w:highlight w:val="none"/>
              </w:rPr>
            </w:pPr>
          </w:p>
        </w:tc>
      </w:tr>
      <w:tr w14:paraId="74810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2" w:hRule="atLeast"/>
        </w:trPr>
        <w:tc>
          <w:tcPr>
            <w:tcW w:w="670" w:type="dxa"/>
            <w:noWrap w:val="0"/>
            <w:vAlign w:val="center"/>
          </w:tcPr>
          <w:p w14:paraId="10A373C5">
            <w:pPr>
              <w:keepNext w:val="0"/>
              <w:keepLines w:val="0"/>
              <w:suppressLineNumbers w:val="0"/>
              <w:spacing w:before="0" w:beforeAutospacing="0" w:after="0" w:afterAutospacing="0" w:line="400" w:lineRule="exact"/>
              <w:ind w:left="0"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w:t>
            </w:r>
          </w:p>
        </w:tc>
        <w:tc>
          <w:tcPr>
            <w:tcW w:w="1268" w:type="dxa"/>
            <w:noWrap w:val="0"/>
            <w:vAlign w:val="center"/>
          </w:tcPr>
          <w:p w14:paraId="02703BB4">
            <w:pPr>
              <w:keepNext w:val="0"/>
              <w:keepLines w:val="0"/>
              <w:suppressLineNumbers w:val="0"/>
              <w:spacing w:before="0" w:beforeAutospacing="0" w:after="0" w:afterAutospacing="0" w:line="400" w:lineRule="exact"/>
              <w:ind w:left="0" w:right="0"/>
              <w:rPr>
                <w:rFonts w:hint="eastAsia" w:ascii="宋体" w:hAnsi="宋体" w:eastAsia="宋体" w:cs="宋体"/>
                <w:color w:val="auto"/>
                <w:sz w:val="21"/>
                <w:szCs w:val="21"/>
                <w:highlight w:val="none"/>
              </w:rPr>
            </w:pPr>
          </w:p>
        </w:tc>
        <w:tc>
          <w:tcPr>
            <w:tcW w:w="1572" w:type="dxa"/>
            <w:noWrap w:val="0"/>
            <w:vAlign w:val="center"/>
          </w:tcPr>
          <w:p w14:paraId="087553B3">
            <w:pPr>
              <w:keepNext w:val="0"/>
              <w:keepLines w:val="0"/>
              <w:suppressLineNumbers w:val="0"/>
              <w:spacing w:before="0" w:beforeAutospacing="0" w:after="0" w:afterAutospacing="0" w:line="400" w:lineRule="exact"/>
              <w:ind w:left="0" w:right="0"/>
              <w:rPr>
                <w:rFonts w:hint="eastAsia" w:ascii="宋体" w:hAnsi="宋体" w:eastAsia="宋体" w:cs="宋体"/>
                <w:color w:val="auto"/>
                <w:sz w:val="21"/>
                <w:szCs w:val="21"/>
                <w:highlight w:val="none"/>
              </w:rPr>
            </w:pPr>
          </w:p>
        </w:tc>
        <w:tc>
          <w:tcPr>
            <w:tcW w:w="983" w:type="dxa"/>
            <w:noWrap w:val="0"/>
            <w:vAlign w:val="center"/>
          </w:tcPr>
          <w:p w14:paraId="441C60DF">
            <w:pPr>
              <w:keepNext w:val="0"/>
              <w:keepLines w:val="0"/>
              <w:suppressLineNumbers w:val="0"/>
              <w:spacing w:before="0" w:beforeAutospacing="0" w:after="0" w:afterAutospacing="0" w:line="400" w:lineRule="exact"/>
              <w:ind w:left="0" w:right="0"/>
              <w:rPr>
                <w:rFonts w:hint="eastAsia" w:ascii="宋体" w:hAnsi="宋体" w:eastAsia="宋体" w:cs="宋体"/>
                <w:color w:val="auto"/>
                <w:sz w:val="21"/>
                <w:szCs w:val="21"/>
                <w:highlight w:val="none"/>
              </w:rPr>
            </w:pPr>
          </w:p>
        </w:tc>
        <w:tc>
          <w:tcPr>
            <w:tcW w:w="912" w:type="dxa"/>
            <w:noWrap w:val="0"/>
            <w:vAlign w:val="top"/>
          </w:tcPr>
          <w:p w14:paraId="3B89FD98">
            <w:pPr>
              <w:keepNext w:val="0"/>
              <w:keepLines w:val="0"/>
              <w:suppressLineNumbers w:val="0"/>
              <w:spacing w:before="0" w:beforeAutospacing="0" w:after="0" w:afterAutospacing="0" w:line="400" w:lineRule="exact"/>
              <w:ind w:left="0" w:right="0"/>
              <w:rPr>
                <w:rFonts w:hint="eastAsia" w:ascii="宋体" w:hAnsi="宋体" w:eastAsia="宋体" w:cs="宋体"/>
                <w:color w:val="auto"/>
                <w:sz w:val="21"/>
                <w:szCs w:val="21"/>
                <w:highlight w:val="none"/>
              </w:rPr>
            </w:pPr>
          </w:p>
        </w:tc>
        <w:tc>
          <w:tcPr>
            <w:tcW w:w="913" w:type="dxa"/>
            <w:noWrap w:val="0"/>
            <w:vAlign w:val="top"/>
          </w:tcPr>
          <w:p w14:paraId="00252164">
            <w:pPr>
              <w:keepNext w:val="0"/>
              <w:keepLines w:val="0"/>
              <w:suppressLineNumbers w:val="0"/>
              <w:spacing w:before="0" w:beforeAutospacing="0" w:after="0" w:afterAutospacing="0" w:line="400" w:lineRule="exact"/>
              <w:ind w:left="0" w:right="0"/>
              <w:rPr>
                <w:rFonts w:hint="eastAsia" w:ascii="宋体" w:hAnsi="宋体" w:eastAsia="宋体" w:cs="宋体"/>
                <w:color w:val="auto"/>
                <w:sz w:val="21"/>
                <w:szCs w:val="21"/>
                <w:highlight w:val="none"/>
              </w:rPr>
            </w:pPr>
          </w:p>
        </w:tc>
        <w:tc>
          <w:tcPr>
            <w:tcW w:w="950" w:type="dxa"/>
            <w:noWrap w:val="0"/>
            <w:vAlign w:val="top"/>
          </w:tcPr>
          <w:p w14:paraId="4DBB3E9C">
            <w:pPr>
              <w:keepNext w:val="0"/>
              <w:keepLines w:val="0"/>
              <w:suppressLineNumbers w:val="0"/>
              <w:spacing w:before="0" w:beforeAutospacing="0" w:after="0" w:afterAutospacing="0" w:line="400" w:lineRule="exact"/>
              <w:ind w:left="0" w:right="0"/>
              <w:rPr>
                <w:rFonts w:hint="eastAsia" w:ascii="宋体" w:hAnsi="宋体" w:eastAsia="宋体" w:cs="宋体"/>
                <w:color w:val="auto"/>
                <w:sz w:val="21"/>
                <w:szCs w:val="21"/>
                <w:highlight w:val="none"/>
              </w:rPr>
            </w:pPr>
          </w:p>
        </w:tc>
        <w:tc>
          <w:tcPr>
            <w:tcW w:w="1000" w:type="dxa"/>
            <w:noWrap w:val="0"/>
            <w:vAlign w:val="center"/>
          </w:tcPr>
          <w:p w14:paraId="0AABF9A7">
            <w:pPr>
              <w:keepNext w:val="0"/>
              <w:keepLines w:val="0"/>
              <w:suppressLineNumbers w:val="0"/>
              <w:spacing w:before="0" w:beforeAutospacing="0" w:after="0" w:afterAutospacing="0" w:line="400" w:lineRule="exact"/>
              <w:ind w:left="0" w:right="0"/>
              <w:rPr>
                <w:rFonts w:hint="eastAsia" w:ascii="宋体" w:hAnsi="宋体" w:eastAsia="宋体" w:cs="宋体"/>
                <w:color w:val="auto"/>
                <w:sz w:val="21"/>
                <w:szCs w:val="21"/>
                <w:highlight w:val="none"/>
              </w:rPr>
            </w:pPr>
          </w:p>
        </w:tc>
        <w:tc>
          <w:tcPr>
            <w:tcW w:w="847" w:type="dxa"/>
            <w:noWrap w:val="0"/>
            <w:vAlign w:val="center"/>
          </w:tcPr>
          <w:p w14:paraId="71B939A6">
            <w:pPr>
              <w:keepNext w:val="0"/>
              <w:keepLines w:val="0"/>
              <w:suppressLineNumbers w:val="0"/>
              <w:spacing w:before="0" w:beforeAutospacing="0" w:after="0" w:afterAutospacing="0" w:line="400" w:lineRule="exact"/>
              <w:ind w:left="0" w:right="0"/>
              <w:rPr>
                <w:rFonts w:hint="eastAsia" w:ascii="宋体" w:hAnsi="宋体" w:eastAsia="宋体" w:cs="宋体"/>
                <w:color w:val="auto"/>
                <w:sz w:val="21"/>
                <w:szCs w:val="21"/>
                <w:highlight w:val="none"/>
              </w:rPr>
            </w:pPr>
          </w:p>
        </w:tc>
      </w:tr>
      <w:tr w14:paraId="20343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3" w:hRule="atLeast"/>
        </w:trPr>
        <w:tc>
          <w:tcPr>
            <w:tcW w:w="9115" w:type="dxa"/>
            <w:gridSpan w:val="9"/>
            <w:noWrap w:val="0"/>
            <w:vAlign w:val="center"/>
          </w:tcPr>
          <w:p w14:paraId="5963D71A">
            <w:pPr>
              <w:keepNext w:val="0"/>
              <w:keepLines w:val="0"/>
              <w:suppressLineNumbers w:val="0"/>
              <w:spacing w:before="0" w:beforeAutospacing="0" w:after="0" w:afterAutospacing="0" w:line="400" w:lineRule="exact"/>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合同金额（人民币，大写）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元整（¥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tc>
      </w:tr>
    </w:tbl>
    <w:p w14:paraId="46C99AA0">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合同</w:t>
      </w:r>
      <w:r>
        <w:rPr>
          <w:rFonts w:hint="eastAsia" w:ascii="宋体" w:hAnsi="宋体" w:eastAsia="宋体" w:cs="宋体"/>
          <w:color w:val="auto"/>
          <w:sz w:val="21"/>
          <w:szCs w:val="21"/>
          <w:highlight w:val="none"/>
        </w:rPr>
        <w:t>标的的</w:t>
      </w:r>
      <w:r>
        <w:rPr>
          <w:rFonts w:hint="eastAsia" w:ascii="宋体" w:hAnsi="宋体" w:eastAsia="宋体" w:cs="宋体"/>
          <w:color w:val="auto"/>
          <w:sz w:val="21"/>
          <w:szCs w:val="21"/>
          <w:highlight w:val="none"/>
          <w:lang w:eastAsia="zh-CN"/>
        </w:rPr>
        <w:t>详细</w:t>
      </w:r>
      <w:r>
        <w:rPr>
          <w:rFonts w:hint="eastAsia" w:ascii="宋体" w:hAnsi="宋体" w:eastAsia="宋体" w:cs="宋体"/>
          <w:color w:val="auto"/>
          <w:sz w:val="21"/>
          <w:szCs w:val="21"/>
          <w:highlight w:val="none"/>
        </w:rPr>
        <w:t>技术要求、商务要求具体见</w:t>
      </w:r>
      <w:r>
        <w:rPr>
          <w:rFonts w:hint="eastAsia" w:ascii="宋体" w:hAnsi="宋体" w:eastAsia="宋体" w:cs="宋体"/>
          <w:color w:val="auto"/>
          <w:sz w:val="21"/>
          <w:szCs w:val="21"/>
          <w:highlight w:val="none"/>
          <w:lang w:eastAsia="zh-CN"/>
        </w:rPr>
        <w:t>合同</w:t>
      </w:r>
      <w:r>
        <w:rPr>
          <w:rFonts w:hint="eastAsia" w:ascii="宋体" w:hAnsi="宋体" w:eastAsia="宋体" w:cs="宋体"/>
          <w:color w:val="auto"/>
          <w:sz w:val="21"/>
          <w:szCs w:val="21"/>
          <w:highlight w:val="none"/>
        </w:rPr>
        <w:t>附件。</w:t>
      </w:r>
    </w:p>
    <w:p w14:paraId="6BF78FF8">
      <w:pPr>
        <w:numPr>
          <w:ilvl w:val="0"/>
          <w:numId w:val="0"/>
        </w:numPr>
        <w:spacing w:line="400" w:lineRule="exact"/>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w:t>
      </w:r>
      <w:r>
        <w:rPr>
          <w:rFonts w:hint="eastAsia" w:ascii="宋体" w:hAnsi="宋体" w:eastAsia="宋体" w:cs="宋体"/>
          <w:color w:val="auto"/>
          <w:sz w:val="21"/>
          <w:szCs w:val="21"/>
          <w:highlight w:val="none"/>
        </w:rPr>
        <w:t>合同金额</w:t>
      </w:r>
      <w:r>
        <w:rPr>
          <w:rFonts w:hint="eastAsia" w:ascii="宋体" w:hAnsi="宋体" w:eastAsia="宋体" w:cs="宋体"/>
          <w:color w:val="auto"/>
          <w:sz w:val="21"/>
          <w:szCs w:val="21"/>
          <w:highlight w:val="none"/>
          <w:lang w:eastAsia="zh-CN"/>
        </w:rPr>
        <w:t>是</w:t>
      </w:r>
      <w:r>
        <w:rPr>
          <w:rFonts w:hint="eastAsia" w:ascii="宋体" w:hAnsi="宋体" w:eastAsia="宋体" w:cs="宋体"/>
          <w:color w:val="auto"/>
          <w:sz w:val="21"/>
          <w:szCs w:val="21"/>
          <w:highlight w:val="none"/>
        </w:rPr>
        <w:t>指根据本合同规定乙方在全面履行合同义务后甲方应支付给乙方的</w:t>
      </w:r>
      <w:r>
        <w:rPr>
          <w:rFonts w:hint="eastAsia" w:ascii="宋体" w:hAnsi="宋体" w:eastAsia="宋体" w:cs="宋体"/>
          <w:color w:val="auto"/>
          <w:sz w:val="21"/>
          <w:szCs w:val="21"/>
          <w:highlight w:val="none"/>
          <w:lang w:eastAsia="zh-CN"/>
        </w:rPr>
        <w:t>金额，包括</w:t>
      </w:r>
      <w:r>
        <w:rPr>
          <w:rFonts w:hint="eastAsia" w:ascii="宋体" w:hAnsi="宋体" w:eastAsia="宋体" w:cs="宋体"/>
          <w:color w:val="auto"/>
          <w:sz w:val="21"/>
          <w:szCs w:val="21"/>
          <w:highlight w:val="none"/>
          <w:lang w:val="en-US" w:eastAsia="zh-CN"/>
        </w:rPr>
        <w:t>货款、</w:t>
      </w:r>
      <w:r>
        <w:rPr>
          <w:rFonts w:hint="eastAsia" w:ascii="宋体" w:hAnsi="宋体" w:eastAsia="宋体" w:cs="宋体"/>
          <w:color w:val="auto"/>
          <w:sz w:val="21"/>
          <w:szCs w:val="21"/>
          <w:highlight w:val="none"/>
          <w:lang w:eastAsia="zh-CN"/>
        </w:rPr>
        <w:t>技术服务费、交通、运输、检测、管理费、税费、安装调试费、软硬件升级、售后服务、利润、验收、政策性文件规定及合同包含的所有风险、责任等</w:t>
      </w:r>
      <w:r>
        <w:rPr>
          <w:rFonts w:hint="eastAsia" w:ascii="宋体" w:hAnsi="宋体" w:eastAsia="宋体" w:cs="宋体"/>
          <w:color w:val="auto"/>
          <w:sz w:val="21"/>
          <w:szCs w:val="21"/>
          <w:highlight w:val="none"/>
          <w:lang w:val="en-US" w:eastAsia="zh-CN"/>
        </w:rPr>
        <w:t>直至运行交付使用的一切</w:t>
      </w:r>
      <w:r>
        <w:rPr>
          <w:rFonts w:hint="eastAsia" w:ascii="宋体" w:hAnsi="宋体" w:eastAsia="宋体" w:cs="宋体"/>
          <w:color w:val="auto"/>
          <w:sz w:val="21"/>
          <w:szCs w:val="21"/>
          <w:highlight w:val="none"/>
          <w:lang w:eastAsia="zh-CN"/>
        </w:rPr>
        <w:t>费用</w:t>
      </w:r>
      <w:r>
        <w:rPr>
          <w:rFonts w:hint="eastAsia" w:ascii="宋体" w:hAnsi="宋体" w:cs="宋体"/>
          <w:b/>
          <w:bCs/>
          <w:color w:val="auto"/>
          <w:sz w:val="21"/>
          <w:szCs w:val="21"/>
          <w:highlight w:val="none"/>
          <w:u w:val="none"/>
          <w:lang w:val="en-US" w:eastAsia="zh-CN"/>
        </w:rPr>
        <w:t>（最终合同签署按采购需求各分标约定的执行）</w:t>
      </w:r>
      <w:r>
        <w:rPr>
          <w:rFonts w:hint="eastAsia" w:ascii="宋体" w:hAnsi="宋体" w:eastAsia="宋体" w:cs="宋体"/>
          <w:color w:val="auto"/>
          <w:kern w:val="2"/>
          <w:sz w:val="21"/>
          <w:szCs w:val="21"/>
          <w:highlight w:val="none"/>
          <w:lang w:val="en-US" w:eastAsia="zh-CN" w:bidi="ar-SA"/>
        </w:rPr>
        <w:t>。</w:t>
      </w:r>
    </w:p>
    <w:p w14:paraId="01662FFF">
      <w:pPr>
        <w:numPr>
          <w:ilvl w:val="0"/>
          <w:numId w:val="0"/>
        </w:numPr>
        <w:spacing w:line="400" w:lineRule="exact"/>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3.当采购数量与实际使用数量不一致时，乙方应根据实际使用量供货，合同的最终结算金额按实际使用量乘以中标单价进行计算。</w:t>
      </w:r>
    </w:p>
    <w:p w14:paraId="7370B69E">
      <w:pPr>
        <w:spacing w:line="400" w:lineRule="exact"/>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第二条　质量</w:t>
      </w:r>
      <w:r>
        <w:rPr>
          <w:rFonts w:hint="eastAsia" w:ascii="宋体" w:hAnsi="宋体" w:eastAsia="宋体" w:cs="宋体"/>
          <w:bCs/>
          <w:color w:val="auto"/>
          <w:sz w:val="21"/>
          <w:szCs w:val="21"/>
          <w:highlight w:val="none"/>
          <w:lang w:eastAsia="zh-CN"/>
        </w:rPr>
        <w:t>标准</w:t>
      </w:r>
    </w:p>
    <w:p w14:paraId="5525B5ED">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乙方所提供的</w:t>
      </w:r>
      <w:r>
        <w:rPr>
          <w:rFonts w:hint="eastAsia" w:ascii="宋体" w:hAnsi="宋体" w:cs="宋体"/>
          <w:color w:val="auto"/>
          <w:sz w:val="21"/>
          <w:szCs w:val="21"/>
          <w:highlight w:val="none"/>
          <w:lang w:eastAsia="zh-CN"/>
        </w:rPr>
        <w:t>标的产品名称</w:t>
      </w:r>
      <w:r>
        <w:rPr>
          <w:rFonts w:hint="eastAsia" w:ascii="宋体" w:hAnsi="宋体" w:eastAsia="宋体" w:cs="宋体"/>
          <w:color w:val="auto"/>
          <w:sz w:val="21"/>
          <w:szCs w:val="21"/>
          <w:highlight w:val="none"/>
        </w:rPr>
        <w:t>、品牌、生产厂家、规格型号、技术参数、质量等必须与招标文件规定、投标文件及承诺相一致，并符合国家标准和行业标准对货物质量的规定。未制定国家标准、行业标准的，按照通常标准或者符合合同目的的特定标准确定，符合保障人体健康和人身、财产安全的要求。</w:t>
      </w:r>
    </w:p>
    <w:p w14:paraId="184032D2">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乙方所提供的</w:t>
      </w:r>
      <w:r>
        <w:rPr>
          <w:rFonts w:hint="eastAsia" w:ascii="宋体" w:hAnsi="宋体" w:cs="宋体"/>
          <w:color w:val="auto"/>
          <w:sz w:val="21"/>
          <w:szCs w:val="21"/>
          <w:highlight w:val="none"/>
          <w:lang w:val="en-US" w:eastAsia="zh-CN"/>
        </w:rPr>
        <w:t>标的</w:t>
      </w:r>
      <w:r>
        <w:rPr>
          <w:rFonts w:hint="eastAsia" w:ascii="宋体" w:hAnsi="宋体" w:cs="宋体"/>
          <w:color w:val="auto"/>
          <w:sz w:val="21"/>
          <w:szCs w:val="21"/>
          <w:highlight w:val="none"/>
          <w:lang w:eastAsia="zh-CN"/>
        </w:rPr>
        <w:t>产品</w:t>
      </w:r>
      <w:r>
        <w:rPr>
          <w:rFonts w:hint="eastAsia" w:ascii="宋体" w:hAnsi="宋体" w:eastAsia="宋体" w:cs="宋体"/>
          <w:color w:val="auto"/>
          <w:sz w:val="21"/>
          <w:szCs w:val="21"/>
          <w:highlight w:val="none"/>
        </w:rPr>
        <w:t>必须在正确安装</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部署</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和正常使用、维护条件下</w:t>
      </w: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于合同约定的使用期限内具有稳定、可靠的性能，且符合技术规格书规定的各项性能指标，其使用寿命期内各项指标均达到招标文件规定或者投标文件及承诺的质量要求。</w:t>
      </w:r>
    </w:p>
    <w:p w14:paraId="43EEE671">
      <w:pPr>
        <w:spacing w:line="400" w:lineRule="exact"/>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第三条　权利保证</w:t>
      </w:r>
    </w:p>
    <w:p w14:paraId="263209A5">
      <w:pPr>
        <w:pStyle w:val="2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lang w:val="en-US" w:eastAsia="zh-CN"/>
        </w:rPr>
        <w:t>乙方应保证所提供的软件符合国家标准、行业标准及产品标准，多项标准并存的，以要求较高者为准。因软件设计、开发或软件自身缺陷导致存在质量问题或故障的，乙方应承担修复、更换及相应赔偿责任，由此产生的全部费用由乙方承担</w:t>
      </w:r>
      <w:r>
        <w:rPr>
          <w:rFonts w:hint="eastAsia" w:ascii="宋体" w:hAnsi="宋体" w:eastAsia="宋体" w:cs="宋体"/>
          <w:color w:val="auto"/>
          <w:sz w:val="21"/>
          <w:szCs w:val="21"/>
          <w:highlight w:val="none"/>
        </w:rPr>
        <w:t>。</w:t>
      </w:r>
    </w:p>
    <w:p w14:paraId="05D6C09E">
      <w:pPr>
        <w:pStyle w:val="2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在质量保证期内所发现的缺陷，甲方应尽快以书面形式通知乙方。乙方收到通知后，应在规定的响应时间内以合理的速度免费维修或更换有缺陷的</w:t>
      </w:r>
      <w:r>
        <w:rPr>
          <w:rFonts w:hint="eastAsia" w:cs="宋体"/>
          <w:color w:val="auto"/>
          <w:sz w:val="21"/>
          <w:szCs w:val="21"/>
          <w:highlight w:val="none"/>
          <w:lang w:val="en-US" w:eastAsia="zh-CN"/>
        </w:rPr>
        <w:t>产品</w:t>
      </w:r>
      <w:r>
        <w:rPr>
          <w:rFonts w:hint="eastAsia" w:ascii="宋体" w:hAnsi="宋体" w:eastAsia="宋体" w:cs="宋体"/>
          <w:color w:val="auto"/>
          <w:sz w:val="21"/>
          <w:szCs w:val="21"/>
          <w:highlight w:val="none"/>
        </w:rPr>
        <w:t>或</w:t>
      </w:r>
      <w:r>
        <w:rPr>
          <w:rFonts w:hint="eastAsia" w:cs="宋体"/>
          <w:color w:val="auto"/>
          <w:sz w:val="21"/>
          <w:szCs w:val="21"/>
          <w:highlight w:val="none"/>
          <w:lang w:val="en-US" w:eastAsia="zh-CN"/>
        </w:rPr>
        <w:t>零</w:t>
      </w:r>
      <w:r>
        <w:rPr>
          <w:rFonts w:hint="eastAsia" w:ascii="宋体" w:hAnsi="宋体" w:eastAsia="宋体" w:cs="宋体"/>
          <w:color w:val="auto"/>
          <w:sz w:val="21"/>
          <w:szCs w:val="21"/>
          <w:highlight w:val="none"/>
        </w:rPr>
        <w:t>部件</w:t>
      </w:r>
      <w:r>
        <w:rPr>
          <w:rFonts w:hint="eastAsia" w:cs="宋体"/>
          <w:color w:val="auto"/>
          <w:sz w:val="21"/>
          <w:szCs w:val="21"/>
          <w:highlight w:val="none"/>
          <w:lang w:eastAsia="zh-CN"/>
        </w:rPr>
        <w:t>、</w:t>
      </w:r>
      <w:r>
        <w:rPr>
          <w:rFonts w:hint="eastAsia" w:cs="宋体"/>
          <w:color w:val="auto"/>
          <w:sz w:val="21"/>
          <w:szCs w:val="21"/>
          <w:highlight w:val="none"/>
          <w:lang w:val="en-US" w:eastAsia="zh-CN"/>
        </w:rPr>
        <w:t>配件或者处理软件故障</w:t>
      </w:r>
      <w:r>
        <w:rPr>
          <w:rFonts w:hint="eastAsia" w:ascii="宋体" w:hAnsi="宋体" w:eastAsia="宋体" w:cs="宋体"/>
          <w:color w:val="auto"/>
          <w:sz w:val="21"/>
          <w:szCs w:val="21"/>
          <w:highlight w:val="none"/>
        </w:rPr>
        <w:t>。乙方预期处理或不予处理的，甲方有权委托第三方处理，相关费用由乙方承担。</w:t>
      </w:r>
    </w:p>
    <w:p w14:paraId="79BEE790">
      <w:pPr>
        <w:pStyle w:val="2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在质量保证期内，如果</w:t>
      </w:r>
      <w:r>
        <w:rPr>
          <w:rFonts w:hint="eastAsia" w:cs="宋体"/>
          <w:color w:val="auto"/>
          <w:sz w:val="21"/>
          <w:szCs w:val="21"/>
          <w:highlight w:val="none"/>
          <w:lang w:val="en-US" w:eastAsia="zh-CN"/>
        </w:rPr>
        <w:t>标的产品</w:t>
      </w:r>
      <w:r>
        <w:rPr>
          <w:rFonts w:hint="eastAsia" w:ascii="宋体" w:hAnsi="宋体" w:eastAsia="宋体" w:cs="宋体"/>
          <w:color w:val="auto"/>
          <w:sz w:val="21"/>
          <w:szCs w:val="21"/>
          <w:highlight w:val="none"/>
        </w:rPr>
        <w:t>的质量或规格与合同不符，或证实</w:t>
      </w:r>
      <w:r>
        <w:rPr>
          <w:rFonts w:hint="eastAsia" w:cs="宋体"/>
          <w:color w:val="auto"/>
          <w:sz w:val="21"/>
          <w:szCs w:val="21"/>
          <w:highlight w:val="none"/>
          <w:lang w:val="en-US" w:eastAsia="zh-CN"/>
        </w:rPr>
        <w:t>标的产品</w:t>
      </w:r>
      <w:r>
        <w:rPr>
          <w:rFonts w:hint="eastAsia" w:ascii="宋体" w:hAnsi="宋体" w:eastAsia="宋体" w:cs="宋体"/>
          <w:color w:val="auto"/>
          <w:sz w:val="21"/>
          <w:szCs w:val="21"/>
          <w:highlight w:val="none"/>
        </w:rPr>
        <w:t>是有缺陷的，包括潜在的缺陷或使用不符合要求的材料等，甲方可以根据本合同第</w:t>
      </w:r>
      <w:r>
        <w:rPr>
          <w:rFonts w:hint="eastAsia" w:ascii="宋体" w:hAnsi="宋体" w:eastAsia="宋体" w:cs="宋体"/>
          <w:color w:val="auto"/>
          <w:sz w:val="21"/>
          <w:szCs w:val="21"/>
          <w:highlight w:val="none"/>
          <w:lang w:eastAsia="zh-CN"/>
        </w:rPr>
        <w:t>十二</w:t>
      </w:r>
      <w:r>
        <w:rPr>
          <w:rFonts w:hint="eastAsia" w:ascii="宋体" w:hAnsi="宋体" w:eastAsia="宋体" w:cs="宋体"/>
          <w:color w:val="auto"/>
          <w:sz w:val="21"/>
          <w:szCs w:val="21"/>
          <w:highlight w:val="none"/>
        </w:rPr>
        <w:t>条</w:t>
      </w:r>
      <w:r>
        <w:rPr>
          <w:rFonts w:hint="eastAsia" w:ascii="宋体" w:hAnsi="宋体" w:eastAsia="宋体" w:cs="宋体"/>
          <w:color w:val="auto"/>
          <w:sz w:val="21"/>
          <w:szCs w:val="21"/>
          <w:highlight w:val="none"/>
          <w:lang w:eastAsia="zh-CN"/>
        </w:rPr>
        <w:t>第</w:t>
      </w: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eastAsia="zh-CN"/>
        </w:rPr>
        <w:t>点</w:t>
      </w:r>
      <w:r>
        <w:rPr>
          <w:rFonts w:hint="eastAsia" w:ascii="宋体" w:hAnsi="宋体" w:eastAsia="宋体" w:cs="宋体"/>
          <w:color w:val="auto"/>
          <w:sz w:val="21"/>
          <w:szCs w:val="21"/>
          <w:highlight w:val="none"/>
        </w:rPr>
        <w:t>规定以书面形式追究乙方的违约责任。</w:t>
      </w:r>
    </w:p>
    <w:p w14:paraId="232C7E36">
      <w:pPr>
        <w:pStyle w:val="2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乙方在约定的时间内未能弥补缺陷，甲方可采取必要的补救措施，但其风险和费用将由乙方承担，甲方根据合同约定对乙方行使的其他权利不受影响。</w:t>
      </w:r>
    </w:p>
    <w:p w14:paraId="5A4043B8">
      <w:pPr>
        <w:pStyle w:val="2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乙方应保证所提供</w:t>
      </w:r>
      <w:r>
        <w:rPr>
          <w:rFonts w:hint="eastAsia" w:cs="宋体"/>
          <w:color w:val="auto"/>
          <w:sz w:val="21"/>
          <w:szCs w:val="21"/>
          <w:highlight w:val="none"/>
          <w:lang w:val="en-US" w:eastAsia="zh-CN"/>
        </w:rPr>
        <w:t>的标的产品</w:t>
      </w:r>
      <w:r>
        <w:rPr>
          <w:rFonts w:hint="eastAsia" w:ascii="宋体" w:hAnsi="宋体" w:eastAsia="宋体" w:cs="宋体"/>
          <w:color w:val="auto"/>
          <w:sz w:val="21"/>
          <w:szCs w:val="21"/>
          <w:highlight w:val="none"/>
        </w:rPr>
        <w:t>在使用时不会侵犯任何第三方的专利权、商标权、工业设计权或者其他权利。如乙方违反上述规定，则乙方应负责消除甲方拥有并使用乙方交付的</w:t>
      </w:r>
      <w:r>
        <w:rPr>
          <w:rFonts w:hint="eastAsia" w:cs="宋体"/>
          <w:color w:val="auto"/>
          <w:sz w:val="21"/>
          <w:szCs w:val="21"/>
          <w:highlight w:val="none"/>
          <w:lang w:val="en-US" w:eastAsia="zh-CN"/>
        </w:rPr>
        <w:t>产品</w:t>
      </w:r>
      <w:r>
        <w:rPr>
          <w:rFonts w:hint="eastAsia" w:ascii="宋体" w:hAnsi="宋体" w:eastAsia="宋体" w:cs="宋体"/>
          <w:color w:val="auto"/>
          <w:sz w:val="21"/>
          <w:szCs w:val="21"/>
          <w:highlight w:val="none"/>
        </w:rPr>
        <w:t>、软件、技术资料等所存在的全部法律</w:t>
      </w:r>
      <w:r>
        <w:rPr>
          <w:rFonts w:hint="eastAsia" w:cs="宋体"/>
          <w:color w:val="auto"/>
          <w:sz w:val="21"/>
          <w:szCs w:val="21"/>
          <w:highlight w:val="none"/>
          <w:lang w:eastAsia="zh-CN"/>
        </w:rPr>
        <w:t>责任</w:t>
      </w:r>
      <w:r>
        <w:rPr>
          <w:rFonts w:hint="eastAsia" w:ascii="宋体" w:hAnsi="宋体" w:eastAsia="宋体" w:cs="宋体"/>
          <w:color w:val="auto"/>
          <w:sz w:val="21"/>
          <w:szCs w:val="21"/>
          <w:highlight w:val="none"/>
        </w:rPr>
        <w:t>，并赔偿甲方的损失。如甲方因使用乙方交付的</w:t>
      </w:r>
      <w:r>
        <w:rPr>
          <w:rFonts w:hint="eastAsia" w:cs="宋体"/>
          <w:color w:val="auto"/>
          <w:sz w:val="21"/>
          <w:szCs w:val="21"/>
          <w:highlight w:val="none"/>
          <w:lang w:val="en-US" w:eastAsia="zh-CN"/>
        </w:rPr>
        <w:t>产品</w:t>
      </w:r>
      <w:r>
        <w:rPr>
          <w:rFonts w:hint="eastAsia" w:ascii="宋体" w:hAnsi="宋体" w:eastAsia="宋体" w:cs="宋体"/>
          <w:color w:val="auto"/>
          <w:sz w:val="21"/>
          <w:szCs w:val="21"/>
          <w:highlight w:val="none"/>
        </w:rPr>
        <w:t>构成侵权的，则由乙方承担全部责任。</w:t>
      </w:r>
    </w:p>
    <w:p w14:paraId="40DB15E8">
      <w:pPr>
        <w:pStyle w:val="2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乙方保证将要交付的货物的所有权完全属于乙方且无任何抵押、质押、查封等产权瑕疵。</w:t>
      </w:r>
    </w:p>
    <w:p w14:paraId="44B1B481">
      <w:pPr>
        <w:pStyle w:val="2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7.乙方应按</w:t>
      </w:r>
      <w:r>
        <w:rPr>
          <w:rFonts w:hint="eastAsia" w:cs="宋体"/>
          <w:color w:val="auto"/>
          <w:sz w:val="21"/>
          <w:szCs w:val="21"/>
          <w:highlight w:val="none"/>
          <w:lang w:val="en-US" w:eastAsia="zh-CN"/>
        </w:rPr>
        <w:t>产品交付</w:t>
      </w:r>
      <w:r>
        <w:rPr>
          <w:rFonts w:hint="eastAsia" w:ascii="宋体" w:hAnsi="宋体" w:eastAsia="宋体" w:cs="宋体"/>
          <w:color w:val="auto"/>
          <w:sz w:val="21"/>
          <w:szCs w:val="21"/>
          <w:highlight w:val="none"/>
          <w:lang w:val="en-US" w:eastAsia="zh-CN"/>
        </w:rPr>
        <w:t>的同时向甲方提供使用</w:t>
      </w:r>
      <w:r>
        <w:rPr>
          <w:rFonts w:hint="eastAsia" w:cs="宋体"/>
          <w:color w:val="auto"/>
          <w:sz w:val="21"/>
          <w:szCs w:val="21"/>
          <w:highlight w:val="none"/>
          <w:lang w:val="en-US" w:eastAsia="zh-CN"/>
        </w:rPr>
        <w:t>产品、软件</w:t>
      </w:r>
      <w:r>
        <w:rPr>
          <w:rFonts w:hint="eastAsia" w:ascii="宋体" w:hAnsi="宋体" w:eastAsia="宋体" w:cs="宋体"/>
          <w:color w:val="auto"/>
          <w:sz w:val="21"/>
          <w:szCs w:val="21"/>
          <w:highlight w:val="none"/>
          <w:lang w:val="en-US" w:eastAsia="zh-CN"/>
        </w:rPr>
        <w:t>的有关技术资料。</w:t>
      </w:r>
    </w:p>
    <w:p w14:paraId="491817F3">
      <w:pPr>
        <w:pStyle w:val="2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没有甲方事先书面同意，乙方不得将由甲方提供的有关合同或者任何合同条文、规格、计划、图纸、样品或者资料提供给与履行本合同无关的任何其他人。即使向履行本合同有关的人员提供，也应注意保密并限于履行合同的必需范围。</w:t>
      </w:r>
    </w:p>
    <w:p w14:paraId="5595864D">
      <w:pPr>
        <w:pStyle w:val="2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2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第四条　包装和运输</w:t>
      </w:r>
      <w:r>
        <w:rPr>
          <w:rFonts w:hint="eastAsia" w:cs="宋体"/>
          <w:b/>
          <w:bCs/>
          <w:color w:val="auto"/>
          <w:sz w:val="21"/>
          <w:szCs w:val="21"/>
          <w:highlight w:val="none"/>
          <w:lang w:eastAsia="zh-CN"/>
        </w:rPr>
        <w:t>（</w:t>
      </w:r>
      <w:r>
        <w:rPr>
          <w:rFonts w:hint="eastAsia" w:cs="宋体"/>
          <w:b/>
          <w:bCs/>
          <w:color w:val="auto"/>
          <w:sz w:val="21"/>
          <w:szCs w:val="21"/>
          <w:highlight w:val="none"/>
          <w:lang w:val="en-US" w:eastAsia="zh-CN"/>
        </w:rPr>
        <w:t>限分标2</w:t>
      </w:r>
      <w:r>
        <w:rPr>
          <w:rFonts w:hint="eastAsia" w:cs="宋体"/>
          <w:b/>
          <w:bCs/>
          <w:color w:val="auto"/>
          <w:sz w:val="21"/>
          <w:szCs w:val="21"/>
          <w:highlight w:val="none"/>
          <w:lang w:eastAsia="zh-CN"/>
        </w:rPr>
        <w:t>）</w:t>
      </w:r>
    </w:p>
    <w:p w14:paraId="50783904">
      <w:pPr>
        <w:pStyle w:val="2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1.乙方提供的</w:t>
      </w:r>
      <w:r>
        <w:rPr>
          <w:rFonts w:hint="eastAsia" w:cs="宋体"/>
          <w:color w:val="auto"/>
          <w:sz w:val="21"/>
          <w:szCs w:val="21"/>
          <w:highlight w:val="none"/>
          <w:lang w:val="en-US" w:eastAsia="zh-CN"/>
        </w:rPr>
        <w:t>产品</w:t>
      </w:r>
      <w:r>
        <w:rPr>
          <w:rFonts w:hint="eastAsia" w:ascii="宋体" w:hAnsi="宋体" w:eastAsia="宋体" w:cs="宋体"/>
          <w:color w:val="auto"/>
          <w:sz w:val="21"/>
          <w:szCs w:val="21"/>
          <w:highlight w:val="none"/>
        </w:rPr>
        <w:t>均应按招标文件规定或者投标文件承诺的要求的包装材料、包装标准、包装方式进行包装，有原厂家包装的均应采用原厂家包装，每一包装单元内应附详细的装箱单和质量合格证。</w:t>
      </w:r>
    </w:p>
    <w:p w14:paraId="52C18D86">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2.货物的运输方式：</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rPr>
        <w:t>，乙方应采用保证货物安全的运输方式进行运输，运费、装卸费等由乙方承担，由于包装或运输不当所造成的损坏或损失均由乙方承担。</w:t>
      </w:r>
    </w:p>
    <w:p w14:paraId="77996C62">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3.货物的包装应适于长途运输和反复装卸，并且乙方应根据货物不同的特性和要求采取防潮、防雨、防锈、防震、防腐等保护措施，以保证货物安全无损地到达甲方指定地点。</w:t>
      </w:r>
    </w:p>
    <w:p w14:paraId="60E74AA4">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4.乙方在货物发运手续办理完毕后24小时内或者货到甲方48小时前通知甲方，以准备接货。</w:t>
      </w:r>
    </w:p>
    <w:p w14:paraId="1FDF3D70">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5.货物应在规定的交付期限内由乙方送达甲方指定的地点，乙方同时需通知甲方货物已送达。</w:t>
      </w:r>
    </w:p>
    <w:p w14:paraId="7F23DCDC">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.国家对包装及运输有相关强制性标准或要求的，</w:t>
      </w:r>
      <w:r>
        <w:rPr>
          <w:rFonts w:hint="eastAsia" w:ascii="宋体" w:hAnsi="宋体" w:cs="宋体"/>
          <w:color w:val="auto"/>
          <w:sz w:val="21"/>
          <w:szCs w:val="21"/>
          <w:highlight w:val="none"/>
          <w:lang w:val="en-US" w:eastAsia="zh-CN"/>
        </w:rPr>
        <w:t>乙方</w:t>
      </w:r>
      <w:r>
        <w:rPr>
          <w:rFonts w:hint="eastAsia" w:ascii="宋体" w:hAnsi="宋体" w:eastAsia="宋体" w:cs="宋体"/>
          <w:color w:val="auto"/>
          <w:sz w:val="21"/>
          <w:szCs w:val="21"/>
          <w:highlight w:val="none"/>
        </w:rPr>
        <w:t>应当执行。根据《财政部等三部门联合印发商品包装和快递包装政府采购需求标准（试行）》财办库〔2020〕123号文规定，若产品使用塑料、纸质、木质等包装材料时应满足《商品包装政府采购需求标准（试行）》要求，若产品需要快递包装，快递封装材料应满足《快递包装政府采购需求标准（试行）》要求。</w:t>
      </w:r>
    </w:p>
    <w:p w14:paraId="009D683E">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rPr>
        <w:t>.产品（含包装）运抵</w:t>
      </w:r>
      <w:r>
        <w:rPr>
          <w:rFonts w:hint="eastAsia" w:ascii="宋体" w:hAnsi="宋体" w:cs="宋体"/>
          <w:color w:val="auto"/>
          <w:sz w:val="21"/>
          <w:szCs w:val="21"/>
          <w:highlight w:val="none"/>
          <w:lang w:val="en-US" w:eastAsia="zh-CN"/>
        </w:rPr>
        <w:t>甲方</w:t>
      </w:r>
      <w:r>
        <w:rPr>
          <w:rFonts w:hint="eastAsia" w:ascii="宋体" w:hAnsi="宋体" w:eastAsia="宋体" w:cs="宋体"/>
          <w:color w:val="auto"/>
          <w:sz w:val="21"/>
          <w:szCs w:val="21"/>
          <w:highlight w:val="none"/>
        </w:rPr>
        <w:t>指定交付地点前发生损坏等一切风险，相关损失由</w:t>
      </w:r>
      <w:r>
        <w:rPr>
          <w:rFonts w:hint="eastAsia" w:ascii="宋体" w:hAnsi="宋体" w:cs="宋体"/>
          <w:color w:val="auto"/>
          <w:sz w:val="21"/>
          <w:szCs w:val="21"/>
          <w:highlight w:val="none"/>
          <w:lang w:val="en-US" w:eastAsia="zh-CN"/>
        </w:rPr>
        <w:t>乙方</w:t>
      </w:r>
      <w:r>
        <w:rPr>
          <w:rFonts w:hint="eastAsia" w:ascii="宋体" w:hAnsi="宋体" w:eastAsia="宋体" w:cs="宋体"/>
          <w:color w:val="auto"/>
          <w:sz w:val="21"/>
          <w:szCs w:val="21"/>
          <w:highlight w:val="none"/>
        </w:rPr>
        <w:t>自行承担。</w:t>
      </w:r>
    </w:p>
    <w:p w14:paraId="56881736">
      <w:pPr>
        <w:spacing w:line="400" w:lineRule="exact"/>
        <w:ind w:firstLine="422" w:firstLineChars="200"/>
        <w:rPr>
          <w:rFonts w:hint="eastAsia"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软件部署要求</w:t>
      </w:r>
      <w:r>
        <w:rPr>
          <w:rFonts w:hint="eastAsia" w:cs="宋体"/>
          <w:b/>
          <w:bCs/>
          <w:color w:val="auto"/>
          <w:sz w:val="21"/>
          <w:szCs w:val="21"/>
          <w:highlight w:val="none"/>
          <w:lang w:eastAsia="zh-CN"/>
        </w:rPr>
        <w:t>（</w:t>
      </w:r>
      <w:r>
        <w:rPr>
          <w:rFonts w:hint="eastAsia" w:cs="宋体"/>
          <w:b/>
          <w:bCs/>
          <w:color w:val="auto"/>
          <w:sz w:val="21"/>
          <w:szCs w:val="21"/>
          <w:highlight w:val="none"/>
          <w:lang w:val="en-US" w:eastAsia="zh-CN"/>
        </w:rPr>
        <w:t>除分标2外的其他所有分标，</w:t>
      </w:r>
      <w:r>
        <w:rPr>
          <w:rFonts w:hint="eastAsia" w:ascii="宋体" w:hAnsi="宋体" w:cs="宋体"/>
          <w:b/>
          <w:bCs/>
          <w:color w:val="auto"/>
          <w:sz w:val="21"/>
          <w:szCs w:val="21"/>
          <w:highlight w:val="none"/>
          <w:u w:val="none"/>
          <w:lang w:val="en-US" w:eastAsia="zh-CN"/>
        </w:rPr>
        <w:t>最终合同签署按采购需求各分标约定的执行</w:t>
      </w:r>
      <w:r>
        <w:rPr>
          <w:rFonts w:hint="eastAsia" w:cs="宋体"/>
          <w:b/>
          <w:bCs/>
          <w:color w:val="auto"/>
          <w:sz w:val="21"/>
          <w:szCs w:val="21"/>
          <w:highlight w:val="none"/>
          <w:lang w:eastAsia="zh-CN"/>
        </w:rPr>
        <w:t>）</w:t>
      </w:r>
    </w:p>
    <w:p w14:paraId="74BBF95C">
      <w:pPr>
        <w:spacing w:line="400" w:lineRule="exact"/>
        <w:ind w:firstLine="420" w:firstLineChars="200"/>
        <w:rPr>
          <w:rFonts w:hint="eastAsia" w:cs="宋体"/>
          <w:b/>
          <w:bCs/>
          <w:color w:val="auto"/>
          <w:sz w:val="21"/>
          <w:szCs w:val="21"/>
          <w:highlight w:val="none"/>
          <w:lang w:eastAsia="zh-CN"/>
        </w:rPr>
      </w:pPr>
      <w:r>
        <w:rPr>
          <w:rFonts w:hint="eastAsia" w:ascii="宋体" w:hAnsi="宋体" w:eastAsia="宋体" w:cs="宋体"/>
          <w:color w:val="auto"/>
          <w:kern w:val="2"/>
          <w:sz w:val="21"/>
          <w:szCs w:val="21"/>
          <w:highlight w:val="none"/>
          <w:lang w:val="en-US" w:eastAsia="zh-CN" w:bidi="ar-SA"/>
        </w:rPr>
        <w:t>乙方负责软件系统在甲方指定环境中的部署实施，确保系统稳定运行。部署前应完成环境检测并出具符合性报告；部署实施应依据经甲方确认的部署方案执行，关键步骤记录留存；涉及数据迁移的应编制迁移方案并校验数据完整性；部署完成后应配合完成联调测试，各项功能及性能指标应满足技术规格书要求。部署完成后提交部署完成报告并经甲方签字确认。</w:t>
      </w:r>
    </w:p>
    <w:p w14:paraId="2CD125E9">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第五条　交付</w:t>
      </w:r>
      <w:r>
        <w:rPr>
          <w:rFonts w:hint="eastAsia" w:ascii="宋体" w:hAnsi="宋体" w:eastAsia="宋体" w:cs="宋体"/>
          <w:color w:val="auto"/>
          <w:sz w:val="21"/>
          <w:szCs w:val="21"/>
          <w:highlight w:val="none"/>
          <w:lang w:eastAsia="zh-CN"/>
        </w:rPr>
        <w:t>的时间、地点和要求</w:t>
      </w:r>
    </w:p>
    <w:p w14:paraId="797E1667">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交付时间：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（以乙方投标文件承诺的时间为准）</w:t>
      </w:r>
      <w:r>
        <w:rPr>
          <w:rFonts w:hint="eastAsia" w:ascii="宋体" w:hAnsi="宋体" w:eastAsia="宋体" w:cs="宋体"/>
          <w:color w:val="auto"/>
          <w:sz w:val="21"/>
          <w:szCs w:val="21"/>
          <w:highlight w:val="none"/>
        </w:rPr>
        <w:t>。</w:t>
      </w:r>
    </w:p>
    <w:p w14:paraId="4E9A03E5">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交付地点：</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w:t>
      </w:r>
    </w:p>
    <w:p w14:paraId="52FE7C5D">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
        </w:rPr>
        <w:t>.</w:t>
      </w:r>
      <w:r>
        <w:rPr>
          <w:rFonts w:hint="eastAsia" w:ascii="宋体" w:hAnsi="宋体" w:eastAsia="宋体" w:cs="宋体"/>
          <w:color w:val="auto"/>
          <w:kern w:val="0"/>
          <w:sz w:val="21"/>
          <w:szCs w:val="21"/>
          <w:highlight w:val="none"/>
        </w:rPr>
        <w:t>乙方在交付货物的同时需向甲方提供有关货物的附随资料，包括但不限于：</w:t>
      </w:r>
      <w:r>
        <w:rPr>
          <w:rFonts w:hint="eastAsia" w:ascii="宋体" w:hAnsi="宋体" w:eastAsia="宋体" w:cs="宋体"/>
          <w:color w:val="auto"/>
          <w:sz w:val="21"/>
          <w:szCs w:val="21"/>
          <w:highlight w:val="none"/>
        </w:rPr>
        <w:t>货物目录、装箱清单、用户手册、质量合格证书、质保证书、</w:t>
      </w:r>
      <w:r>
        <w:rPr>
          <w:rFonts w:hint="eastAsia" w:ascii="宋体" w:hAnsi="宋体" w:eastAsia="宋体" w:cs="宋体"/>
          <w:color w:val="auto"/>
          <w:kern w:val="0"/>
          <w:sz w:val="21"/>
          <w:szCs w:val="21"/>
          <w:highlight w:val="none"/>
        </w:rPr>
        <w:t>安装图纸、使用说明书、技术资料、</w:t>
      </w:r>
      <w:r>
        <w:rPr>
          <w:rFonts w:hint="eastAsia" w:ascii="宋体" w:hAnsi="宋体" w:eastAsia="宋体" w:cs="宋体"/>
          <w:color w:val="auto"/>
          <w:sz w:val="21"/>
          <w:szCs w:val="21"/>
          <w:highlight w:val="none"/>
        </w:rPr>
        <w:t>原厂保修卡、工具和备品、备件</w:t>
      </w:r>
      <w:r>
        <w:rPr>
          <w:rFonts w:hint="eastAsia" w:ascii="宋体" w:hAnsi="宋体" w:cs="宋体"/>
          <w:color w:val="auto"/>
          <w:sz w:val="21"/>
          <w:szCs w:val="21"/>
          <w:highlight w:val="none"/>
          <w:lang w:eastAsia="zh-CN"/>
        </w:rPr>
        <w:t>、保险单</w:t>
      </w:r>
      <w:r>
        <w:rPr>
          <w:rFonts w:hint="eastAsia" w:ascii="宋体" w:hAnsi="宋体" w:eastAsia="宋体" w:cs="宋体"/>
          <w:color w:val="auto"/>
          <w:sz w:val="21"/>
          <w:szCs w:val="21"/>
          <w:highlight w:val="none"/>
        </w:rPr>
        <w:t>等，如有缺失应在合理的规定时间内补齐，否则视为逾期交货。</w:t>
      </w:r>
      <w:r>
        <w:rPr>
          <w:rFonts w:hint="eastAsia" w:ascii="宋体" w:hAnsi="宋体" w:cs="宋体"/>
          <w:b/>
          <w:bCs/>
          <w:color w:val="auto"/>
          <w:sz w:val="21"/>
          <w:szCs w:val="21"/>
          <w:highlight w:val="none"/>
          <w:u w:val="none"/>
          <w:lang w:val="en-US" w:eastAsia="zh-CN"/>
        </w:rPr>
        <w:t>（限分标2）</w:t>
      </w:r>
    </w:p>
    <w:p w14:paraId="6281DF50">
      <w:pPr>
        <w:spacing w:line="40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乙方在交付</w:t>
      </w:r>
      <w:r>
        <w:rPr>
          <w:rFonts w:hint="eastAsia" w:ascii="宋体" w:hAnsi="宋体" w:eastAsia="宋体" w:cs="宋体"/>
          <w:color w:val="auto"/>
          <w:kern w:val="0"/>
          <w:sz w:val="21"/>
          <w:szCs w:val="21"/>
          <w:highlight w:val="none"/>
          <w:lang w:val="en-US" w:eastAsia="zh-CN"/>
        </w:rPr>
        <w:t>软件</w:t>
      </w:r>
      <w:r>
        <w:rPr>
          <w:rFonts w:hint="eastAsia" w:ascii="宋体" w:hAnsi="宋体" w:eastAsia="宋体" w:cs="宋体"/>
          <w:color w:val="auto"/>
          <w:kern w:val="0"/>
          <w:sz w:val="21"/>
          <w:szCs w:val="21"/>
          <w:highlight w:val="none"/>
        </w:rPr>
        <w:t>的同时需向甲方提供有关</w:t>
      </w:r>
      <w:r>
        <w:rPr>
          <w:rFonts w:hint="eastAsia" w:ascii="宋体" w:hAnsi="宋体" w:eastAsia="宋体" w:cs="宋体"/>
          <w:color w:val="auto"/>
          <w:kern w:val="0"/>
          <w:sz w:val="21"/>
          <w:szCs w:val="21"/>
          <w:highlight w:val="none"/>
          <w:lang w:val="en-US" w:eastAsia="zh-CN"/>
        </w:rPr>
        <w:t>软件</w:t>
      </w:r>
      <w:r>
        <w:rPr>
          <w:rFonts w:hint="eastAsia" w:ascii="宋体" w:hAnsi="宋体" w:eastAsia="宋体" w:cs="宋体"/>
          <w:color w:val="auto"/>
          <w:kern w:val="0"/>
          <w:sz w:val="21"/>
          <w:szCs w:val="21"/>
          <w:highlight w:val="none"/>
        </w:rPr>
        <w:t>的附随资料，包括但不限于：</w:t>
      </w:r>
    </w:p>
    <w:p w14:paraId="727D3754">
      <w:pPr>
        <w:spacing w:line="40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（1）可正常运行的软件平台（含全部功能模块）；</w:t>
      </w:r>
    </w:p>
    <w:p w14:paraId="39E91C58">
      <w:pPr>
        <w:spacing w:line="40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（2）完整的技术文档：系统部署手册、运维手册、用户操作手册、数据字典、数据库设计说明书、接口规范文档（含API文档）；</w:t>
      </w:r>
    </w:p>
    <w:p w14:paraId="0652490D">
      <w:pPr>
        <w:spacing w:line="40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（3）系统源代码</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如有</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w:t>
      </w:r>
      <w:r>
        <w:rPr>
          <w:rFonts w:hint="eastAsia" w:cs="宋体"/>
          <w:b/>
          <w:bCs/>
          <w:color w:val="auto"/>
          <w:sz w:val="21"/>
          <w:szCs w:val="21"/>
          <w:highlight w:val="none"/>
          <w:lang w:eastAsia="zh-CN"/>
        </w:rPr>
        <w:t>（</w:t>
      </w:r>
      <w:r>
        <w:rPr>
          <w:rFonts w:hint="eastAsia" w:cs="宋体"/>
          <w:b/>
          <w:bCs/>
          <w:color w:val="auto"/>
          <w:sz w:val="21"/>
          <w:szCs w:val="21"/>
          <w:highlight w:val="none"/>
          <w:lang w:val="en-US" w:eastAsia="zh-CN"/>
        </w:rPr>
        <w:t>除分标2外的其他所有分标，</w:t>
      </w:r>
      <w:r>
        <w:rPr>
          <w:rFonts w:hint="eastAsia" w:ascii="宋体" w:hAnsi="宋体" w:cs="宋体"/>
          <w:b/>
          <w:bCs/>
          <w:color w:val="auto"/>
          <w:sz w:val="21"/>
          <w:szCs w:val="21"/>
          <w:highlight w:val="none"/>
          <w:u w:val="none"/>
          <w:lang w:val="en-US" w:eastAsia="zh-CN"/>
        </w:rPr>
        <w:t>最终合同签署按采购需求各分标约定的执行</w:t>
      </w:r>
      <w:r>
        <w:rPr>
          <w:rFonts w:hint="eastAsia" w:cs="宋体"/>
          <w:b/>
          <w:bCs/>
          <w:color w:val="auto"/>
          <w:sz w:val="21"/>
          <w:szCs w:val="21"/>
          <w:highlight w:val="none"/>
          <w:lang w:eastAsia="zh-CN"/>
        </w:rPr>
        <w:t>）</w:t>
      </w:r>
    </w:p>
    <w:p w14:paraId="7CAAFB75">
      <w:pPr>
        <w:spacing w:line="460" w:lineRule="exact"/>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第六条</w:t>
      </w:r>
      <w:r>
        <w:rPr>
          <w:rFonts w:hint="eastAsia" w:ascii="宋体" w:hAnsi="宋体" w:eastAsia="宋体" w:cs="宋体"/>
          <w:color w:val="auto"/>
          <w:sz w:val="21"/>
          <w:szCs w:val="21"/>
          <w:highlight w:val="none"/>
          <w:lang w:val="en-US" w:eastAsia="zh-CN"/>
        </w:rPr>
        <w:t xml:space="preserve">  验收</w:t>
      </w:r>
    </w:p>
    <w:p w14:paraId="0E7991BF">
      <w:pPr>
        <w:spacing w:line="46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开箱验收：</w:t>
      </w:r>
      <w:r>
        <w:rPr>
          <w:rFonts w:hint="eastAsia" w:cs="宋体"/>
          <w:b/>
          <w:bCs/>
          <w:color w:val="auto"/>
          <w:sz w:val="21"/>
          <w:szCs w:val="21"/>
          <w:highlight w:val="none"/>
          <w:lang w:eastAsia="zh-CN"/>
        </w:rPr>
        <w:t>（</w:t>
      </w:r>
      <w:r>
        <w:rPr>
          <w:rFonts w:hint="eastAsia" w:cs="宋体"/>
          <w:b/>
          <w:bCs/>
          <w:color w:val="auto"/>
          <w:sz w:val="21"/>
          <w:szCs w:val="21"/>
          <w:highlight w:val="none"/>
          <w:lang w:val="en-US" w:eastAsia="zh-CN"/>
        </w:rPr>
        <w:t>限分标2</w:t>
      </w:r>
      <w:r>
        <w:rPr>
          <w:rFonts w:hint="eastAsia" w:cs="宋体"/>
          <w:b/>
          <w:bCs/>
          <w:color w:val="auto"/>
          <w:sz w:val="21"/>
          <w:szCs w:val="21"/>
          <w:highlight w:val="none"/>
          <w:lang w:eastAsia="zh-CN"/>
        </w:rPr>
        <w:t>）</w:t>
      </w:r>
    </w:p>
    <w:p w14:paraId="67662AC2">
      <w:pPr>
        <w:spacing w:line="4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)由</w:t>
      </w:r>
      <w:r>
        <w:rPr>
          <w:rFonts w:hint="eastAsia" w:ascii="宋体" w:hAnsi="宋体" w:eastAsia="宋体" w:cs="宋体"/>
          <w:color w:val="auto"/>
          <w:sz w:val="21"/>
          <w:szCs w:val="21"/>
          <w:highlight w:val="none"/>
          <w:lang w:eastAsia="zh-CN"/>
        </w:rPr>
        <w:t>甲方</w:t>
      </w:r>
      <w:r>
        <w:rPr>
          <w:rFonts w:hint="eastAsia" w:ascii="宋体" w:hAnsi="宋体" w:eastAsia="宋体" w:cs="宋体"/>
          <w:color w:val="auto"/>
          <w:sz w:val="21"/>
          <w:szCs w:val="21"/>
          <w:highlight w:val="none"/>
        </w:rPr>
        <w:t>代表及</w:t>
      </w:r>
      <w:r>
        <w:rPr>
          <w:rFonts w:hint="eastAsia" w:ascii="宋体" w:hAnsi="宋体" w:eastAsia="宋体" w:cs="宋体"/>
          <w:color w:val="auto"/>
          <w:sz w:val="21"/>
          <w:szCs w:val="21"/>
          <w:highlight w:val="none"/>
          <w:lang w:eastAsia="zh-CN"/>
        </w:rPr>
        <w:t>乙方代表双方当场</w:t>
      </w:r>
      <w:r>
        <w:rPr>
          <w:rFonts w:hint="eastAsia" w:ascii="宋体" w:hAnsi="宋体" w:eastAsia="宋体" w:cs="宋体"/>
          <w:color w:val="auto"/>
          <w:sz w:val="21"/>
          <w:szCs w:val="21"/>
          <w:highlight w:val="none"/>
        </w:rPr>
        <w:t>进行开箱验收。检查其外包装是否完好无损，并对</w:t>
      </w:r>
      <w:r>
        <w:rPr>
          <w:rFonts w:hint="eastAsia" w:ascii="宋体" w:hAnsi="宋体" w:eastAsia="宋体" w:cs="宋体"/>
          <w:color w:val="auto"/>
          <w:sz w:val="21"/>
          <w:szCs w:val="21"/>
          <w:highlight w:val="none"/>
          <w:lang w:eastAsia="zh-CN"/>
        </w:rPr>
        <w:t>产品</w:t>
      </w:r>
      <w:r>
        <w:rPr>
          <w:rFonts w:hint="eastAsia" w:ascii="宋体" w:hAnsi="宋体" w:eastAsia="宋体" w:cs="宋体"/>
          <w:color w:val="auto"/>
          <w:sz w:val="21"/>
          <w:szCs w:val="21"/>
          <w:highlight w:val="none"/>
        </w:rPr>
        <w:t>数量</w:t>
      </w:r>
      <w:r>
        <w:rPr>
          <w:rFonts w:hint="eastAsia" w:ascii="宋体" w:hAnsi="宋体" w:eastAsia="宋体" w:cs="宋体"/>
          <w:color w:val="auto"/>
          <w:sz w:val="21"/>
          <w:szCs w:val="21"/>
          <w:highlight w:val="none"/>
          <w:lang w:eastAsia="zh-CN"/>
        </w:rPr>
        <w:t>、外观</w:t>
      </w:r>
      <w:r>
        <w:rPr>
          <w:rFonts w:hint="eastAsia" w:ascii="宋体" w:hAnsi="宋体" w:eastAsia="宋体" w:cs="宋体"/>
          <w:color w:val="auto"/>
          <w:sz w:val="21"/>
          <w:szCs w:val="21"/>
          <w:highlight w:val="none"/>
        </w:rPr>
        <w:t>进行核对，检查是否与合同一致，文档材料是否齐全。</w:t>
      </w:r>
    </w:p>
    <w:p w14:paraId="6EEB1E7E">
      <w:pPr>
        <w:spacing w:line="4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)如发现</w:t>
      </w:r>
      <w:r>
        <w:rPr>
          <w:rFonts w:hint="eastAsia" w:ascii="宋体" w:hAnsi="宋体" w:eastAsia="宋体" w:cs="宋体"/>
          <w:color w:val="auto"/>
          <w:sz w:val="21"/>
          <w:szCs w:val="21"/>
          <w:highlight w:val="none"/>
          <w:lang w:eastAsia="zh-CN"/>
        </w:rPr>
        <w:t>产品数量不对</w:t>
      </w:r>
      <w:r>
        <w:rPr>
          <w:rFonts w:hint="eastAsia" w:ascii="宋体" w:hAnsi="宋体" w:eastAsia="宋体" w:cs="宋体"/>
          <w:color w:val="auto"/>
          <w:sz w:val="21"/>
          <w:szCs w:val="21"/>
          <w:highlight w:val="none"/>
        </w:rPr>
        <w:t>、损坏或其他与合同约定不符的情况，由</w:t>
      </w:r>
      <w:r>
        <w:rPr>
          <w:rFonts w:hint="eastAsia" w:ascii="宋体" w:hAnsi="宋体" w:eastAsia="宋体" w:cs="宋体"/>
          <w:color w:val="auto"/>
          <w:sz w:val="21"/>
          <w:szCs w:val="21"/>
          <w:highlight w:val="none"/>
          <w:lang w:eastAsia="zh-CN"/>
        </w:rPr>
        <w:t>乙方</w:t>
      </w:r>
      <w:r>
        <w:rPr>
          <w:rFonts w:hint="eastAsia" w:ascii="宋体" w:hAnsi="宋体" w:eastAsia="宋体" w:cs="宋体"/>
          <w:color w:val="auto"/>
          <w:sz w:val="21"/>
          <w:szCs w:val="21"/>
          <w:highlight w:val="none"/>
        </w:rPr>
        <w:t>采取补齐、更换及其他补救措施。</w:t>
      </w:r>
    </w:p>
    <w:p w14:paraId="532255BD">
      <w:pPr>
        <w:spacing w:line="4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)开箱检验合格后，由</w:t>
      </w:r>
      <w:r>
        <w:rPr>
          <w:rFonts w:hint="eastAsia" w:ascii="宋体" w:hAnsi="宋体" w:eastAsia="宋体" w:cs="宋体"/>
          <w:color w:val="auto"/>
          <w:sz w:val="21"/>
          <w:szCs w:val="21"/>
          <w:highlight w:val="none"/>
          <w:lang w:eastAsia="zh-CN"/>
        </w:rPr>
        <w:t>甲方</w:t>
      </w:r>
      <w:r>
        <w:rPr>
          <w:rFonts w:hint="eastAsia" w:ascii="宋体" w:hAnsi="宋体" w:eastAsia="宋体" w:cs="宋体"/>
          <w:color w:val="auto"/>
          <w:sz w:val="21"/>
          <w:szCs w:val="21"/>
          <w:highlight w:val="none"/>
        </w:rPr>
        <w:t>代表及</w:t>
      </w:r>
      <w:r>
        <w:rPr>
          <w:rFonts w:hint="eastAsia" w:ascii="宋体" w:hAnsi="宋体" w:eastAsia="宋体" w:cs="宋体"/>
          <w:color w:val="auto"/>
          <w:sz w:val="21"/>
          <w:szCs w:val="21"/>
          <w:highlight w:val="none"/>
          <w:lang w:eastAsia="zh-CN"/>
        </w:rPr>
        <w:t>乙方代表双方</w:t>
      </w:r>
      <w:r>
        <w:rPr>
          <w:rFonts w:hint="eastAsia" w:ascii="宋体" w:hAnsi="宋体" w:eastAsia="宋体" w:cs="宋体"/>
          <w:color w:val="auto"/>
          <w:sz w:val="21"/>
          <w:szCs w:val="21"/>
          <w:highlight w:val="none"/>
        </w:rPr>
        <w:t>签署开箱检验验收书，开箱检验验收书应列明合同设备数量</w:t>
      </w:r>
      <w:r>
        <w:rPr>
          <w:rFonts w:hint="eastAsia" w:ascii="宋体" w:hAnsi="宋体" w:eastAsia="宋体" w:cs="宋体"/>
          <w:color w:val="auto"/>
          <w:sz w:val="21"/>
          <w:szCs w:val="21"/>
          <w:highlight w:val="none"/>
          <w:lang w:eastAsia="zh-CN"/>
        </w:rPr>
        <w:t>、外观</w:t>
      </w:r>
      <w:r>
        <w:rPr>
          <w:rFonts w:hint="eastAsia" w:ascii="宋体" w:hAnsi="宋体" w:eastAsia="宋体" w:cs="宋体"/>
          <w:color w:val="auto"/>
          <w:sz w:val="21"/>
          <w:szCs w:val="21"/>
          <w:highlight w:val="none"/>
        </w:rPr>
        <w:t>、文档资料等验收情况及评价意见。</w:t>
      </w:r>
    </w:p>
    <w:p w14:paraId="48ADC103">
      <w:pPr>
        <w:spacing w:line="400" w:lineRule="exact"/>
        <w:ind w:firstLine="420" w:firstLineChars="200"/>
        <w:rPr>
          <w:rFonts w:hint="eastAsia" w:ascii="宋体" w:hAnsi="宋体" w:eastAsia="宋体" w:cs="宋体"/>
          <w:color w:val="auto"/>
          <w:kern w:val="0"/>
          <w:sz w:val="21"/>
          <w:szCs w:val="21"/>
          <w:highlight w:val="none"/>
        </w:rPr>
      </w:pPr>
      <w:r>
        <w:rPr>
          <w:rFonts w:hint="eastAsia" w:asciiTheme="minorEastAsia" w:hAnsiTheme="minorEastAsia" w:eastAsiaTheme="minorEastAsia"/>
          <w:color w:val="auto"/>
          <w:szCs w:val="21"/>
          <w:highlight w:val="none"/>
          <w:lang w:val="en-US" w:eastAsia="zh-CN"/>
        </w:rPr>
        <w:t>软件</w:t>
      </w:r>
      <w:r>
        <w:rPr>
          <w:rFonts w:hint="eastAsia" w:asciiTheme="minorEastAsia" w:hAnsiTheme="minorEastAsia" w:eastAsiaTheme="minorEastAsia"/>
          <w:color w:val="auto"/>
          <w:szCs w:val="21"/>
          <w:highlight w:val="none"/>
        </w:rPr>
        <w:t>平台部署完成、功能模块全部上线、系统运行稳定后，</w:t>
      </w:r>
      <w:r>
        <w:rPr>
          <w:rFonts w:hint="eastAsia" w:asciiTheme="minorEastAsia" w:hAnsiTheme="minorEastAsia" w:eastAsiaTheme="minorEastAsia"/>
          <w:color w:val="auto"/>
          <w:szCs w:val="21"/>
          <w:highlight w:val="none"/>
          <w:lang w:val="en-US" w:eastAsia="zh-CN"/>
        </w:rPr>
        <w:t>乙方</w:t>
      </w:r>
      <w:r>
        <w:rPr>
          <w:rFonts w:hint="eastAsia" w:asciiTheme="minorEastAsia" w:hAnsiTheme="minorEastAsia" w:eastAsiaTheme="minorEastAsia"/>
          <w:color w:val="auto"/>
          <w:szCs w:val="21"/>
          <w:highlight w:val="none"/>
        </w:rPr>
        <w:t>提交验收申请及全部技术文档，</w:t>
      </w:r>
      <w:r>
        <w:rPr>
          <w:rFonts w:hint="eastAsia" w:asciiTheme="minorEastAsia" w:hAnsiTheme="minorEastAsia" w:eastAsiaTheme="minorEastAsia"/>
          <w:color w:val="auto"/>
          <w:szCs w:val="21"/>
          <w:highlight w:val="none"/>
          <w:lang w:val="en-US" w:eastAsia="zh-CN"/>
        </w:rPr>
        <w:t>甲方自行</w:t>
      </w:r>
      <w:r>
        <w:rPr>
          <w:rFonts w:hint="eastAsia" w:asciiTheme="minorEastAsia" w:hAnsiTheme="minorEastAsia" w:eastAsiaTheme="minorEastAsia"/>
          <w:color w:val="auto"/>
          <w:szCs w:val="21"/>
          <w:highlight w:val="none"/>
        </w:rPr>
        <w:t>组织验收</w:t>
      </w:r>
      <w:r>
        <w:rPr>
          <w:rFonts w:hint="eastAsia" w:asciiTheme="minorEastAsia" w:hAnsiTheme="minorEastAsia" w:eastAsiaTheme="minorEastAsia"/>
          <w:color w:val="auto"/>
          <w:szCs w:val="21"/>
          <w:highlight w:val="none"/>
          <w:lang w:eastAsia="zh-CN"/>
        </w:rPr>
        <w:t>。</w:t>
      </w:r>
      <w:r>
        <w:rPr>
          <w:rFonts w:hint="eastAsia" w:cs="宋体"/>
          <w:b/>
          <w:bCs/>
          <w:color w:val="auto"/>
          <w:sz w:val="21"/>
          <w:szCs w:val="21"/>
          <w:highlight w:val="none"/>
          <w:lang w:eastAsia="zh-CN"/>
        </w:rPr>
        <w:t>（</w:t>
      </w:r>
      <w:r>
        <w:rPr>
          <w:rFonts w:hint="eastAsia" w:cs="宋体"/>
          <w:b/>
          <w:bCs/>
          <w:color w:val="auto"/>
          <w:sz w:val="21"/>
          <w:szCs w:val="21"/>
          <w:highlight w:val="none"/>
          <w:lang w:val="en-US" w:eastAsia="zh-CN"/>
        </w:rPr>
        <w:t>除分标2外的其他所有分标，</w:t>
      </w:r>
      <w:r>
        <w:rPr>
          <w:rFonts w:hint="eastAsia" w:ascii="宋体" w:hAnsi="宋体" w:cs="宋体"/>
          <w:b/>
          <w:bCs/>
          <w:color w:val="auto"/>
          <w:sz w:val="21"/>
          <w:szCs w:val="21"/>
          <w:highlight w:val="none"/>
          <w:u w:val="none"/>
          <w:lang w:val="en-US" w:eastAsia="zh-CN"/>
        </w:rPr>
        <w:t>最终合同签署按采购需求各分标约定的执行</w:t>
      </w:r>
      <w:r>
        <w:rPr>
          <w:rFonts w:hint="eastAsia" w:cs="宋体"/>
          <w:b/>
          <w:bCs/>
          <w:color w:val="auto"/>
          <w:sz w:val="21"/>
          <w:szCs w:val="21"/>
          <w:highlight w:val="none"/>
          <w:lang w:eastAsia="zh-CN"/>
        </w:rPr>
        <w:t>）</w:t>
      </w:r>
    </w:p>
    <w:p w14:paraId="23DA3EA5">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2.安装调试后验收：</w:t>
      </w:r>
    </w:p>
    <w:p w14:paraId="76593953">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(1)乙方按合同约定完成</w:t>
      </w:r>
      <w:r>
        <w:rPr>
          <w:rFonts w:hint="eastAsia" w:ascii="宋体" w:hAnsi="宋体" w:cs="宋体"/>
          <w:color w:val="auto"/>
          <w:sz w:val="21"/>
          <w:szCs w:val="21"/>
          <w:highlight w:val="none"/>
          <w:lang w:val="en-US" w:eastAsia="zh-CN"/>
        </w:rPr>
        <w:t>设备</w:t>
      </w:r>
      <w:r>
        <w:rPr>
          <w:rFonts w:hint="eastAsia" w:ascii="宋体" w:hAnsi="宋体" w:eastAsia="宋体" w:cs="宋体"/>
          <w:color w:val="auto"/>
          <w:sz w:val="21"/>
          <w:szCs w:val="21"/>
          <w:highlight w:val="none"/>
        </w:rPr>
        <w:t>的安装调试后，由甲方对</w:t>
      </w:r>
      <w:r>
        <w:rPr>
          <w:rFonts w:hint="eastAsia" w:ascii="宋体" w:hAnsi="宋体" w:cs="宋体"/>
          <w:color w:val="auto"/>
          <w:sz w:val="21"/>
          <w:szCs w:val="21"/>
          <w:highlight w:val="none"/>
          <w:lang w:val="en-US" w:eastAsia="zh-CN"/>
        </w:rPr>
        <w:t>产品</w:t>
      </w:r>
      <w:r>
        <w:rPr>
          <w:rFonts w:hint="eastAsia" w:ascii="宋体" w:hAnsi="宋体" w:eastAsia="宋体" w:cs="宋体"/>
          <w:color w:val="auto"/>
          <w:sz w:val="21"/>
          <w:szCs w:val="21"/>
          <w:highlight w:val="none"/>
        </w:rPr>
        <w:t>进行开机试运行，并对试运行情况进行评价。</w:t>
      </w:r>
    </w:p>
    <w:p w14:paraId="0D5ED8C8">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验收时现场测试设备的技术性能指标，确认各项功能正常运行，同时检查随机文件应齐整。试运行时由</w:t>
      </w:r>
      <w:r>
        <w:rPr>
          <w:rFonts w:hint="eastAsia" w:ascii="宋体" w:hAnsi="宋体" w:cs="宋体"/>
          <w:color w:val="auto"/>
          <w:sz w:val="21"/>
          <w:szCs w:val="21"/>
          <w:highlight w:val="none"/>
          <w:lang w:val="en-US" w:eastAsia="zh-CN"/>
        </w:rPr>
        <w:t>甲方</w:t>
      </w:r>
      <w:r>
        <w:rPr>
          <w:rFonts w:hint="eastAsia" w:ascii="宋体" w:hAnsi="宋体" w:eastAsia="宋体" w:cs="宋体"/>
          <w:color w:val="auto"/>
          <w:sz w:val="21"/>
          <w:szCs w:val="21"/>
          <w:highlight w:val="none"/>
          <w:lang w:eastAsia="zh-CN"/>
        </w:rPr>
        <w:t>对照招标文件的功能目标及技术指标要求、投标文件响应的功能、参数全面核对检验，所提供设备的性能应与投标时响应的</w:t>
      </w:r>
      <w:r>
        <w:rPr>
          <w:rFonts w:hint="eastAsia" w:ascii="宋体" w:hAnsi="宋体" w:eastAsia="宋体" w:cs="宋体"/>
          <w:color w:val="auto"/>
          <w:sz w:val="21"/>
          <w:szCs w:val="21"/>
          <w:highlight w:val="none"/>
          <w:lang w:val="en-US" w:eastAsia="zh-CN"/>
        </w:rPr>
        <w:t>技术性能</w:t>
      </w:r>
      <w:r>
        <w:rPr>
          <w:rFonts w:hint="eastAsia" w:ascii="宋体" w:hAnsi="宋体" w:eastAsia="宋体" w:cs="宋体"/>
          <w:color w:val="auto"/>
          <w:sz w:val="21"/>
          <w:szCs w:val="21"/>
          <w:highlight w:val="none"/>
          <w:lang w:eastAsia="zh-CN"/>
        </w:rPr>
        <w:t>、参数完全一致，</w:t>
      </w:r>
      <w:r>
        <w:rPr>
          <w:rFonts w:hint="eastAsia" w:ascii="宋体" w:hAnsi="宋体" w:eastAsia="宋体" w:cs="宋体"/>
          <w:color w:val="auto"/>
          <w:sz w:val="21"/>
          <w:szCs w:val="21"/>
          <w:highlight w:val="none"/>
        </w:rPr>
        <w:t>视为</w:t>
      </w:r>
      <w:r>
        <w:rPr>
          <w:rFonts w:hint="eastAsia" w:ascii="宋体" w:hAnsi="宋体" w:eastAsia="宋体" w:cs="宋体"/>
          <w:color w:val="auto"/>
          <w:sz w:val="21"/>
          <w:szCs w:val="21"/>
          <w:highlight w:val="none"/>
          <w:lang w:eastAsia="zh-CN"/>
        </w:rPr>
        <w:t>验收合格</w:t>
      </w:r>
      <w:r>
        <w:rPr>
          <w:rFonts w:hint="eastAsia" w:ascii="宋体" w:hAnsi="宋体" w:eastAsia="宋体" w:cs="宋体"/>
          <w:color w:val="auto"/>
          <w:sz w:val="21"/>
          <w:szCs w:val="21"/>
          <w:highlight w:val="none"/>
        </w:rPr>
        <w:t>。甲方有权要求乙方在验收时提供检测报告或生产厂家官方技术说明书、官方产品宣传页等证明材料原件，有权将仪器设备送第三方检测机构进行检测，以核验产品的设备性能参数与乙方投标时响应的技术性能、参数完全一致，否则视为验收不合格。</w:t>
      </w:r>
    </w:p>
    <w:p w14:paraId="0824FE4A">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3.采购项目进行验收时，甲方可以邀请参加本项目的其他投标人、技术专家或者第三方机构参与验收。参与验收的投标人、技术专家或者第三方机构的意见作为验收书的参考资料一并存档。验收费用由乙方承担。</w:t>
      </w:r>
    </w:p>
    <w:p w14:paraId="00E8438D">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4.甲方有权将货物送第三方具有相应资质的检测或鉴定机构进行检测或鉴定。</w:t>
      </w:r>
    </w:p>
    <w:p w14:paraId="2EF59826">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5.甲方在验收过程中由甲方代表及</w:t>
      </w:r>
      <w:r>
        <w:rPr>
          <w:rFonts w:hint="eastAsia" w:ascii="宋体" w:hAnsi="宋体" w:cs="宋体"/>
          <w:color w:val="auto"/>
          <w:sz w:val="21"/>
          <w:szCs w:val="21"/>
          <w:highlight w:val="none"/>
          <w:lang w:val="en-US" w:eastAsia="zh-CN"/>
        </w:rPr>
        <w:t>乙方</w:t>
      </w:r>
      <w:r>
        <w:rPr>
          <w:rFonts w:hint="eastAsia" w:ascii="宋体" w:hAnsi="宋体" w:eastAsia="宋体" w:cs="宋体"/>
          <w:color w:val="auto"/>
          <w:sz w:val="21"/>
          <w:szCs w:val="21"/>
          <w:highlight w:val="none"/>
          <w:lang w:eastAsia="zh-CN"/>
        </w:rPr>
        <w:t>代表</w:t>
      </w:r>
      <w:r>
        <w:rPr>
          <w:rFonts w:hint="eastAsia" w:ascii="宋体" w:hAnsi="宋体" w:eastAsia="宋体" w:cs="宋体"/>
          <w:color w:val="auto"/>
          <w:sz w:val="21"/>
          <w:szCs w:val="21"/>
          <w:highlight w:val="none"/>
        </w:rPr>
        <w:t>共同对安装、调试情况进行记录。本项目所有</w:t>
      </w:r>
      <w:r>
        <w:rPr>
          <w:rFonts w:hint="eastAsia" w:ascii="宋体" w:hAnsi="宋体" w:cs="宋体"/>
          <w:color w:val="auto"/>
          <w:sz w:val="21"/>
          <w:szCs w:val="21"/>
          <w:highlight w:val="none"/>
          <w:lang w:val="en-US" w:eastAsia="zh-CN"/>
        </w:rPr>
        <w:t>设备</w:t>
      </w:r>
      <w:r>
        <w:rPr>
          <w:rFonts w:hint="eastAsia" w:ascii="宋体" w:hAnsi="宋体" w:eastAsia="宋体" w:cs="宋体"/>
          <w:color w:val="auto"/>
          <w:sz w:val="21"/>
          <w:szCs w:val="21"/>
          <w:highlight w:val="none"/>
        </w:rPr>
        <w:t>功能模块，试运行测评完成后，对测评不通过的部分，</w:t>
      </w:r>
      <w:r>
        <w:rPr>
          <w:rFonts w:hint="eastAsia" w:ascii="宋体" w:hAnsi="宋体" w:cs="宋体"/>
          <w:color w:val="auto"/>
          <w:sz w:val="21"/>
          <w:szCs w:val="21"/>
          <w:highlight w:val="none"/>
          <w:lang w:val="en-US" w:eastAsia="zh-CN"/>
        </w:rPr>
        <w:t>乙方</w:t>
      </w:r>
      <w:r>
        <w:rPr>
          <w:rFonts w:hint="eastAsia" w:ascii="宋体" w:hAnsi="宋体" w:eastAsia="宋体" w:cs="宋体"/>
          <w:color w:val="auto"/>
          <w:sz w:val="21"/>
          <w:szCs w:val="21"/>
          <w:highlight w:val="none"/>
        </w:rPr>
        <w:t>须无条件整改，直至整改通过，否则项目将不予整体验收。因</w:t>
      </w:r>
      <w:r>
        <w:rPr>
          <w:rFonts w:hint="eastAsia" w:ascii="宋体" w:hAnsi="宋体" w:cs="宋体"/>
          <w:color w:val="auto"/>
          <w:sz w:val="21"/>
          <w:szCs w:val="21"/>
          <w:highlight w:val="none"/>
          <w:lang w:val="en-US" w:eastAsia="zh-CN"/>
        </w:rPr>
        <w:t>乙方</w:t>
      </w:r>
      <w:r>
        <w:rPr>
          <w:rFonts w:hint="eastAsia" w:ascii="宋体" w:hAnsi="宋体" w:eastAsia="宋体" w:cs="宋体"/>
          <w:color w:val="auto"/>
          <w:sz w:val="21"/>
          <w:szCs w:val="21"/>
          <w:highlight w:val="none"/>
        </w:rPr>
        <w:t>原因导致的测评不通过，将导致项目无法整体验收，此视为</w:t>
      </w:r>
      <w:r>
        <w:rPr>
          <w:rFonts w:hint="eastAsia" w:ascii="宋体" w:hAnsi="宋体" w:cs="宋体"/>
          <w:color w:val="auto"/>
          <w:sz w:val="21"/>
          <w:szCs w:val="21"/>
          <w:highlight w:val="none"/>
          <w:lang w:val="en-US" w:eastAsia="zh-CN"/>
        </w:rPr>
        <w:t>乙方</w:t>
      </w:r>
      <w:r>
        <w:rPr>
          <w:rFonts w:hint="eastAsia" w:ascii="宋体" w:hAnsi="宋体" w:eastAsia="宋体" w:cs="宋体"/>
          <w:color w:val="auto"/>
          <w:sz w:val="21"/>
          <w:szCs w:val="21"/>
          <w:highlight w:val="none"/>
        </w:rPr>
        <w:t>严重违约，</w:t>
      </w:r>
      <w:r>
        <w:rPr>
          <w:rFonts w:hint="eastAsia" w:ascii="宋体" w:hAnsi="宋体" w:cs="宋体"/>
          <w:color w:val="auto"/>
          <w:sz w:val="21"/>
          <w:szCs w:val="21"/>
          <w:highlight w:val="none"/>
          <w:lang w:val="en-US" w:eastAsia="zh-CN"/>
        </w:rPr>
        <w:t>乙方</w:t>
      </w:r>
      <w:r>
        <w:rPr>
          <w:rFonts w:hint="eastAsia" w:ascii="宋体" w:hAnsi="宋体" w:eastAsia="宋体" w:cs="宋体"/>
          <w:color w:val="auto"/>
          <w:sz w:val="21"/>
          <w:szCs w:val="21"/>
          <w:highlight w:val="none"/>
        </w:rPr>
        <w:t>须退回</w:t>
      </w:r>
      <w:r>
        <w:rPr>
          <w:rFonts w:hint="eastAsia" w:ascii="宋体" w:hAnsi="宋体" w:cs="宋体"/>
          <w:color w:val="auto"/>
          <w:sz w:val="21"/>
          <w:szCs w:val="21"/>
          <w:highlight w:val="none"/>
          <w:lang w:val="en-US" w:eastAsia="zh-CN"/>
        </w:rPr>
        <w:t>甲方</w:t>
      </w:r>
      <w:r>
        <w:rPr>
          <w:rFonts w:hint="eastAsia" w:ascii="宋体" w:hAnsi="宋体" w:eastAsia="宋体" w:cs="宋体"/>
          <w:color w:val="auto"/>
          <w:sz w:val="21"/>
          <w:szCs w:val="21"/>
          <w:highlight w:val="none"/>
        </w:rPr>
        <w:t>已经支付的所有款项，并须承担无法验收给</w:t>
      </w:r>
      <w:r>
        <w:rPr>
          <w:rFonts w:hint="eastAsia" w:ascii="宋体" w:hAnsi="宋体" w:cs="宋体"/>
          <w:color w:val="auto"/>
          <w:sz w:val="21"/>
          <w:szCs w:val="21"/>
          <w:highlight w:val="none"/>
          <w:lang w:val="en-US" w:eastAsia="zh-CN"/>
        </w:rPr>
        <w:t>甲方</w:t>
      </w:r>
      <w:r>
        <w:rPr>
          <w:rFonts w:hint="eastAsia" w:ascii="宋体" w:hAnsi="宋体" w:eastAsia="宋体" w:cs="宋体"/>
          <w:color w:val="auto"/>
          <w:sz w:val="21"/>
          <w:szCs w:val="21"/>
          <w:highlight w:val="none"/>
        </w:rPr>
        <w:t>造成的损失。</w:t>
      </w:r>
    </w:p>
    <w:p w14:paraId="2E2571C0">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6.甲方在验收中，如发现</w:t>
      </w:r>
      <w:r>
        <w:rPr>
          <w:rFonts w:hint="eastAsia" w:ascii="宋体" w:hAnsi="宋体" w:cs="宋体"/>
          <w:color w:val="auto"/>
          <w:sz w:val="21"/>
          <w:szCs w:val="21"/>
          <w:highlight w:val="none"/>
          <w:lang w:val="en-US" w:eastAsia="zh-CN"/>
        </w:rPr>
        <w:t>产品</w:t>
      </w:r>
      <w:r>
        <w:rPr>
          <w:rFonts w:hint="eastAsia" w:ascii="宋体" w:hAnsi="宋体" w:eastAsia="宋体" w:cs="宋体"/>
          <w:color w:val="auto"/>
          <w:sz w:val="21"/>
          <w:szCs w:val="21"/>
          <w:highlight w:val="none"/>
        </w:rPr>
        <w:t>的</w:t>
      </w:r>
      <w:r>
        <w:rPr>
          <w:rFonts w:hint="eastAsia" w:ascii="宋体" w:hAnsi="宋体" w:cs="宋体"/>
          <w:color w:val="auto"/>
          <w:sz w:val="21"/>
          <w:szCs w:val="21"/>
          <w:highlight w:val="none"/>
          <w:lang w:val="en-US" w:eastAsia="zh-CN"/>
        </w:rPr>
        <w:t>名称</w:t>
      </w:r>
      <w:r>
        <w:rPr>
          <w:rFonts w:hint="eastAsia" w:ascii="宋体" w:hAnsi="宋体" w:eastAsia="宋体" w:cs="宋体"/>
          <w:color w:val="auto"/>
          <w:sz w:val="21"/>
          <w:szCs w:val="21"/>
          <w:highlight w:val="none"/>
        </w:rPr>
        <w:t>、型号、规格、数量、质量等不符合合同、招标文件、投标文件及承诺规定或附件关于</w:t>
      </w:r>
      <w:r>
        <w:rPr>
          <w:rFonts w:hint="eastAsia" w:ascii="宋体" w:hAnsi="宋体" w:cs="宋体"/>
          <w:color w:val="auto"/>
          <w:sz w:val="21"/>
          <w:szCs w:val="21"/>
          <w:highlight w:val="none"/>
          <w:lang w:val="en-US" w:eastAsia="zh-CN"/>
        </w:rPr>
        <w:t>产品</w:t>
      </w:r>
      <w:r>
        <w:rPr>
          <w:rFonts w:hint="eastAsia" w:ascii="宋体" w:hAnsi="宋体" w:eastAsia="宋体" w:cs="宋体"/>
          <w:color w:val="auto"/>
          <w:sz w:val="21"/>
          <w:szCs w:val="21"/>
          <w:highlight w:val="none"/>
        </w:rPr>
        <w:t>配置的描述或存在其他问题的，有权拒绝接收货物，并可以在验收后五个工作日内以书面形式向乙方提出，乙方应在收到甲方书面通知后在甲方指定的期限内按照甲方的要求采取补足、更换或退货等处理措施予以解决。因补足、更换货物造成逾期的，按乙方逾期交付处理。甲方保留进一步追究责任的权利。</w:t>
      </w:r>
    </w:p>
    <w:p w14:paraId="4296904B">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7.甲方应于</w:t>
      </w:r>
      <w:r>
        <w:rPr>
          <w:rFonts w:hint="eastAsia" w:ascii="宋体" w:hAnsi="宋体" w:cs="宋体"/>
          <w:color w:val="auto"/>
          <w:sz w:val="21"/>
          <w:szCs w:val="21"/>
          <w:highlight w:val="none"/>
          <w:lang w:val="en-US" w:eastAsia="zh-CN"/>
        </w:rPr>
        <w:t>产品</w:t>
      </w:r>
      <w:r>
        <w:rPr>
          <w:rFonts w:hint="eastAsia" w:ascii="宋体" w:hAnsi="宋体" w:eastAsia="宋体" w:cs="宋体"/>
          <w:color w:val="auto"/>
          <w:sz w:val="21"/>
          <w:szCs w:val="21"/>
          <w:highlight w:val="none"/>
        </w:rPr>
        <w:t>安装调试完成</w:t>
      </w:r>
      <w:r>
        <w:rPr>
          <w:rFonts w:hint="eastAsia" w:ascii="宋体" w:hAnsi="宋体" w:cs="宋体"/>
          <w:color w:val="auto"/>
          <w:sz w:val="21"/>
          <w:szCs w:val="21"/>
          <w:highlight w:val="none"/>
          <w:lang w:val="en-US" w:eastAsia="zh-CN"/>
        </w:rPr>
        <w:t>后，甲方自行组织项目</w:t>
      </w:r>
      <w:r>
        <w:rPr>
          <w:rFonts w:hint="eastAsia" w:ascii="宋体" w:hAnsi="宋体" w:eastAsia="宋体" w:cs="宋体"/>
          <w:color w:val="auto"/>
          <w:sz w:val="21"/>
          <w:szCs w:val="21"/>
          <w:highlight w:val="none"/>
        </w:rPr>
        <w:t>验收。甲方需要将</w:t>
      </w:r>
      <w:r>
        <w:rPr>
          <w:rFonts w:hint="eastAsia" w:ascii="宋体" w:hAnsi="宋体" w:cs="宋体"/>
          <w:color w:val="auto"/>
          <w:sz w:val="21"/>
          <w:szCs w:val="21"/>
          <w:highlight w:val="none"/>
          <w:lang w:val="en-US" w:eastAsia="zh-CN"/>
        </w:rPr>
        <w:t>产品</w:t>
      </w:r>
      <w:r>
        <w:rPr>
          <w:rFonts w:hint="eastAsia" w:ascii="宋体" w:hAnsi="宋体" w:eastAsia="宋体" w:cs="宋体"/>
          <w:color w:val="auto"/>
          <w:sz w:val="21"/>
          <w:szCs w:val="21"/>
          <w:highlight w:val="none"/>
        </w:rPr>
        <w:t>送第三方具有相应资质的检测或鉴定机构进行检测、鉴定的，检测、鉴定的时间不计算在验收完成时间内。</w:t>
      </w:r>
    </w:p>
    <w:p w14:paraId="45848733">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w:t>
      </w:r>
      <w:r>
        <w:rPr>
          <w:rFonts w:hint="eastAsia" w:ascii="宋体" w:hAnsi="宋体" w:eastAsia="宋体" w:cs="宋体"/>
          <w:color w:val="auto"/>
          <w:sz w:val="21"/>
          <w:szCs w:val="21"/>
          <w:highlight w:val="none"/>
          <w:lang w:eastAsia="zh-CN"/>
        </w:rPr>
        <w:t>七</w:t>
      </w:r>
      <w:r>
        <w:rPr>
          <w:rFonts w:hint="eastAsia" w:ascii="宋体" w:hAnsi="宋体" w:eastAsia="宋体" w:cs="宋体"/>
          <w:color w:val="auto"/>
          <w:sz w:val="21"/>
          <w:szCs w:val="21"/>
          <w:highlight w:val="none"/>
        </w:rPr>
        <w:t>条　售后服务、质量保证期及培训</w:t>
      </w:r>
    </w:p>
    <w:p w14:paraId="4DFE909C">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乙方应按</w:t>
      </w:r>
      <w:r>
        <w:rPr>
          <w:rFonts w:hint="eastAsia" w:ascii="宋体" w:hAnsi="宋体" w:cs="宋体"/>
          <w:color w:val="auto"/>
          <w:sz w:val="21"/>
          <w:szCs w:val="21"/>
          <w:highlight w:val="none"/>
          <w:lang w:eastAsia="zh-CN"/>
        </w:rPr>
        <w:t>投</w:t>
      </w:r>
      <w:r>
        <w:rPr>
          <w:rFonts w:hint="eastAsia" w:ascii="宋体" w:hAnsi="宋体" w:eastAsia="宋体" w:cs="宋体"/>
          <w:color w:val="auto"/>
          <w:sz w:val="21"/>
          <w:szCs w:val="21"/>
          <w:highlight w:val="none"/>
        </w:rPr>
        <w:t>标文件</w:t>
      </w:r>
      <w:r>
        <w:rPr>
          <w:rFonts w:hint="eastAsia" w:ascii="宋体" w:hAnsi="宋体" w:cs="宋体"/>
          <w:color w:val="auto"/>
          <w:sz w:val="21"/>
          <w:szCs w:val="21"/>
          <w:highlight w:val="none"/>
          <w:lang w:eastAsia="zh-CN"/>
        </w:rPr>
        <w:t>承诺</w:t>
      </w:r>
      <w:r>
        <w:rPr>
          <w:rFonts w:hint="eastAsia" w:ascii="宋体" w:hAnsi="宋体" w:eastAsia="宋体" w:cs="宋体"/>
          <w:color w:val="auto"/>
          <w:sz w:val="21"/>
          <w:szCs w:val="21"/>
          <w:highlight w:val="none"/>
        </w:rPr>
        <w:t>的产品名称、商标品牌、生产厂家、规格型号、技术参数、质量标准向甲方提供未经使用的全新产品。不符合要求的，根据实际情况，由甲方选择以下方式处理：</w:t>
      </w:r>
    </w:p>
    <w:p w14:paraId="52BEF4C4">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
        </w:rPr>
        <w:t>1）</w:t>
      </w:r>
      <w:r>
        <w:rPr>
          <w:rFonts w:hint="eastAsia" w:ascii="宋体" w:hAnsi="宋体" w:eastAsia="宋体" w:cs="宋体"/>
          <w:color w:val="auto"/>
          <w:sz w:val="21"/>
          <w:szCs w:val="21"/>
          <w:highlight w:val="none"/>
        </w:rPr>
        <w:t>更换：由乙方承担所发生的全部费用。</w:t>
      </w:r>
    </w:p>
    <w:p w14:paraId="3445C9C2">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
        </w:rPr>
        <w:t>2）</w:t>
      </w:r>
      <w:r>
        <w:rPr>
          <w:rFonts w:hint="eastAsia" w:ascii="宋体" w:hAnsi="宋体" w:eastAsia="宋体" w:cs="宋体"/>
          <w:color w:val="auto"/>
          <w:sz w:val="21"/>
          <w:szCs w:val="21"/>
          <w:highlight w:val="none"/>
        </w:rPr>
        <w:t>贬值处理：由甲乙双方合议定价。</w:t>
      </w:r>
    </w:p>
    <w:p w14:paraId="06EB1683">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
        </w:rPr>
        <w:t>3）</w:t>
      </w:r>
      <w:r>
        <w:rPr>
          <w:rFonts w:hint="eastAsia" w:ascii="宋体" w:hAnsi="宋体" w:eastAsia="宋体" w:cs="宋体"/>
          <w:color w:val="auto"/>
          <w:sz w:val="21"/>
          <w:szCs w:val="21"/>
          <w:highlight w:val="none"/>
        </w:rPr>
        <w:t>退货处理：乙方应退还甲方支付的合同款，同时应承担该货物的直接费用（运输、保险、检验、货款利息及银行手续费等）。</w:t>
      </w:r>
    </w:p>
    <w:p w14:paraId="2D95964A">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乙方应按照国家有关法律法规、投标文件和合同所附的《售后服务承诺》要求为甲方提供相应的售后服务。</w:t>
      </w:r>
    </w:p>
    <w:p w14:paraId="4F05328D">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在质保期内，乙方应对货物出现的质量及安全问题负责处理解决并承担一切费用。质保期为</w:t>
      </w:r>
    </w:p>
    <w:p w14:paraId="01D5D76A">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w:t>
      </w:r>
      <w:r>
        <w:rPr>
          <w:rFonts w:hint="eastAsia" w:ascii="宋体" w:hAnsi="宋体" w:cs="宋体"/>
          <w:color w:val="auto"/>
          <w:sz w:val="21"/>
          <w:szCs w:val="21"/>
          <w:highlight w:val="none"/>
          <w:lang w:val="en-US" w:eastAsia="zh-CN"/>
        </w:rPr>
        <w:t>年</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质保期</w:t>
      </w:r>
      <w:r>
        <w:rPr>
          <w:rFonts w:hint="eastAsia" w:ascii="宋体" w:hAnsi="宋体" w:eastAsia="宋体" w:cs="宋体"/>
          <w:color w:val="auto"/>
          <w:sz w:val="21"/>
          <w:szCs w:val="21"/>
          <w:highlight w:val="none"/>
          <w:lang w:eastAsia="zh-CN"/>
        </w:rPr>
        <w:t>按乙方投标文件中的承诺为准）</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rPr>
        <w:t>若</w:t>
      </w:r>
      <w:r>
        <w:rPr>
          <w:rFonts w:hint="eastAsia" w:ascii="宋体" w:hAnsi="宋体" w:cs="宋体"/>
          <w:color w:val="auto"/>
          <w:sz w:val="21"/>
          <w:szCs w:val="21"/>
          <w:highlight w:val="none"/>
          <w:lang w:val="en-US" w:eastAsia="zh-CN"/>
        </w:rPr>
        <w:t>系统</w:t>
      </w:r>
      <w:r>
        <w:rPr>
          <w:rFonts w:hint="eastAsia" w:ascii="宋体" w:hAnsi="宋体" w:cs="宋体"/>
          <w:color w:val="auto"/>
          <w:sz w:val="21"/>
          <w:szCs w:val="21"/>
          <w:highlight w:val="none"/>
        </w:rPr>
        <w:t>生产厂家质保期超过此年限的，合同履行过程中按厂家质保执行；若</w:t>
      </w:r>
      <w:r>
        <w:rPr>
          <w:rFonts w:hint="eastAsia" w:ascii="宋体" w:hAnsi="宋体" w:cs="宋体"/>
          <w:color w:val="auto"/>
          <w:sz w:val="21"/>
          <w:szCs w:val="21"/>
          <w:highlight w:val="none"/>
          <w:lang w:val="en-US" w:eastAsia="zh-CN"/>
        </w:rPr>
        <w:t>乙方</w:t>
      </w:r>
      <w:r>
        <w:rPr>
          <w:rFonts w:hint="eastAsia" w:ascii="宋体" w:hAnsi="宋体" w:cs="宋体"/>
          <w:color w:val="auto"/>
          <w:sz w:val="21"/>
          <w:szCs w:val="21"/>
          <w:highlight w:val="none"/>
        </w:rPr>
        <w:t>质保期承诺优于产品生产厂家质保年限的，以</w:t>
      </w:r>
      <w:r>
        <w:rPr>
          <w:rFonts w:hint="eastAsia" w:ascii="宋体" w:hAnsi="宋体" w:cs="宋体"/>
          <w:color w:val="auto"/>
          <w:sz w:val="21"/>
          <w:szCs w:val="21"/>
          <w:highlight w:val="none"/>
          <w:lang w:val="en-US" w:eastAsia="zh-CN"/>
        </w:rPr>
        <w:t>乙方</w:t>
      </w:r>
      <w:r>
        <w:rPr>
          <w:rFonts w:hint="eastAsia" w:ascii="宋体" w:hAnsi="宋体" w:cs="宋体"/>
          <w:color w:val="auto"/>
          <w:sz w:val="21"/>
          <w:szCs w:val="21"/>
          <w:highlight w:val="none"/>
        </w:rPr>
        <w:t>承诺执行</w:t>
      </w:r>
      <w:r>
        <w:rPr>
          <w:rFonts w:hint="eastAsia" w:ascii="宋体" w:hAnsi="宋体" w:eastAsia="宋体" w:cs="宋体"/>
          <w:color w:val="auto"/>
          <w:sz w:val="21"/>
          <w:szCs w:val="21"/>
          <w:highlight w:val="none"/>
        </w:rPr>
        <w:t>。</w:t>
      </w:r>
    </w:p>
    <w:p w14:paraId="049743EF">
      <w:pPr>
        <w:spacing w:line="40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val="en"/>
        </w:rPr>
        <w:t>.</w:t>
      </w:r>
      <w:r>
        <w:rPr>
          <w:rFonts w:hint="eastAsia" w:ascii="宋体" w:hAnsi="宋体" w:eastAsia="宋体" w:cs="宋体"/>
          <w:color w:val="auto"/>
          <w:kern w:val="0"/>
          <w:sz w:val="21"/>
          <w:szCs w:val="21"/>
          <w:highlight w:val="none"/>
        </w:rPr>
        <w:t>质保期届满后，乙方对本合同项下</w:t>
      </w:r>
      <w:r>
        <w:rPr>
          <w:rFonts w:hint="eastAsia" w:ascii="宋体" w:hAnsi="宋体" w:cs="宋体"/>
          <w:color w:val="auto"/>
          <w:kern w:val="0"/>
          <w:sz w:val="21"/>
          <w:szCs w:val="21"/>
          <w:highlight w:val="none"/>
          <w:lang w:val="en-US" w:eastAsia="zh-CN"/>
        </w:rPr>
        <w:t>产品</w:t>
      </w:r>
      <w:r>
        <w:rPr>
          <w:rFonts w:hint="eastAsia" w:ascii="宋体" w:hAnsi="宋体" w:eastAsia="宋体" w:cs="宋体"/>
          <w:color w:val="auto"/>
          <w:kern w:val="0"/>
          <w:sz w:val="21"/>
          <w:szCs w:val="21"/>
          <w:highlight w:val="none"/>
        </w:rPr>
        <w:t>提供终身维修服务，服务内容应与质保期内的要求相一致。</w:t>
      </w:r>
      <w:r>
        <w:rPr>
          <w:rFonts w:hint="eastAsia" w:ascii="宋体" w:hAnsi="宋体" w:cs="宋体"/>
          <w:b/>
          <w:bCs/>
          <w:color w:val="auto"/>
          <w:sz w:val="21"/>
          <w:szCs w:val="21"/>
          <w:highlight w:val="none"/>
          <w:u w:val="none"/>
          <w:lang w:val="en-US" w:eastAsia="zh-CN"/>
        </w:rPr>
        <w:t>（最终合同签署按采购需求各分标约定的执行）</w:t>
      </w:r>
    </w:p>
    <w:p w14:paraId="250B6055">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甲方应提供必要安装条件（如场地、电源、水源等）。</w:t>
      </w:r>
    </w:p>
    <w:p w14:paraId="4BEC84FD">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乙方</w:t>
      </w:r>
      <w:r>
        <w:rPr>
          <w:rFonts w:hint="eastAsia" w:ascii="宋体" w:hAnsi="宋体" w:eastAsia="宋体" w:cs="宋体"/>
          <w:color w:val="auto"/>
          <w:sz w:val="21"/>
          <w:szCs w:val="21"/>
          <w:highlight w:val="none"/>
          <w:lang w:val="en" w:eastAsia="zh-CN"/>
        </w:rPr>
        <w:t>按</w:t>
      </w:r>
      <w:r>
        <w:rPr>
          <w:rFonts w:hint="eastAsia" w:ascii="宋体" w:hAnsi="宋体" w:eastAsia="宋体" w:cs="宋体"/>
          <w:color w:val="auto"/>
          <w:sz w:val="21"/>
          <w:szCs w:val="21"/>
          <w:highlight w:val="none"/>
        </w:rPr>
        <w:t>投标文件承诺负责甲方有关人员的培训。</w:t>
      </w:r>
    </w:p>
    <w:p w14:paraId="5BC35197">
      <w:pPr>
        <w:spacing w:line="400" w:lineRule="exact"/>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第八条　</w:t>
      </w:r>
      <w:r>
        <w:rPr>
          <w:rFonts w:hint="eastAsia" w:ascii="宋体" w:hAnsi="宋体" w:cs="宋体"/>
          <w:bCs/>
          <w:color w:val="auto"/>
          <w:sz w:val="21"/>
          <w:szCs w:val="21"/>
          <w:highlight w:val="none"/>
          <w:lang w:val="en-US" w:eastAsia="zh-CN"/>
        </w:rPr>
        <w:t>产品</w:t>
      </w:r>
      <w:r>
        <w:rPr>
          <w:rFonts w:hint="eastAsia" w:ascii="宋体" w:hAnsi="宋体" w:eastAsia="宋体" w:cs="宋体"/>
          <w:bCs/>
          <w:color w:val="auto"/>
          <w:sz w:val="21"/>
          <w:szCs w:val="21"/>
          <w:highlight w:val="none"/>
        </w:rPr>
        <w:t>保管及风险承担</w:t>
      </w:r>
    </w:p>
    <w:p w14:paraId="66550473">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w:t>
      </w:r>
      <w:r>
        <w:rPr>
          <w:rFonts w:hint="eastAsia" w:ascii="宋体" w:hAnsi="宋体" w:cs="宋体"/>
          <w:color w:val="auto"/>
          <w:sz w:val="21"/>
          <w:szCs w:val="21"/>
          <w:highlight w:val="none"/>
          <w:lang w:val="en-US" w:eastAsia="zh-CN"/>
        </w:rPr>
        <w:t>产品</w:t>
      </w:r>
      <w:r>
        <w:rPr>
          <w:rFonts w:hint="eastAsia" w:ascii="宋体" w:hAnsi="宋体" w:eastAsia="宋体" w:cs="宋体"/>
          <w:color w:val="auto"/>
          <w:sz w:val="21"/>
          <w:szCs w:val="21"/>
          <w:highlight w:val="none"/>
        </w:rPr>
        <w:t>交付前，</w:t>
      </w:r>
      <w:r>
        <w:rPr>
          <w:rFonts w:hint="eastAsia" w:ascii="宋体" w:hAnsi="宋体" w:cs="宋体"/>
          <w:color w:val="auto"/>
          <w:sz w:val="21"/>
          <w:szCs w:val="21"/>
          <w:highlight w:val="none"/>
          <w:lang w:val="en-US" w:eastAsia="zh-CN"/>
        </w:rPr>
        <w:t>产品</w:t>
      </w:r>
      <w:r>
        <w:rPr>
          <w:rFonts w:hint="eastAsia" w:ascii="宋体" w:hAnsi="宋体" w:eastAsia="宋体" w:cs="宋体"/>
          <w:color w:val="auto"/>
          <w:sz w:val="21"/>
          <w:szCs w:val="21"/>
          <w:highlight w:val="none"/>
        </w:rPr>
        <w:t>保管责任及损毁、灭失的风险由乙方承担，</w:t>
      </w:r>
      <w:r>
        <w:rPr>
          <w:rFonts w:hint="eastAsia" w:ascii="宋体" w:hAnsi="宋体" w:cs="宋体"/>
          <w:color w:val="auto"/>
          <w:sz w:val="21"/>
          <w:szCs w:val="21"/>
          <w:highlight w:val="none"/>
          <w:lang w:val="en-US" w:eastAsia="zh-CN"/>
        </w:rPr>
        <w:t>产品</w:t>
      </w:r>
      <w:r>
        <w:rPr>
          <w:rFonts w:hint="eastAsia" w:ascii="宋体" w:hAnsi="宋体" w:eastAsia="宋体" w:cs="宋体"/>
          <w:color w:val="auto"/>
          <w:sz w:val="21"/>
          <w:szCs w:val="21"/>
          <w:highlight w:val="none"/>
        </w:rPr>
        <w:t>验收合格后的风险转由甲方承担。</w:t>
      </w:r>
    </w:p>
    <w:p w14:paraId="4A4D156C">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第九条　付款方式</w:t>
      </w:r>
    </w:p>
    <w:p w14:paraId="2B429DF2">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
        </w:rPr>
        <w:t>.</w:t>
      </w:r>
      <w:r>
        <w:rPr>
          <w:rFonts w:hint="eastAsia" w:ascii="宋体" w:hAnsi="宋体" w:cs="宋体"/>
          <w:color w:val="auto"/>
          <w:sz w:val="21"/>
          <w:szCs w:val="21"/>
          <w:highlight w:val="none"/>
          <w:u w:val="single"/>
          <w:lang w:val="en-US" w:eastAsia="zh-CN"/>
        </w:rPr>
        <w:t xml:space="preserve">                   （按采购需求各分标约定的执行）       </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w:t>
      </w:r>
    </w:p>
    <w:p w14:paraId="0445937D">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乙方指定以下账户为接受本合同价款的账户，并对其指定的下列账户信息真实性、安全性、准确性负责。</w:t>
      </w:r>
    </w:p>
    <w:p w14:paraId="2A2ED7C8">
      <w:pPr>
        <w:spacing w:line="40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账户名称：</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rPr>
        <w:t>；</w:t>
      </w:r>
    </w:p>
    <w:p w14:paraId="33DB37CC">
      <w:pPr>
        <w:spacing w:line="40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开户银行：</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rPr>
        <w:t>；</w:t>
      </w:r>
    </w:p>
    <w:p w14:paraId="1F4583DE">
      <w:pPr>
        <w:spacing w:line="40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银行账号：</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rPr>
        <w:t>；</w:t>
      </w:r>
    </w:p>
    <w:p w14:paraId="060B2FE5">
      <w:pPr>
        <w:spacing w:line="40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联系人：</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rPr>
        <w:t>；</w:t>
      </w:r>
    </w:p>
    <w:p w14:paraId="2C56EEF0">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rPr>
        <w:t>。</w:t>
      </w:r>
    </w:p>
    <w:p w14:paraId="6CEAA34F">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如乙方上述账户信息发生变更，乙方应提前向甲方发送书面通知，未能提前书面通知而产生的不利后果由乙方自行承担。</w:t>
      </w:r>
    </w:p>
    <w:p w14:paraId="1548415E">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乙方应持甲方签字确认的验收合格</w:t>
      </w:r>
      <w:r>
        <w:rPr>
          <w:rFonts w:hint="eastAsia" w:ascii="宋体" w:hAnsi="宋体" w:eastAsia="宋体" w:cs="宋体"/>
          <w:color w:val="auto"/>
          <w:sz w:val="21"/>
          <w:szCs w:val="21"/>
          <w:highlight w:val="none"/>
          <w:lang w:eastAsia="zh-CN"/>
        </w:rPr>
        <w:t>材料</w:t>
      </w:r>
      <w:r>
        <w:rPr>
          <w:rFonts w:hint="eastAsia" w:ascii="宋体" w:hAnsi="宋体" w:eastAsia="宋体" w:cs="宋体"/>
          <w:color w:val="auto"/>
          <w:sz w:val="21"/>
          <w:szCs w:val="21"/>
          <w:highlight w:val="none"/>
        </w:rPr>
        <w:t>结算货款。</w:t>
      </w:r>
    </w:p>
    <w:p w14:paraId="562C731A">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甲方在支付每笔款项前，乙方应当提供可供政府审计并且符合税务规定的正式发票，</w:t>
      </w:r>
      <w:r>
        <w:rPr>
          <w:rFonts w:hint="eastAsia" w:ascii="宋体" w:hAnsi="宋体" w:eastAsia="宋体" w:cs="宋体"/>
          <w:color w:val="auto"/>
          <w:spacing w:val="-6"/>
          <w:sz w:val="21"/>
          <w:szCs w:val="21"/>
          <w:highlight w:val="none"/>
        </w:rPr>
        <w:t>否则甲方有权拒付相应款项直至乙方能提供符合规定的发票为止。</w:t>
      </w:r>
    </w:p>
    <w:p w14:paraId="1464F636">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第十条　履约保证金</w:t>
      </w:r>
    </w:p>
    <w:p w14:paraId="6BFCFB30">
      <w:pPr>
        <w:tabs>
          <w:tab w:val="left" w:pos="1140"/>
        </w:tabs>
        <w:spacing w:line="360" w:lineRule="exact"/>
        <w:ind w:firstLine="420" w:firstLineChars="200"/>
        <w:rPr>
          <w:rFonts w:ascii="宋体" w:hAnsi="宋体"/>
          <w:color w:val="auto"/>
          <w:kern w:val="0"/>
          <w:highlight w:val="none"/>
        </w:rPr>
      </w:pPr>
      <w:r>
        <w:rPr>
          <w:rFonts w:hint="eastAsia" w:ascii="宋体" w:hAnsi="宋体"/>
          <w:color w:val="auto"/>
          <w:kern w:val="0"/>
          <w:highlight w:val="none"/>
        </w:rPr>
        <w:t>1.履约保证金金额：</w:t>
      </w:r>
      <w:r>
        <w:rPr>
          <w:rFonts w:hint="eastAsia" w:ascii="宋体" w:hAnsi="宋体"/>
          <w:color w:val="auto"/>
          <w:kern w:val="0"/>
          <w:highlight w:val="none"/>
          <w:lang w:val="en-US" w:eastAsia="zh-CN"/>
        </w:rPr>
        <w:t>中标</w:t>
      </w:r>
      <w:r>
        <w:rPr>
          <w:rFonts w:hint="eastAsia" w:ascii="宋体" w:hAnsi="宋体"/>
          <w:color w:val="auto"/>
          <w:kern w:val="0"/>
          <w:highlight w:val="none"/>
        </w:rPr>
        <w:t>金额的</w:t>
      </w:r>
      <w:r>
        <w:rPr>
          <w:rFonts w:hint="eastAsia" w:ascii="宋体" w:hAnsi="宋体"/>
          <w:color w:val="auto"/>
          <w:kern w:val="0"/>
          <w:highlight w:val="none"/>
          <w:u w:val="single"/>
          <w:lang w:val="en-US" w:eastAsia="zh-CN"/>
        </w:rPr>
        <w:t xml:space="preserve">    </w:t>
      </w:r>
      <w:r>
        <w:rPr>
          <w:rFonts w:hint="eastAsia" w:ascii="宋体" w:hAnsi="宋体"/>
          <w:color w:val="auto"/>
          <w:kern w:val="0"/>
          <w:highlight w:val="none"/>
        </w:rPr>
        <w:t>%</w:t>
      </w:r>
      <w:r>
        <w:rPr>
          <w:rFonts w:hint="eastAsia" w:ascii="宋体" w:hAnsi="宋体"/>
          <w:color w:val="auto"/>
          <w:kern w:val="0"/>
          <w:highlight w:val="none"/>
          <w:lang w:eastAsia="zh-CN"/>
        </w:rPr>
        <w:t>，</w:t>
      </w:r>
      <w:r>
        <w:rPr>
          <w:rFonts w:hint="eastAsia" w:ascii="宋体" w:hAnsi="宋体"/>
          <w:color w:val="auto"/>
          <w:kern w:val="0"/>
          <w:highlight w:val="none"/>
        </w:rPr>
        <w:t>即</w:t>
      </w:r>
      <w:r>
        <w:rPr>
          <w:rFonts w:hint="eastAsia" w:ascii="宋体" w:hAnsi="宋体"/>
          <w:color w:val="auto"/>
          <w:kern w:val="0"/>
          <w:highlight w:val="none"/>
          <w:u w:val="single"/>
        </w:rPr>
        <w:t xml:space="preserve"> </w:t>
      </w:r>
      <w:r>
        <w:rPr>
          <w:rFonts w:hint="eastAsia" w:ascii="宋体" w:hAnsi="宋体"/>
          <w:color w:val="auto"/>
          <w:kern w:val="0"/>
          <w:highlight w:val="none"/>
          <w:u w:val="single"/>
          <w:lang w:eastAsia="zh-CN"/>
        </w:rPr>
        <w:t>人民币</w:t>
      </w:r>
      <w:r>
        <w:rPr>
          <w:rFonts w:hint="eastAsia" w:ascii="宋体" w:hAnsi="宋体"/>
          <w:color w:val="auto"/>
          <w:kern w:val="0"/>
          <w:highlight w:val="none"/>
          <w:u w:val="single"/>
          <w:lang w:val="en-US" w:eastAsia="zh-CN"/>
        </w:rPr>
        <w:t xml:space="preserve">    </w:t>
      </w:r>
      <w:r>
        <w:rPr>
          <w:rFonts w:hint="eastAsia" w:ascii="宋体" w:hAnsi="宋体"/>
          <w:color w:val="auto"/>
          <w:kern w:val="0"/>
          <w:highlight w:val="none"/>
          <w:u w:val="single"/>
          <w:lang w:eastAsia="zh-CN"/>
        </w:rPr>
        <w:t>元</w:t>
      </w:r>
      <w:r>
        <w:rPr>
          <w:rFonts w:hint="eastAsia" w:ascii="宋体" w:hAnsi="宋体"/>
          <w:color w:val="auto"/>
          <w:kern w:val="0"/>
          <w:highlight w:val="none"/>
          <w:u w:val="single"/>
          <w:lang w:val="en-US" w:eastAsia="zh-CN"/>
        </w:rPr>
        <w:t xml:space="preserve"> （</w:t>
      </w:r>
      <w:r>
        <w:rPr>
          <w:rFonts w:hint="default" w:ascii="Arial" w:hAnsi="Arial" w:cs="Arial"/>
          <w:color w:val="auto"/>
          <w:kern w:val="0"/>
          <w:highlight w:val="none"/>
          <w:u w:val="single"/>
          <w:lang w:val="en-US" w:eastAsia="zh-CN"/>
        </w:rPr>
        <w:t>￥</w:t>
      </w:r>
      <w:r>
        <w:rPr>
          <w:rFonts w:hint="eastAsia" w:ascii="宋体" w:hAnsi="宋体"/>
          <w:color w:val="auto"/>
          <w:kern w:val="0"/>
          <w:highlight w:val="none"/>
          <w:u w:val="single"/>
          <w:lang w:val="en-US" w:eastAsia="zh-CN"/>
        </w:rPr>
        <w:t>）</w:t>
      </w:r>
      <w:r>
        <w:rPr>
          <w:rFonts w:hint="eastAsia" w:ascii="宋体" w:hAnsi="宋体"/>
          <w:color w:val="auto"/>
          <w:kern w:val="0"/>
          <w:highlight w:val="none"/>
          <w:u w:val="single"/>
        </w:rPr>
        <w:t xml:space="preserve">     </w:t>
      </w:r>
      <w:r>
        <w:rPr>
          <w:rFonts w:hint="eastAsia" w:ascii="宋体" w:hAnsi="宋体"/>
          <w:color w:val="auto"/>
          <w:kern w:val="0"/>
          <w:highlight w:val="none"/>
        </w:rPr>
        <w:t>。</w:t>
      </w:r>
    </w:p>
    <w:p w14:paraId="1F5EA8BC">
      <w:pPr>
        <w:tabs>
          <w:tab w:val="left" w:pos="1140"/>
        </w:tabs>
        <w:spacing w:line="360" w:lineRule="exact"/>
        <w:ind w:firstLine="420" w:firstLineChars="200"/>
        <w:rPr>
          <w:rFonts w:ascii="宋体" w:hAnsi="宋体"/>
          <w:color w:val="auto"/>
          <w:kern w:val="0"/>
          <w:highlight w:val="none"/>
        </w:rPr>
      </w:pPr>
      <w:r>
        <w:rPr>
          <w:rFonts w:hint="eastAsia" w:ascii="宋体" w:hAnsi="宋体"/>
          <w:color w:val="auto"/>
          <w:kern w:val="0"/>
          <w:highlight w:val="none"/>
        </w:rPr>
        <w:t>2.</w:t>
      </w:r>
      <w:r>
        <w:rPr>
          <w:rFonts w:hint="eastAsia" w:ascii="宋体" w:hAnsi="宋体"/>
          <w:color w:val="auto"/>
          <w:szCs w:val="21"/>
          <w:highlight w:val="none"/>
        </w:rPr>
        <w:t>履约保证金提交方式：以银行转账、支票、汇票、本票或者金融机构、担保机构出具的保函等非现金形式缴纳或提交，以转账方式提交履约保证金的，由乙方在签订合同前按规定的金额直接缴入右江民族医学院账户，账户名称: 右江民族医学院；开户行：建设银行百色分行营业部；银行账号：45001676101050702467。否则，不予办理签订合同。履约保证金提交时必须备注项目名称、项目编号（合同编号）。如：XXXXX项目履约保证金，项目编号/合同编号XXXXX-XXXXXX</w:t>
      </w:r>
      <w:r>
        <w:rPr>
          <w:rFonts w:hint="eastAsia" w:ascii="宋体" w:hAnsi="宋体"/>
          <w:color w:val="auto"/>
          <w:kern w:val="0"/>
          <w:highlight w:val="none"/>
        </w:rPr>
        <w:t>。</w:t>
      </w:r>
    </w:p>
    <w:p w14:paraId="3DF3C839">
      <w:pPr>
        <w:tabs>
          <w:tab w:val="left" w:pos="1140"/>
        </w:tabs>
        <w:spacing w:line="360" w:lineRule="exact"/>
        <w:ind w:firstLine="420" w:firstLineChars="200"/>
        <w:rPr>
          <w:rFonts w:ascii="宋体" w:hAnsi="宋体"/>
          <w:color w:val="auto"/>
          <w:kern w:val="0"/>
          <w:highlight w:val="none"/>
        </w:rPr>
      </w:pPr>
      <w:r>
        <w:rPr>
          <w:rFonts w:hint="eastAsia" w:ascii="宋体" w:hAnsi="宋体"/>
          <w:color w:val="auto"/>
          <w:kern w:val="0"/>
          <w:highlight w:val="none"/>
        </w:rPr>
        <w:t>3.</w:t>
      </w:r>
      <w:r>
        <w:rPr>
          <w:rFonts w:hint="eastAsia" w:ascii="宋体" w:hAnsi="宋体"/>
          <w:color w:val="auto"/>
          <w:szCs w:val="21"/>
          <w:highlight w:val="none"/>
        </w:rPr>
        <w:t>签订合同后，如乙方出现不按双方签订的合同规定履约，则其全部履约保证金不予退还，履约保证金不足以赔偿损失的，按实际损失赔偿</w:t>
      </w:r>
      <w:r>
        <w:rPr>
          <w:rFonts w:hint="eastAsia" w:ascii="宋体" w:hAnsi="宋体"/>
          <w:color w:val="auto"/>
          <w:kern w:val="0"/>
          <w:highlight w:val="none"/>
        </w:rPr>
        <w:t>。</w:t>
      </w:r>
    </w:p>
    <w:p w14:paraId="3A854DBF">
      <w:pPr>
        <w:tabs>
          <w:tab w:val="left" w:pos="1140"/>
        </w:tabs>
        <w:spacing w:line="360" w:lineRule="exact"/>
        <w:ind w:firstLine="420" w:firstLineChars="200"/>
        <w:rPr>
          <w:rFonts w:ascii="宋体" w:hAnsi="宋体"/>
          <w:color w:val="auto"/>
          <w:kern w:val="0"/>
          <w:highlight w:val="none"/>
        </w:rPr>
      </w:pPr>
      <w:r>
        <w:rPr>
          <w:rFonts w:hint="eastAsia" w:ascii="宋体" w:hAnsi="宋体"/>
          <w:color w:val="auto"/>
          <w:kern w:val="0"/>
          <w:highlight w:val="none"/>
        </w:rPr>
        <w:t>4.</w:t>
      </w:r>
      <w:r>
        <w:rPr>
          <w:rFonts w:hint="eastAsia" w:ascii="宋体" w:hAnsi="宋体"/>
          <w:color w:val="auto"/>
          <w:szCs w:val="21"/>
          <w:highlight w:val="none"/>
        </w:rPr>
        <w:t>履约保证金退付方式、时间及条件：乙方按合同约定交货验收合格后，向</w:t>
      </w:r>
      <w:r>
        <w:rPr>
          <w:rFonts w:hint="eastAsia" w:asciiTheme="minorEastAsia" w:hAnsiTheme="minorEastAsia" w:eastAsiaTheme="minorEastAsia" w:cstheme="minorEastAsia"/>
          <w:color w:val="auto"/>
          <w:sz w:val="21"/>
          <w:szCs w:val="21"/>
          <w:highlight w:val="none"/>
          <w:lang w:val="en-US" w:eastAsia="zh-CN"/>
        </w:rPr>
        <w:t>甲方</w:t>
      </w:r>
      <w:r>
        <w:rPr>
          <w:rFonts w:hint="eastAsia" w:ascii="宋体" w:hAnsi="宋体"/>
          <w:color w:val="auto"/>
          <w:szCs w:val="21"/>
          <w:highlight w:val="none"/>
        </w:rPr>
        <w:t>提交合格的合同验收书，填写履约保证金退付意见书等材料并经</w:t>
      </w:r>
      <w:r>
        <w:rPr>
          <w:rFonts w:hint="eastAsia" w:asciiTheme="minorEastAsia" w:hAnsiTheme="minorEastAsia" w:eastAsiaTheme="minorEastAsia" w:cstheme="minorEastAsia"/>
          <w:color w:val="auto"/>
          <w:sz w:val="21"/>
          <w:szCs w:val="21"/>
          <w:highlight w:val="none"/>
          <w:lang w:val="en-US" w:eastAsia="zh-CN"/>
        </w:rPr>
        <w:t>甲方</w:t>
      </w:r>
      <w:r>
        <w:rPr>
          <w:rFonts w:hint="eastAsia" w:ascii="宋体" w:hAnsi="宋体"/>
          <w:color w:val="auto"/>
          <w:szCs w:val="21"/>
          <w:highlight w:val="none"/>
        </w:rPr>
        <w:t>确认后，</w:t>
      </w:r>
      <w:r>
        <w:rPr>
          <w:rFonts w:hint="eastAsia" w:asciiTheme="minorEastAsia" w:hAnsiTheme="minorEastAsia" w:eastAsiaTheme="minorEastAsia" w:cstheme="minorEastAsia"/>
          <w:color w:val="auto"/>
          <w:sz w:val="21"/>
          <w:szCs w:val="21"/>
          <w:highlight w:val="none"/>
          <w:lang w:val="en-US" w:eastAsia="zh-CN"/>
        </w:rPr>
        <w:t>甲方</w:t>
      </w:r>
      <w:r>
        <w:rPr>
          <w:rFonts w:hint="eastAsia" w:ascii="宋体" w:hAnsi="宋体"/>
          <w:color w:val="auto"/>
          <w:szCs w:val="21"/>
          <w:highlight w:val="none"/>
        </w:rPr>
        <w:t>在5个工作日内按程序退还履约保证金（不计利息）</w:t>
      </w:r>
      <w:r>
        <w:rPr>
          <w:rFonts w:hint="eastAsia" w:ascii="宋体" w:hAnsi="宋体"/>
          <w:color w:val="auto"/>
          <w:kern w:val="0"/>
          <w:highlight w:val="none"/>
        </w:rPr>
        <w:t>。</w:t>
      </w:r>
    </w:p>
    <w:p w14:paraId="3ABDE516">
      <w:pPr>
        <w:tabs>
          <w:tab w:val="left" w:pos="1140"/>
        </w:tabs>
        <w:spacing w:line="360" w:lineRule="exact"/>
        <w:ind w:firstLine="420" w:firstLineChars="200"/>
        <w:rPr>
          <w:rFonts w:ascii="宋体" w:hAnsi="宋体"/>
          <w:color w:val="auto"/>
          <w:kern w:val="0"/>
          <w:highlight w:val="none"/>
        </w:rPr>
      </w:pPr>
      <w:r>
        <w:rPr>
          <w:rFonts w:hint="eastAsia" w:ascii="宋体" w:hAnsi="宋体"/>
          <w:color w:val="auto"/>
          <w:kern w:val="0"/>
          <w:highlight w:val="none"/>
        </w:rPr>
        <w:t>5.</w:t>
      </w:r>
      <w:r>
        <w:rPr>
          <w:rFonts w:hint="eastAsia" w:ascii="宋体" w:hAnsi="宋体"/>
          <w:color w:val="auto"/>
          <w:szCs w:val="21"/>
          <w:highlight w:val="none"/>
        </w:rPr>
        <w:t>在履约保证金退还日期前，若乙方的开户名称、开户银行、账号有变动的，请以书面形式通知</w:t>
      </w:r>
      <w:r>
        <w:rPr>
          <w:rFonts w:hint="eastAsia" w:asciiTheme="minorEastAsia" w:hAnsiTheme="minorEastAsia" w:eastAsiaTheme="minorEastAsia" w:cstheme="minorEastAsia"/>
          <w:color w:val="auto"/>
          <w:sz w:val="21"/>
          <w:szCs w:val="21"/>
          <w:highlight w:val="none"/>
          <w:lang w:val="en-US" w:eastAsia="zh-CN"/>
        </w:rPr>
        <w:t>甲方</w:t>
      </w:r>
      <w:r>
        <w:rPr>
          <w:rFonts w:hint="eastAsia" w:ascii="宋体" w:hAnsi="宋体"/>
          <w:color w:val="auto"/>
          <w:szCs w:val="21"/>
          <w:highlight w:val="none"/>
        </w:rPr>
        <w:t>，否则由此产生的后果由乙方自负</w:t>
      </w:r>
      <w:r>
        <w:rPr>
          <w:rFonts w:hint="eastAsia" w:ascii="宋体" w:hAnsi="宋体"/>
          <w:color w:val="auto"/>
          <w:kern w:val="0"/>
          <w:highlight w:val="none"/>
        </w:rPr>
        <w:t>。</w:t>
      </w:r>
    </w:p>
    <w:p w14:paraId="156E9E9C">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第十一条　税费</w:t>
      </w:r>
    </w:p>
    <w:p w14:paraId="06F44703">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本合同执行中相关的一切税费均由乙方负担。</w:t>
      </w:r>
    </w:p>
    <w:p w14:paraId="6D25206B">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第十二条　违约责任</w:t>
      </w:r>
    </w:p>
    <w:p w14:paraId="37C15E6C">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乙方仅交付部分</w:t>
      </w:r>
      <w:r>
        <w:rPr>
          <w:rFonts w:hint="eastAsia" w:ascii="宋体" w:hAnsi="宋体" w:cs="宋体"/>
          <w:color w:val="auto"/>
          <w:sz w:val="21"/>
          <w:szCs w:val="21"/>
          <w:highlight w:val="none"/>
          <w:lang w:val="en-US" w:eastAsia="zh-CN"/>
        </w:rPr>
        <w:t>产品</w:t>
      </w:r>
      <w:r>
        <w:rPr>
          <w:rFonts w:hint="eastAsia" w:ascii="宋体" w:hAnsi="宋体" w:eastAsia="宋体" w:cs="宋体"/>
          <w:color w:val="auto"/>
          <w:sz w:val="21"/>
          <w:szCs w:val="21"/>
          <w:highlight w:val="none"/>
        </w:rPr>
        <w:t>的，甲方有权解除合同，退还已</w:t>
      </w:r>
      <w:r>
        <w:rPr>
          <w:rFonts w:hint="eastAsia" w:ascii="宋体" w:hAnsi="宋体" w:cs="宋体"/>
          <w:color w:val="auto"/>
          <w:sz w:val="21"/>
          <w:szCs w:val="21"/>
          <w:highlight w:val="none"/>
          <w:lang w:val="en-US" w:eastAsia="zh-CN"/>
        </w:rPr>
        <w:t>交付产品</w:t>
      </w:r>
      <w:r>
        <w:rPr>
          <w:rFonts w:hint="eastAsia" w:ascii="宋体" w:hAnsi="宋体" w:eastAsia="宋体" w:cs="宋体"/>
          <w:color w:val="auto"/>
          <w:sz w:val="21"/>
          <w:szCs w:val="21"/>
          <w:highlight w:val="none"/>
        </w:rPr>
        <w:t>，乙方应退还已经收取的货款，并按合同金额的</w:t>
      </w:r>
      <w:r>
        <w:rPr>
          <w:rFonts w:hint="eastAsia" w:ascii="宋体" w:hAnsi="宋体" w:eastAsia="宋体" w:cs="宋体"/>
          <w:color w:val="auto"/>
          <w:sz w:val="21"/>
          <w:szCs w:val="21"/>
          <w:highlight w:val="none"/>
          <w:lang w:val="en-US" w:eastAsia="zh-CN"/>
        </w:rPr>
        <w:t>20</w:t>
      </w:r>
      <w:r>
        <w:rPr>
          <w:rFonts w:hint="eastAsia" w:ascii="宋体" w:hAnsi="宋体" w:eastAsia="宋体" w:cs="宋体"/>
          <w:color w:val="auto"/>
          <w:sz w:val="21"/>
          <w:szCs w:val="21"/>
          <w:highlight w:val="none"/>
        </w:rPr>
        <w:t>%承担违约金。</w:t>
      </w:r>
    </w:p>
    <w:p w14:paraId="784D0E77">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乙方逾期交付货物的，每逾期一日，</w:t>
      </w:r>
      <w:r>
        <w:rPr>
          <w:rFonts w:hint="eastAsia" w:ascii="宋体" w:hAnsi="宋体" w:eastAsia="宋体" w:cs="宋体"/>
          <w:color w:val="auto"/>
          <w:sz w:val="21"/>
          <w:szCs w:val="21"/>
          <w:highlight w:val="none"/>
          <w:lang w:eastAsia="zh-CN"/>
        </w:rPr>
        <w:t>每日</w:t>
      </w:r>
      <w:r>
        <w:rPr>
          <w:rFonts w:hint="eastAsia" w:ascii="宋体" w:hAnsi="宋体" w:eastAsia="宋体" w:cs="宋体"/>
          <w:color w:val="auto"/>
          <w:sz w:val="21"/>
          <w:szCs w:val="21"/>
          <w:highlight w:val="none"/>
        </w:rPr>
        <w:t>应按合同金额的</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‰向甲方支付逾期交付的违约金；逾期超过十</w:t>
      </w:r>
      <w:r>
        <w:rPr>
          <w:rFonts w:hint="eastAsia" w:ascii="宋体" w:hAnsi="宋体" w:eastAsia="宋体" w:cs="宋体"/>
          <w:color w:val="auto"/>
          <w:sz w:val="21"/>
          <w:szCs w:val="21"/>
          <w:highlight w:val="none"/>
          <w:lang w:eastAsia="zh-CN"/>
        </w:rPr>
        <w:t>五</w:t>
      </w:r>
      <w:r>
        <w:rPr>
          <w:rFonts w:hint="eastAsia" w:ascii="宋体" w:hAnsi="宋体" w:eastAsia="宋体" w:cs="宋体"/>
          <w:color w:val="auto"/>
          <w:sz w:val="21"/>
          <w:szCs w:val="21"/>
          <w:highlight w:val="none"/>
        </w:rPr>
        <w:t>日的，甲方有权单方解除合同，并要求乙方退还已收取的款项，同时乙方应按照合同金额的</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0%向甲方支付违约金并承担因此给甲方造成的经济损失。</w:t>
      </w:r>
    </w:p>
    <w:p w14:paraId="37E55200">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乙方所提供的产品名称、商标品牌、生产厂家、规格型号、技术参数、质量等</w:t>
      </w:r>
      <w:r>
        <w:rPr>
          <w:rFonts w:hint="eastAsia" w:ascii="宋体" w:hAnsi="宋体" w:eastAsia="宋体" w:cs="宋体"/>
          <w:color w:val="auto"/>
          <w:sz w:val="21"/>
          <w:szCs w:val="21"/>
          <w:highlight w:val="none"/>
          <w:lang w:eastAsia="zh-CN"/>
        </w:rPr>
        <w:t>与招标文件、投标文件不符</w:t>
      </w:r>
      <w:r>
        <w:rPr>
          <w:rFonts w:hint="eastAsia" w:ascii="宋体" w:hAnsi="宋体" w:eastAsia="宋体" w:cs="宋体"/>
          <w:color w:val="auto"/>
          <w:sz w:val="21"/>
          <w:szCs w:val="21"/>
          <w:highlight w:val="none"/>
        </w:rPr>
        <w:t>的，应按甲方的要求、在甲方指定的期限内更换，乙方因更换造成货物逾期交付的，按乙方逾期交付承担违约责任；</w:t>
      </w:r>
      <w:r>
        <w:rPr>
          <w:rFonts w:hint="eastAsia" w:ascii="宋体" w:hAnsi="宋体" w:eastAsia="宋体" w:cs="宋体"/>
          <w:color w:val="auto"/>
          <w:sz w:val="21"/>
          <w:szCs w:val="21"/>
          <w:highlight w:val="none"/>
          <w:lang w:eastAsia="zh-CN"/>
        </w:rPr>
        <w:t>乙方未按甲方要求及期限内更换合格的货物的，</w:t>
      </w:r>
      <w:r>
        <w:rPr>
          <w:rFonts w:hint="eastAsia" w:ascii="宋体" w:hAnsi="宋体" w:eastAsia="宋体" w:cs="宋体"/>
          <w:color w:val="auto"/>
          <w:sz w:val="21"/>
          <w:szCs w:val="21"/>
          <w:highlight w:val="none"/>
        </w:rPr>
        <w:t>甲方有权解除合同，要求乙方退还已收取的货款，并要求乙方按合同合计金额的</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0%支付违约金。</w:t>
      </w:r>
    </w:p>
    <w:p w14:paraId="20AF782F">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乙方提供的货物如侵犯了第三方合法权益而引发的任何纠纷或者诉讼，均由乙方负责交涉并承担全部责任，如甲方为解决纠纷矛盾先期支付了费用的，乙方应当自收到甲方要求偿还费用的函之日起五日内向甲方偿还完毕。</w:t>
      </w:r>
    </w:p>
    <w:p w14:paraId="44D5169C">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乙方未按本合同和招标文件、投标文件中规定的服务承诺提供售后服务的，每违约一次，应按合同合计金额的</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%向甲方支付违约金。</w:t>
      </w:r>
    </w:p>
    <w:p w14:paraId="6CBADB37">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乙方支付的违约金不足以弥补甲方损失的，应承担赔偿责任，甲方有权继续向乙方追偿。乙方应支付给甲方的任何违约金</w:t>
      </w:r>
      <w:r>
        <w:rPr>
          <w:rFonts w:hint="eastAsia" w:ascii="宋体" w:hAnsi="宋体" w:eastAsia="宋体" w:cs="宋体"/>
          <w:color w:val="auto"/>
          <w:sz w:val="21"/>
          <w:szCs w:val="21"/>
          <w:highlight w:val="none"/>
          <w:lang w:eastAsia="zh-CN"/>
        </w:rPr>
        <w:t>或赔偿</w:t>
      </w:r>
      <w:r>
        <w:rPr>
          <w:rFonts w:hint="eastAsia" w:ascii="宋体" w:hAnsi="宋体" w:eastAsia="宋体" w:cs="宋体"/>
          <w:color w:val="auto"/>
          <w:sz w:val="21"/>
          <w:szCs w:val="21"/>
          <w:highlight w:val="none"/>
        </w:rPr>
        <w:t>，甲方有权从任何应支付未支付给乙方的款项中直接抵扣。</w:t>
      </w:r>
    </w:p>
    <w:p w14:paraId="513AD5CC">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甲方延期</w:t>
      </w:r>
      <w:r>
        <w:rPr>
          <w:rFonts w:hint="eastAsia" w:ascii="宋体" w:hAnsi="宋体" w:eastAsia="宋体" w:cs="宋体"/>
          <w:color w:val="auto"/>
          <w:sz w:val="21"/>
          <w:szCs w:val="21"/>
          <w:highlight w:val="none"/>
          <w:lang w:eastAsia="zh-CN"/>
        </w:rPr>
        <w:t>支</w:t>
      </w:r>
      <w:r>
        <w:rPr>
          <w:rFonts w:hint="eastAsia" w:ascii="宋体" w:hAnsi="宋体" w:eastAsia="宋体" w:cs="宋体"/>
          <w:color w:val="auto"/>
          <w:sz w:val="21"/>
          <w:szCs w:val="21"/>
          <w:highlight w:val="none"/>
        </w:rPr>
        <w:t>付</w:t>
      </w:r>
      <w:r>
        <w:rPr>
          <w:rFonts w:hint="eastAsia" w:ascii="宋体" w:hAnsi="宋体" w:eastAsia="宋体" w:cs="宋体"/>
          <w:color w:val="auto"/>
          <w:sz w:val="21"/>
          <w:szCs w:val="21"/>
          <w:highlight w:val="none"/>
          <w:lang w:eastAsia="zh-CN"/>
        </w:rPr>
        <w:t>合同金额</w:t>
      </w:r>
      <w:r>
        <w:rPr>
          <w:rFonts w:hint="eastAsia" w:ascii="宋体" w:hAnsi="宋体" w:eastAsia="宋体" w:cs="宋体"/>
          <w:color w:val="auto"/>
          <w:sz w:val="21"/>
          <w:szCs w:val="21"/>
          <w:highlight w:val="none"/>
        </w:rPr>
        <w:t>的，每天向乙方偿付延期货款额3‰的违约金，但违约金累计不超过延期</w:t>
      </w:r>
      <w:r>
        <w:rPr>
          <w:rFonts w:hint="eastAsia" w:ascii="宋体" w:hAnsi="宋体" w:eastAsia="宋体" w:cs="宋体"/>
          <w:color w:val="auto"/>
          <w:sz w:val="21"/>
          <w:szCs w:val="21"/>
          <w:highlight w:val="none"/>
          <w:lang w:eastAsia="zh-CN"/>
        </w:rPr>
        <w:t>应支付合同金额</w:t>
      </w:r>
      <w:r>
        <w:rPr>
          <w:rFonts w:hint="eastAsia" w:ascii="宋体" w:hAnsi="宋体" w:eastAsia="宋体" w:cs="宋体"/>
          <w:color w:val="auto"/>
          <w:sz w:val="21"/>
          <w:szCs w:val="21"/>
          <w:highlight w:val="none"/>
        </w:rPr>
        <w:t>的5%。</w:t>
      </w:r>
    </w:p>
    <w:p w14:paraId="0CCAF679">
      <w:pPr>
        <w:spacing w:line="400" w:lineRule="exact"/>
        <w:ind w:firstLine="420" w:firstLineChars="20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lang w:val="en"/>
        </w:rPr>
        <w:t>.本合同所称的甲方经济损失或者甲方损失，包括甲方遭受的全部直接经济损失及为此支出的合理费用（包括但不限于为此支出的调查费、诉讼费、保全费、律师费、差旅费、保全保险费、鉴定费等）。</w:t>
      </w:r>
    </w:p>
    <w:p w14:paraId="0D7C6D1D">
      <w:pPr>
        <w:spacing w:line="40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第十三条　不可抗力事件处理</w:t>
      </w:r>
    </w:p>
    <w:p w14:paraId="4B97EAA7">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在合同有效期内，任何一方因不可抗力事件导致不能履行合同，则合同履行期可延长，其延长期与不可抗力影响期相同。</w:t>
      </w:r>
    </w:p>
    <w:p w14:paraId="13323DAF">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不可抗力事件发生后，应立即通知对方，并寄送有关权威机构出具的证明。</w:t>
      </w:r>
    </w:p>
    <w:p w14:paraId="0DAE6A94">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不可抗力事件延续一百二十天以上，甲乙双方应通过友好协商，确定是否继续履行合同。</w:t>
      </w:r>
    </w:p>
    <w:p w14:paraId="72755803">
      <w:pPr>
        <w:spacing w:line="40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第十四条　合同争议解决</w:t>
      </w:r>
    </w:p>
    <w:p w14:paraId="62CFA5C8">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因货物质量问题发生争议的，应提交</w:t>
      </w:r>
      <w:r>
        <w:rPr>
          <w:rFonts w:hint="eastAsia" w:ascii="宋体" w:hAnsi="宋体" w:eastAsia="宋体" w:cs="宋体"/>
          <w:color w:val="auto"/>
          <w:sz w:val="21"/>
          <w:szCs w:val="21"/>
          <w:highlight w:val="none"/>
          <w:lang w:eastAsia="zh-CN"/>
        </w:rPr>
        <w:t>第三方</w:t>
      </w:r>
      <w:r>
        <w:rPr>
          <w:rFonts w:hint="eastAsia" w:ascii="宋体" w:hAnsi="宋体" w:eastAsia="宋体" w:cs="宋体"/>
          <w:color w:val="auto"/>
          <w:sz w:val="21"/>
          <w:szCs w:val="21"/>
          <w:highlight w:val="none"/>
        </w:rPr>
        <w:t>具有相应资质的</w:t>
      </w:r>
      <w:r>
        <w:rPr>
          <w:rFonts w:hint="eastAsia" w:ascii="宋体" w:hAnsi="宋体" w:eastAsia="宋体" w:cs="宋体"/>
          <w:color w:val="auto"/>
          <w:sz w:val="21"/>
          <w:szCs w:val="21"/>
          <w:highlight w:val="none"/>
          <w:lang w:eastAsia="zh-CN"/>
        </w:rPr>
        <w:t>检测或鉴定</w:t>
      </w:r>
      <w:r>
        <w:rPr>
          <w:rFonts w:hint="eastAsia" w:ascii="宋体" w:hAnsi="宋体" w:eastAsia="宋体" w:cs="宋体"/>
          <w:color w:val="auto"/>
          <w:sz w:val="21"/>
          <w:szCs w:val="21"/>
          <w:highlight w:val="none"/>
        </w:rPr>
        <w:t>机构进行鉴定。货物符合标准的，鉴定费由甲方承担；货物不符合标准的，鉴定费由乙方承担。</w:t>
      </w:r>
    </w:p>
    <w:p w14:paraId="7C8ED6FE">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因履行本合同引起的或者与本合同有关的争议，甲乙双方应首先通过友好协商解决，如果协商不能解决，可向甲方所在地有管辖权的人民法院提起诉讼。</w:t>
      </w:r>
    </w:p>
    <w:p w14:paraId="12C228D2">
      <w:pPr>
        <w:spacing w:line="40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第十五条　合同生效及其他</w:t>
      </w:r>
    </w:p>
    <w:p w14:paraId="6CB47D6E">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合同经甲乙双方法定代表人或者授权代表签字并加盖单位公章后生效。</w:t>
      </w:r>
    </w:p>
    <w:p w14:paraId="78F239FD">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合同执行中涉及采购资金和采购内容修改或者补充的，须经政府采购监管部门审批，并签书面补充协议报政府采购监管部门备案，方可作为主合同不可分割的一部分。</w:t>
      </w:r>
    </w:p>
    <w:p w14:paraId="0F0579FF">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合同未尽事宜，遵照《中华人民共和国民法典》等相关法律、法规规定有关条文执行。</w:t>
      </w:r>
    </w:p>
    <w:p w14:paraId="155A7007">
      <w:pPr>
        <w:spacing w:line="40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第十六条　合同的变更、终止与转让</w:t>
      </w:r>
    </w:p>
    <w:p w14:paraId="28E9ED91">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除《中华人民共和国政府采购法》第五十条规定的情形外，本合同一经签订，甲乙双方不得擅自变更、中止或者终止。</w:t>
      </w:r>
    </w:p>
    <w:p w14:paraId="0FD53D7B">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未经甲方书面同意，乙方不得擅自转让其应履行的合同义务。</w:t>
      </w:r>
    </w:p>
    <w:p w14:paraId="64EBF8A6">
      <w:pPr>
        <w:spacing w:line="40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第十七条　本合同与下列文件一起构成合同文件</w:t>
      </w:r>
    </w:p>
    <w:p w14:paraId="246DD1B7">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lang w:val="en" w:eastAsia="zh-CN"/>
        </w:rPr>
        <w:t>中标</w:t>
      </w:r>
      <w:r>
        <w:rPr>
          <w:rFonts w:hint="eastAsia" w:ascii="宋体" w:hAnsi="宋体" w:eastAsia="宋体" w:cs="宋体"/>
          <w:color w:val="auto"/>
          <w:sz w:val="21"/>
          <w:szCs w:val="21"/>
          <w:highlight w:val="none"/>
        </w:rPr>
        <w:t>通知书；</w:t>
      </w:r>
    </w:p>
    <w:p w14:paraId="4DB4D23D">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lang w:val="en" w:eastAsia="zh-CN"/>
        </w:rPr>
        <w:t>投标文件</w:t>
      </w:r>
      <w:r>
        <w:rPr>
          <w:rFonts w:hint="eastAsia" w:ascii="宋体" w:hAnsi="宋体" w:eastAsia="宋体" w:cs="宋体"/>
          <w:color w:val="auto"/>
          <w:sz w:val="21"/>
          <w:szCs w:val="21"/>
          <w:highlight w:val="none"/>
        </w:rPr>
        <w:t>；</w:t>
      </w:r>
    </w:p>
    <w:p w14:paraId="7FD6FF39">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lang w:val="en" w:eastAsia="zh-CN"/>
        </w:rPr>
        <w:t>招标文件</w:t>
      </w:r>
      <w:r>
        <w:rPr>
          <w:rFonts w:hint="eastAsia" w:ascii="宋体" w:hAnsi="宋体" w:eastAsia="宋体" w:cs="宋体"/>
          <w:color w:val="auto"/>
          <w:sz w:val="21"/>
          <w:szCs w:val="21"/>
          <w:highlight w:val="none"/>
        </w:rPr>
        <w:t>；</w:t>
      </w:r>
    </w:p>
    <w:p w14:paraId="775DC4B8">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lang w:val="en" w:eastAsia="zh-CN"/>
        </w:rPr>
        <w:t>合同附件</w:t>
      </w:r>
      <w:r>
        <w:rPr>
          <w:rFonts w:hint="eastAsia" w:ascii="宋体" w:hAnsi="宋体" w:eastAsia="宋体" w:cs="宋体"/>
          <w:color w:val="auto"/>
          <w:sz w:val="21"/>
          <w:szCs w:val="21"/>
          <w:highlight w:val="none"/>
        </w:rPr>
        <w:t>；</w:t>
      </w:r>
    </w:p>
    <w:p w14:paraId="1CA93B98">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val="en"/>
        </w:rPr>
        <w:t>.国家法律、行政法规和规章制度规定或合同约定的作为合同组成部分的其他文件</w:t>
      </w:r>
      <w:r>
        <w:rPr>
          <w:rFonts w:hint="eastAsia" w:ascii="宋体" w:hAnsi="宋体" w:eastAsia="宋体" w:cs="宋体"/>
          <w:color w:val="auto"/>
          <w:sz w:val="21"/>
          <w:szCs w:val="21"/>
          <w:highlight w:val="none"/>
        </w:rPr>
        <w:t>。</w:t>
      </w:r>
    </w:p>
    <w:p w14:paraId="3B17F892">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上述合同文件互相补充和解释。如果合同文件之间存在矛盾或者不一致之处，以本合同、上述文件的排列顺序在先者为准。</w:t>
      </w:r>
    </w:p>
    <w:p w14:paraId="3A18EBE4">
      <w:pPr>
        <w:spacing w:line="40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第十八条　其他约定事项</w:t>
      </w:r>
    </w:p>
    <w:p w14:paraId="1D997D0F">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本合同所有附件及相关文件均为本合同的有效组成部分，与本合同具有同等法律效力。若合同附件与本合同存在不一致的，则以本合同为准。</w:t>
      </w:r>
    </w:p>
    <w:p w14:paraId="121B1CC9">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
        </w:rPr>
        <w:t>.</w:t>
      </w:r>
      <w:r>
        <w:rPr>
          <w:rFonts w:hint="eastAsia" w:ascii="宋体" w:hAnsi="宋体" w:eastAsia="宋体" w:cs="宋体"/>
          <w:color w:val="auto"/>
          <w:sz w:val="21"/>
          <w:szCs w:val="21"/>
          <w:highlight w:val="none"/>
        </w:rPr>
        <w:t>在履行本合同过程中，所有经甲乙双方签署确认的文件（包括会议纪要、补充协议、往来信函、电子邮件等）即成为本合同的有效组成部分。</w:t>
      </w:r>
    </w:p>
    <w:p w14:paraId="58D7422B">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
        </w:rPr>
        <w:t>.甲乙</w:t>
      </w:r>
      <w:r>
        <w:rPr>
          <w:rFonts w:hint="eastAsia" w:ascii="宋体" w:hAnsi="宋体" w:eastAsia="宋体" w:cs="宋体"/>
          <w:color w:val="auto"/>
          <w:sz w:val="21"/>
          <w:szCs w:val="21"/>
          <w:highlight w:val="none"/>
        </w:rPr>
        <w:t>双方确认，以下为各方真实有效通讯地址：</w:t>
      </w:r>
    </w:p>
    <w:p w14:paraId="54F3C02B">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甲方：</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rPr>
        <w:t>，地址：</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rPr>
        <w:t>，收件人：</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rPr>
        <w:t>，电子邮箱：</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rPr>
        <w:t>。</w:t>
      </w:r>
    </w:p>
    <w:p w14:paraId="63B7F04C">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rPr>
        <w:t>，地址：</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rPr>
        <w:t>，收件人：</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rPr>
        <w:t>，电子邮箱：</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rPr>
        <w:t>。</w:t>
      </w:r>
    </w:p>
    <w:p w14:paraId="7310E65B">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方向对方发出的任何通知、信函和文件，以挂号信函或快递信函方式向对方地址邮寄有关通知、信函和文件的，自发出之日起第三日视为送达对方，挂号信函或快递信函的邮寄凭证即视为成功送达的有效凭证。一方地址变更的，应及时书面通知对方，否则上述地址仍为真实有效通讯地址。</w:t>
      </w:r>
    </w:p>
    <w:p w14:paraId="2C1D8398">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rPr>
        <w:t>4.</w:t>
      </w:r>
      <w:r>
        <w:rPr>
          <w:rFonts w:hint="eastAsia" w:ascii="宋体" w:hAnsi="宋体" w:eastAsia="宋体" w:cs="宋体"/>
          <w:color w:val="auto"/>
          <w:sz w:val="21"/>
          <w:szCs w:val="21"/>
          <w:highlight w:val="none"/>
        </w:rPr>
        <w:t>本合同一式</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rPr>
        <w:t>份，具有同等法律效力，采购代理机构各一份，甲乙双方各</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rPr>
        <w:t>份。</w:t>
      </w:r>
    </w:p>
    <w:p w14:paraId="4D09C835">
      <w:pPr>
        <w:snapToGrid w:val="0"/>
        <w:spacing w:line="360" w:lineRule="auto"/>
        <w:rPr>
          <w:rFonts w:hint="eastAsia" w:ascii="宋体" w:hAnsi="宋体" w:eastAsia="宋体" w:cs="宋体"/>
          <w:color w:val="auto"/>
          <w:szCs w:val="21"/>
          <w:highlight w:val="none"/>
        </w:rPr>
      </w:pP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99"/>
        <w:gridCol w:w="4800"/>
      </w:tblGrid>
      <w:tr w14:paraId="24E91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36" w:hRule="atLeast"/>
        </w:trPr>
        <w:tc>
          <w:tcPr>
            <w:tcW w:w="4799" w:type="dxa"/>
            <w:noWrap w:val="0"/>
            <w:vAlign w:val="center"/>
          </w:tcPr>
          <w:p w14:paraId="3EB0E731">
            <w:pPr>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甲方（章）           </w:t>
            </w:r>
          </w:p>
          <w:p w14:paraId="7BDEF496">
            <w:pPr>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Cs w:val="21"/>
                <w:highlight w:val="none"/>
              </w:rPr>
            </w:pPr>
          </w:p>
          <w:p w14:paraId="277DCB56">
            <w:pPr>
              <w:keepNext w:val="0"/>
              <w:keepLines w:val="0"/>
              <w:suppressLineNumbers w:val="0"/>
              <w:snapToGrid w:val="0"/>
              <w:spacing w:before="0" w:beforeAutospacing="0" w:after="0" w:afterAutospacing="0" w:line="360" w:lineRule="auto"/>
              <w:ind w:left="0" w:right="0" w:firstLine="945" w:firstLineChars="450"/>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rPr>
              <w:t>年   月   日</w:t>
            </w:r>
          </w:p>
        </w:tc>
        <w:tc>
          <w:tcPr>
            <w:tcW w:w="4800" w:type="dxa"/>
            <w:noWrap w:val="0"/>
            <w:vAlign w:val="center"/>
          </w:tcPr>
          <w:p w14:paraId="6012ACDC">
            <w:pPr>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乙方（章）              </w:t>
            </w:r>
          </w:p>
          <w:p w14:paraId="0DF8F93E">
            <w:pPr>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Cs w:val="21"/>
                <w:highlight w:val="none"/>
              </w:rPr>
            </w:pPr>
          </w:p>
          <w:p w14:paraId="0A2670EC">
            <w:pPr>
              <w:keepNext w:val="0"/>
              <w:keepLines w:val="0"/>
              <w:suppressLineNumbers w:val="0"/>
              <w:snapToGrid w:val="0"/>
              <w:spacing w:before="0" w:beforeAutospacing="0" w:after="0" w:afterAutospacing="0" w:line="360" w:lineRule="auto"/>
              <w:ind w:left="0" w:right="0"/>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年   月   日</w:t>
            </w:r>
          </w:p>
        </w:tc>
      </w:tr>
      <w:tr w14:paraId="3E44E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6" w:hRule="atLeast"/>
        </w:trPr>
        <w:tc>
          <w:tcPr>
            <w:tcW w:w="4799" w:type="dxa"/>
            <w:noWrap w:val="0"/>
            <w:vAlign w:val="center"/>
          </w:tcPr>
          <w:p w14:paraId="42AF048B">
            <w:pPr>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单位地址：</w:t>
            </w:r>
          </w:p>
        </w:tc>
        <w:tc>
          <w:tcPr>
            <w:tcW w:w="4800" w:type="dxa"/>
            <w:noWrap w:val="0"/>
            <w:vAlign w:val="center"/>
          </w:tcPr>
          <w:p w14:paraId="1B69BBFC">
            <w:pPr>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单位地址：</w:t>
            </w:r>
          </w:p>
        </w:tc>
      </w:tr>
      <w:tr w14:paraId="377E6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4799" w:type="dxa"/>
            <w:noWrap w:val="0"/>
            <w:vAlign w:val="top"/>
          </w:tcPr>
          <w:p w14:paraId="567F0F20">
            <w:pPr>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法定代表人或者</w:t>
            </w:r>
            <w:r>
              <w:rPr>
                <w:rFonts w:hint="eastAsia" w:ascii="宋体" w:hAnsi="宋体" w:eastAsia="宋体" w:cs="宋体"/>
                <w:color w:val="auto"/>
                <w:szCs w:val="21"/>
                <w:highlight w:val="none"/>
                <w:lang w:eastAsia="zh-CN"/>
              </w:rPr>
              <w:t>其</w:t>
            </w:r>
            <w:r>
              <w:rPr>
                <w:rFonts w:hint="eastAsia" w:ascii="宋体" w:hAnsi="宋体" w:eastAsia="宋体" w:cs="宋体"/>
                <w:color w:val="auto"/>
                <w:szCs w:val="21"/>
                <w:highlight w:val="none"/>
              </w:rPr>
              <w:t>委托代理人：</w:t>
            </w:r>
          </w:p>
        </w:tc>
        <w:tc>
          <w:tcPr>
            <w:tcW w:w="4800" w:type="dxa"/>
            <w:noWrap w:val="0"/>
            <w:vAlign w:val="top"/>
          </w:tcPr>
          <w:p w14:paraId="65AF675D">
            <w:pPr>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法定代表人或者</w:t>
            </w:r>
            <w:r>
              <w:rPr>
                <w:rFonts w:hint="eastAsia" w:ascii="宋体" w:hAnsi="宋体" w:eastAsia="宋体" w:cs="宋体"/>
                <w:color w:val="auto"/>
                <w:szCs w:val="21"/>
                <w:highlight w:val="none"/>
                <w:lang w:eastAsia="zh-CN"/>
              </w:rPr>
              <w:t>其</w:t>
            </w:r>
            <w:r>
              <w:rPr>
                <w:rFonts w:hint="eastAsia" w:ascii="宋体" w:hAnsi="宋体" w:eastAsia="宋体" w:cs="宋体"/>
                <w:color w:val="auto"/>
                <w:szCs w:val="21"/>
                <w:highlight w:val="none"/>
              </w:rPr>
              <w:t>委托代理人：</w:t>
            </w:r>
          </w:p>
        </w:tc>
      </w:tr>
      <w:tr w14:paraId="33ACD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trPr>
        <w:tc>
          <w:tcPr>
            <w:tcW w:w="4799" w:type="dxa"/>
            <w:noWrap w:val="0"/>
            <w:vAlign w:val="center"/>
          </w:tcPr>
          <w:p w14:paraId="2B00A1A9">
            <w:pPr>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电话：</w:t>
            </w:r>
          </w:p>
        </w:tc>
        <w:tc>
          <w:tcPr>
            <w:tcW w:w="4800" w:type="dxa"/>
            <w:noWrap w:val="0"/>
            <w:vAlign w:val="center"/>
          </w:tcPr>
          <w:p w14:paraId="169C3AD1">
            <w:pPr>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电话：</w:t>
            </w:r>
          </w:p>
        </w:tc>
      </w:tr>
      <w:tr w14:paraId="3DE8B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7" w:hRule="atLeast"/>
        </w:trPr>
        <w:tc>
          <w:tcPr>
            <w:tcW w:w="4799" w:type="dxa"/>
            <w:noWrap w:val="0"/>
            <w:vAlign w:val="center"/>
          </w:tcPr>
          <w:p w14:paraId="794F5CC4">
            <w:pPr>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电子邮箱：</w:t>
            </w:r>
          </w:p>
        </w:tc>
        <w:tc>
          <w:tcPr>
            <w:tcW w:w="4800" w:type="dxa"/>
            <w:noWrap w:val="0"/>
            <w:vAlign w:val="center"/>
          </w:tcPr>
          <w:p w14:paraId="787B7629">
            <w:pPr>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电子邮箱：</w:t>
            </w:r>
          </w:p>
        </w:tc>
      </w:tr>
      <w:tr w14:paraId="476E5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9" w:hRule="atLeast"/>
        </w:trPr>
        <w:tc>
          <w:tcPr>
            <w:tcW w:w="4799" w:type="dxa"/>
            <w:noWrap w:val="0"/>
            <w:vAlign w:val="center"/>
          </w:tcPr>
          <w:p w14:paraId="62A3841A">
            <w:pPr>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开户银行：</w:t>
            </w:r>
          </w:p>
        </w:tc>
        <w:tc>
          <w:tcPr>
            <w:tcW w:w="4800" w:type="dxa"/>
            <w:noWrap w:val="0"/>
            <w:vAlign w:val="center"/>
          </w:tcPr>
          <w:p w14:paraId="284F16D2">
            <w:pPr>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开户银行：</w:t>
            </w:r>
          </w:p>
        </w:tc>
      </w:tr>
      <w:tr w14:paraId="2EC6C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7" w:hRule="atLeast"/>
        </w:trPr>
        <w:tc>
          <w:tcPr>
            <w:tcW w:w="4799" w:type="dxa"/>
            <w:noWrap w:val="0"/>
            <w:vAlign w:val="center"/>
          </w:tcPr>
          <w:p w14:paraId="0BFB41BE">
            <w:pPr>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账号：</w:t>
            </w:r>
          </w:p>
        </w:tc>
        <w:tc>
          <w:tcPr>
            <w:tcW w:w="4800" w:type="dxa"/>
            <w:noWrap w:val="0"/>
            <w:vAlign w:val="center"/>
          </w:tcPr>
          <w:p w14:paraId="5DE20EC1">
            <w:pPr>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账号：</w:t>
            </w:r>
          </w:p>
        </w:tc>
      </w:tr>
      <w:tr w14:paraId="33599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6" w:hRule="atLeast"/>
        </w:trPr>
        <w:tc>
          <w:tcPr>
            <w:tcW w:w="4799" w:type="dxa"/>
            <w:noWrap w:val="0"/>
            <w:vAlign w:val="center"/>
          </w:tcPr>
          <w:p w14:paraId="6D666B07">
            <w:pPr>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邮政编码：</w:t>
            </w:r>
          </w:p>
        </w:tc>
        <w:tc>
          <w:tcPr>
            <w:tcW w:w="4800" w:type="dxa"/>
            <w:noWrap w:val="0"/>
            <w:vAlign w:val="center"/>
          </w:tcPr>
          <w:p w14:paraId="32F6CF33">
            <w:pPr>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邮政编码：</w:t>
            </w:r>
          </w:p>
        </w:tc>
      </w:tr>
    </w:tbl>
    <w:p w14:paraId="5FA32B09">
      <w:pPr>
        <w:snapToGrid w:val="0"/>
        <w:spacing w:line="360" w:lineRule="auto"/>
        <w:jc w:val="center"/>
        <w:rPr>
          <w:rFonts w:hint="eastAsia" w:ascii="宋体" w:hAnsi="宋体" w:eastAsia="宋体" w:cs="宋体"/>
          <w:b/>
          <w:color w:val="auto"/>
          <w:szCs w:val="21"/>
          <w:highlight w:val="none"/>
        </w:rPr>
      </w:pPr>
    </w:p>
    <w:p w14:paraId="36A230E1">
      <w:pP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br w:type="page"/>
      </w:r>
    </w:p>
    <w:p w14:paraId="1774F3AC">
      <w:pPr>
        <w:snapToGrid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合 同 附 件</w:t>
      </w:r>
    </w:p>
    <w:p w14:paraId="59D91078">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一般货物类</w:t>
      </w:r>
    </w:p>
    <w:tbl>
      <w:tblPr>
        <w:tblStyle w:val="28"/>
        <w:tblW w:w="0" w:type="auto"/>
        <w:tblInd w:w="0" w:type="dxa"/>
        <w:tblLayout w:type="fixed"/>
        <w:tblCellMar>
          <w:top w:w="0" w:type="dxa"/>
          <w:left w:w="108" w:type="dxa"/>
          <w:bottom w:w="0" w:type="dxa"/>
          <w:right w:w="108" w:type="dxa"/>
        </w:tblCellMar>
      </w:tblPr>
      <w:tblGrid>
        <w:gridCol w:w="4695"/>
        <w:gridCol w:w="4725"/>
      </w:tblGrid>
      <w:tr w14:paraId="6A16A6E6">
        <w:tblPrEx>
          <w:tblCellMar>
            <w:top w:w="0" w:type="dxa"/>
            <w:left w:w="108" w:type="dxa"/>
            <w:bottom w:w="0" w:type="dxa"/>
            <w:right w:w="108" w:type="dxa"/>
          </w:tblCellMar>
        </w:tblPrEx>
        <w:trPr>
          <w:trHeight w:val="1302" w:hRule="atLeast"/>
        </w:trPr>
        <w:tc>
          <w:tcPr>
            <w:tcW w:w="9420" w:type="dxa"/>
            <w:gridSpan w:val="2"/>
            <w:tcBorders>
              <w:top w:val="single" w:color="auto" w:sz="4" w:space="0"/>
              <w:left w:val="single" w:color="auto" w:sz="4" w:space="0"/>
              <w:right w:val="single" w:color="auto" w:sz="4" w:space="0"/>
            </w:tcBorders>
            <w:noWrap w:val="0"/>
            <w:vAlign w:val="top"/>
          </w:tcPr>
          <w:p w14:paraId="53DFF629">
            <w:pPr>
              <w:keepNext w:val="0"/>
              <w:keepLines w:val="0"/>
              <w:suppressLineNumbers w:val="0"/>
              <w:snapToGrid w:val="0"/>
              <w:spacing w:before="0" w:beforeAutospacing="0" w:after="0" w:afterAutospacing="0" w:line="360" w:lineRule="auto"/>
              <w:ind w:left="0" w:right="0"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 xml:space="preserve">1. </w:t>
            </w:r>
            <w:r>
              <w:rPr>
                <w:rFonts w:hint="eastAsia" w:ascii="宋体" w:hAnsi="宋体" w:cs="宋体"/>
                <w:b/>
                <w:color w:val="auto"/>
                <w:szCs w:val="21"/>
                <w:highlight w:val="none"/>
                <w:lang w:eastAsia="zh-CN"/>
              </w:rPr>
              <w:t>乙方</w:t>
            </w:r>
            <w:r>
              <w:rPr>
                <w:rFonts w:hint="eastAsia" w:ascii="宋体" w:hAnsi="宋体" w:eastAsia="宋体" w:cs="宋体"/>
                <w:b/>
                <w:color w:val="auto"/>
                <w:szCs w:val="21"/>
                <w:highlight w:val="none"/>
              </w:rPr>
              <w:t>承诺具体事项：</w:t>
            </w:r>
          </w:p>
        </w:tc>
      </w:tr>
      <w:tr w14:paraId="4B9127CA">
        <w:tblPrEx>
          <w:tblCellMar>
            <w:top w:w="0" w:type="dxa"/>
            <w:left w:w="108" w:type="dxa"/>
            <w:bottom w:w="0" w:type="dxa"/>
            <w:right w:w="108" w:type="dxa"/>
          </w:tblCellMar>
        </w:tblPrEx>
        <w:trPr>
          <w:trHeight w:val="1304" w:hRule="atLeast"/>
        </w:trPr>
        <w:tc>
          <w:tcPr>
            <w:tcW w:w="9420" w:type="dxa"/>
            <w:gridSpan w:val="2"/>
            <w:tcBorders>
              <w:top w:val="single" w:color="auto" w:sz="4" w:space="0"/>
              <w:left w:val="single" w:color="auto" w:sz="4" w:space="0"/>
              <w:right w:val="single" w:color="auto" w:sz="4" w:space="0"/>
            </w:tcBorders>
            <w:noWrap w:val="0"/>
            <w:vAlign w:val="top"/>
          </w:tcPr>
          <w:p w14:paraId="477D514A">
            <w:pPr>
              <w:keepNext w:val="0"/>
              <w:keepLines w:val="0"/>
              <w:suppressLineNumbers w:val="0"/>
              <w:snapToGrid w:val="0"/>
              <w:spacing w:before="0" w:beforeAutospacing="0" w:after="0" w:afterAutospacing="0" w:line="360" w:lineRule="auto"/>
              <w:ind w:left="0" w:right="0"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 售后服务具体事项：</w:t>
            </w:r>
          </w:p>
        </w:tc>
      </w:tr>
      <w:tr w14:paraId="2639756A">
        <w:tblPrEx>
          <w:tblCellMar>
            <w:top w:w="0" w:type="dxa"/>
            <w:left w:w="108" w:type="dxa"/>
            <w:bottom w:w="0" w:type="dxa"/>
            <w:right w:w="108" w:type="dxa"/>
          </w:tblCellMar>
        </w:tblPrEx>
        <w:trPr>
          <w:trHeight w:val="1157" w:hRule="atLeast"/>
        </w:trPr>
        <w:tc>
          <w:tcPr>
            <w:tcW w:w="9420" w:type="dxa"/>
            <w:gridSpan w:val="2"/>
            <w:tcBorders>
              <w:top w:val="single" w:color="auto" w:sz="4" w:space="0"/>
              <w:left w:val="single" w:color="auto" w:sz="4" w:space="0"/>
              <w:right w:val="single" w:color="auto" w:sz="4" w:space="0"/>
            </w:tcBorders>
            <w:noWrap w:val="0"/>
            <w:vAlign w:val="top"/>
          </w:tcPr>
          <w:p w14:paraId="33166996">
            <w:pPr>
              <w:keepNext w:val="0"/>
              <w:keepLines w:val="0"/>
              <w:suppressLineNumbers w:val="0"/>
              <w:snapToGrid w:val="0"/>
              <w:spacing w:before="0" w:beforeAutospacing="0" w:after="0" w:afterAutospacing="0" w:line="360" w:lineRule="auto"/>
              <w:ind w:left="0" w:right="0"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3. 保修期责任：</w:t>
            </w:r>
          </w:p>
        </w:tc>
      </w:tr>
      <w:tr w14:paraId="44CB431D">
        <w:tblPrEx>
          <w:tblCellMar>
            <w:top w:w="0" w:type="dxa"/>
            <w:left w:w="108" w:type="dxa"/>
            <w:bottom w:w="0" w:type="dxa"/>
            <w:right w:w="108" w:type="dxa"/>
          </w:tblCellMar>
        </w:tblPrEx>
        <w:trPr>
          <w:trHeight w:val="1443" w:hRule="atLeast"/>
        </w:trPr>
        <w:tc>
          <w:tcPr>
            <w:tcW w:w="9420" w:type="dxa"/>
            <w:gridSpan w:val="2"/>
            <w:tcBorders>
              <w:top w:val="single" w:color="auto" w:sz="4" w:space="0"/>
              <w:left w:val="single" w:color="auto" w:sz="4" w:space="0"/>
              <w:right w:val="single" w:color="auto" w:sz="4" w:space="0"/>
            </w:tcBorders>
            <w:noWrap w:val="0"/>
            <w:vAlign w:val="top"/>
          </w:tcPr>
          <w:p w14:paraId="53062B0F">
            <w:pPr>
              <w:keepNext w:val="0"/>
              <w:keepLines w:val="0"/>
              <w:suppressLineNumbers w:val="0"/>
              <w:snapToGrid w:val="0"/>
              <w:spacing w:before="0" w:beforeAutospacing="0" w:after="0" w:afterAutospacing="0" w:line="360" w:lineRule="auto"/>
              <w:ind w:left="0" w:right="0"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 xml:space="preserve">4. </w:t>
            </w:r>
            <w:r>
              <w:rPr>
                <w:rFonts w:hint="eastAsia" w:ascii="宋体" w:hAnsi="宋体" w:eastAsia="宋体" w:cs="宋体"/>
                <w:b/>
                <w:color w:val="auto"/>
                <w:szCs w:val="21"/>
                <w:highlight w:val="none"/>
                <w:lang w:eastAsia="zh-CN"/>
              </w:rPr>
              <w:t>其他</w:t>
            </w:r>
            <w:r>
              <w:rPr>
                <w:rFonts w:hint="eastAsia" w:ascii="宋体" w:hAnsi="宋体" w:eastAsia="宋体" w:cs="宋体"/>
                <w:b/>
                <w:color w:val="auto"/>
                <w:szCs w:val="21"/>
                <w:highlight w:val="none"/>
              </w:rPr>
              <w:t>具体事项：</w:t>
            </w:r>
          </w:p>
        </w:tc>
      </w:tr>
      <w:tr w14:paraId="537164DD">
        <w:tblPrEx>
          <w:tblCellMar>
            <w:top w:w="0" w:type="dxa"/>
            <w:left w:w="108" w:type="dxa"/>
            <w:bottom w:w="0" w:type="dxa"/>
            <w:right w:w="108" w:type="dxa"/>
          </w:tblCellMar>
        </w:tblPrEx>
        <w:trPr>
          <w:trHeight w:val="1816" w:hRule="atLeast"/>
        </w:trPr>
        <w:tc>
          <w:tcPr>
            <w:tcW w:w="4695" w:type="dxa"/>
            <w:tcBorders>
              <w:top w:val="single" w:color="auto" w:sz="4" w:space="0"/>
              <w:left w:val="single" w:color="auto" w:sz="4" w:space="0"/>
              <w:bottom w:val="single" w:color="auto" w:sz="4" w:space="0"/>
              <w:right w:val="single" w:color="auto" w:sz="4" w:space="0"/>
            </w:tcBorders>
            <w:noWrap w:val="0"/>
            <w:vAlign w:val="center"/>
          </w:tcPr>
          <w:p w14:paraId="1EB70EB7">
            <w:pPr>
              <w:keepNext w:val="0"/>
              <w:keepLines w:val="0"/>
              <w:suppressLineNumbers w:val="0"/>
              <w:snapToGrid w:val="0"/>
              <w:spacing w:before="0" w:beforeAutospacing="0" w:after="0" w:afterAutospacing="0" w:line="360" w:lineRule="auto"/>
              <w:ind w:left="0" w:right="0"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甲方（章）</w:t>
            </w:r>
          </w:p>
          <w:p w14:paraId="774E6F42">
            <w:pPr>
              <w:keepNext w:val="0"/>
              <w:keepLines w:val="0"/>
              <w:suppressLineNumbers w:val="0"/>
              <w:snapToGrid w:val="0"/>
              <w:spacing w:before="0" w:beforeAutospacing="0" w:after="0" w:afterAutospacing="0" w:line="360" w:lineRule="auto"/>
              <w:ind w:left="0" w:right="0" w:firstLine="422" w:firstLineChars="200"/>
              <w:rPr>
                <w:rFonts w:hint="eastAsia" w:ascii="宋体" w:hAnsi="宋体" w:eastAsia="宋体" w:cs="宋体"/>
                <w:b/>
                <w:color w:val="auto"/>
                <w:szCs w:val="21"/>
                <w:highlight w:val="none"/>
              </w:rPr>
            </w:pPr>
          </w:p>
          <w:p w14:paraId="0B2D9349">
            <w:pPr>
              <w:keepNext w:val="0"/>
              <w:keepLines w:val="0"/>
              <w:suppressLineNumbers w:val="0"/>
              <w:snapToGrid w:val="0"/>
              <w:spacing w:before="0" w:beforeAutospacing="0" w:after="0" w:afterAutospacing="0" w:line="360" w:lineRule="auto"/>
              <w:ind w:left="0" w:right="0"/>
              <w:rPr>
                <w:rFonts w:hint="eastAsia" w:ascii="宋体" w:hAnsi="宋体" w:eastAsia="宋体" w:cs="宋体"/>
                <w:b/>
                <w:color w:val="auto"/>
                <w:szCs w:val="21"/>
                <w:highlight w:val="none"/>
              </w:rPr>
            </w:pPr>
          </w:p>
          <w:p w14:paraId="0AB54088">
            <w:pPr>
              <w:keepNext w:val="0"/>
              <w:keepLines w:val="0"/>
              <w:suppressLineNumbers w:val="0"/>
              <w:snapToGrid w:val="0"/>
              <w:spacing w:before="0" w:beforeAutospacing="0" w:after="0" w:afterAutospacing="0" w:line="360" w:lineRule="auto"/>
              <w:ind w:left="0" w:right="0"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 xml:space="preserve">                 年   月   日 </w:t>
            </w:r>
          </w:p>
        </w:tc>
        <w:tc>
          <w:tcPr>
            <w:tcW w:w="4725" w:type="dxa"/>
            <w:tcBorders>
              <w:top w:val="single" w:color="auto" w:sz="4" w:space="0"/>
              <w:left w:val="single" w:color="auto" w:sz="4" w:space="0"/>
              <w:bottom w:val="single" w:color="auto" w:sz="4" w:space="0"/>
              <w:right w:val="single" w:color="auto" w:sz="4" w:space="0"/>
            </w:tcBorders>
            <w:noWrap w:val="0"/>
            <w:vAlign w:val="center"/>
          </w:tcPr>
          <w:p w14:paraId="5E0FE8BD">
            <w:pPr>
              <w:keepNext w:val="0"/>
              <w:keepLines w:val="0"/>
              <w:suppressLineNumbers w:val="0"/>
              <w:snapToGrid w:val="0"/>
              <w:spacing w:before="0" w:beforeAutospacing="0" w:after="0" w:afterAutospacing="0" w:line="360" w:lineRule="auto"/>
              <w:ind w:left="0" w:right="0"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乙方（章）</w:t>
            </w:r>
          </w:p>
          <w:p w14:paraId="7A2A4EB4">
            <w:pPr>
              <w:keepNext w:val="0"/>
              <w:keepLines w:val="0"/>
              <w:suppressLineNumbers w:val="0"/>
              <w:snapToGrid w:val="0"/>
              <w:spacing w:before="0" w:beforeAutospacing="0" w:after="0" w:afterAutospacing="0" w:line="360" w:lineRule="auto"/>
              <w:ind w:left="0" w:right="0" w:firstLine="422" w:firstLineChars="200"/>
              <w:rPr>
                <w:rFonts w:hint="eastAsia" w:ascii="宋体" w:hAnsi="宋体" w:eastAsia="宋体" w:cs="宋体"/>
                <w:b/>
                <w:color w:val="auto"/>
                <w:szCs w:val="21"/>
                <w:highlight w:val="none"/>
              </w:rPr>
            </w:pPr>
          </w:p>
          <w:p w14:paraId="65231A9C">
            <w:pPr>
              <w:keepNext w:val="0"/>
              <w:keepLines w:val="0"/>
              <w:suppressLineNumbers w:val="0"/>
              <w:snapToGrid w:val="0"/>
              <w:spacing w:before="0" w:beforeAutospacing="0" w:after="0" w:afterAutospacing="0" w:line="360" w:lineRule="auto"/>
              <w:ind w:left="0" w:right="0"/>
              <w:rPr>
                <w:rFonts w:hint="eastAsia" w:ascii="宋体" w:hAnsi="宋体" w:eastAsia="宋体" w:cs="宋体"/>
                <w:b/>
                <w:color w:val="auto"/>
                <w:szCs w:val="21"/>
                <w:highlight w:val="none"/>
              </w:rPr>
            </w:pPr>
          </w:p>
          <w:p w14:paraId="532BA5D3">
            <w:pPr>
              <w:keepNext w:val="0"/>
              <w:keepLines w:val="0"/>
              <w:suppressLineNumbers w:val="0"/>
              <w:snapToGrid w:val="0"/>
              <w:spacing w:before="0" w:beforeAutospacing="0" w:after="0" w:afterAutospacing="0" w:line="360" w:lineRule="auto"/>
              <w:ind w:left="0" w:right="0"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 xml:space="preserve">                年   月   日</w:t>
            </w:r>
          </w:p>
        </w:tc>
      </w:tr>
    </w:tbl>
    <w:p w14:paraId="1B984CC4">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注：售后服务事项填不下时可另加附页</w:t>
      </w:r>
    </w:p>
    <w:p w14:paraId="574FFA60">
      <w:pPr>
        <w:snapToGrid w:val="0"/>
        <w:spacing w:line="360" w:lineRule="auto"/>
        <w:jc w:val="left"/>
        <w:rPr>
          <w:rFonts w:hint="eastAsia" w:ascii="宋体" w:hAnsi="宋体" w:eastAsia="宋体" w:cs="宋体"/>
          <w:color w:val="auto"/>
          <w:szCs w:val="21"/>
          <w:highlight w:val="none"/>
        </w:rPr>
      </w:pPr>
    </w:p>
    <w:p w14:paraId="4EA2CF38">
      <w:pPr>
        <w:spacing w:line="360" w:lineRule="auto"/>
        <w:ind w:left="0" w:firstLine="0" w:firstLineChars="0"/>
        <w:outlineLvl w:val="0"/>
        <w:rPr>
          <w:rFonts w:hint="eastAsia" w:ascii="宋体" w:hAnsi="宋体" w:eastAsia="宋体" w:cs="宋体"/>
          <w:b/>
          <w:color w:val="auto"/>
          <w:sz w:val="36"/>
          <w:szCs w:val="20"/>
          <w:highlight w:val="none"/>
        </w:rPr>
      </w:pPr>
    </w:p>
    <w:p w14:paraId="0F77DD16">
      <w:pPr>
        <w:spacing w:line="360" w:lineRule="auto"/>
        <w:ind w:left="720" w:firstLine="723" w:firstLineChars="200"/>
        <w:outlineLvl w:val="0"/>
        <w:rPr>
          <w:rFonts w:hint="eastAsia" w:ascii="宋体" w:hAnsi="宋体" w:eastAsia="宋体" w:cs="宋体"/>
          <w:b/>
          <w:color w:val="auto"/>
          <w:sz w:val="36"/>
          <w:szCs w:val="20"/>
          <w:highlight w:val="none"/>
        </w:rPr>
      </w:pPr>
    </w:p>
    <w:p w14:paraId="33CE8BBD">
      <w:pPr>
        <w:spacing w:line="360" w:lineRule="auto"/>
        <w:ind w:left="720" w:firstLine="723" w:firstLineChars="200"/>
        <w:outlineLvl w:val="0"/>
        <w:rPr>
          <w:rFonts w:hint="eastAsia" w:ascii="宋体" w:hAnsi="宋体" w:eastAsia="宋体" w:cs="宋体"/>
          <w:b/>
          <w:color w:val="auto"/>
          <w:sz w:val="36"/>
          <w:szCs w:val="20"/>
          <w:highlight w:val="none"/>
        </w:rPr>
      </w:pPr>
    </w:p>
    <w:p w14:paraId="43C1BFDF">
      <w:pPr>
        <w:ind w:firstLine="542"/>
        <w:rPr>
          <w:rFonts w:hAnsi="宋体" w:cs="宋体"/>
          <w:b/>
          <w:color w:val="auto"/>
          <w:sz w:val="36"/>
          <w:highlight w:val="none"/>
        </w:rPr>
      </w:pPr>
      <w:r>
        <w:rPr>
          <w:rFonts w:hAnsi="宋体" w:cs="宋体"/>
          <w:b/>
          <w:color w:val="auto"/>
          <w:sz w:val="36"/>
          <w:highlight w:val="none"/>
        </w:rPr>
        <w:br w:type="page"/>
      </w:r>
    </w:p>
    <w:p w14:paraId="1C6C0877">
      <w:pPr>
        <w:pStyle w:val="2"/>
        <w:bidi w:val="0"/>
        <w:jc w:val="center"/>
        <w:rPr>
          <w:color w:val="auto"/>
          <w:sz w:val="36"/>
          <w:szCs w:val="36"/>
          <w:highlight w:val="none"/>
        </w:rPr>
      </w:pPr>
      <w:bookmarkStart w:id="233" w:name="_Toc14291"/>
      <w:bookmarkStart w:id="234" w:name="_Toc7880"/>
      <w:bookmarkStart w:id="235" w:name="_Toc3923"/>
      <w:bookmarkStart w:id="236" w:name="_Toc23759"/>
      <w:bookmarkStart w:id="237" w:name="_Toc20288"/>
      <w:r>
        <w:rPr>
          <w:rFonts w:hint="eastAsia"/>
          <w:color w:val="auto"/>
          <w:sz w:val="36"/>
          <w:szCs w:val="36"/>
          <w:highlight w:val="none"/>
        </w:rPr>
        <w:t>第六章 投标文件格式</w:t>
      </w:r>
      <w:bookmarkEnd w:id="233"/>
      <w:bookmarkEnd w:id="234"/>
      <w:bookmarkEnd w:id="235"/>
      <w:bookmarkEnd w:id="236"/>
      <w:bookmarkEnd w:id="237"/>
    </w:p>
    <w:p w14:paraId="736AEBE1">
      <w:pPr>
        <w:pStyle w:val="14"/>
        <w:jc w:val="center"/>
        <w:outlineLvl w:val="1"/>
        <w:rPr>
          <w:rFonts w:hint="eastAsia" w:hAnsi="宋体" w:cs="宋体"/>
          <w:b/>
          <w:bCs/>
          <w:color w:val="auto"/>
          <w:sz w:val="28"/>
          <w:szCs w:val="28"/>
          <w:highlight w:val="none"/>
        </w:rPr>
      </w:pPr>
      <w:bookmarkStart w:id="238" w:name="_Toc1470"/>
      <w:bookmarkStart w:id="239" w:name="_Toc5213"/>
      <w:bookmarkStart w:id="240" w:name="_Toc24554"/>
      <w:bookmarkStart w:id="241" w:name="_Toc22716"/>
      <w:r>
        <w:rPr>
          <w:rFonts w:hint="eastAsia" w:hAnsi="宋体" w:cs="宋体"/>
          <w:color w:val="auto"/>
          <w:highlight w:val="none"/>
        </w:rPr>
        <w:br w:type="page"/>
      </w:r>
      <w:bookmarkEnd w:id="238"/>
      <w:bookmarkEnd w:id="239"/>
      <w:bookmarkEnd w:id="240"/>
      <w:bookmarkEnd w:id="241"/>
      <w:bookmarkStart w:id="242" w:name="_Toc16447"/>
      <w:bookmarkStart w:id="243" w:name="_Toc247"/>
      <w:bookmarkStart w:id="244" w:name="_Toc29743"/>
      <w:bookmarkStart w:id="245" w:name="_Toc30455"/>
      <w:bookmarkStart w:id="246" w:name="_Toc26915"/>
      <w:r>
        <w:rPr>
          <w:rFonts w:hint="eastAsia" w:hAnsi="宋体" w:cs="宋体"/>
          <w:b/>
          <w:bCs/>
          <w:color w:val="auto"/>
          <w:sz w:val="28"/>
          <w:szCs w:val="28"/>
          <w:highlight w:val="none"/>
        </w:rPr>
        <w:t>第</w:t>
      </w:r>
      <w:r>
        <w:rPr>
          <w:rFonts w:hint="eastAsia" w:hAnsi="宋体" w:cs="宋体"/>
          <w:b/>
          <w:bCs/>
          <w:color w:val="auto"/>
          <w:sz w:val="28"/>
          <w:szCs w:val="28"/>
          <w:highlight w:val="none"/>
          <w:lang w:eastAsia="zh-CN"/>
        </w:rPr>
        <w:t>一</w:t>
      </w:r>
      <w:r>
        <w:rPr>
          <w:rFonts w:hint="eastAsia" w:hAnsi="宋体" w:cs="宋体"/>
          <w:b/>
          <w:bCs/>
          <w:color w:val="auto"/>
          <w:sz w:val="28"/>
          <w:szCs w:val="28"/>
          <w:highlight w:val="none"/>
        </w:rPr>
        <w:t>节 资格证明文件格式</w:t>
      </w:r>
      <w:bookmarkEnd w:id="242"/>
      <w:bookmarkEnd w:id="243"/>
      <w:bookmarkEnd w:id="244"/>
      <w:bookmarkEnd w:id="245"/>
      <w:bookmarkEnd w:id="246"/>
    </w:p>
    <w:p w14:paraId="5852FEBF">
      <w:pPr>
        <w:pStyle w:val="14"/>
        <w:spacing w:line="360" w:lineRule="auto"/>
        <w:ind w:firstLine="420"/>
        <w:rPr>
          <w:rFonts w:hint="eastAsia" w:hAnsi="宋体" w:cs="宋体"/>
          <w:color w:val="auto"/>
          <w:sz w:val="24"/>
          <w:szCs w:val="24"/>
          <w:highlight w:val="none"/>
          <w:lang w:val="en-US" w:eastAsia="zh-CN"/>
        </w:rPr>
      </w:pPr>
    </w:p>
    <w:p w14:paraId="238B669D">
      <w:pPr>
        <w:pStyle w:val="14"/>
        <w:spacing w:line="360" w:lineRule="auto"/>
        <w:ind w:firstLine="420"/>
        <w:rPr>
          <w:rFonts w:hint="eastAsia" w:hAnsi="宋体" w:cs="宋体"/>
          <w:b/>
          <w:bCs/>
          <w:color w:val="auto"/>
          <w:sz w:val="24"/>
          <w:szCs w:val="24"/>
          <w:highlight w:val="none"/>
          <w:lang w:val="en-US" w:eastAsia="zh-CN"/>
        </w:rPr>
      </w:pPr>
      <w:r>
        <w:rPr>
          <w:rFonts w:hint="eastAsia" w:hAnsi="宋体" w:cs="宋体"/>
          <w:b/>
          <w:bCs/>
          <w:color w:val="auto"/>
          <w:sz w:val="28"/>
          <w:szCs w:val="28"/>
          <w:highlight w:val="none"/>
          <w:lang w:val="en-US" w:eastAsia="zh-CN"/>
        </w:rPr>
        <w:t>1.资格证明文件封面的格式：</w:t>
      </w:r>
      <w:r>
        <w:rPr>
          <w:rFonts w:hint="eastAsia" w:hAnsi="宋体" w:cs="宋体"/>
          <w:b/>
          <w:bCs/>
          <w:color w:val="auto"/>
          <w:sz w:val="24"/>
          <w:szCs w:val="24"/>
          <w:highlight w:val="none"/>
          <w:lang w:val="en-US" w:eastAsia="zh-CN"/>
        </w:rPr>
        <w:t xml:space="preserve"> </w:t>
      </w:r>
    </w:p>
    <w:p w14:paraId="6AAA8F87">
      <w:pPr>
        <w:pStyle w:val="8"/>
        <w:rPr>
          <w:rFonts w:hint="eastAsia"/>
          <w:color w:val="auto"/>
          <w:highlight w:val="none"/>
          <w:lang w:val="en-US" w:eastAsia="zh-CN"/>
        </w:rPr>
      </w:pPr>
    </w:p>
    <w:p w14:paraId="38B3A032">
      <w:pPr>
        <w:snapToGrid w:val="0"/>
        <w:spacing w:before="165" w:beforeLines="50" w:after="50"/>
        <w:rPr>
          <w:rFonts w:hint="eastAsia" w:ascii="宋体" w:hAnsi="宋体" w:cs="宋体"/>
          <w:bCs/>
          <w:color w:val="auto"/>
          <w:sz w:val="32"/>
          <w:szCs w:val="20"/>
          <w:highlight w:val="none"/>
        </w:rPr>
      </w:pPr>
      <w:r>
        <w:rPr>
          <w:rFonts w:hint="eastAsia" w:ascii="宋体" w:hAnsi="宋体" w:cs="宋体"/>
          <w:color w:val="auto"/>
          <w:sz w:val="24"/>
          <w:highlight w:val="none"/>
        </w:rPr>
        <w:t xml:space="preserve">                                                         </w:t>
      </w:r>
      <w:r>
        <w:rPr>
          <w:rFonts w:hint="eastAsia" w:ascii="宋体" w:hAnsi="宋体" w:cs="宋体"/>
          <w:bCs/>
          <w:color w:val="auto"/>
          <w:highlight w:val="none"/>
        </w:rPr>
        <w:t>电子投标文件</w:t>
      </w:r>
    </w:p>
    <w:p w14:paraId="7CAC4EED">
      <w:pPr>
        <w:snapToGrid w:val="0"/>
        <w:spacing w:before="165" w:beforeLines="50" w:after="50"/>
        <w:rPr>
          <w:rFonts w:hint="eastAsia" w:ascii="宋体" w:hAnsi="宋体" w:cs="宋体"/>
          <w:color w:val="auto"/>
          <w:sz w:val="24"/>
          <w:szCs w:val="20"/>
          <w:highlight w:val="none"/>
        </w:rPr>
      </w:pPr>
    </w:p>
    <w:p w14:paraId="696870AB">
      <w:pPr>
        <w:snapToGrid w:val="0"/>
        <w:spacing w:before="165" w:beforeLines="50" w:after="50"/>
        <w:jc w:val="center"/>
        <w:rPr>
          <w:rFonts w:hint="eastAsia" w:ascii="宋体" w:hAnsi="宋体" w:cs="宋体"/>
          <w:b/>
          <w:color w:val="auto"/>
          <w:sz w:val="32"/>
          <w:szCs w:val="32"/>
          <w:highlight w:val="none"/>
        </w:rPr>
      </w:pPr>
    </w:p>
    <w:p w14:paraId="6D1D8464">
      <w:pPr>
        <w:snapToGrid w:val="0"/>
        <w:spacing w:before="165" w:beforeLines="50" w:after="50"/>
        <w:jc w:val="center"/>
        <w:rPr>
          <w:rFonts w:hint="eastAsia" w:ascii="宋体" w:hAnsi="宋体" w:cs="宋体"/>
          <w:b/>
          <w:color w:val="auto"/>
          <w:sz w:val="24"/>
          <w:szCs w:val="20"/>
          <w:highlight w:val="none"/>
        </w:rPr>
      </w:pPr>
      <w:r>
        <w:rPr>
          <w:rFonts w:hint="eastAsia" w:ascii="宋体" w:hAnsi="宋体" w:cs="宋体"/>
          <w:b/>
          <w:color w:val="auto"/>
          <w:sz w:val="32"/>
          <w:szCs w:val="32"/>
          <w:highlight w:val="none"/>
        </w:rPr>
        <w:t>资格证明文件</w:t>
      </w:r>
    </w:p>
    <w:p w14:paraId="0C2350F1">
      <w:pPr>
        <w:snapToGrid w:val="0"/>
        <w:spacing w:before="165" w:beforeLines="50" w:after="50"/>
        <w:rPr>
          <w:rFonts w:hint="eastAsia" w:ascii="宋体" w:hAnsi="宋体" w:cs="宋体"/>
          <w:bCs/>
          <w:color w:val="auto"/>
          <w:sz w:val="24"/>
          <w:szCs w:val="20"/>
          <w:highlight w:val="none"/>
        </w:rPr>
      </w:pPr>
    </w:p>
    <w:p w14:paraId="7385E796">
      <w:pPr>
        <w:snapToGrid w:val="0"/>
        <w:spacing w:before="165" w:beforeLines="50" w:after="50"/>
        <w:rPr>
          <w:rFonts w:hint="eastAsia" w:ascii="宋体" w:hAnsi="宋体" w:cs="宋体"/>
          <w:bCs/>
          <w:color w:val="auto"/>
          <w:sz w:val="24"/>
          <w:szCs w:val="20"/>
          <w:highlight w:val="none"/>
        </w:rPr>
      </w:pPr>
    </w:p>
    <w:p w14:paraId="27AF0C50">
      <w:pPr>
        <w:snapToGrid w:val="0"/>
        <w:spacing w:before="165" w:beforeLines="50" w:after="50"/>
        <w:rPr>
          <w:rFonts w:hint="eastAsia" w:ascii="宋体" w:hAnsi="宋体" w:cs="宋体"/>
          <w:bCs/>
          <w:color w:val="auto"/>
          <w:sz w:val="24"/>
          <w:szCs w:val="20"/>
          <w:highlight w:val="none"/>
        </w:rPr>
      </w:pPr>
    </w:p>
    <w:p w14:paraId="49B1997F">
      <w:pPr>
        <w:snapToGrid w:val="0"/>
        <w:spacing w:before="165" w:beforeLines="50" w:after="50"/>
        <w:rPr>
          <w:rFonts w:hint="eastAsia" w:ascii="宋体" w:hAnsi="宋体" w:cs="宋体"/>
          <w:bCs/>
          <w:color w:val="auto"/>
          <w:sz w:val="24"/>
          <w:szCs w:val="20"/>
          <w:highlight w:val="none"/>
        </w:rPr>
      </w:pPr>
    </w:p>
    <w:p w14:paraId="74107748">
      <w:pPr>
        <w:snapToGrid w:val="0"/>
        <w:spacing w:before="165" w:beforeLines="50" w:after="50"/>
        <w:rPr>
          <w:rFonts w:hint="eastAsia" w:ascii="宋体" w:hAnsi="宋体" w:cs="宋体"/>
          <w:bCs/>
          <w:color w:val="auto"/>
          <w:sz w:val="24"/>
          <w:szCs w:val="20"/>
          <w:highlight w:val="none"/>
        </w:rPr>
      </w:pPr>
    </w:p>
    <w:p w14:paraId="0D5CDE1A">
      <w:pPr>
        <w:snapToGrid w:val="0"/>
        <w:spacing w:before="165" w:beforeLines="50" w:after="50"/>
        <w:rPr>
          <w:rFonts w:hint="eastAsia" w:ascii="宋体" w:hAnsi="宋体" w:cs="宋体"/>
          <w:bCs/>
          <w:color w:val="auto"/>
          <w:sz w:val="24"/>
          <w:szCs w:val="20"/>
          <w:highlight w:val="none"/>
        </w:rPr>
      </w:pPr>
    </w:p>
    <w:p w14:paraId="57BD330B">
      <w:pPr>
        <w:snapToGrid w:val="0"/>
        <w:spacing w:before="165" w:beforeLines="50" w:after="50"/>
        <w:rPr>
          <w:rFonts w:hint="eastAsia" w:ascii="宋体" w:hAnsi="宋体" w:cs="宋体"/>
          <w:bCs/>
          <w:color w:val="auto"/>
          <w:sz w:val="24"/>
          <w:szCs w:val="20"/>
          <w:highlight w:val="none"/>
        </w:rPr>
      </w:pPr>
    </w:p>
    <w:p w14:paraId="6F7B321F">
      <w:pPr>
        <w:snapToGrid w:val="0"/>
        <w:spacing w:before="165" w:beforeLines="50" w:after="50"/>
        <w:ind w:firstLine="540" w:firstLineChars="225"/>
        <w:rPr>
          <w:rFonts w:hint="eastAsia" w:ascii="宋体" w:hAnsi="宋体" w:cs="宋体"/>
          <w:bCs/>
          <w:color w:val="auto"/>
          <w:sz w:val="24"/>
          <w:szCs w:val="20"/>
          <w:highlight w:val="none"/>
        </w:rPr>
      </w:pPr>
      <w:r>
        <w:rPr>
          <w:rFonts w:hint="eastAsia" w:ascii="宋体" w:hAnsi="宋体" w:cs="宋体"/>
          <w:bCs/>
          <w:color w:val="auto"/>
          <w:sz w:val="24"/>
          <w:highlight w:val="none"/>
        </w:rPr>
        <w:t>项目名称：</w:t>
      </w:r>
    </w:p>
    <w:p w14:paraId="4E444946">
      <w:pPr>
        <w:snapToGrid w:val="0"/>
        <w:spacing w:before="165" w:beforeLines="50" w:after="50"/>
        <w:ind w:firstLine="540" w:firstLineChars="225"/>
        <w:rPr>
          <w:rFonts w:hint="eastAsia" w:ascii="宋体" w:hAnsi="宋体" w:eastAsia="宋体" w:cs="宋体"/>
          <w:bCs/>
          <w:color w:val="auto"/>
          <w:sz w:val="24"/>
          <w:highlight w:val="none"/>
          <w:lang w:eastAsia="zh-CN"/>
        </w:rPr>
      </w:pPr>
      <w:r>
        <w:rPr>
          <w:rFonts w:hint="eastAsia" w:ascii="宋体" w:hAnsi="宋体" w:cs="宋体"/>
          <w:bCs/>
          <w:color w:val="auto"/>
          <w:sz w:val="24"/>
          <w:highlight w:val="none"/>
        </w:rPr>
        <w:t>项目编号：</w:t>
      </w:r>
    </w:p>
    <w:p w14:paraId="2D94DAEB">
      <w:pPr>
        <w:snapToGrid w:val="0"/>
        <w:spacing w:before="165" w:beforeLines="50" w:after="50"/>
        <w:ind w:firstLine="540" w:firstLineChars="225"/>
        <w:rPr>
          <w:rFonts w:hint="eastAsia" w:ascii="宋体" w:hAnsi="宋体" w:cs="宋体"/>
          <w:bCs/>
          <w:color w:val="auto"/>
          <w:sz w:val="24"/>
          <w:highlight w:val="none"/>
        </w:rPr>
      </w:pPr>
      <w:r>
        <w:rPr>
          <w:rFonts w:hint="eastAsia" w:ascii="宋体" w:hAnsi="宋体" w:cs="宋体"/>
          <w:bCs/>
          <w:color w:val="auto"/>
          <w:sz w:val="24"/>
          <w:highlight w:val="none"/>
        </w:rPr>
        <w:t>所投分标（如有则填写，无分标时填写“无”或者留空）：</w:t>
      </w:r>
    </w:p>
    <w:p w14:paraId="069988A3">
      <w:pPr>
        <w:pStyle w:val="9"/>
        <w:snapToGrid w:val="0"/>
        <w:spacing w:before="50" w:after="50"/>
        <w:ind w:firstLine="540" w:firstLineChars="225"/>
        <w:rPr>
          <w:rFonts w:hint="eastAsia" w:ascii="宋体" w:hAnsi="宋体" w:cs="宋体"/>
          <w:bCs/>
          <w:color w:val="auto"/>
          <w:sz w:val="24"/>
          <w:szCs w:val="24"/>
          <w:highlight w:val="none"/>
        </w:rPr>
      </w:pPr>
      <w:r>
        <w:rPr>
          <w:rFonts w:hint="eastAsia" w:ascii="宋体" w:hAnsi="宋体" w:cs="宋体"/>
          <w:bCs/>
          <w:color w:val="auto"/>
          <w:sz w:val="24"/>
          <w:szCs w:val="24"/>
          <w:highlight w:val="none"/>
        </w:rPr>
        <w:t>投标人名称：</w:t>
      </w:r>
    </w:p>
    <w:p w14:paraId="51D0008B">
      <w:pPr>
        <w:pStyle w:val="9"/>
        <w:snapToGrid w:val="0"/>
        <w:spacing w:before="50" w:after="50"/>
        <w:ind w:firstLine="540" w:firstLineChars="225"/>
        <w:rPr>
          <w:rFonts w:hint="eastAsia" w:ascii="宋体" w:hAnsi="宋体" w:cs="宋体"/>
          <w:bCs/>
          <w:color w:val="auto"/>
          <w:sz w:val="24"/>
          <w:szCs w:val="24"/>
          <w:highlight w:val="none"/>
        </w:rPr>
      </w:pPr>
    </w:p>
    <w:p w14:paraId="566F7470">
      <w:pPr>
        <w:pStyle w:val="9"/>
        <w:snapToGrid w:val="0"/>
        <w:spacing w:before="50" w:after="50"/>
        <w:ind w:firstLine="960" w:firstLineChars="400"/>
        <w:rPr>
          <w:rFonts w:hint="eastAsia" w:ascii="宋体" w:hAnsi="宋体" w:cs="宋体"/>
          <w:bCs/>
          <w:color w:val="auto"/>
          <w:sz w:val="24"/>
          <w:szCs w:val="24"/>
          <w:highlight w:val="none"/>
        </w:rPr>
      </w:pPr>
    </w:p>
    <w:p w14:paraId="4EF12EAD">
      <w:pPr>
        <w:snapToGrid w:val="0"/>
        <w:spacing w:before="165" w:beforeLines="50" w:after="50"/>
        <w:ind w:firstLine="645"/>
        <w:jc w:val="center"/>
        <w:rPr>
          <w:rFonts w:hint="eastAsia" w:ascii="宋体" w:hAnsi="宋体" w:cs="宋体"/>
          <w:color w:val="auto"/>
          <w:sz w:val="24"/>
          <w:highlight w:val="none"/>
        </w:rPr>
      </w:pPr>
      <w:r>
        <w:rPr>
          <w:rFonts w:hint="eastAsia" w:ascii="宋体" w:hAnsi="宋体" w:cs="宋体"/>
          <w:color w:val="auto"/>
          <w:sz w:val="24"/>
          <w:highlight w:val="none"/>
        </w:rPr>
        <w:t>年  月  日</w:t>
      </w:r>
    </w:p>
    <w:p w14:paraId="6FD6C990">
      <w:pPr>
        <w:widowControl/>
        <w:spacing w:line="360" w:lineRule="auto"/>
        <w:jc w:val="left"/>
        <w:rPr>
          <w:rFonts w:hint="eastAsia" w:ascii="宋体" w:hAnsi="宋体" w:cs="宋体"/>
          <w:color w:val="auto"/>
          <w:sz w:val="30"/>
          <w:szCs w:val="20"/>
          <w:highlight w:val="none"/>
        </w:rPr>
        <w:sectPr>
          <w:footerReference r:id="rId5" w:type="default"/>
          <w:pgSz w:w="11906" w:h="16838"/>
          <w:pgMar w:top="1417" w:right="1417" w:bottom="1417" w:left="1417" w:header="720" w:footer="720" w:gutter="0"/>
          <w:pgBorders>
            <w:top w:val="none" w:sz="0" w:space="0"/>
            <w:left w:val="none" w:sz="0" w:space="0"/>
            <w:bottom w:val="none" w:sz="0" w:space="0"/>
            <w:right w:val="none" w:sz="0" w:space="0"/>
          </w:pgBorders>
          <w:pgNumType w:fmt="decimal" w:start="1"/>
          <w:cols w:space="720" w:num="1"/>
          <w:docGrid w:type="lines" w:linePitch="331" w:charSpace="0"/>
        </w:sectPr>
      </w:pPr>
    </w:p>
    <w:p w14:paraId="567B14A9">
      <w:pPr>
        <w:snapToGrid w:val="0"/>
        <w:spacing w:beforeLines="50" w:after="50"/>
        <w:ind w:firstLine="360"/>
        <w:jc w:val="center"/>
        <w:rPr>
          <w:rFonts w:ascii="宋体" w:hAnsi="宋体" w:cs="宋体"/>
          <w:color w:val="auto"/>
          <w:sz w:val="24"/>
          <w:highlight w:val="none"/>
        </w:rPr>
      </w:pPr>
    </w:p>
    <w:p w14:paraId="4C3FDC6C">
      <w:pPr>
        <w:ind w:firstLine="422"/>
        <w:rPr>
          <w:rFonts w:ascii="宋体" w:hAnsi="宋体" w:cs="宋体"/>
          <w:b/>
          <w:color w:val="auto"/>
          <w:kern w:val="0"/>
          <w:sz w:val="28"/>
          <w:szCs w:val="28"/>
          <w:highlight w:val="none"/>
        </w:rPr>
      </w:pPr>
      <w:r>
        <w:rPr>
          <w:rFonts w:hint="eastAsia" w:ascii="宋体" w:hAnsi="宋体" w:cs="宋体"/>
          <w:b/>
          <w:color w:val="auto"/>
          <w:kern w:val="0"/>
          <w:sz w:val="28"/>
          <w:szCs w:val="28"/>
          <w:highlight w:val="none"/>
        </w:rPr>
        <w:t>2.资格证明文件目录</w:t>
      </w:r>
    </w:p>
    <w:p w14:paraId="162F6601">
      <w:pPr>
        <w:snapToGrid w:val="0"/>
        <w:spacing w:line="360" w:lineRule="auto"/>
        <w:ind w:firstLine="360"/>
        <w:rPr>
          <w:rFonts w:ascii="宋体" w:hAnsi="宋体" w:cs="宋体"/>
          <w:color w:val="auto"/>
          <w:kern w:val="0"/>
          <w:sz w:val="24"/>
          <w:highlight w:val="none"/>
        </w:rPr>
      </w:pPr>
      <w:r>
        <w:rPr>
          <w:rFonts w:hint="eastAsia" w:ascii="宋体" w:hAnsi="宋体" w:cs="宋体"/>
          <w:color w:val="auto"/>
          <w:kern w:val="0"/>
          <w:sz w:val="24"/>
          <w:highlight w:val="none"/>
        </w:rPr>
        <w:t>根据招标文件规定及投标人提供的材料自行编写目录（部分格式后附）。</w:t>
      </w:r>
    </w:p>
    <w:p w14:paraId="68329ED2">
      <w:pPr>
        <w:snapToGrid w:val="0"/>
        <w:spacing w:line="360" w:lineRule="auto"/>
        <w:ind w:firstLine="482"/>
        <w:rPr>
          <w:rFonts w:ascii="宋体" w:hAnsi="宋体" w:cs="宋体"/>
          <w:b/>
          <w:color w:val="auto"/>
          <w:kern w:val="0"/>
          <w:sz w:val="32"/>
          <w:szCs w:val="32"/>
          <w:highlight w:val="none"/>
          <w:lang w:val="zh-CN"/>
        </w:rPr>
      </w:pPr>
    </w:p>
    <w:p w14:paraId="34EEE8BE">
      <w:pPr>
        <w:snapToGrid w:val="0"/>
        <w:spacing w:line="360" w:lineRule="auto"/>
        <w:ind w:right="480" w:firstLine="482"/>
        <w:rPr>
          <w:rFonts w:ascii="宋体" w:hAnsi="宋体" w:cs="宋体"/>
          <w:b/>
          <w:color w:val="auto"/>
          <w:kern w:val="0"/>
          <w:sz w:val="32"/>
          <w:szCs w:val="32"/>
          <w:highlight w:val="none"/>
        </w:rPr>
      </w:pPr>
      <w:r>
        <w:rPr>
          <w:rFonts w:hint="eastAsia" w:ascii="宋体" w:hAnsi="宋体" w:cs="宋体"/>
          <w:b/>
          <w:color w:val="auto"/>
          <w:kern w:val="0"/>
          <w:sz w:val="32"/>
          <w:szCs w:val="32"/>
          <w:highlight w:val="none"/>
        </w:rPr>
        <w:br w:type="page"/>
      </w:r>
      <w:r>
        <w:rPr>
          <w:rFonts w:hint="eastAsia" w:ascii="宋体" w:hAnsi="宋体" w:cs="宋体"/>
          <w:b/>
          <w:color w:val="auto"/>
          <w:kern w:val="0"/>
          <w:sz w:val="32"/>
          <w:szCs w:val="32"/>
          <w:highlight w:val="none"/>
        </w:rPr>
        <w:t>3.</w:t>
      </w:r>
      <w:r>
        <w:rPr>
          <w:rFonts w:hint="eastAsia" w:ascii="宋体" w:hAnsi="宋体" w:cs="宋体"/>
          <w:b/>
          <w:color w:val="auto"/>
          <w:sz w:val="28"/>
          <w:szCs w:val="28"/>
          <w:highlight w:val="none"/>
        </w:rPr>
        <w:t>声明函的格式</w:t>
      </w:r>
      <w:r>
        <w:rPr>
          <w:rFonts w:hint="eastAsia"/>
          <w:color w:val="auto"/>
          <w:sz w:val="28"/>
          <w:szCs w:val="28"/>
          <w:highlight w:val="none"/>
        </w:rPr>
        <w:t>：</w:t>
      </w:r>
    </w:p>
    <w:p w14:paraId="3E673F65">
      <w:pPr>
        <w:snapToGrid w:val="0"/>
        <w:ind w:firstLine="270"/>
        <w:jc w:val="left"/>
        <w:rPr>
          <w:color w:val="auto"/>
          <w:sz w:val="18"/>
          <w:szCs w:val="18"/>
          <w:highlight w:val="none"/>
        </w:rPr>
      </w:pPr>
    </w:p>
    <w:p w14:paraId="7844946B">
      <w:pPr>
        <w:snapToGrid w:val="0"/>
        <w:spacing w:before="50" w:afterLines="50"/>
        <w:ind w:firstLine="422"/>
        <w:jc w:val="center"/>
        <w:rPr>
          <w:rFonts w:ascii="宋体" w:hAnsi="宋体" w:cs="宋体"/>
          <w:b/>
          <w:color w:val="auto"/>
          <w:sz w:val="28"/>
          <w:szCs w:val="28"/>
          <w:highlight w:val="none"/>
        </w:rPr>
      </w:pPr>
      <w:r>
        <w:rPr>
          <w:rFonts w:hint="eastAsia" w:ascii="宋体" w:hAnsi="宋体" w:cs="宋体"/>
          <w:b/>
          <w:color w:val="auto"/>
          <w:sz w:val="28"/>
          <w:szCs w:val="28"/>
          <w:highlight w:val="none"/>
        </w:rPr>
        <w:t>声明函</w:t>
      </w:r>
    </w:p>
    <w:p w14:paraId="49569B44">
      <w:pPr>
        <w:tabs>
          <w:tab w:val="left" w:pos="7200"/>
        </w:tabs>
        <w:spacing w:line="360" w:lineRule="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p>
    <w:p w14:paraId="72FD1792">
      <w:pPr>
        <w:snapToGrid w:val="0"/>
        <w:spacing w:line="360" w:lineRule="auto"/>
        <w:ind w:firstLine="420" w:firstLineChars="200"/>
        <w:jc w:val="left"/>
        <w:rPr>
          <w:color w:val="auto"/>
          <w:szCs w:val="21"/>
          <w:highlight w:val="none"/>
        </w:rPr>
      </w:pPr>
      <w:r>
        <w:rPr>
          <w:rFonts w:hint="eastAsia" w:ascii="宋体" w:hAnsi="宋体" w:cs="宋体"/>
          <w:i/>
          <w:iCs/>
          <w:color w:val="auto"/>
          <w:szCs w:val="21"/>
          <w:highlight w:val="none"/>
          <w:u w:val="single"/>
        </w:rPr>
        <w:t>（投标人名称）</w:t>
      </w:r>
      <w:r>
        <w:rPr>
          <w:rFonts w:hint="eastAsia" w:ascii="宋体" w:hAnsi="宋体" w:cs="宋体"/>
          <w:color w:val="auto"/>
          <w:szCs w:val="21"/>
          <w:highlight w:val="none"/>
        </w:rPr>
        <w:t>系中华人民共和国合法供应商，经营地址</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6027781D">
      <w:pPr>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我方愿意参加贵方组织的</w:t>
      </w:r>
      <w:r>
        <w:rPr>
          <w:rFonts w:hint="eastAsia" w:ascii="宋体" w:hAnsi="宋体"/>
          <w:i/>
          <w:iCs/>
          <w:color w:val="auto"/>
          <w:szCs w:val="21"/>
          <w:highlight w:val="none"/>
          <w:u w:val="single"/>
        </w:rPr>
        <w:t xml:space="preserve">（项目名称） </w:t>
      </w:r>
      <w:r>
        <w:rPr>
          <w:rFonts w:hint="eastAsia" w:ascii="宋体" w:hAnsi="宋体"/>
          <w:color w:val="auto"/>
          <w:szCs w:val="21"/>
          <w:highlight w:val="none"/>
        </w:rPr>
        <w:t>（项目编号：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）项目的投标，为便于贵方公正、择优地确定中标人，我方就本次投标有关事项郑重声明如下：</w:t>
      </w:r>
    </w:p>
    <w:p w14:paraId="3517B5E6">
      <w:pPr>
        <w:snapToGrid w:val="0"/>
        <w:spacing w:line="360" w:lineRule="auto"/>
        <w:ind w:firstLine="420" w:firstLineChars="200"/>
        <w:jc w:val="left"/>
        <w:rPr>
          <w:color w:val="auto"/>
          <w:szCs w:val="21"/>
          <w:highlight w:val="none"/>
        </w:rPr>
      </w:pPr>
      <w:r>
        <w:rPr>
          <w:rFonts w:hint="eastAsia" w:ascii="宋体" w:hAnsi="宋体" w:cs="宋体"/>
          <w:color w:val="auto"/>
          <w:szCs w:val="21"/>
          <w:highlight w:val="none"/>
        </w:rPr>
        <w:t>1、我方向贵方提交的所有投标文件、资料都是准确的和真实的。</w:t>
      </w:r>
    </w:p>
    <w:p w14:paraId="7B7B8A01">
      <w:pPr>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00FFAA34">
      <w:pPr>
        <w:spacing w:line="360" w:lineRule="auto"/>
        <w:ind w:firstLine="420" w:firstLineChars="200"/>
        <w:contextualSpacing/>
        <w:rPr>
          <w:rFonts w:ascii="宋体" w:hAnsi="宋体" w:cs="宋体"/>
          <w:color w:val="auto"/>
          <w:szCs w:val="21"/>
          <w:highlight w:val="none"/>
        </w:rPr>
      </w:pPr>
      <w:r>
        <w:rPr>
          <w:rFonts w:hint="eastAsia" w:ascii="宋体" w:hAnsi="宋体" w:cs="宋体"/>
          <w:color w:val="auto"/>
          <w:szCs w:val="21"/>
          <w:highlight w:val="none"/>
        </w:rPr>
        <w:t>3、在此，我方宣布同意如下：</w:t>
      </w:r>
    </w:p>
    <w:p w14:paraId="2DBE80E4">
      <w:pPr>
        <w:spacing w:line="360" w:lineRule="auto"/>
        <w:ind w:firstLine="420" w:firstLineChars="200"/>
        <w:contextualSpacing/>
        <w:rPr>
          <w:rFonts w:ascii="宋体" w:hAnsi="宋体" w:cs="宋体"/>
          <w:color w:val="auto"/>
          <w:szCs w:val="21"/>
          <w:highlight w:val="none"/>
        </w:rPr>
      </w:pPr>
      <w:r>
        <w:rPr>
          <w:rFonts w:hint="eastAsia" w:ascii="宋体" w:hAnsi="宋体" w:cs="宋体"/>
          <w:color w:val="auto"/>
          <w:szCs w:val="21"/>
          <w:highlight w:val="none"/>
        </w:rPr>
        <w:t>（1）将按招标文件的约定履行合同责任和义务；</w:t>
      </w:r>
    </w:p>
    <w:p w14:paraId="6EE31072">
      <w:pPr>
        <w:spacing w:line="360" w:lineRule="auto"/>
        <w:ind w:firstLine="420" w:firstLineChars="200"/>
        <w:contextualSpacing/>
        <w:rPr>
          <w:rFonts w:ascii="宋体" w:hAnsi="宋体" w:cs="宋体"/>
          <w:color w:val="auto"/>
          <w:szCs w:val="21"/>
          <w:highlight w:val="none"/>
        </w:rPr>
      </w:pPr>
      <w:r>
        <w:rPr>
          <w:rFonts w:hint="eastAsia" w:ascii="宋体" w:hAnsi="宋体" w:cs="宋体"/>
          <w:color w:val="auto"/>
          <w:szCs w:val="21"/>
          <w:highlight w:val="none"/>
        </w:rPr>
        <w:t>（2）已详细审查招标文件的全部</w:t>
      </w:r>
      <w:r>
        <w:rPr>
          <w:rFonts w:hint="eastAsia" w:ascii="宋体" w:hAnsi="宋体" w:cs="宋体"/>
          <w:color w:val="auto"/>
          <w:kern w:val="0"/>
          <w:szCs w:val="21"/>
          <w:highlight w:val="none"/>
        </w:rPr>
        <w:t>内容</w:t>
      </w:r>
      <w:r>
        <w:rPr>
          <w:rFonts w:hint="eastAsia" w:ascii="宋体" w:hAnsi="宋体" w:cs="宋体"/>
          <w:color w:val="auto"/>
          <w:szCs w:val="21"/>
          <w:highlight w:val="none"/>
        </w:rPr>
        <w:t>，包括澄清或者更正公告（如有）；</w:t>
      </w:r>
    </w:p>
    <w:p w14:paraId="28461571">
      <w:pPr>
        <w:spacing w:line="360" w:lineRule="auto"/>
        <w:ind w:firstLine="420" w:firstLineChars="200"/>
        <w:contextualSpacing/>
        <w:jc w:val="left"/>
        <w:rPr>
          <w:color w:val="auto"/>
          <w:sz w:val="18"/>
          <w:szCs w:val="18"/>
          <w:highlight w:val="none"/>
        </w:rPr>
      </w:pPr>
      <w:r>
        <w:rPr>
          <w:rFonts w:hint="eastAsia" w:ascii="宋体" w:hAnsi="宋体" w:cs="宋体"/>
          <w:color w:val="auto"/>
          <w:szCs w:val="21"/>
          <w:highlight w:val="none"/>
        </w:rPr>
        <w:t>（3）同意提供按照贵方可能要求的与投标有关的一切数据或者资料。</w:t>
      </w:r>
    </w:p>
    <w:p w14:paraId="33AD52BA">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w:t>
      </w:r>
      <w:r>
        <w:rPr>
          <w:rFonts w:hint="eastAsia" w:ascii="宋体" w:hAnsi="宋体"/>
          <w:color w:val="auto"/>
          <w:szCs w:val="21"/>
          <w:highlight w:val="none"/>
          <w:lang w:eastAsia="zh-CN"/>
        </w:rPr>
        <w:t>重大税收违法失信主体名单</w:t>
      </w:r>
      <w:r>
        <w:rPr>
          <w:rFonts w:hint="eastAsia" w:ascii="宋体" w:hAnsi="宋体"/>
          <w:color w:val="auto"/>
          <w:szCs w:val="21"/>
          <w:highlight w:val="none"/>
        </w:rPr>
        <w:t>、政府采购严重违法失信行为记录名单。</w:t>
      </w:r>
    </w:p>
    <w:p w14:paraId="7A9318F0">
      <w:pPr>
        <w:spacing w:line="360" w:lineRule="auto"/>
        <w:ind w:firstLine="420" w:firstLineChars="200"/>
        <w:contextualSpacing/>
        <w:rPr>
          <w:rFonts w:ascii="宋体" w:hAnsi="宋体" w:cs="宋体"/>
          <w:i/>
          <w:iCs/>
          <w:color w:val="auto"/>
          <w:szCs w:val="21"/>
          <w:highlight w:val="none"/>
        </w:rPr>
      </w:pPr>
      <w:r>
        <w:rPr>
          <w:rFonts w:hint="eastAsia" w:ascii="宋体" w:hAnsi="宋体"/>
          <w:color w:val="auto"/>
          <w:szCs w:val="21"/>
          <w:highlight w:val="none"/>
        </w:rPr>
        <w:t>5、</w:t>
      </w:r>
      <w:r>
        <w:rPr>
          <w:rFonts w:hint="eastAsia" w:ascii="宋体" w:hAnsi="宋体" w:cs="宋体"/>
          <w:color w:val="auto"/>
          <w:szCs w:val="21"/>
          <w:highlight w:val="none"/>
        </w:rPr>
        <w:t>根据《中华人民共和国政府采购法实施条例》第五十条要求对政府采购合同进行公告，但政府采购合同中涉及国家秘密、商业秘密的内容除外。我方就对本次投标文件进行注明如下：</w:t>
      </w:r>
      <w:r>
        <w:rPr>
          <w:rFonts w:hint="eastAsia" w:ascii="宋体" w:hAnsi="宋体" w:cs="宋体"/>
          <w:i/>
          <w:iCs/>
          <w:color w:val="auto"/>
          <w:szCs w:val="21"/>
          <w:highlight w:val="none"/>
        </w:rPr>
        <w:t>（两项内容中必须选择一项）</w:t>
      </w:r>
    </w:p>
    <w:p w14:paraId="17ABCC87">
      <w:pPr>
        <w:spacing w:line="360" w:lineRule="auto"/>
        <w:ind w:firstLine="420" w:firstLineChars="200"/>
        <w:contextualSpacing/>
        <w:rPr>
          <w:rFonts w:ascii="宋体" w:hAnsi="宋体" w:cs="宋体"/>
          <w:color w:val="auto"/>
          <w:szCs w:val="21"/>
          <w:highlight w:val="none"/>
        </w:rPr>
      </w:pPr>
      <w:r>
        <w:rPr>
          <w:rFonts w:hint="eastAsia" w:ascii="宋体" w:hAnsi="宋体" w:cs="宋体"/>
          <w:color w:val="auto"/>
          <w:szCs w:val="21"/>
          <w:highlight w:val="none"/>
        </w:rPr>
        <w:t>□我方本次投标文件</w:t>
      </w:r>
      <w:r>
        <w:rPr>
          <w:rFonts w:hint="eastAsia" w:ascii="宋体" w:hAnsi="宋体" w:cs="宋体"/>
          <w:color w:val="auto"/>
          <w:kern w:val="0"/>
          <w:szCs w:val="21"/>
          <w:highlight w:val="none"/>
        </w:rPr>
        <w:t>内容中</w:t>
      </w:r>
      <w:r>
        <w:rPr>
          <w:rFonts w:hint="eastAsia" w:ascii="宋体" w:hAnsi="宋体" w:cs="宋体"/>
          <w:color w:val="auto"/>
          <w:szCs w:val="21"/>
          <w:highlight w:val="none"/>
        </w:rPr>
        <w:t>未</w:t>
      </w:r>
      <w:r>
        <w:rPr>
          <w:rFonts w:hint="eastAsia" w:ascii="宋体" w:hAnsi="宋体" w:cs="宋体"/>
          <w:color w:val="auto"/>
          <w:kern w:val="0"/>
          <w:szCs w:val="21"/>
          <w:highlight w:val="none"/>
        </w:rPr>
        <w:t>涉及商业秘密。</w:t>
      </w:r>
    </w:p>
    <w:p w14:paraId="63A4F814">
      <w:pPr>
        <w:spacing w:line="360" w:lineRule="auto"/>
        <w:ind w:firstLine="420" w:firstLineChars="200"/>
        <w:contextualSpacing/>
        <w:rPr>
          <w:rFonts w:ascii="宋体" w:hAnsi="宋体" w:cs="宋体"/>
          <w:color w:val="auto"/>
          <w:szCs w:val="21"/>
          <w:highlight w:val="none"/>
        </w:rPr>
      </w:pPr>
      <w:r>
        <w:rPr>
          <w:rFonts w:hint="eastAsia" w:ascii="宋体" w:hAnsi="宋体" w:cs="宋体"/>
          <w:color w:val="auto"/>
          <w:szCs w:val="21"/>
          <w:highlight w:val="none"/>
        </w:rPr>
        <w:t>□我方本次投标文件</w:t>
      </w:r>
      <w:r>
        <w:rPr>
          <w:rFonts w:hint="eastAsia" w:ascii="宋体" w:hAnsi="宋体" w:cs="宋体"/>
          <w:color w:val="auto"/>
          <w:kern w:val="0"/>
          <w:szCs w:val="21"/>
          <w:highlight w:val="none"/>
        </w:rPr>
        <w:t>涉及商业秘密的内容有：</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p>
    <w:p w14:paraId="07057BAE">
      <w:pPr>
        <w:snapToGrid w:val="0"/>
        <w:spacing w:line="360" w:lineRule="auto"/>
        <w:ind w:firstLine="270"/>
        <w:jc w:val="left"/>
        <w:rPr>
          <w:color w:val="auto"/>
          <w:sz w:val="18"/>
          <w:szCs w:val="18"/>
          <w:highlight w:val="none"/>
        </w:rPr>
      </w:pPr>
    </w:p>
    <w:p w14:paraId="6F6BE11F">
      <w:pPr>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 xml:space="preserve">6、以上事项如有虚假或者隐瞒，我方愿意承担一切后果，并不再寻求任何旨在减轻或者免除法律责任的辩解。 </w:t>
      </w:r>
    </w:p>
    <w:p w14:paraId="58C834B5">
      <w:pPr>
        <w:tabs>
          <w:tab w:val="left" w:pos="939"/>
        </w:tabs>
        <w:spacing w:line="360" w:lineRule="auto"/>
        <w:ind w:left="141" w:leftChars="67" w:firstLine="315" w:firstLineChars="150"/>
        <w:contextualSpacing/>
        <w:rPr>
          <w:rFonts w:ascii="宋体" w:hAnsi="宋体" w:cs="宋体"/>
          <w:color w:val="auto"/>
          <w:szCs w:val="21"/>
          <w:highlight w:val="none"/>
        </w:rPr>
      </w:pPr>
      <w:r>
        <w:rPr>
          <w:rFonts w:hint="eastAsia" w:ascii="宋体" w:hAnsi="宋体" w:cs="宋体"/>
          <w:color w:val="auto"/>
          <w:szCs w:val="21"/>
          <w:highlight w:val="none"/>
        </w:rPr>
        <w:t>特此承诺。</w:t>
      </w:r>
    </w:p>
    <w:p w14:paraId="777F3367">
      <w:pPr>
        <w:snapToGrid w:val="0"/>
        <w:spacing w:before="50" w:afterLines="50" w:line="360" w:lineRule="auto"/>
        <w:ind w:firstLine="181" w:firstLineChars="100"/>
        <w:jc w:val="left"/>
        <w:rPr>
          <w:rFonts w:ascii="宋体" w:hAnsi="宋体"/>
          <w:color w:val="auto"/>
          <w:sz w:val="18"/>
          <w:szCs w:val="18"/>
          <w:highlight w:val="none"/>
        </w:rPr>
      </w:pPr>
      <w:r>
        <w:rPr>
          <w:rFonts w:hint="eastAsia" w:ascii="宋体" w:hAnsi="宋体"/>
          <w:b/>
          <w:color w:val="auto"/>
          <w:sz w:val="18"/>
          <w:szCs w:val="18"/>
          <w:highlight w:val="none"/>
        </w:rPr>
        <w:t xml:space="preserve">   注： 如为联合体投标，盖章处须加盖联合体各方公章，否则</w:t>
      </w:r>
      <w:r>
        <w:rPr>
          <w:rFonts w:hint="eastAsia" w:ascii="宋体" w:hAnsi="宋体" w:cs="宋体"/>
          <w:b/>
          <w:bCs/>
          <w:color w:val="auto"/>
          <w:sz w:val="18"/>
          <w:szCs w:val="18"/>
          <w:highlight w:val="none"/>
        </w:rPr>
        <w:t>其投标文件作无效响应处理</w:t>
      </w:r>
      <w:r>
        <w:rPr>
          <w:rFonts w:hint="eastAsia" w:ascii="宋体" w:hAnsi="宋体"/>
          <w:b/>
          <w:color w:val="auto"/>
          <w:sz w:val="18"/>
          <w:szCs w:val="18"/>
          <w:highlight w:val="none"/>
        </w:rPr>
        <w:t>。</w:t>
      </w:r>
    </w:p>
    <w:p w14:paraId="23770498">
      <w:pPr>
        <w:snapToGrid w:val="0"/>
        <w:spacing w:before="50" w:afterLines="100" w:line="360" w:lineRule="auto"/>
        <w:ind w:firstLine="360"/>
        <w:jc w:val="left"/>
        <w:rPr>
          <w:rFonts w:ascii="宋体" w:hAnsi="宋体" w:cs="宋体"/>
          <w:color w:val="auto"/>
          <w:sz w:val="24"/>
          <w:highlight w:val="none"/>
        </w:rPr>
      </w:pPr>
      <w:r>
        <w:rPr>
          <w:rFonts w:hint="eastAsia" w:ascii="宋体" w:hAnsi="宋体" w:cs="宋体"/>
          <w:color w:val="auto"/>
          <w:sz w:val="24"/>
          <w:highlight w:val="none"/>
        </w:rPr>
        <w:t xml:space="preserve">                                     </w:t>
      </w:r>
    </w:p>
    <w:p w14:paraId="0678F16C">
      <w:pPr>
        <w:snapToGrid w:val="0"/>
        <w:spacing w:before="50" w:afterLines="100" w:line="360" w:lineRule="auto"/>
        <w:ind w:left="7428" w:leftChars="2223" w:hanging="2760" w:hangingChars="1150"/>
        <w:jc w:val="left"/>
        <w:rPr>
          <w:rFonts w:ascii="宋体" w:hAnsi="宋体" w:cs="宋体"/>
          <w:color w:val="auto"/>
          <w:kern w:val="0"/>
          <w:sz w:val="24"/>
          <w:highlight w:val="none"/>
          <w:lang w:val="zh-CN"/>
        </w:rPr>
      </w:pPr>
      <w:r>
        <w:rPr>
          <w:rFonts w:hint="eastAsia" w:ascii="宋体" w:hAnsi="宋体" w:cs="宋体"/>
          <w:color w:val="auto"/>
          <w:sz w:val="24"/>
          <w:highlight w:val="none"/>
        </w:rPr>
        <w:t xml:space="preserve">  </w:t>
      </w:r>
      <w:r>
        <w:rPr>
          <w:rFonts w:hint="eastAsia" w:ascii="宋体" w:hAnsi="宋体" w:cs="宋体"/>
          <w:color w:val="auto"/>
          <w:kern w:val="0"/>
          <w:sz w:val="24"/>
          <w:highlight w:val="none"/>
          <w:lang w:val="zh-CN"/>
        </w:rPr>
        <w:t>投标人名称(盖公章)：</w:t>
      </w:r>
      <w:r>
        <w:rPr>
          <w:rFonts w:hint="eastAsia" w:ascii="宋体" w:hAnsi="宋体" w:cs="宋体"/>
          <w:color w:val="auto"/>
          <w:szCs w:val="21"/>
          <w:highlight w:val="none"/>
        </w:rPr>
        <w:t xml:space="preserve">                                    </w:t>
      </w:r>
      <w:r>
        <w:rPr>
          <w:rFonts w:hint="eastAsia" w:ascii="宋体" w:hAnsi="宋体" w:cs="宋体"/>
          <w:color w:val="auto"/>
          <w:sz w:val="24"/>
          <w:highlight w:val="none"/>
        </w:rPr>
        <w:t>年</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 xml:space="preserve"> 月  日</w:t>
      </w:r>
    </w:p>
    <w:p w14:paraId="66B9BBE3">
      <w:pPr>
        <w:snapToGrid w:val="0"/>
        <w:spacing w:line="360" w:lineRule="auto"/>
        <w:ind w:right="480" w:firstLine="422"/>
        <w:rPr>
          <w:rFonts w:ascii="宋体" w:hAnsi="宋体" w:cs="宋体"/>
          <w:b/>
          <w:color w:val="auto"/>
          <w:kern w:val="0"/>
          <w:sz w:val="32"/>
          <w:szCs w:val="32"/>
          <w:highlight w:val="none"/>
        </w:rPr>
      </w:pPr>
      <w:r>
        <w:rPr>
          <w:rFonts w:hint="eastAsia" w:ascii="宋体" w:hAnsi="宋体" w:cs="宋体"/>
          <w:b/>
          <w:color w:val="auto"/>
          <w:kern w:val="0"/>
          <w:sz w:val="32"/>
          <w:szCs w:val="32"/>
          <w:highlight w:val="none"/>
        </w:rPr>
        <w:t>4.</w:t>
      </w:r>
      <w:r>
        <w:rPr>
          <w:rFonts w:hint="eastAsia" w:ascii="宋体" w:hAnsi="宋体" w:cs="宋体"/>
          <w:b/>
          <w:color w:val="auto"/>
          <w:sz w:val="28"/>
          <w:szCs w:val="28"/>
          <w:highlight w:val="none"/>
        </w:rPr>
        <w:t>投标人直接控股股东信息表的格式</w:t>
      </w:r>
      <w:r>
        <w:rPr>
          <w:rFonts w:hint="eastAsia"/>
          <w:color w:val="auto"/>
          <w:sz w:val="28"/>
          <w:szCs w:val="28"/>
          <w:highlight w:val="none"/>
        </w:rPr>
        <w:t>：</w:t>
      </w:r>
    </w:p>
    <w:p w14:paraId="6F82DDE9">
      <w:pPr>
        <w:snapToGrid w:val="0"/>
        <w:ind w:firstLine="270"/>
        <w:jc w:val="left"/>
        <w:rPr>
          <w:color w:val="auto"/>
          <w:sz w:val="18"/>
          <w:szCs w:val="18"/>
          <w:highlight w:val="none"/>
        </w:rPr>
      </w:pPr>
    </w:p>
    <w:p w14:paraId="22B6F90B">
      <w:pPr>
        <w:snapToGrid w:val="0"/>
        <w:spacing w:before="50" w:afterLines="50" w:line="360" w:lineRule="auto"/>
        <w:ind w:firstLine="482"/>
        <w:jc w:val="center"/>
        <w:rPr>
          <w:rFonts w:ascii="仿宋_GB2312" w:hAnsi="仿宋" w:eastAsia="仿宋_GB2312" w:cs="仿宋_GB2312"/>
          <w:b/>
          <w:color w:val="auto"/>
          <w:kern w:val="0"/>
          <w:sz w:val="32"/>
          <w:szCs w:val="32"/>
          <w:highlight w:val="none"/>
        </w:rPr>
      </w:pPr>
      <w:r>
        <w:rPr>
          <w:rFonts w:hint="eastAsia" w:ascii="仿宋_GB2312" w:hAnsi="仿宋" w:eastAsia="仿宋_GB2312" w:cs="仿宋_GB2312"/>
          <w:b/>
          <w:color w:val="auto"/>
          <w:kern w:val="0"/>
          <w:sz w:val="32"/>
          <w:szCs w:val="32"/>
          <w:highlight w:val="none"/>
        </w:rPr>
        <w:t>投标人直接控股股东信息表</w:t>
      </w:r>
    </w:p>
    <w:tbl>
      <w:tblPr>
        <w:tblStyle w:val="28"/>
        <w:tblW w:w="0" w:type="auto"/>
        <w:tblInd w:w="125" w:type="dxa"/>
        <w:shd w:val="clear" w:color="auto" w:fill="FBFBFB"/>
        <w:tblLayout w:type="fixed"/>
        <w:tblCellMar>
          <w:top w:w="0" w:type="dxa"/>
          <w:left w:w="0" w:type="dxa"/>
          <w:bottom w:w="0" w:type="dxa"/>
          <w:right w:w="0" w:type="dxa"/>
        </w:tblCellMar>
      </w:tblPr>
      <w:tblGrid>
        <w:gridCol w:w="828"/>
        <w:gridCol w:w="2269"/>
        <w:gridCol w:w="1239"/>
        <w:gridCol w:w="3879"/>
        <w:gridCol w:w="1261"/>
      </w:tblGrid>
      <w:tr w14:paraId="5D62CA80">
        <w:tblPrEx>
          <w:shd w:val="clear" w:color="auto" w:fill="FBFBFB"/>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34541C01">
            <w:pPr>
              <w:keepNext w:val="0"/>
              <w:keepLines w:val="0"/>
              <w:suppressLineNumbers w:val="0"/>
              <w:spacing w:before="0" w:beforeAutospacing="0" w:after="0" w:afterAutospacing="0" w:line="360" w:lineRule="auto"/>
              <w:ind w:left="0" w:right="0"/>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F436FE9">
            <w:pPr>
              <w:keepNext w:val="0"/>
              <w:keepLines w:val="0"/>
              <w:suppressLineNumbers w:val="0"/>
              <w:spacing w:before="0" w:beforeAutospacing="0" w:after="0" w:afterAutospacing="0" w:line="360" w:lineRule="auto"/>
              <w:ind w:left="0" w:right="0"/>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7E0BE351">
            <w:pPr>
              <w:keepNext w:val="0"/>
              <w:keepLines w:val="0"/>
              <w:suppressLineNumbers w:val="0"/>
              <w:spacing w:before="0" w:beforeAutospacing="0" w:after="0" w:afterAutospacing="0" w:line="360" w:lineRule="auto"/>
              <w:ind w:left="0" w:right="0"/>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出资比例</w:t>
            </w:r>
          </w:p>
        </w:tc>
        <w:tc>
          <w:tcPr>
            <w:tcW w:w="387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2398E8AC">
            <w:pPr>
              <w:keepNext w:val="0"/>
              <w:keepLines w:val="0"/>
              <w:suppressLineNumbers w:val="0"/>
              <w:spacing w:before="0" w:beforeAutospacing="0" w:after="0" w:afterAutospacing="0" w:line="360" w:lineRule="auto"/>
              <w:ind w:left="0" w:right="0"/>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身份证号码或者统一社会信用代码</w:t>
            </w:r>
          </w:p>
        </w:tc>
        <w:tc>
          <w:tcPr>
            <w:tcW w:w="1261"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3B7E5A89">
            <w:pPr>
              <w:keepNext w:val="0"/>
              <w:keepLines w:val="0"/>
              <w:suppressLineNumbers w:val="0"/>
              <w:spacing w:before="0" w:beforeAutospacing="0" w:after="0" w:afterAutospacing="0" w:line="360" w:lineRule="auto"/>
              <w:ind w:left="0" w:right="0"/>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168E7FE2">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E3F2E9C">
            <w:pPr>
              <w:keepNext w:val="0"/>
              <w:keepLines w:val="0"/>
              <w:suppressLineNumbers w:val="0"/>
              <w:spacing w:before="0" w:beforeAutospacing="0" w:after="0" w:afterAutospacing="0" w:line="360" w:lineRule="auto"/>
              <w:ind w:left="0" w:right="0"/>
              <w:jc w:val="center"/>
              <w:rPr>
                <w:rFonts w:ascii="宋体" w:hAnsi="宋体" w:cs="宋体"/>
                <w:color w:val="auto"/>
                <w:kern w:val="0"/>
                <w:sz w:val="24"/>
                <w:highlight w:val="none"/>
              </w:rPr>
            </w:pPr>
            <w:r>
              <w:rPr>
                <w:rFonts w:hint="eastAsia" w:ascii="宋体" w:hAnsi="宋体" w:cs="宋体"/>
                <w:color w:val="auto"/>
                <w:kern w:val="0"/>
                <w:sz w:val="24"/>
                <w:highlight w:val="none"/>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50BD5AF">
            <w:pPr>
              <w:keepNext w:val="0"/>
              <w:keepLines w:val="0"/>
              <w:suppressLineNumbers w:val="0"/>
              <w:spacing w:before="0" w:beforeAutospacing="0" w:after="0" w:afterAutospacing="0" w:line="360" w:lineRule="auto"/>
              <w:ind w:left="0" w:right="0"/>
              <w:jc w:val="center"/>
              <w:rPr>
                <w:rFonts w:ascii="宋体" w:hAnsi="宋体" w:cs="宋体"/>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60FE130">
            <w:pPr>
              <w:keepNext w:val="0"/>
              <w:keepLines w:val="0"/>
              <w:suppressLineNumbers w:val="0"/>
              <w:spacing w:before="0" w:beforeAutospacing="0" w:after="0" w:afterAutospacing="0" w:line="360" w:lineRule="auto"/>
              <w:ind w:left="0" w:right="0"/>
              <w:jc w:val="center"/>
              <w:rPr>
                <w:rFonts w:ascii="宋体" w:hAnsi="宋体" w:cs="宋体"/>
                <w:color w:val="auto"/>
                <w:kern w:val="0"/>
                <w:sz w:val="24"/>
                <w:highlight w:val="none"/>
              </w:rPr>
            </w:pPr>
          </w:p>
        </w:tc>
        <w:tc>
          <w:tcPr>
            <w:tcW w:w="387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895DBA3">
            <w:pPr>
              <w:keepNext w:val="0"/>
              <w:keepLines w:val="0"/>
              <w:suppressLineNumbers w:val="0"/>
              <w:spacing w:before="0" w:beforeAutospacing="0" w:after="0" w:afterAutospacing="0" w:line="360" w:lineRule="auto"/>
              <w:ind w:left="0" w:right="0"/>
              <w:jc w:val="center"/>
              <w:rPr>
                <w:rFonts w:ascii="宋体" w:hAnsi="宋体" w:cs="宋体"/>
                <w:color w:val="auto"/>
                <w:kern w:val="0"/>
                <w:sz w:val="24"/>
                <w:highlight w:val="none"/>
              </w:rPr>
            </w:pPr>
          </w:p>
        </w:tc>
        <w:tc>
          <w:tcPr>
            <w:tcW w:w="1261"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749EE46">
            <w:pPr>
              <w:keepNext w:val="0"/>
              <w:keepLines w:val="0"/>
              <w:suppressLineNumbers w:val="0"/>
              <w:spacing w:before="0" w:beforeAutospacing="0" w:after="0" w:afterAutospacing="0" w:line="360" w:lineRule="auto"/>
              <w:ind w:left="0" w:right="0"/>
              <w:jc w:val="center"/>
              <w:rPr>
                <w:rFonts w:ascii="宋体" w:hAnsi="宋体" w:cs="宋体"/>
                <w:color w:val="auto"/>
                <w:kern w:val="0"/>
                <w:sz w:val="24"/>
                <w:highlight w:val="none"/>
              </w:rPr>
            </w:pPr>
          </w:p>
        </w:tc>
      </w:tr>
      <w:tr w14:paraId="694824FA">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02AA22F">
            <w:pPr>
              <w:keepNext w:val="0"/>
              <w:keepLines w:val="0"/>
              <w:suppressLineNumbers w:val="0"/>
              <w:spacing w:before="0" w:beforeAutospacing="0" w:after="0" w:afterAutospacing="0" w:line="360" w:lineRule="auto"/>
              <w:ind w:left="0" w:right="0"/>
              <w:jc w:val="center"/>
              <w:rPr>
                <w:rFonts w:ascii="宋体" w:hAnsi="宋体" w:cs="宋体"/>
                <w:color w:val="auto"/>
                <w:kern w:val="0"/>
                <w:sz w:val="24"/>
                <w:highlight w:val="none"/>
              </w:rPr>
            </w:pPr>
            <w:r>
              <w:rPr>
                <w:rFonts w:hint="eastAsia" w:ascii="宋体" w:hAnsi="宋体" w:cs="宋体"/>
                <w:color w:val="auto"/>
                <w:kern w:val="0"/>
                <w:sz w:val="24"/>
                <w:highlight w:val="none"/>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03C79EE">
            <w:pPr>
              <w:keepNext w:val="0"/>
              <w:keepLines w:val="0"/>
              <w:suppressLineNumbers w:val="0"/>
              <w:spacing w:before="0" w:beforeAutospacing="0" w:after="0" w:afterAutospacing="0" w:line="360" w:lineRule="auto"/>
              <w:ind w:left="0" w:right="0"/>
              <w:jc w:val="center"/>
              <w:rPr>
                <w:rFonts w:ascii="宋体" w:hAnsi="宋体" w:cs="宋体"/>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DBE274A">
            <w:pPr>
              <w:keepNext w:val="0"/>
              <w:keepLines w:val="0"/>
              <w:suppressLineNumbers w:val="0"/>
              <w:spacing w:before="0" w:beforeAutospacing="0" w:after="0" w:afterAutospacing="0" w:line="360" w:lineRule="auto"/>
              <w:ind w:left="0" w:right="0"/>
              <w:jc w:val="center"/>
              <w:rPr>
                <w:rFonts w:ascii="宋体" w:hAnsi="宋体" w:cs="宋体"/>
                <w:color w:val="auto"/>
                <w:kern w:val="0"/>
                <w:sz w:val="24"/>
                <w:highlight w:val="none"/>
              </w:rPr>
            </w:pPr>
          </w:p>
        </w:tc>
        <w:tc>
          <w:tcPr>
            <w:tcW w:w="387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F80BBB4">
            <w:pPr>
              <w:keepNext w:val="0"/>
              <w:keepLines w:val="0"/>
              <w:suppressLineNumbers w:val="0"/>
              <w:spacing w:before="0" w:beforeAutospacing="0" w:after="0" w:afterAutospacing="0" w:line="360" w:lineRule="auto"/>
              <w:ind w:left="0" w:right="0"/>
              <w:jc w:val="center"/>
              <w:rPr>
                <w:rFonts w:ascii="宋体" w:hAnsi="宋体" w:cs="宋体"/>
                <w:color w:val="auto"/>
                <w:kern w:val="0"/>
                <w:sz w:val="24"/>
                <w:highlight w:val="none"/>
              </w:rPr>
            </w:pPr>
          </w:p>
        </w:tc>
        <w:tc>
          <w:tcPr>
            <w:tcW w:w="1261"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EB85313">
            <w:pPr>
              <w:keepNext w:val="0"/>
              <w:keepLines w:val="0"/>
              <w:suppressLineNumbers w:val="0"/>
              <w:spacing w:before="0" w:beforeAutospacing="0" w:after="0" w:afterAutospacing="0" w:line="360" w:lineRule="auto"/>
              <w:ind w:left="0" w:right="0"/>
              <w:jc w:val="center"/>
              <w:rPr>
                <w:rFonts w:ascii="宋体" w:hAnsi="宋体" w:cs="宋体"/>
                <w:color w:val="auto"/>
                <w:kern w:val="0"/>
                <w:sz w:val="24"/>
                <w:highlight w:val="none"/>
              </w:rPr>
            </w:pPr>
          </w:p>
        </w:tc>
      </w:tr>
      <w:tr w14:paraId="31EC988D">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08770B5">
            <w:pPr>
              <w:keepNext w:val="0"/>
              <w:keepLines w:val="0"/>
              <w:suppressLineNumbers w:val="0"/>
              <w:spacing w:before="0" w:beforeAutospacing="0" w:after="0" w:afterAutospacing="0" w:line="360" w:lineRule="auto"/>
              <w:ind w:left="0" w:right="0"/>
              <w:jc w:val="center"/>
              <w:rPr>
                <w:rFonts w:ascii="宋体" w:hAnsi="宋体" w:cs="宋体"/>
                <w:color w:val="auto"/>
                <w:kern w:val="0"/>
                <w:sz w:val="24"/>
                <w:highlight w:val="none"/>
              </w:rPr>
            </w:pPr>
            <w:r>
              <w:rPr>
                <w:rFonts w:hint="eastAsia" w:ascii="宋体" w:hAnsi="宋体" w:cs="宋体"/>
                <w:color w:val="auto"/>
                <w:kern w:val="0"/>
                <w:sz w:val="24"/>
                <w:highlight w:val="none"/>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C6F14D4">
            <w:pPr>
              <w:keepNext w:val="0"/>
              <w:keepLines w:val="0"/>
              <w:suppressLineNumbers w:val="0"/>
              <w:spacing w:before="0" w:beforeAutospacing="0" w:after="0" w:afterAutospacing="0" w:line="360" w:lineRule="auto"/>
              <w:ind w:left="0" w:right="0"/>
              <w:jc w:val="center"/>
              <w:rPr>
                <w:rFonts w:ascii="宋体" w:hAnsi="宋体" w:cs="宋体"/>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D8095CC">
            <w:pPr>
              <w:keepNext w:val="0"/>
              <w:keepLines w:val="0"/>
              <w:suppressLineNumbers w:val="0"/>
              <w:spacing w:before="0" w:beforeAutospacing="0" w:after="0" w:afterAutospacing="0" w:line="360" w:lineRule="auto"/>
              <w:ind w:left="0" w:right="0"/>
              <w:jc w:val="center"/>
              <w:rPr>
                <w:rFonts w:ascii="宋体" w:hAnsi="宋体" w:cs="宋体"/>
                <w:color w:val="auto"/>
                <w:kern w:val="0"/>
                <w:sz w:val="24"/>
                <w:highlight w:val="none"/>
              </w:rPr>
            </w:pPr>
          </w:p>
        </w:tc>
        <w:tc>
          <w:tcPr>
            <w:tcW w:w="387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84F2816">
            <w:pPr>
              <w:keepNext w:val="0"/>
              <w:keepLines w:val="0"/>
              <w:suppressLineNumbers w:val="0"/>
              <w:spacing w:before="0" w:beforeAutospacing="0" w:after="0" w:afterAutospacing="0" w:line="360" w:lineRule="auto"/>
              <w:ind w:left="0" w:right="0"/>
              <w:jc w:val="center"/>
              <w:rPr>
                <w:rFonts w:ascii="宋体" w:hAnsi="宋体" w:cs="宋体"/>
                <w:color w:val="auto"/>
                <w:kern w:val="0"/>
                <w:sz w:val="24"/>
                <w:highlight w:val="none"/>
              </w:rPr>
            </w:pPr>
          </w:p>
        </w:tc>
        <w:tc>
          <w:tcPr>
            <w:tcW w:w="1261"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9F06679">
            <w:pPr>
              <w:keepNext w:val="0"/>
              <w:keepLines w:val="0"/>
              <w:suppressLineNumbers w:val="0"/>
              <w:spacing w:before="0" w:beforeAutospacing="0" w:after="0" w:afterAutospacing="0" w:line="360" w:lineRule="auto"/>
              <w:ind w:left="0" w:right="0"/>
              <w:jc w:val="center"/>
              <w:rPr>
                <w:rFonts w:ascii="宋体" w:hAnsi="宋体" w:cs="宋体"/>
                <w:color w:val="auto"/>
                <w:kern w:val="0"/>
                <w:sz w:val="24"/>
                <w:highlight w:val="none"/>
              </w:rPr>
            </w:pPr>
          </w:p>
        </w:tc>
      </w:tr>
      <w:tr w14:paraId="55C57907">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AA6C050">
            <w:pPr>
              <w:keepNext w:val="0"/>
              <w:keepLines w:val="0"/>
              <w:suppressLineNumbers w:val="0"/>
              <w:spacing w:before="0" w:beforeAutospacing="0" w:after="0" w:afterAutospacing="0" w:line="360" w:lineRule="auto"/>
              <w:ind w:left="0" w:right="0"/>
              <w:jc w:val="center"/>
              <w:rPr>
                <w:rFonts w:ascii="宋体" w:hAnsi="宋体" w:cs="宋体"/>
                <w:color w:val="auto"/>
                <w:kern w:val="0"/>
                <w:sz w:val="24"/>
                <w:highlight w:val="none"/>
              </w:rPr>
            </w:pPr>
            <w:r>
              <w:rPr>
                <w:rFonts w:hint="eastAsia" w:ascii="宋体" w:hAnsi="宋体" w:cs="宋体"/>
                <w:color w:val="auto"/>
                <w:kern w:val="0"/>
                <w:sz w:val="24"/>
                <w:highlight w:val="none"/>
              </w:rPr>
              <w:t>……</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8BCAF92">
            <w:pPr>
              <w:keepNext w:val="0"/>
              <w:keepLines w:val="0"/>
              <w:suppressLineNumbers w:val="0"/>
              <w:spacing w:before="0" w:beforeAutospacing="0" w:after="0" w:afterAutospacing="0" w:line="360" w:lineRule="auto"/>
              <w:ind w:left="0" w:right="0"/>
              <w:jc w:val="center"/>
              <w:rPr>
                <w:rFonts w:ascii="宋体" w:hAnsi="宋体" w:cs="宋体"/>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8528E64">
            <w:pPr>
              <w:keepNext w:val="0"/>
              <w:keepLines w:val="0"/>
              <w:suppressLineNumbers w:val="0"/>
              <w:spacing w:before="0" w:beforeAutospacing="0" w:after="0" w:afterAutospacing="0" w:line="360" w:lineRule="auto"/>
              <w:ind w:left="0" w:right="0"/>
              <w:jc w:val="center"/>
              <w:rPr>
                <w:rFonts w:ascii="宋体" w:hAnsi="宋体" w:cs="宋体"/>
                <w:color w:val="auto"/>
                <w:kern w:val="0"/>
                <w:sz w:val="24"/>
                <w:highlight w:val="none"/>
              </w:rPr>
            </w:pPr>
          </w:p>
        </w:tc>
        <w:tc>
          <w:tcPr>
            <w:tcW w:w="387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E61B78A">
            <w:pPr>
              <w:keepNext w:val="0"/>
              <w:keepLines w:val="0"/>
              <w:suppressLineNumbers w:val="0"/>
              <w:spacing w:before="0" w:beforeAutospacing="0" w:after="0" w:afterAutospacing="0" w:line="360" w:lineRule="auto"/>
              <w:ind w:left="0" w:right="0"/>
              <w:jc w:val="center"/>
              <w:rPr>
                <w:rFonts w:ascii="宋体" w:hAnsi="宋体" w:cs="宋体"/>
                <w:color w:val="auto"/>
                <w:kern w:val="0"/>
                <w:sz w:val="24"/>
                <w:highlight w:val="none"/>
              </w:rPr>
            </w:pPr>
          </w:p>
        </w:tc>
        <w:tc>
          <w:tcPr>
            <w:tcW w:w="1261"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83919B3">
            <w:pPr>
              <w:keepNext w:val="0"/>
              <w:keepLines w:val="0"/>
              <w:suppressLineNumbers w:val="0"/>
              <w:spacing w:before="0" w:beforeAutospacing="0" w:after="0" w:afterAutospacing="0" w:line="360" w:lineRule="auto"/>
              <w:ind w:left="0" w:right="0"/>
              <w:jc w:val="center"/>
              <w:rPr>
                <w:rFonts w:ascii="宋体" w:hAnsi="宋体" w:cs="宋体"/>
                <w:color w:val="auto"/>
                <w:kern w:val="0"/>
                <w:sz w:val="24"/>
                <w:highlight w:val="none"/>
              </w:rPr>
            </w:pPr>
          </w:p>
        </w:tc>
      </w:tr>
    </w:tbl>
    <w:p w14:paraId="2F457840">
      <w:pPr>
        <w:snapToGrid w:val="0"/>
        <w:spacing w:line="360" w:lineRule="auto"/>
        <w:ind w:firstLine="360"/>
        <w:jc w:val="left"/>
        <w:rPr>
          <w:rFonts w:ascii="宋体" w:hAnsi="宋体"/>
          <w:color w:val="auto"/>
          <w:sz w:val="24"/>
          <w:highlight w:val="none"/>
        </w:rPr>
      </w:pPr>
      <w:r>
        <w:rPr>
          <w:rFonts w:hint="eastAsia" w:ascii="宋体" w:hAnsi="宋体"/>
          <w:color w:val="auto"/>
          <w:sz w:val="24"/>
          <w:highlight w:val="none"/>
        </w:rPr>
        <w:t>注：</w:t>
      </w:r>
    </w:p>
    <w:p w14:paraId="3CD225CF">
      <w:pPr>
        <w:snapToGrid w:val="0"/>
        <w:spacing w:line="360" w:lineRule="auto"/>
        <w:ind w:firstLine="360"/>
        <w:jc w:val="left"/>
        <w:rPr>
          <w:rFonts w:ascii="宋体" w:hAnsi="宋体"/>
          <w:color w:val="auto"/>
          <w:sz w:val="24"/>
          <w:highlight w:val="none"/>
        </w:rPr>
      </w:pPr>
      <w:r>
        <w:rPr>
          <w:rFonts w:hint="eastAsia" w:ascii="宋体" w:hAnsi="宋体"/>
          <w:color w:val="auto"/>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13A35143">
      <w:pPr>
        <w:snapToGrid w:val="0"/>
        <w:spacing w:line="360" w:lineRule="auto"/>
        <w:ind w:firstLine="360"/>
        <w:jc w:val="left"/>
        <w:rPr>
          <w:rFonts w:ascii="宋体" w:hAnsi="宋体"/>
          <w:color w:val="auto"/>
          <w:sz w:val="24"/>
          <w:highlight w:val="none"/>
        </w:rPr>
      </w:pPr>
      <w:r>
        <w:rPr>
          <w:rFonts w:hint="eastAsia" w:ascii="宋体" w:hAnsi="宋体"/>
          <w:color w:val="auto"/>
          <w:sz w:val="24"/>
          <w:highlight w:val="none"/>
        </w:rPr>
        <w:t>2.本表所指的控股关系仅限于直接控股关系，不包括间接的控股关系。公司实际控制人与公司之间的关系不属于本表所指的直接控股关系。</w:t>
      </w:r>
    </w:p>
    <w:p w14:paraId="2F006BBD">
      <w:pPr>
        <w:snapToGrid w:val="0"/>
        <w:spacing w:line="360" w:lineRule="auto"/>
        <w:ind w:firstLine="360"/>
        <w:jc w:val="left"/>
        <w:rPr>
          <w:rFonts w:ascii="宋体" w:hAnsi="宋体"/>
          <w:color w:val="auto"/>
          <w:sz w:val="24"/>
          <w:highlight w:val="none"/>
        </w:rPr>
      </w:pPr>
      <w:r>
        <w:rPr>
          <w:rFonts w:hint="eastAsia" w:ascii="宋体" w:hAnsi="宋体"/>
          <w:color w:val="auto"/>
          <w:sz w:val="24"/>
          <w:highlight w:val="none"/>
        </w:rPr>
        <w:t>3.供应商不存在直接控股股东的，则填“无”。</w:t>
      </w:r>
    </w:p>
    <w:p w14:paraId="086E65AD">
      <w:pPr>
        <w:snapToGrid w:val="0"/>
        <w:spacing w:before="50" w:afterLines="50"/>
        <w:ind w:firstLine="180" w:firstLineChars="100"/>
        <w:jc w:val="left"/>
        <w:rPr>
          <w:rFonts w:ascii="宋体" w:hAnsi="宋体"/>
          <w:color w:val="auto"/>
          <w:sz w:val="18"/>
          <w:szCs w:val="18"/>
          <w:highlight w:val="none"/>
        </w:rPr>
      </w:pPr>
    </w:p>
    <w:p w14:paraId="540B1963">
      <w:pPr>
        <w:snapToGrid w:val="0"/>
        <w:spacing w:before="50" w:afterLines="100" w:line="360" w:lineRule="auto"/>
        <w:ind w:firstLine="360"/>
        <w:jc w:val="left"/>
        <w:rPr>
          <w:rFonts w:ascii="宋体" w:hAnsi="宋体" w:cs="宋体"/>
          <w:color w:val="auto"/>
          <w:sz w:val="24"/>
          <w:highlight w:val="none"/>
        </w:rPr>
      </w:pPr>
      <w:r>
        <w:rPr>
          <w:rFonts w:hint="eastAsia" w:ascii="宋体" w:hAnsi="宋体" w:cs="宋体"/>
          <w:color w:val="auto"/>
          <w:sz w:val="24"/>
          <w:highlight w:val="none"/>
        </w:rPr>
        <w:t xml:space="preserve">                                     </w:t>
      </w:r>
    </w:p>
    <w:p w14:paraId="598C9F5D">
      <w:pPr>
        <w:snapToGrid w:val="0"/>
        <w:spacing w:before="50" w:afterLines="100" w:line="360" w:lineRule="auto"/>
        <w:ind w:left="7428" w:leftChars="2223" w:hanging="2760" w:hangingChars="1150"/>
        <w:jc w:val="left"/>
        <w:rPr>
          <w:rFonts w:ascii="宋体" w:hAnsi="宋体" w:cs="宋体"/>
          <w:b/>
          <w:bCs/>
          <w:color w:val="auto"/>
          <w:sz w:val="30"/>
          <w:szCs w:val="30"/>
          <w:highlight w:val="none"/>
        </w:rPr>
      </w:pPr>
      <w:r>
        <w:rPr>
          <w:rFonts w:hint="eastAsia" w:ascii="宋体" w:hAnsi="宋体" w:cs="宋体"/>
          <w:color w:val="auto"/>
          <w:sz w:val="24"/>
          <w:highlight w:val="none"/>
        </w:rPr>
        <w:t xml:space="preserve">  </w:t>
      </w:r>
      <w:r>
        <w:rPr>
          <w:rFonts w:hint="eastAsia" w:ascii="宋体" w:hAnsi="宋体" w:cs="宋体"/>
          <w:color w:val="auto"/>
          <w:kern w:val="0"/>
          <w:sz w:val="24"/>
          <w:highlight w:val="none"/>
          <w:lang w:val="zh-CN"/>
        </w:rPr>
        <w:t>投标人名称(盖公章)：</w:t>
      </w:r>
      <w:r>
        <w:rPr>
          <w:rFonts w:hint="eastAsia" w:ascii="宋体" w:hAnsi="宋体" w:cs="宋体"/>
          <w:color w:val="auto"/>
          <w:szCs w:val="21"/>
          <w:highlight w:val="none"/>
        </w:rPr>
        <w:t xml:space="preserve">                                     </w:t>
      </w:r>
      <w:r>
        <w:rPr>
          <w:rFonts w:hint="eastAsia" w:ascii="宋体" w:hAnsi="宋体" w:cs="宋体"/>
          <w:color w:val="auto"/>
          <w:sz w:val="24"/>
          <w:highlight w:val="none"/>
        </w:rPr>
        <w:t>年  月  日</w:t>
      </w:r>
    </w:p>
    <w:p w14:paraId="7F10DFFA">
      <w:pPr>
        <w:ind w:firstLine="422"/>
        <w:rPr>
          <w:rFonts w:ascii="宋体" w:hAnsi="宋体" w:cs="宋体"/>
          <w:b/>
          <w:bCs/>
          <w:color w:val="auto"/>
          <w:sz w:val="28"/>
          <w:szCs w:val="28"/>
          <w:highlight w:val="none"/>
        </w:rPr>
      </w:pPr>
      <w:r>
        <w:rPr>
          <w:rFonts w:hint="eastAsia" w:ascii="宋体" w:hAnsi="宋体" w:cs="宋体"/>
          <w:b/>
          <w:bCs/>
          <w:color w:val="auto"/>
          <w:sz w:val="28"/>
          <w:szCs w:val="28"/>
          <w:highlight w:val="none"/>
        </w:rPr>
        <w:br w:type="page"/>
      </w:r>
    </w:p>
    <w:p w14:paraId="39DED8FA">
      <w:pPr>
        <w:snapToGrid w:val="0"/>
        <w:spacing w:line="360" w:lineRule="auto"/>
        <w:ind w:right="480" w:firstLine="482"/>
        <w:rPr>
          <w:rFonts w:ascii="宋体" w:hAnsi="宋体" w:cs="宋体"/>
          <w:b/>
          <w:color w:val="auto"/>
          <w:kern w:val="0"/>
          <w:sz w:val="32"/>
          <w:szCs w:val="32"/>
          <w:highlight w:val="none"/>
        </w:rPr>
      </w:pPr>
      <w:r>
        <w:rPr>
          <w:rFonts w:hint="eastAsia" w:ascii="宋体" w:hAnsi="宋体" w:cs="宋体"/>
          <w:b/>
          <w:color w:val="auto"/>
          <w:kern w:val="0"/>
          <w:sz w:val="32"/>
          <w:szCs w:val="32"/>
          <w:highlight w:val="none"/>
        </w:rPr>
        <w:t>5.</w:t>
      </w:r>
      <w:r>
        <w:rPr>
          <w:rFonts w:hint="eastAsia" w:ascii="宋体" w:hAnsi="宋体" w:cs="宋体"/>
          <w:b/>
          <w:color w:val="auto"/>
          <w:sz w:val="28"/>
          <w:szCs w:val="28"/>
          <w:highlight w:val="none"/>
        </w:rPr>
        <w:t>投标人直接管理关系信息表的格式</w:t>
      </w:r>
      <w:r>
        <w:rPr>
          <w:rFonts w:hint="eastAsia"/>
          <w:color w:val="auto"/>
          <w:sz w:val="28"/>
          <w:szCs w:val="28"/>
          <w:highlight w:val="none"/>
        </w:rPr>
        <w:t>：</w:t>
      </w:r>
    </w:p>
    <w:p w14:paraId="257994EB">
      <w:pPr>
        <w:snapToGrid w:val="0"/>
        <w:ind w:firstLine="270"/>
        <w:jc w:val="left"/>
        <w:rPr>
          <w:color w:val="auto"/>
          <w:sz w:val="18"/>
          <w:szCs w:val="18"/>
          <w:highlight w:val="none"/>
        </w:rPr>
      </w:pPr>
    </w:p>
    <w:p w14:paraId="0CE593E7">
      <w:pPr>
        <w:snapToGrid w:val="0"/>
        <w:spacing w:line="360" w:lineRule="auto"/>
        <w:ind w:firstLine="482"/>
        <w:jc w:val="center"/>
        <w:rPr>
          <w:rFonts w:ascii="宋体" w:hAnsi="宋体"/>
          <w:color w:val="auto"/>
          <w:sz w:val="32"/>
          <w:szCs w:val="32"/>
          <w:highlight w:val="none"/>
        </w:rPr>
      </w:pPr>
      <w:r>
        <w:rPr>
          <w:rFonts w:hint="eastAsia" w:ascii="宋体" w:hAnsi="宋体"/>
          <w:b/>
          <w:color w:val="auto"/>
          <w:sz w:val="32"/>
          <w:szCs w:val="32"/>
          <w:highlight w:val="none"/>
        </w:rPr>
        <w:t>投标人直接管理关系信息表</w:t>
      </w:r>
    </w:p>
    <w:tbl>
      <w:tblPr>
        <w:tblStyle w:val="28"/>
        <w:tblW w:w="0" w:type="auto"/>
        <w:tblInd w:w="125" w:type="dxa"/>
        <w:shd w:val="clear" w:color="auto" w:fill="FBFBFB"/>
        <w:tblLayout w:type="fixed"/>
        <w:tblCellMar>
          <w:top w:w="0" w:type="dxa"/>
          <w:left w:w="0" w:type="dxa"/>
          <w:bottom w:w="0" w:type="dxa"/>
          <w:right w:w="0" w:type="dxa"/>
        </w:tblCellMar>
      </w:tblPr>
      <w:tblGrid>
        <w:gridCol w:w="1005"/>
        <w:gridCol w:w="2659"/>
        <w:gridCol w:w="3924"/>
        <w:gridCol w:w="2064"/>
      </w:tblGrid>
      <w:tr w14:paraId="4B682E5E">
        <w:tblPrEx>
          <w:shd w:val="clear" w:color="auto" w:fill="FBFBFB"/>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4C5A2877">
            <w:pPr>
              <w:keepNext w:val="0"/>
              <w:keepLines w:val="0"/>
              <w:suppressLineNumbers w:val="0"/>
              <w:spacing w:before="0" w:beforeAutospacing="0" w:after="0" w:afterAutospacing="0" w:line="360" w:lineRule="auto"/>
              <w:ind w:left="0" w:right="0"/>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265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4C2E1382">
            <w:pPr>
              <w:keepNext w:val="0"/>
              <w:keepLines w:val="0"/>
              <w:suppressLineNumbers w:val="0"/>
              <w:spacing w:before="0" w:beforeAutospacing="0" w:after="0" w:afterAutospacing="0" w:line="360" w:lineRule="auto"/>
              <w:ind w:left="0" w:right="0"/>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3747D4E">
            <w:pPr>
              <w:keepNext w:val="0"/>
              <w:keepLines w:val="0"/>
              <w:suppressLineNumbers w:val="0"/>
              <w:spacing w:before="0" w:beforeAutospacing="0" w:after="0" w:afterAutospacing="0" w:line="360" w:lineRule="auto"/>
              <w:ind w:left="0" w:right="0"/>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7324F6EC">
            <w:pPr>
              <w:keepNext w:val="0"/>
              <w:keepLines w:val="0"/>
              <w:suppressLineNumbers w:val="0"/>
              <w:spacing w:before="0" w:beforeAutospacing="0" w:after="0" w:afterAutospacing="0" w:line="360" w:lineRule="auto"/>
              <w:ind w:left="0" w:right="0"/>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7C60F14C">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9B8805D">
            <w:pPr>
              <w:keepNext w:val="0"/>
              <w:keepLines w:val="0"/>
              <w:suppressLineNumbers w:val="0"/>
              <w:spacing w:before="0" w:beforeAutospacing="0" w:after="0" w:afterAutospacing="0" w:line="360" w:lineRule="auto"/>
              <w:ind w:left="0" w:right="0"/>
              <w:jc w:val="center"/>
              <w:rPr>
                <w:rFonts w:ascii="宋体" w:hAnsi="宋体" w:cs="宋体"/>
                <w:color w:val="auto"/>
                <w:kern w:val="0"/>
                <w:sz w:val="24"/>
                <w:highlight w:val="none"/>
              </w:rPr>
            </w:pPr>
            <w:r>
              <w:rPr>
                <w:rFonts w:hint="eastAsia" w:ascii="宋体" w:hAnsi="宋体" w:cs="宋体"/>
                <w:color w:val="auto"/>
                <w:kern w:val="0"/>
                <w:sz w:val="24"/>
                <w:highlight w:val="none"/>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BA3BE33">
            <w:pPr>
              <w:keepNext w:val="0"/>
              <w:keepLines w:val="0"/>
              <w:suppressLineNumbers w:val="0"/>
              <w:spacing w:before="0" w:beforeAutospacing="0" w:after="0" w:afterAutospacing="0" w:line="360" w:lineRule="auto"/>
              <w:ind w:left="0" w:right="0"/>
              <w:jc w:val="center"/>
              <w:rPr>
                <w:rFonts w:ascii="宋体" w:hAnsi="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C0988A9">
            <w:pPr>
              <w:keepNext w:val="0"/>
              <w:keepLines w:val="0"/>
              <w:suppressLineNumbers w:val="0"/>
              <w:spacing w:before="0" w:beforeAutospacing="0" w:after="0" w:afterAutospacing="0" w:line="360" w:lineRule="auto"/>
              <w:ind w:left="0" w:right="0"/>
              <w:jc w:val="center"/>
              <w:rPr>
                <w:rFonts w:ascii="宋体" w:hAnsi="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2E473F9">
            <w:pPr>
              <w:keepNext w:val="0"/>
              <w:keepLines w:val="0"/>
              <w:suppressLineNumbers w:val="0"/>
              <w:spacing w:before="0" w:beforeAutospacing="0" w:after="0" w:afterAutospacing="0" w:line="360" w:lineRule="auto"/>
              <w:ind w:left="0" w:right="0"/>
              <w:jc w:val="center"/>
              <w:rPr>
                <w:rFonts w:ascii="宋体" w:hAnsi="宋体" w:cs="宋体"/>
                <w:color w:val="auto"/>
                <w:kern w:val="0"/>
                <w:sz w:val="24"/>
                <w:highlight w:val="none"/>
              </w:rPr>
            </w:pPr>
          </w:p>
        </w:tc>
      </w:tr>
      <w:tr w14:paraId="381288FD">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0A99A98">
            <w:pPr>
              <w:keepNext w:val="0"/>
              <w:keepLines w:val="0"/>
              <w:suppressLineNumbers w:val="0"/>
              <w:spacing w:before="0" w:beforeAutospacing="0" w:after="0" w:afterAutospacing="0" w:line="360" w:lineRule="auto"/>
              <w:ind w:left="0" w:right="0"/>
              <w:jc w:val="center"/>
              <w:rPr>
                <w:rFonts w:ascii="宋体" w:hAnsi="宋体" w:cs="宋体"/>
                <w:color w:val="auto"/>
                <w:kern w:val="0"/>
                <w:sz w:val="24"/>
                <w:highlight w:val="none"/>
              </w:rPr>
            </w:pPr>
            <w:r>
              <w:rPr>
                <w:rFonts w:hint="eastAsia" w:ascii="宋体" w:hAnsi="宋体" w:cs="宋体"/>
                <w:color w:val="auto"/>
                <w:kern w:val="0"/>
                <w:sz w:val="24"/>
                <w:highlight w:val="none"/>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504E6D8">
            <w:pPr>
              <w:keepNext w:val="0"/>
              <w:keepLines w:val="0"/>
              <w:suppressLineNumbers w:val="0"/>
              <w:spacing w:before="0" w:beforeAutospacing="0" w:after="0" w:afterAutospacing="0" w:line="360" w:lineRule="auto"/>
              <w:ind w:left="0" w:right="0"/>
              <w:jc w:val="center"/>
              <w:rPr>
                <w:rFonts w:ascii="宋体" w:hAnsi="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A8C608F">
            <w:pPr>
              <w:keepNext w:val="0"/>
              <w:keepLines w:val="0"/>
              <w:suppressLineNumbers w:val="0"/>
              <w:spacing w:before="0" w:beforeAutospacing="0" w:after="0" w:afterAutospacing="0" w:line="360" w:lineRule="auto"/>
              <w:ind w:left="0" w:right="0"/>
              <w:jc w:val="center"/>
              <w:rPr>
                <w:rFonts w:ascii="宋体" w:hAnsi="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88C9B32">
            <w:pPr>
              <w:keepNext w:val="0"/>
              <w:keepLines w:val="0"/>
              <w:suppressLineNumbers w:val="0"/>
              <w:spacing w:before="0" w:beforeAutospacing="0" w:after="0" w:afterAutospacing="0" w:line="360" w:lineRule="auto"/>
              <w:ind w:left="0" w:right="0"/>
              <w:jc w:val="center"/>
              <w:rPr>
                <w:rFonts w:ascii="宋体" w:hAnsi="宋体" w:cs="宋体"/>
                <w:color w:val="auto"/>
                <w:kern w:val="0"/>
                <w:sz w:val="24"/>
                <w:highlight w:val="none"/>
              </w:rPr>
            </w:pPr>
          </w:p>
        </w:tc>
      </w:tr>
      <w:tr w14:paraId="0D7B11DF">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DBF9C08">
            <w:pPr>
              <w:keepNext w:val="0"/>
              <w:keepLines w:val="0"/>
              <w:suppressLineNumbers w:val="0"/>
              <w:spacing w:before="0" w:beforeAutospacing="0" w:after="0" w:afterAutospacing="0" w:line="360" w:lineRule="auto"/>
              <w:ind w:left="0" w:right="0"/>
              <w:jc w:val="center"/>
              <w:rPr>
                <w:rFonts w:ascii="宋体" w:hAnsi="宋体" w:cs="宋体"/>
                <w:color w:val="auto"/>
                <w:kern w:val="0"/>
                <w:sz w:val="24"/>
                <w:highlight w:val="none"/>
              </w:rPr>
            </w:pPr>
            <w:r>
              <w:rPr>
                <w:rFonts w:hint="eastAsia" w:ascii="宋体" w:hAnsi="宋体" w:cs="宋体"/>
                <w:color w:val="auto"/>
                <w:kern w:val="0"/>
                <w:sz w:val="24"/>
                <w:highlight w:val="none"/>
              </w:rPr>
              <w:t>3</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581850D">
            <w:pPr>
              <w:keepNext w:val="0"/>
              <w:keepLines w:val="0"/>
              <w:suppressLineNumbers w:val="0"/>
              <w:spacing w:before="0" w:beforeAutospacing="0" w:after="0" w:afterAutospacing="0" w:line="360" w:lineRule="auto"/>
              <w:ind w:left="0" w:right="0"/>
              <w:jc w:val="center"/>
              <w:rPr>
                <w:rFonts w:ascii="宋体" w:hAnsi="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6ABF14A">
            <w:pPr>
              <w:keepNext w:val="0"/>
              <w:keepLines w:val="0"/>
              <w:suppressLineNumbers w:val="0"/>
              <w:spacing w:before="0" w:beforeAutospacing="0" w:after="0" w:afterAutospacing="0" w:line="360" w:lineRule="auto"/>
              <w:ind w:left="0" w:right="0"/>
              <w:jc w:val="center"/>
              <w:rPr>
                <w:rFonts w:ascii="宋体" w:hAnsi="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04FAA3A">
            <w:pPr>
              <w:keepNext w:val="0"/>
              <w:keepLines w:val="0"/>
              <w:suppressLineNumbers w:val="0"/>
              <w:spacing w:before="0" w:beforeAutospacing="0" w:after="0" w:afterAutospacing="0" w:line="360" w:lineRule="auto"/>
              <w:ind w:left="0" w:right="0"/>
              <w:jc w:val="center"/>
              <w:rPr>
                <w:rFonts w:ascii="宋体" w:hAnsi="宋体" w:cs="宋体"/>
                <w:color w:val="auto"/>
                <w:kern w:val="0"/>
                <w:sz w:val="24"/>
                <w:highlight w:val="none"/>
              </w:rPr>
            </w:pPr>
          </w:p>
        </w:tc>
      </w:tr>
      <w:tr w14:paraId="4D9BED32">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46F1AD5">
            <w:pPr>
              <w:keepNext w:val="0"/>
              <w:keepLines w:val="0"/>
              <w:suppressLineNumbers w:val="0"/>
              <w:spacing w:before="0" w:beforeAutospacing="0" w:after="0" w:afterAutospacing="0" w:line="360" w:lineRule="auto"/>
              <w:ind w:left="0" w:right="0"/>
              <w:jc w:val="center"/>
              <w:rPr>
                <w:rFonts w:ascii="宋体" w:hAnsi="宋体" w:cs="宋体"/>
                <w:color w:val="auto"/>
                <w:kern w:val="0"/>
                <w:sz w:val="24"/>
                <w:highlight w:val="none"/>
              </w:rPr>
            </w:pPr>
            <w:r>
              <w:rPr>
                <w:rFonts w:hint="eastAsia" w:ascii="宋体" w:hAnsi="宋体" w:cs="宋体"/>
                <w:color w:val="auto"/>
                <w:kern w:val="0"/>
                <w:sz w:val="24"/>
                <w:highlight w:val="none"/>
              </w:rPr>
              <w:t>……</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8314002">
            <w:pPr>
              <w:keepNext w:val="0"/>
              <w:keepLines w:val="0"/>
              <w:suppressLineNumbers w:val="0"/>
              <w:spacing w:before="0" w:beforeAutospacing="0" w:after="0" w:afterAutospacing="0" w:line="360" w:lineRule="auto"/>
              <w:ind w:left="0" w:right="0"/>
              <w:jc w:val="center"/>
              <w:rPr>
                <w:rFonts w:ascii="宋体" w:hAnsi="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812F1C2">
            <w:pPr>
              <w:keepNext w:val="0"/>
              <w:keepLines w:val="0"/>
              <w:suppressLineNumbers w:val="0"/>
              <w:spacing w:before="0" w:beforeAutospacing="0" w:after="0" w:afterAutospacing="0" w:line="360" w:lineRule="auto"/>
              <w:ind w:left="0" w:right="0"/>
              <w:jc w:val="center"/>
              <w:rPr>
                <w:rFonts w:ascii="宋体" w:hAnsi="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2038AD6">
            <w:pPr>
              <w:keepNext w:val="0"/>
              <w:keepLines w:val="0"/>
              <w:suppressLineNumbers w:val="0"/>
              <w:spacing w:before="0" w:beforeAutospacing="0" w:after="0" w:afterAutospacing="0" w:line="360" w:lineRule="auto"/>
              <w:ind w:left="0" w:right="0"/>
              <w:jc w:val="center"/>
              <w:rPr>
                <w:rFonts w:ascii="宋体" w:hAnsi="宋体" w:cs="宋体"/>
                <w:color w:val="auto"/>
                <w:kern w:val="0"/>
                <w:sz w:val="24"/>
                <w:highlight w:val="none"/>
              </w:rPr>
            </w:pPr>
          </w:p>
        </w:tc>
      </w:tr>
    </w:tbl>
    <w:p w14:paraId="3EBF1EBA">
      <w:pPr>
        <w:snapToGrid w:val="0"/>
        <w:spacing w:line="360" w:lineRule="auto"/>
        <w:ind w:firstLine="360"/>
        <w:jc w:val="left"/>
        <w:rPr>
          <w:rFonts w:ascii="宋体" w:hAnsi="宋体"/>
          <w:color w:val="auto"/>
          <w:sz w:val="24"/>
          <w:highlight w:val="none"/>
        </w:rPr>
      </w:pPr>
      <w:r>
        <w:rPr>
          <w:rFonts w:hint="eastAsia" w:ascii="宋体" w:hAnsi="宋体"/>
          <w:color w:val="auto"/>
          <w:sz w:val="24"/>
          <w:highlight w:val="none"/>
        </w:rPr>
        <w:t>注：</w:t>
      </w:r>
    </w:p>
    <w:p w14:paraId="64615FFB">
      <w:pPr>
        <w:snapToGrid w:val="0"/>
        <w:spacing w:line="360" w:lineRule="auto"/>
        <w:ind w:firstLine="480" w:firstLineChars="200"/>
        <w:jc w:val="left"/>
        <w:rPr>
          <w:rFonts w:ascii="宋体" w:hAnsi="宋体"/>
          <w:color w:val="auto"/>
          <w:sz w:val="24"/>
          <w:highlight w:val="none"/>
        </w:rPr>
      </w:pPr>
      <w:r>
        <w:rPr>
          <w:rFonts w:hint="eastAsia" w:ascii="宋体" w:hAnsi="宋体"/>
          <w:color w:val="auto"/>
          <w:sz w:val="24"/>
          <w:highlight w:val="none"/>
        </w:rPr>
        <w:t>1.管理关系：是指不具有出资持股关系的其他单位之间存在的管理与被管理关系，如一些上下级关系的事业单位和团体组织。</w:t>
      </w:r>
    </w:p>
    <w:p w14:paraId="567A1F61">
      <w:pPr>
        <w:snapToGrid w:val="0"/>
        <w:spacing w:line="360" w:lineRule="auto"/>
        <w:ind w:firstLine="480" w:firstLineChars="200"/>
        <w:jc w:val="left"/>
        <w:rPr>
          <w:rFonts w:ascii="宋体" w:hAnsi="宋体"/>
          <w:color w:val="auto"/>
          <w:sz w:val="24"/>
          <w:highlight w:val="none"/>
        </w:rPr>
      </w:pPr>
      <w:r>
        <w:rPr>
          <w:rFonts w:hint="eastAsia" w:ascii="宋体" w:hAnsi="宋体"/>
          <w:color w:val="auto"/>
          <w:sz w:val="24"/>
          <w:highlight w:val="none"/>
        </w:rPr>
        <w:t>2.</w:t>
      </w:r>
      <w:r>
        <w:rPr>
          <w:rFonts w:hint="eastAsia" w:ascii="宋体" w:hAnsi="宋体"/>
          <w:color w:val="auto"/>
          <w:spacing w:val="-6"/>
          <w:sz w:val="24"/>
          <w:highlight w:val="none"/>
        </w:rPr>
        <w:t>本表所指的管理关系仅限于直接管理关系，不包括间接的管理关系。</w:t>
      </w:r>
    </w:p>
    <w:p w14:paraId="203118C5">
      <w:pPr>
        <w:snapToGrid w:val="0"/>
        <w:spacing w:line="360" w:lineRule="auto"/>
        <w:ind w:firstLine="480" w:firstLineChars="200"/>
        <w:jc w:val="left"/>
        <w:rPr>
          <w:rFonts w:ascii="宋体" w:hAnsi="宋体"/>
          <w:color w:val="auto"/>
          <w:sz w:val="24"/>
          <w:highlight w:val="none"/>
        </w:rPr>
      </w:pPr>
      <w:r>
        <w:rPr>
          <w:rFonts w:hint="eastAsia" w:ascii="宋体" w:hAnsi="宋体"/>
          <w:color w:val="auto"/>
          <w:sz w:val="24"/>
          <w:highlight w:val="none"/>
        </w:rPr>
        <w:t>3.供应商不存在直接管理关系的，则填“无”。</w:t>
      </w:r>
    </w:p>
    <w:p w14:paraId="152DEF86">
      <w:pPr>
        <w:snapToGrid w:val="0"/>
        <w:spacing w:before="50" w:afterLines="50"/>
        <w:ind w:firstLine="180" w:firstLineChars="100"/>
        <w:jc w:val="left"/>
        <w:rPr>
          <w:rFonts w:ascii="宋体" w:hAnsi="宋体"/>
          <w:color w:val="auto"/>
          <w:sz w:val="18"/>
          <w:szCs w:val="18"/>
          <w:highlight w:val="none"/>
        </w:rPr>
      </w:pPr>
    </w:p>
    <w:p w14:paraId="4FD99CBA">
      <w:pPr>
        <w:snapToGrid w:val="0"/>
        <w:spacing w:before="50" w:afterLines="100" w:line="360" w:lineRule="auto"/>
        <w:ind w:firstLine="360"/>
        <w:jc w:val="left"/>
        <w:rPr>
          <w:rFonts w:ascii="宋体" w:hAnsi="宋体" w:cs="宋体"/>
          <w:color w:val="auto"/>
          <w:sz w:val="24"/>
          <w:highlight w:val="none"/>
        </w:rPr>
      </w:pPr>
      <w:r>
        <w:rPr>
          <w:rFonts w:hint="eastAsia" w:ascii="宋体" w:hAnsi="宋体" w:cs="宋体"/>
          <w:color w:val="auto"/>
          <w:sz w:val="24"/>
          <w:highlight w:val="none"/>
        </w:rPr>
        <w:t xml:space="preserve">                                     </w:t>
      </w:r>
    </w:p>
    <w:p w14:paraId="5F19DF68">
      <w:pPr>
        <w:snapToGrid w:val="0"/>
        <w:spacing w:before="50" w:afterLines="100" w:line="360" w:lineRule="auto"/>
        <w:ind w:left="7428" w:leftChars="2223" w:hanging="2760" w:hangingChars="1150"/>
        <w:jc w:val="left"/>
        <w:rPr>
          <w:rFonts w:ascii="宋体" w:hAnsi="宋体" w:cs="宋体"/>
          <w:b/>
          <w:bCs/>
          <w:color w:val="auto"/>
          <w:sz w:val="30"/>
          <w:szCs w:val="30"/>
          <w:highlight w:val="none"/>
        </w:rPr>
      </w:pPr>
      <w:r>
        <w:rPr>
          <w:rFonts w:hint="eastAsia" w:ascii="宋体" w:hAnsi="宋体" w:cs="宋体"/>
          <w:color w:val="auto"/>
          <w:sz w:val="24"/>
          <w:highlight w:val="none"/>
        </w:rPr>
        <w:t xml:space="preserve">  </w:t>
      </w:r>
      <w:r>
        <w:rPr>
          <w:rFonts w:hint="eastAsia" w:ascii="宋体" w:hAnsi="宋体" w:cs="宋体"/>
          <w:color w:val="auto"/>
          <w:kern w:val="0"/>
          <w:sz w:val="24"/>
          <w:highlight w:val="none"/>
          <w:lang w:val="zh-CN"/>
        </w:rPr>
        <w:t>投标人名称(盖公章)：</w:t>
      </w:r>
      <w:r>
        <w:rPr>
          <w:rFonts w:hint="eastAsia" w:ascii="宋体" w:hAnsi="宋体" w:cs="宋体"/>
          <w:color w:val="auto"/>
          <w:szCs w:val="21"/>
          <w:highlight w:val="none"/>
        </w:rPr>
        <w:t xml:space="preserve">                                     </w:t>
      </w:r>
      <w:r>
        <w:rPr>
          <w:rFonts w:hint="eastAsia" w:ascii="宋体" w:hAnsi="宋体" w:cs="宋体"/>
          <w:color w:val="auto"/>
          <w:sz w:val="24"/>
          <w:highlight w:val="none"/>
        </w:rPr>
        <w:t>年   月   日</w:t>
      </w:r>
    </w:p>
    <w:p w14:paraId="2310A943">
      <w:pPr>
        <w:rPr>
          <w:color w:val="auto"/>
          <w:highlight w:val="none"/>
        </w:rPr>
      </w:pPr>
      <w:r>
        <w:rPr>
          <w:rFonts w:hint="eastAsia"/>
          <w:color w:val="auto"/>
          <w:highlight w:val="none"/>
        </w:rPr>
        <w:br w:type="page"/>
      </w:r>
    </w:p>
    <w:p w14:paraId="5B1E6F0D">
      <w:pPr>
        <w:ind w:firstLine="422"/>
        <w:rPr>
          <w:rFonts w:ascii="宋体" w:hAnsi="宋体" w:cs="宋体"/>
          <w:b/>
          <w:bCs/>
          <w:color w:val="auto"/>
          <w:sz w:val="28"/>
          <w:szCs w:val="28"/>
          <w:highlight w:val="none"/>
        </w:rPr>
      </w:pPr>
      <w:r>
        <w:rPr>
          <w:rFonts w:hint="eastAsia" w:ascii="宋体" w:hAnsi="宋体" w:cs="宋体"/>
          <w:b/>
          <w:bCs/>
          <w:color w:val="auto"/>
          <w:sz w:val="28"/>
          <w:szCs w:val="28"/>
          <w:highlight w:val="none"/>
        </w:rPr>
        <w:t>6.联合体投标协议书的格式：</w:t>
      </w:r>
    </w:p>
    <w:p w14:paraId="585A2343">
      <w:pPr>
        <w:spacing w:line="600" w:lineRule="exact"/>
        <w:ind w:firstLine="422"/>
        <w:jc w:val="center"/>
        <w:rPr>
          <w:rFonts w:ascii="宋体" w:hAnsi="宋体" w:cs="宋体"/>
          <w:color w:val="auto"/>
          <w:sz w:val="28"/>
          <w:szCs w:val="28"/>
          <w:highlight w:val="none"/>
        </w:rPr>
      </w:pPr>
      <w:r>
        <w:rPr>
          <w:rFonts w:hint="eastAsia" w:ascii="宋体" w:hAnsi="宋体" w:cs="宋体"/>
          <w:b/>
          <w:bCs/>
          <w:color w:val="auto"/>
          <w:sz w:val="28"/>
          <w:szCs w:val="28"/>
          <w:highlight w:val="none"/>
        </w:rPr>
        <w:t>联合体投标协议书</w:t>
      </w:r>
    </w:p>
    <w:p w14:paraId="7716C0FB">
      <w:pPr>
        <w:autoSpaceDE w:val="0"/>
        <w:autoSpaceDN w:val="0"/>
        <w:adjustRightInd w:val="0"/>
        <w:jc w:val="left"/>
        <w:rPr>
          <w:rFonts w:ascii="宋体" w:hAnsi="宋体" w:cs="宋体"/>
          <w:color w:val="auto"/>
          <w:kern w:val="0"/>
          <w:szCs w:val="21"/>
          <w:highlight w:val="none"/>
          <w:u w:val="single"/>
        </w:rPr>
      </w:pPr>
    </w:p>
    <w:p w14:paraId="33360133">
      <w:pPr>
        <w:autoSpaceDE w:val="0"/>
        <w:autoSpaceDN w:val="0"/>
        <w:adjustRightInd w:val="0"/>
        <w:spacing w:line="440" w:lineRule="exact"/>
        <w:jc w:val="left"/>
        <w:rPr>
          <w:rFonts w:ascii="宋体" w:hAnsi="宋体" w:cs="宋体"/>
          <w:color w:val="auto"/>
          <w:kern w:val="0"/>
          <w:szCs w:val="21"/>
          <w:highlight w:val="none"/>
        </w:rPr>
      </w:pP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（所有成员单位名称）自愿组成联合体，共同参加</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组织的</w:t>
      </w:r>
      <w:r>
        <w:rPr>
          <w:rFonts w:hint="eastAsia" w:ascii="宋体" w:hAnsi="宋体" w:cs="宋体"/>
          <w:color w:val="auto"/>
          <w:kern w:val="0"/>
          <w:szCs w:val="21"/>
          <w:highlight w:val="none"/>
          <w:u w:val="single"/>
        </w:rPr>
        <w:t xml:space="preserve">   </w:t>
      </w:r>
      <w:r>
        <w:rPr>
          <w:rFonts w:hint="eastAsia" w:ascii="宋体" w:hAnsi="宋体" w:cs="宋体"/>
          <w:i/>
          <w:iCs/>
          <w:color w:val="auto"/>
          <w:kern w:val="0"/>
          <w:szCs w:val="21"/>
          <w:highlight w:val="none"/>
          <w:u w:val="single"/>
        </w:rPr>
        <w:t>（项目名称）</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（项目编号：</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）投标。现就联合体投标事宜订立如下协议：</w:t>
      </w:r>
    </w:p>
    <w:p w14:paraId="5A4B1F0B">
      <w:pPr>
        <w:autoSpaceDE w:val="0"/>
        <w:autoSpaceDN w:val="0"/>
        <w:adjustRightInd w:val="0"/>
        <w:spacing w:line="440" w:lineRule="exact"/>
        <w:ind w:firstLine="315"/>
        <w:jc w:val="left"/>
        <w:rPr>
          <w:rFonts w:ascii="宋体" w:hAnsi="宋体" w:cs="宋体"/>
          <w:color w:val="auto"/>
          <w:kern w:val="0"/>
          <w:szCs w:val="21"/>
          <w:highlight w:val="none"/>
        </w:rPr>
      </w:pPr>
      <w:r>
        <w:rPr>
          <w:rFonts w:hint="eastAsia" w:ascii="宋体" w:hAnsi="宋体" w:cs="宋体"/>
          <w:color w:val="auto"/>
          <w:kern w:val="0"/>
          <w:szCs w:val="21"/>
          <w:highlight w:val="none"/>
        </w:rPr>
        <w:t>1、</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（某成员单位名称）为联合体名称牵头人。</w:t>
      </w:r>
    </w:p>
    <w:p w14:paraId="722F55C7">
      <w:pPr>
        <w:autoSpaceDE w:val="0"/>
        <w:autoSpaceDN w:val="0"/>
        <w:adjustRightInd w:val="0"/>
        <w:spacing w:line="440" w:lineRule="exact"/>
        <w:ind w:firstLine="315"/>
        <w:jc w:val="left"/>
        <w:rPr>
          <w:rFonts w:ascii="宋体" w:hAnsi="宋体" w:cs="宋体"/>
          <w:color w:val="auto"/>
          <w:kern w:val="0"/>
          <w:szCs w:val="21"/>
          <w:highlight w:val="none"/>
        </w:rPr>
      </w:pPr>
      <w:r>
        <w:rPr>
          <w:rFonts w:hint="eastAsia" w:ascii="宋体" w:hAnsi="宋体" w:cs="宋体"/>
          <w:color w:val="auto"/>
          <w:kern w:val="0"/>
          <w:szCs w:val="21"/>
          <w:highlight w:val="none"/>
        </w:rPr>
        <w:t>2、联合体牵头人合法代表联合体各成员负责本招标项目投标文件编制和合同谈判活动，并代表联合体提交和接收相关的资料、信息及指示，并处理与之有关的一切事务，负责合同实施阶段的主办、组织和协调工作。</w:t>
      </w:r>
    </w:p>
    <w:p w14:paraId="4691B08B">
      <w:pPr>
        <w:autoSpaceDE w:val="0"/>
        <w:autoSpaceDN w:val="0"/>
        <w:adjustRightInd w:val="0"/>
        <w:spacing w:line="440" w:lineRule="exact"/>
        <w:ind w:firstLine="315"/>
        <w:jc w:val="left"/>
        <w:rPr>
          <w:rFonts w:ascii="宋体" w:hAnsi="宋体" w:cs="宋体"/>
          <w:color w:val="auto"/>
          <w:kern w:val="0"/>
          <w:szCs w:val="21"/>
          <w:highlight w:val="none"/>
        </w:rPr>
      </w:pPr>
      <w:r>
        <w:rPr>
          <w:rFonts w:hint="eastAsia" w:ascii="宋体" w:hAnsi="宋体" w:cs="宋体"/>
          <w:color w:val="auto"/>
          <w:kern w:val="0"/>
          <w:szCs w:val="21"/>
          <w:highlight w:val="none"/>
        </w:rPr>
        <w:t>3、联合体牵头人在本项目中签署和盖章的一切文件和处理的一切事宜，联合体各成员均予以承认。 联合体各成员将严格按照招标文件、投标文件和合同的要求全面履行义务，并向采购人承担连带责任。</w:t>
      </w:r>
    </w:p>
    <w:p w14:paraId="3BCFEDD4">
      <w:pPr>
        <w:autoSpaceDE w:val="0"/>
        <w:autoSpaceDN w:val="0"/>
        <w:adjustRightInd w:val="0"/>
        <w:spacing w:line="440" w:lineRule="exact"/>
        <w:ind w:firstLine="315"/>
        <w:jc w:val="left"/>
        <w:rPr>
          <w:rFonts w:ascii="宋体" w:hAnsi="宋体" w:cs="宋体"/>
          <w:color w:val="auto"/>
          <w:kern w:val="0"/>
          <w:szCs w:val="21"/>
          <w:highlight w:val="none"/>
        </w:rPr>
      </w:pPr>
      <w:r>
        <w:rPr>
          <w:rFonts w:hint="eastAsia" w:ascii="宋体" w:hAnsi="宋体" w:cs="宋体"/>
          <w:color w:val="auto"/>
          <w:kern w:val="0"/>
          <w:szCs w:val="21"/>
          <w:highlight w:val="none"/>
        </w:rPr>
        <w:t>4、联合体各成员单位内部的职责分工如下：</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p>
    <w:p w14:paraId="1EA2B568">
      <w:pPr>
        <w:spacing w:line="440" w:lineRule="exact"/>
        <w:ind w:firstLine="420" w:firstLineChars="200"/>
        <w:rPr>
          <w:rFonts w:ascii="宋体" w:hAnsi="宋体" w:cs="宋体"/>
          <w:color w:val="auto"/>
          <w:szCs w:val="21"/>
          <w:highlight w:val="none"/>
        </w:rPr>
      </w:pPr>
      <w:r>
        <w:rPr>
          <w:rFonts w:hint="eastAsia" w:ascii="宋体" w:hAnsi="宋体" w:cs="宋体"/>
          <w:color w:val="auto"/>
          <w:kern w:val="0"/>
          <w:szCs w:val="20"/>
          <w:highlight w:val="none"/>
        </w:rPr>
        <w:t>5、本联合体中，</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0"/>
          <w:highlight w:val="none"/>
          <w:u w:val="single"/>
        </w:rPr>
        <w:t>（某成员单位名称）为</w:t>
      </w:r>
      <w:r>
        <w:rPr>
          <w:rFonts w:hint="eastAsia" w:ascii="宋体" w:hAnsi="宋体" w:cs="宋体"/>
          <w:color w:val="auto"/>
          <w:kern w:val="0"/>
          <w:szCs w:val="21"/>
          <w:highlight w:val="none"/>
          <w:u w:val="single"/>
        </w:rPr>
        <w:t xml:space="preserve">        </w:t>
      </w:r>
      <w:r>
        <w:rPr>
          <w:rFonts w:hint="eastAsia" w:ascii="宋体" w:hAnsi="宋体" w:cs="宋体"/>
          <w:color w:val="auto"/>
          <w:szCs w:val="20"/>
          <w:highlight w:val="none"/>
        </w:rPr>
        <w:t>（请填写：中型、小型、微型）企业，其协议合同金额占联合体协议合同总金额的</w:t>
      </w:r>
      <w:r>
        <w:rPr>
          <w:rFonts w:hint="eastAsia" w:ascii="宋体" w:hAnsi="宋体" w:cs="宋体"/>
          <w:color w:val="auto"/>
          <w:kern w:val="0"/>
          <w:szCs w:val="21"/>
          <w:highlight w:val="none"/>
          <w:u w:val="single"/>
        </w:rPr>
        <w:t xml:space="preserve">        </w:t>
      </w:r>
      <w:r>
        <w:rPr>
          <w:rFonts w:hint="eastAsia" w:ascii="宋体" w:hAnsi="宋体" w:cs="宋体"/>
          <w:color w:val="auto"/>
          <w:szCs w:val="20"/>
          <w:highlight w:val="none"/>
        </w:rPr>
        <w:t>%。【如联合体成员中有小型、微型企业的，请填写此条，否则无需填写；如联合体成员中有多个小型、微型企业的，请逐一列出。】</w:t>
      </w:r>
    </w:p>
    <w:p w14:paraId="321FC413">
      <w:pPr>
        <w:autoSpaceDE w:val="0"/>
        <w:autoSpaceDN w:val="0"/>
        <w:adjustRightInd w:val="0"/>
        <w:spacing w:line="440" w:lineRule="exact"/>
        <w:ind w:firstLine="315"/>
        <w:jc w:val="left"/>
        <w:rPr>
          <w:rFonts w:ascii="宋体" w:hAnsi="宋体" w:cs="宋体"/>
          <w:color w:val="auto"/>
          <w:kern w:val="0"/>
          <w:szCs w:val="21"/>
          <w:highlight w:val="none"/>
        </w:rPr>
      </w:pPr>
      <w:r>
        <w:rPr>
          <w:rFonts w:hint="eastAsia" w:ascii="宋体" w:hAnsi="宋体" w:cs="宋体"/>
          <w:color w:val="auto"/>
          <w:kern w:val="0"/>
          <w:szCs w:val="21"/>
          <w:highlight w:val="none"/>
        </w:rPr>
        <w:t>6、本协议书自签署之日起生效，合同履行完毕后自动失效。</w:t>
      </w:r>
    </w:p>
    <w:p w14:paraId="531A46CE">
      <w:pPr>
        <w:autoSpaceDE w:val="0"/>
        <w:autoSpaceDN w:val="0"/>
        <w:adjustRightInd w:val="0"/>
        <w:spacing w:line="440" w:lineRule="exact"/>
        <w:ind w:firstLine="315"/>
        <w:jc w:val="left"/>
        <w:rPr>
          <w:rFonts w:ascii="宋体" w:hAnsi="宋体" w:cs="宋体"/>
          <w:color w:val="auto"/>
          <w:kern w:val="0"/>
          <w:szCs w:val="21"/>
          <w:highlight w:val="none"/>
        </w:rPr>
      </w:pPr>
      <w:r>
        <w:rPr>
          <w:rFonts w:hint="eastAsia" w:ascii="宋体" w:hAnsi="宋体" w:cs="宋体"/>
          <w:color w:val="auto"/>
          <w:kern w:val="0"/>
          <w:szCs w:val="21"/>
          <w:highlight w:val="none"/>
        </w:rPr>
        <w:t>7、本协议书一式</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份，联合体成员和采购代理机构各执一份。</w:t>
      </w:r>
    </w:p>
    <w:p w14:paraId="370DC8DB">
      <w:pPr>
        <w:autoSpaceDE w:val="0"/>
        <w:autoSpaceDN w:val="0"/>
        <w:adjustRightInd w:val="0"/>
        <w:spacing w:line="440" w:lineRule="exact"/>
        <w:ind w:firstLine="315"/>
        <w:jc w:val="left"/>
        <w:rPr>
          <w:rFonts w:ascii="宋体" w:hAnsi="宋体" w:cs="宋体"/>
          <w:color w:val="auto"/>
          <w:kern w:val="0"/>
          <w:szCs w:val="21"/>
          <w:highlight w:val="none"/>
        </w:rPr>
      </w:pPr>
      <w:r>
        <w:rPr>
          <w:rFonts w:hint="eastAsia" w:ascii="宋体" w:hAnsi="宋体" w:cs="宋体"/>
          <w:color w:val="auto"/>
          <w:kern w:val="0"/>
          <w:szCs w:val="21"/>
          <w:highlight w:val="none"/>
        </w:rPr>
        <w:t>注：本协议书由法定代表人签字的，应附法定代表人身份证明；本协议书由委托代理人签字的，应附法定代表人授权委托书。</w:t>
      </w:r>
    </w:p>
    <w:p w14:paraId="63B618F3">
      <w:pPr>
        <w:autoSpaceDE w:val="0"/>
        <w:autoSpaceDN w:val="0"/>
        <w:adjustRightInd w:val="0"/>
        <w:spacing w:line="44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牵头人名称：</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（盖公章）</w:t>
      </w:r>
    </w:p>
    <w:p w14:paraId="2E40686F">
      <w:pPr>
        <w:autoSpaceDE w:val="0"/>
        <w:autoSpaceDN w:val="0"/>
        <w:adjustRightInd w:val="0"/>
        <w:spacing w:line="44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法定代表人或其委托代理人：</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（签字）</w:t>
      </w:r>
    </w:p>
    <w:p w14:paraId="6A893739">
      <w:pPr>
        <w:autoSpaceDE w:val="0"/>
        <w:autoSpaceDN w:val="0"/>
        <w:adjustRightInd w:val="0"/>
        <w:spacing w:line="440" w:lineRule="exact"/>
        <w:jc w:val="left"/>
        <w:rPr>
          <w:rFonts w:ascii="宋体" w:hAnsi="宋体" w:cs="宋体"/>
          <w:color w:val="auto"/>
          <w:kern w:val="0"/>
          <w:szCs w:val="21"/>
          <w:highlight w:val="none"/>
        </w:rPr>
      </w:pPr>
    </w:p>
    <w:p w14:paraId="708B91D7">
      <w:pPr>
        <w:autoSpaceDE w:val="0"/>
        <w:autoSpaceDN w:val="0"/>
        <w:adjustRightInd w:val="0"/>
        <w:spacing w:line="44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成员一名称：</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（盖公章）</w:t>
      </w:r>
    </w:p>
    <w:p w14:paraId="186577DA">
      <w:pPr>
        <w:autoSpaceDE w:val="0"/>
        <w:autoSpaceDN w:val="0"/>
        <w:adjustRightInd w:val="0"/>
        <w:spacing w:line="44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法定代表人或其委托代理人：</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（签字）</w:t>
      </w:r>
    </w:p>
    <w:p w14:paraId="6318D988">
      <w:pPr>
        <w:autoSpaceDE w:val="0"/>
        <w:autoSpaceDN w:val="0"/>
        <w:adjustRightInd w:val="0"/>
        <w:spacing w:line="440" w:lineRule="exact"/>
        <w:jc w:val="left"/>
        <w:rPr>
          <w:rFonts w:ascii="宋体" w:hAnsi="宋体" w:cs="宋体"/>
          <w:color w:val="auto"/>
          <w:kern w:val="0"/>
          <w:szCs w:val="21"/>
          <w:highlight w:val="none"/>
        </w:rPr>
      </w:pPr>
    </w:p>
    <w:p w14:paraId="7ED435F7">
      <w:pPr>
        <w:autoSpaceDE w:val="0"/>
        <w:autoSpaceDN w:val="0"/>
        <w:adjustRightInd w:val="0"/>
        <w:spacing w:line="44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成员二名称：</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（盖公章）</w:t>
      </w:r>
    </w:p>
    <w:p w14:paraId="12A770A7">
      <w:pPr>
        <w:spacing w:line="440" w:lineRule="exact"/>
        <w:rPr>
          <w:rFonts w:ascii="宋体" w:hAnsi="宋体" w:cs="宋体"/>
          <w:color w:val="auto"/>
          <w:kern w:val="0"/>
          <w:szCs w:val="21"/>
          <w:highlight w:val="none"/>
        </w:rPr>
      </w:pPr>
      <w:r>
        <w:rPr>
          <w:rFonts w:hint="eastAsia" w:ascii="宋体" w:hAnsi="宋体" w:cs="宋体"/>
          <w:color w:val="auto"/>
          <w:kern w:val="0"/>
          <w:szCs w:val="21"/>
          <w:highlight w:val="none"/>
        </w:rPr>
        <w:t>法定代表人或其委托代理人：</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（签字）</w:t>
      </w:r>
    </w:p>
    <w:p w14:paraId="68766459">
      <w:pPr>
        <w:overflowPunct w:val="0"/>
        <w:spacing w:line="440" w:lineRule="exact"/>
        <w:ind w:firstLine="420" w:firstLineChars="175"/>
        <w:rPr>
          <w:rFonts w:ascii="宋体" w:hAnsi="宋体" w:cs="宋体"/>
          <w:color w:val="auto"/>
          <w:sz w:val="24"/>
          <w:szCs w:val="20"/>
          <w:highlight w:val="none"/>
        </w:rPr>
      </w:pPr>
      <w:r>
        <w:rPr>
          <w:rFonts w:hint="eastAsia" w:ascii="宋体" w:hAnsi="宋体" w:cs="宋体"/>
          <w:color w:val="auto"/>
          <w:sz w:val="24"/>
          <w:szCs w:val="20"/>
          <w:highlight w:val="none"/>
        </w:rPr>
        <w:t>……</w:t>
      </w:r>
    </w:p>
    <w:p w14:paraId="08C2D130">
      <w:pPr>
        <w:overflowPunct w:val="0"/>
        <w:ind w:firstLine="7140" w:firstLineChars="2975"/>
        <w:rPr>
          <w:rFonts w:ascii="宋体" w:hAnsi="宋体" w:cs="宋体"/>
          <w:color w:val="auto"/>
          <w:sz w:val="24"/>
          <w:szCs w:val="20"/>
          <w:highlight w:val="none"/>
        </w:rPr>
      </w:pPr>
      <w:r>
        <w:rPr>
          <w:rFonts w:hint="eastAsia" w:ascii="宋体" w:hAnsi="宋体" w:cs="宋体"/>
          <w:color w:val="auto"/>
          <w:sz w:val="24"/>
          <w:szCs w:val="20"/>
          <w:highlight w:val="none"/>
        </w:rPr>
        <w:t xml:space="preserve">年  </w:t>
      </w:r>
      <w:r>
        <w:rPr>
          <w:rFonts w:hint="eastAsia" w:ascii="宋体" w:hAnsi="宋体" w:cs="宋体"/>
          <w:color w:val="auto"/>
          <w:sz w:val="24"/>
          <w:szCs w:val="20"/>
          <w:highlight w:val="none"/>
        </w:rPr>
        <w:tab/>
      </w:r>
      <w:r>
        <w:rPr>
          <w:rFonts w:hint="eastAsia" w:ascii="宋体" w:hAnsi="宋体" w:cs="宋体"/>
          <w:color w:val="auto"/>
          <w:sz w:val="24"/>
          <w:szCs w:val="20"/>
          <w:highlight w:val="none"/>
        </w:rPr>
        <w:t xml:space="preserve">月  </w:t>
      </w:r>
      <w:r>
        <w:rPr>
          <w:rFonts w:hint="eastAsia" w:ascii="宋体" w:hAnsi="宋体" w:cs="宋体"/>
          <w:color w:val="auto"/>
          <w:sz w:val="24"/>
          <w:szCs w:val="20"/>
          <w:highlight w:val="none"/>
        </w:rPr>
        <w:tab/>
      </w:r>
      <w:r>
        <w:rPr>
          <w:rFonts w:hint="eastAsia" w:ascii="宋体" w:hAnsi="宋体" w:cs="宋体"/>
          <w:color w:val="auto"/>
          <w:sz w:val="24"/>
          <w:szCs w:val="20"/>
          <w:highlight w:val="none"/>
        </w:rPr>
        <w:t>日</w:t>
      </w:r>
    </w:p>
    <w:p w14:paraId="3C040F51">
      <w:pPr>
        <w:jc w:val="center"/>
        <w:outlineLvl w:val="1"/>
        <w:rPr>
          <w:rFonts w:ascii="宋体" w:hAnsi="宋体" w:cs="宋体"/>
          <w:color w:val="auto"/>
          <w:szCs w:val="21"/>
          <w:highlight w:val="none"/>
        </w:rPr>
      </w:pPr>
    </w:p>
    <w:p w14:paraId="205BD130">
      <w:pPr>
        <w:ind w:firstLine="422"/>
        <w:jc w:val="center"/>
        <w:outlineLvl w:val="1"/>
        <w:rPr>
          <w:rFonts w:ascii="宋体" w:hAnsi="宋体" w:cs="宋体"/>
          <w:b/>
          <w:bCs/>
          <w:color w:val="auto"/>
          <w:sz w:val="28"/>
          <w:szCs w:val="28"/>
          <w:highlight w:val="none"/>
        </w:rPr>
      </w:pPr>
      <w:bookmarkStart w:id="247" w:name="_Toc19686838"/>
      <w:bookmarkStart w:id="248" w:name="_Toc15031"/>
      <w:bookmarkStart w:id="249" w:name="_Toc32555"/>
      <w:bookmarkStart w:id="250" w:name="_Toc13558"/>
      <w:bookmarkStart w:id="251" w:name="_Toc22991"/>
      <w:bookmarkStart w:id="252" w:name="_Toc13859"/>
      <w:r>
        <w:rPr>
          <w:rFonts w:hint="eastAsia" w:ascii="宋体" w:hAnsi="宋体" w:cs="宋体"/>
          <w:b/>
          <w:bCs/>
          <w:color w:val="auto"/>
          <w:sz w:val="28"/>
          <w:szCs w:val="28"/>
          <w:highlight w:val="none"/>
        </w:rPr>
        <w:t>第</w:t>
      </w:r>
      <w:r>
        <w:rPr>
          <w:rFonts w:hint="eastAsia" w:ascii="宋体" w:hAnsi="宋体" w:cs="宋体"/>
          <w:b/>
          <w:bCs/>
          <w:color w:val="auto"/>
          <w:sz w:val="28"/>
          <w:szCs w:val="28"/>
          <w:highlight w:val="none"/>
          <w:lang w:eastAsia="zh-CN"/>
        </w:rPr>
        <w:t>二</w:t>
      </w:r>
      <w:r>
        <w:rPr>
          <w:rFonts w:hint="eastAsia" w:ascii="宋体" w:hAnsi="宋体" w:cs="宋体"/>
          <w:b/>
          <w:bCs/>
          <w:color w:val="auto"/>
          <w:sz w:val="28"/>
          <w:szCs w:val="28"/>
          <w:highlight w:val="none"/>
        </w:rPr>
        <w:t>节 商务文件格式</w:t>
      </w:r>
      <w:bookmarkEnd w:id="247"/>
      <w:bookmarkEnd w:id="248"/>
      <w:bookmarkEnd w:id="249"/>
      <w:bookmarkEnd w:id="250"/>
      <w:bookmarkEnd w:id="251"/>
      <w:bookmarkEnd w:id="252"/>
    </w:p>
    <w:p w14:paraId="6F19C109">
      <w:pPr>
        <w:snapToGrid w:val="0"/>
        <w:spacing w:beforeLines="50" w:after="50"/>
        <w:ind w:firstLine="450"/>
        <w:rPr>
          <w:rFonts w:ascii="宋体" w:hAnsi="宋体" w:cs="宋体"/>
          <w:color w:val="auto"/>
          <w:sz w:val="30"/>
          <w:szCs w:val="20"/>
          <w:highlight w:val="none"/>
        </w:rPr>
      </w:pPr>
    </w:p>
    <w:p w14:paraId="1324A278">
      <w:pPr>
        <w:snapToGrid w:val="0"/>
        <w:spacing w:beforeLines="50" w:after="50"/>
        <w:ind w:firstLine="422"/>
        <w:rPr>
          <w:rFonts w:ascii="宋体" w:hAnsi="宋体" w:cs="宋体"/>
          <w:b/>
          <w:color w:val="auto"/>
          <w:sz w:val="28"/>
          <w:szCs w:val="28"/>
          <w:highlight w:val="none"/>
        </w:rPr>
      </w:pPr>
      <w:r>
        <w:rPr>
          <w:rFonts w:hint="eastAsia" w:ascii="宋体" w:hAnsi="宋体" w:cs="宋体"/>
          <w:b/>
          <w:color w:val="auto"/>
          <w:sz w:val="28"/>
          <w:szCs w:val="28"/>
          <w:highlight w:val="none"/>
        </w:rPr>
        <w:t>1.商务文件封面的格式：</w:t>
      </w:r>
    </w:p>
    <w:p w14:paraId="37B189C2">
      <w:pPr>
        <w:snapToGrid w:val="0"/>
        <w:ind w:firstLine="270"/>
        <w:jc w:val="left"/>
        <w:rPr>
          <w:color w:val="auto"/>
          <w:sz w:val="18"/>
          <w:szCs w:val="18"/>
          <w:highlight w:val="none"/>
        </w:rPr>
      </w:pPr>
    </w:p>
    <w:p w14:paraId="56235103">
      <w:pPr>
        <w:snapToGrid w:val="0"/>
        <w:spacing w:beforeLines="50" w:after="50"/>
        <w:jc w:val="right"/>
        <w:rPr>
          <w:rFonts w:ascii="宋体" w:hAnsi="宋体" w:cs="宋体"/>
          <w:bCs/>
          <w:color w:val="auto"/>
          <w:sz w:val="32"/>
          <w:szCs w:val="20"/>
          <w:highlight w:val="none"/>
        </w:rPr>
      </w:pPr>
      <w:r>
        <w:rPr>
          <w:rFonts w:hint="eastAsia" w:ascii="宋体" w:hAnsi="宋体" w:cs="宋体"/>
          <w:bCs/>
          <w:color w:val="auto"/>
          <w:highlight w:val="none"/>
        </w:rPr>
        <w:t xml:space="preserve">             电子投标文件</w:t>
      </w:r>
    </w:p>
    <w:p w14:paraId="2D6E7D78">
      <w:pPr>
        <w:snapToGrid w:val="0"/>
        <w:spacing w:beforeLines="50" w:after="50"/>
        <w:ind w:firstLine="360"/>
        <w:rPr>
          <w:rFonts w:ascii="宋体" w:hAnsi="宋体" w:cs="宋体"/>
          <w:color w:val="auto"/>
          <w:sz w:val="24"/>
          <w:szCs w:val="20"/>
          <w:highlight w:val="none"/>
        </w:rPr>
      </w:pPr>
    </w:p>
    <w:p w14:paraId="6787EE13">
      <w:pPr>
        <w:snapToGrid w:val="0"/>
        <w:spacing w:beforeLines="50" w:after="50"/>
        <w:ind w:firstLine="482"/>
        <w:jc w:val="center"/>
        <w:rPr>
          <w:rFonts w:ascii="宋体" w:hAnsi="宋体" w:cs="宋体"/>
          <w:b/>
          <w:color w:val="auto"/>
          <w:sz w:val="32"/>
          <w:szCs w:val="32"/>
          <w:highlight w:val="none"/>
        </w:rPr>
      </w:pPr>
    </w:p>
    <w:p w14:paraId="07CAECA1">
      <w:pPr>
        <w:snapToGrid w:val="0"/>
        <w:spacing w:beforeLines="50" w:after="50"/>
        <w:ind w:firstLine="482"/>
        <w:jc w:val="center"/>
        <w:rPr>
          <w:rFonts w:ascii="宋体" w:hAnsi="宋体" w:cs="宋体"/>
          <w:b/>
          <w:color w:val="auto"/>
          <w:sz w:val="24"/>
          <w:szCs w:val="20"/>
          <w:highlight w:val="none"/>
        </w:rPr>
      </w:pPr>
      <w:r>
        <w:rPr>
          <w:rFonts w:hint="eastAsia" w:ascii="宋体" w:hAnsi="宋体" w:cs="宋体"/>
          <w:b/>
          <w:color w:val="auto"/>
          <w:sz w:val="32"/>
          <w:szCs w:val="32"/>
          <w:highlight w:val="none"/>
        </w:rPr>
        <w:t>商务文件</w:t>
      </w:r>
    </w:p>
    <w:p w14:paraId="2C0E331C">
      <w:pPr>
        <w:snapToGrid w:val="0"/>
        <w:spacing w:beforeLines="50" w:after="50"/>
        <w:ind w:firstLine="360"/>
        <w:rPr>
          <w:rFonts w:ascii="宋体" w:hAnsi="宋体" w:cs="宋体"/>
          <w:bCs/>
          <w:color w:val="auto"/>
          <w:sz w:val="24"/>
          <w:szCs w:val="20"/>
          <w:highlight w:val="none"/>
        </w:rPr>
      </w:pPr>
    </w:p>
    <w:p w14:paraId="55AC109E">
      <w:pPr>
        <w:snapToGrid w:val="0"/>
        <w:spacing w:beforeLines="50" w:after="50"/>
        <w:ind w:firstLine="540" w:firstLineChars="225"/>
        <w:rPr>
          <w:rFonts w:ascii="宋体" w:hAnsi="宋体" w:cs="宋体"/>
          <w:bCs/>
          <w:color w:val="auto"/>
          <w:sz w:val="24"/>
          <w:highlight w:val="none"/>
        </w:rPr>
      </w:pPr>
    </w:p>
    <w:p w14:paraId="2ED223BB">
      <w:pPr>
        <w:snapToGrid w:val="0"/>
        <w:spacing w:beforeLines="50" w:after="50"/>
        <w:ind w:firstLine="540" w:firstLineChars="225"/>
        <w:rPr>
          <w:rFonts w:ascii="宋体" w:hAnsi="宋体" w:cs="宋体"/>
          <w:bCs/>
          <w:color w:val="auto"/>
          <w:sz w:val="24"/>
          <w:highlight w:val="none"/>
        </w:rPr>
      </w:pPr>
    </w:p>
    <w:p w14:paraId="7A7DBEA1">
      <w:pPr>
        <w:snapToGrid w:val="0"/>
        <w:spacing w:beforeLines="50" w:after="50"/>
        <w:ind w:firstLine="540" w:firstLineChars="225"/>
        <w:rPr>
          <w:rFonts w:ascii="宋体" w:hAnsi="宋体" w:cs="宋体"/>
          <w:bCs/>
          <w:color w:val="auto"/>
          <w:sz w:val="24"/>
          <w:highlight w:val="none"/>
        </w:rPr>
      </w:pPr>
      <w:r>
        <w:rPr>
          <w:rFonts w:hint="eastAsia" w:ascii="宋体" w:hAnsi="宋体" w:cs="宋体"/>
          <w:bCs/>
          <w:color w:val="auto"/>
          <w:sz w:val="24"/>
          <w:highlight w:val="none"/>
        </w:rPr>
        <w:t>项目名称：</w:t>
      </w:r>
    </w:p>
    <w:p w14:paraId="0454F2AD">
      <w:pPr>
        <w:snapToGrid w:val="0"/>
        <w:spacing w:beforeLines="50" w:after="50"/>
        <w:ind w:firstLine="540" w:firstLineChars="225"/>
        <w:rPr>
          <w:rFonts w:ascii="宋体" w:hAnsi="宋体" w:cs="宋体"/>
          <w:bCs/>
          <w:color w:val="auto"/>
          <w:sz w:val="24"/>
          <w:szCs w:val="20"/>
          <w:highlight w:val="none"/>
        </w:rPr>
      </w:pPr>
    </w:p>
    <w:p w14:paraId="511734AD">
      <w:pPr>
        <w:snapToGrid w:val="0"/>
        <w:spacing w:beforeLines="50" w:after="50"/>
        <w:ind w:firstLine="540" w:firstLineChars="225"/>
        <w:rPr>
          <w:rFonts w:ascii="宋体" w:hAnsi="宋体" w:cs="宋体"/>
          <w:bCs/>
          <w:color w:val="auto"/>
          <w:sz w:val="24"/>
          <w:highlight w:val="none"/>
        </w:rPr>
      </w:pPr>
      <w:r>
        <w:rPr>
          <w:rFonts w:hint="eastAsia" w:ascii="宋体" w:hAnsi="宋体" w:cs="宋体"/>
          <w:bCs/>
          <w:color w:val="auto"/>
          <w:sz w:val="24"/>
          <w:highlight w:val="none"/>
        </w:rPr>
        <w:t>项目编号：</w:t>
      </w:r>
    </w:p>
    <w:p w14:paraId="1EA1C278">
      <w:pPr>
        <w:snapToGrid w:val="0"/>
        <w:spacing w:beforeLines="50" w:after="50"/>
        <w:ind w:firstLine="540" w:firstLineChars="225"/>
        <w:rPr>
          <w:rFonts w:ascii="宋体" w:hAnsi="宋体" w:cs="宋体"/>
          <w:bCs/>
          <w:color w:val="auto"/>
          <w:sz w:val="24"/>
          <w:szCs w:val="20"/>
          <w:highlight w:val="none"/>
        </w:rPr>
      </w:pPr>
    </w:p>
    <w:p w14:paraId="0BE76370">
      <w:pPr>
        <w:snapToGrid w:val="0"/>
        <w:spacing w:beforeLines="50" w:after="50"/>
        <w:ind w:firstLine="540" w:firstLineChars="225"/>
        <w:rPr>
          <w:rFonts w:ascii="宋体" w:hAnsi="宋体" w:cs="宋体"/>
          <w:bCs/>
          <w:color w:val="auto"/>
          <w:sz w:val="24"/>
          <w:highlight w:val="none"/>
        </w:rPr>
      </w:pPr>
      <w:r>
        <w:rPr>
          <w:rFonts w:hint="eastAsia" w:ascii="宋体" w:hAnsi="宋体" w:cs="宋体"/>
          <w:bCs/>
          <w:color w:val="auto"/>
          <w:sz w:val="24"/>
          <w:highlight w:val="none"/>
        </w:rPr>
        <w:t>所投分标（如有则填写，无分标时填写“无”或者留空）：</w:t>
      </w:r>
    </w:p>
    <w:p w14:paraId="0F7882EA">
      <w:pPr>
        <w:snapToGrid w:val="0"/>
        <w:spacing w:beforeLines="50" w:after="50"/>
        <w:ind w:firstLine="540" w:firstLineChars="225"/>
        <w:rPr>
          <w:rFonts w:ascii="宋体" w:hAnsi="宋体" w:cs="宋体"/>
          <w:bCs/>
          <w:color w:val="auto"/>
          <w:sz w:val="24"/>
          <w:szCs w:val="20"/>
          <w:highlight w:val="none"/>
        </w:rPr>
      </w:pPr>
    </w:p>
    <w:p w14:paraId="501B0159">
      <w:pPr>
        <w:snapToGrid w:val="0"/>
        <w:spacing w:before="50" w:after="50"/>
        <w:ind w:firstLine="540" w:firstLineChars="225"/>
        <w:rPr>
          <w:rFonts w:ascii="宋体" w:hAnsi="宋体" w:cs="宋体"/>
          <w:bCs/>
          <w:color w:val="auto"/>
          <w:sz w:val="24"/>
          <w:highlight w:val="none"/>
        </w:rPr>
      </w:pPr>
      <w:r>
        <w:rPr>
          <w:rFonts w:hint="eastAsia" w:ascii="宋体" w:hAnsi="宋体" w:cs="宋体"/>
          <w:bCs/>
          <w:color w:val="auto"/>
          <w:sz w:val="24"/>
          <w:highlight w:val="none"/>
        </w:rPr>
        <w:t>投标人名称：</w:t>
      </w:r>
    </w:p>
    <w:p w14:paraId="5ABCA573">
      <w:pPr>
        <w:snapToGrid w:val="0"/>
        <w:spacing w:before="50" w:after="50"/>
        <w:ind w:firstLine="540" w:firstLineChars="225"/>
        <w:rPr>
          <w:rFonts w:ascii="宋体" w:hAnsi="宋体" w:cs="宋体"/>
          <w:bCs/>
          <w:color w:val="auto"/>
          <w:sz w:val="24"/>
          <w:highlight w:val="none"/>
        </w:rPr>
      </w:pPr>
    </w:p>
    <w:p w14:paraId="1BF521F6">
      <w:pPr>
        <w:snapToGrid w:val="0"/>
        <w:spacing w:before="50" w:after="50"/>
        <w:ind w:firstLine="540" w:firstLineChars="225"/>
        <w:rPr>
          <w:rFonts w:ascii="宋体" w:hAnsi="宋体" w:cs="宋体"/>
          <w:bCs/>
          <w:color w:val="auto"/>
          <w:sz w:val="24"/>
          <w:highlight w:val="none"/>
        </w:rPr>
      </w:pPr>
      <w:r>
        <w:rPr>
          <w:rFonts w:hint="eastAsia" w:ascii="宋体" w:hAnsi="宋体" w:cs="宋体"/>
          <w:bCs/>
          <w:color w:val="auto"/>
          <w:sz w:val="24"/>
          <w:highlight w:val="none"/>
        </w:rPr>
        <w:t>投标人地址：</w:t>
      </w:r>
    </w:p>
    <w:p w14:paraId="61A5BD28">
      <w:pPr>
        <w:snapToGrid w:val="0"/>
        <w:spacing w:before="50" w:after="50"/>
        <w:ind w:firstLine="960" w:firstLineChars="400"/>
        <w:rPr>
          <w:rFonts w:ascii="宋体" w:hAnsi="宋体" w:cs="宋体"/>
          <w:bCs/>
          <w:color w:val="auto"/>
          <w:sz w:val="24"/>
          <w:highlight w:val="none"/>
        </w:rPr>
      </w:pPr>
    </w:p>
    <w:p w14:paraId="70C3C7AE">
      <w:pPr>
        <w:snapToGrid w:val="0"/>
        <w:spacing w:beforeLines="50" w:after="50"/>
        <w:ind w:firstLine="360"/>
        <w:rPr>
          <w:rFonts w:ascii="宋体" w:hAnsi="宋体" w:cs="宋体"/>
          <w:color w:val="auto"/>
          <w:sz w:val="24"/>
          <w:highlight w:val="none"/>
        </w:rPr>
      </w:pPr>
    </w:p>
    <w:p w14:paraId="497A31AE">
      <w:pPr>
        <w:snapToGrid w:val="0"/>
        <w:spacing w:beforeLines="50" w:after="50"/>
        <w:ind w:firstLine="360"/>
        <w:rPr>
          <w:rFonts w:ascii="宋体" w:hAnsi="宋体" w:cs="宋体"/>
          <w:color w:val="auto"/>
          <w:sz w:val="24"/>
          <w:highlight w:val="none"/>
        </w:rPr>
      </w:pPr>
    </w:p>
    <w:p w14:paraId="5275374C">
      <w:pPr>
        <w:snapToGrid w:val="0"/>
        <w:spacing w:beforeLines="50" w:after="50"/>
        <w:ind w:firstLine="4329" w:firstLineChars="1804"/>
        <w:rPr>
          <w:rFonts w:ascii="宋体" w:hAnsi="宋体" w:cs="宋体"/>
          <w:color w:val="auto"/>
          <w:sz w:val="24"/>
          <w:highlight w:val="none"/>
        </w:rPr>
      </w:pPr>
      <w:r>
        <w:rPr>
          <w:rFonts w:hint="eastAsia" w:ascii="宋体" w:hAnsi="宋体" w:cs="宋体"/>
          <w:color w:val="auto"/>
          <w:sz w:val="24"/>
          <w:highlight w:val="none"/>
        </w:rPr>
        <w:t>年   月   日</w:t>
      </w:r>
    </w:p>
    <w:p w14:paraId="4A578D53">
      <w:pPr>
        <w:spacing w:line="360" w:lineRule="auto"/>
        <w:ind w:right="420" w:firstLine="360"/>
        <w:rPr>
          <w:rFonts w:ascii="宋体" w:hAnsi="宋体" w:cs="宋体"/>
          <w:color w:val="auto"/>
          <w:sz w:val="24"/>
          <w:szCs w:val="20"/>
          <w:highlight w:val="none"/>
        </w:rPr>
      </w:pPr>
    </w:p>
    <w:p w14:paraId="124DED03">
      <w:pPr>
        <w:spacing w:line="360" w:lineRule="auto"/>
        <w:ind w:right="420" w:firstLine="422"/>
        <w:rPr>
          <w:rFonts w:ascii="宋体" w:hAnsi="宋体" w:cs="宋体"/>
          <w:color w:val="auto"/>
          <w:sz w:val="24"/>
          <w:szCs w:val="20"/>
          <w:highlight w:val="none"/>
        </w:rPr>
      </w:pPr>
      <w:r>
        <w:rPr>
          <w:rFonts w:hint="eastAsia" w:ascii="宋体" w:hAnsi="宋体" w:cs="宋体"/>
          <w:b/>
          <w:bCs/>
          <w:color w:val="auto"/>
          <w:sz w:val="28"/>
          <w:szCs w:val="28"/>
          <w:highlight w:val="none"/>
        </w:rPr>
        <w:br w:type="page"/>
      </w:r>
      <w:r>
        <w:rPr>
          <w:rFonts w:hint="eastAsia" w:ascii="宋体" w:hAnsi="宋体" w:cs="宋体"/>
          <w:b/>
          <w:bCs/>
          <w:color w:val="auto"/>
          <w:sz w:val="28"/>
          <w:szCs w:val="28"/>
          <w:highlight w:val="none"/>
        </w:rPr>
        <w:t>2.商务文件目录</w:t>
      </w:r>
    </w:p>
    <w:p w14:paraId="581C9517">
      <w:pPr>
        <w:spacing w:line="360" w:lineRule="auto"/>
        <w:ind w:right="420" w:firstLine="360"/>
        <w:rPr>
          <w:rFonts w:ascii="宋体" w:hAnsi="宋体" w:cs="宋体"/>
          <w:b/>
          <w:color w:val="auto"/>
          <w:kern w:val="0"/>
          <w:sz w:val="36"/>
          <w:szCs w:val="36"/>
          <w:highlight w:val="none"/>
        </w:rPr>
      </w:pPr>
      <w:r>
        <w:rPr>
          <w:rFonts w:hint="eastAsia" w:ascii="宋体" w:hAnsi="宋体" w:cs="宋体"/>
          <w:color w:val="auto"/>
          <w:kern w:val="0"/>
          <w:sz w:val="24"/>
          <w:highlight w:val="none"/>
        </w:rPr>
        <w:t>根据招标文件规定及投标人提供的材料自行编写目录（部分格式后附）。</w:t>
      </w:r>
    </w:p>
    <w:p w14:paraId="1C830AD7">
      <w:pPr>
        <w:ind w:firstLine="361"/>
        <w:rPr>
          <w:rFonts w:ascii="宋体" w:hAnsi="宋体" w:cs="宋体"/>
          <w:b/>
          <w:color w:val="auto"/>
          <w:kern w:val="0"/>
          <w:sz w:val="24"/>
          <w:highlight w:val="none"/>
        </w:rPr>
      </w:pPr>
    </w:p>
    <w:p w14:paraId="47A0BE47">
      <w:pPr>
        <w:spacing w:line="360" w:lineRule="auto"/>
        <w:ind w:firstLine="361"/>
        <w:rPr>
          <w:rFonts w:ascii="宋体" w:hAnsi="宋体" w:cs="宋体"/>
          <w:b/>
          <w:bCs/>
          <w:color w:val="auto"/>
          <w:sz w:val="24"/>
          <w:highlight w:val="none"/>
        </w:rPr>
      </w:pPr>
    </w:p>
    <w:p w14:paraId="2990F50E">
      <w:pPr>
        <w:snapToGrid w:val="0"/>
        <w:spacing w:beforeLines="50" w:after="50"/>
        <w:ind w:firstLine="422"/>
        <w:rPr>
          <w:rFonts w:ascii="宋体" w:hAnsi="宋体" w:cs="宋体"/>
          <w:b/>
          <w:bCs/>
          <w:color w:val="auto"/>
          <w:sz w:val="28"/>
          <w:szCs w:val="28"/>
          <w:highlight w:val="none"/>
        </w:rPr>
      </w:pPr>
      <w:r>
        <w:rPr>
          <w:rFonts w:hint="eastAsia" w:ascii="宋体" w:hAnsi="宋体" w:cs="宋体"/>
          <w:b/>
          <w:bCs/>
          <w:color w:val="auto"/>
          <w:sz w:val="28"/>
          <w:szCs w:val="28"/>
          <w:highlight w:val="none"/>
        </w:rPr>
        <w:br w:type="page"/>
      </w:r>
      <w:r>
        <w:rPr>
          <w:rFonts w:hint="eastAsia" w:ascii="宋体" w:hAnsi="宋体" w:cs="宋体"/>
          <w:b/>
          <w:bCs/>
          <w:color w:val="auto"/>
          <w:sz w:val="28"/>
          <w:szCs w:val="28"/>
          <w:highlight w:val="none"/>
        </w:rPr>
        <w:t>3.无串通投标行为的承诺函的格式：</w:t>
      </w:r>
    </w:p>
    <w:p w14:paraId="669E3BD7">
      <w:pPr>
        <w:snapToGrid w:val="0"/>
        <w:spacing w:beforeLines="50" w:after="50"/>
        <w:ind w:left="420" w:firstLine="422"/>
        <w:jc w:val="center"/>
        <w:rPr>
          <w:rFonts w:ascii="宋体" w:hAnsi="宋体" w:cs="宋体"/>
          <w:b/>
          <w:color w:val="auto"/>
          <w:sz w:val="28"/>
          <w:szCs w:val="28"/>
          <w:highlight w:val="none"/>
        </w:rPr>
      </w:pPr>
    </w:p>
    <w:p w14:paraId="67E22B8F">
      <w:pPr>
        <w:snapToGrid w:val="0"/>
        <w:spacing w:beforeLines="50" w:after="50"/>
        <w:ind w:left="420" w:firstLine="422"/>
        <w:jc w:val="center"/>
        <w:rPr>
          <w:rFonts w:ascii="宋体" w:hAnsi="宋体" w:cs="宋体"/>
          <w:b/>
          <w:color w:val="auto"/>
          <w:sz w:val="28"/>
          <w:szCs w:val="28"/>
          <w:highlight w:val="none"/>
        </w:rPr>
      </w:pPr>
      <w:r>
        <w:rPr>
          <w:rFonts w:hint="eastAsia" w:ascii="宋体" w:hAnsi="宋体" w:cs="宋体"/>
          <w:b/>
          <w:color w:val="auto"/>
          <w:sz w:val="28"/>
          <w:szCs w:val="28"/>
          <w:highlight w:val="none"/>
        </w:rPr>
        <w:t>参加本项目无</w:t>
      </w:r>
      <w:r>
        <w:rPr>
          <w:rFonts w:hint="eastAsia" w:ascii="宋体" w:hAnsi="宋体" w:cs="宋体"/>
          <w:b/>
          <w:bCs/>
          <w:color w:val="auto"/>
          <w:sz w:val="28"/>
          <w:szCs w:val="28"/>
          <w:highlight w:val="none"/>
        </w:rPr>
        <w:t>串通投标</w:t>
      </w:r>
      <w:r>
        <w:rPr>
          <w:rFonts w:hint="eastAsia" w:ascii="宋体" w:hAnsi="宋体" w:cs="宋体"/>
          <w:b/>
          <w:color w:val="auto"/>
          <w:sz w:val="28"/>
          <w:szCs w:val="28"/>
          <w:highlight w:val="none"/>
        </w:rPr>
        <w:t>行为的承诺函</w:t>
      </w:r>
    </w:p>
    <w:p w14:paraId="10F71700">
      <w:pPr>
        <w:snapToGrid w:val="0"/>
        <w:spacing w:beforeLines="50" w:after="50"/>
        <w:ind w:firstLine="316"/>
        <w:rPr>
          <w:rFonts w:ascii="宋体" w:hAnsi="宋体" w:cs="宋体"/>
          <w:b/>
          <w:color w:val="auto"/>
          <w:szCs w:val="21"/>
          <w:highlight w:val="none"/>
        </w:rPr>
      </w:pPr>
    </w:p>
    <w:p w14:paraId="4645A4B8">
      <w:pPr>
        <w:snapToGrid w:val="0"/>
        <w:spacing w:beforeLines="50" w:after="50" w:line="360" w:lineRule="auto"/>
        <w:ind w:firstLine="316"/>
        <w:jc w:val="left"/>
        <w:rPr>
          <w:rFonts w:ascii="宋体" w:hAnsi="宋体" w:cs="宋体"/>
          <w:b/>
          <w:color w:val="auto"/>
          <w:szCs w:val="21"/>
          <w:highlight w:val="none"/>
        </w:rPr>
      </w:pPr>
      <w:r>
        <w:rPr>
          <w:rFonts w:hint="eastAsia" w:ascii="宋体" w:hAnsi="宋体" w:cs="宋体"/>
          <w:b/>
          <w:color w:val="auto"/>
          <w:szCs w:val="21"/>
          <w:highlight w:val="none"/>
        </w:rPr>
        <w:t>一、我方承诺无下列相互串通投标的情形：</w:t>
      </w:r>
    </w:p>
    <w:p w14:paraId="29E6895A">
      <w:pPr>
        <w:snapToGrid w:val="0"/>
        <w:spacing w:beforeLines="50" w:after="50" w:line="360" w:lineRule="auto"/>
        <w:ind w:firstLine="411" w:firstLineChars="196"/>
        <w:jc w:val="left"/>
        <w:rPr>
          <w:rFonts w:ascii="宋体" w:hAnsi="宋体" w:cs="宋体"/>
          <w:color w:val="auto"/>
          <w:szCs w:val="21"/>
          <w:highlight w:val="none"/>
        </w:rPr>
      </w:pPr>
      <w:r>
        <w:rPr>
          <w:rFonts w:hint="eastAsia" w:ascii="宋体" w:hAnsi="宋体" w:cs="宋体"/>
          <w:color w:val="auto"/>
          <w:szCs w:val="21"/>
          <w:highlight w:val="none"/>
        </w:rPr>
        <w:t>1.不同投标人的投标文件由同一单位或者个人编制；或不同投标人报名的IP地址一致的。</w:t>
      </w:r>
    </w:p>
    <w:p w14:paraId="57FA5828">
      <w:pPr>
        <w:snapToGrid w:val="0"/>
        <w:spacing w:beforeLines="50" w:after="50" w:line="360" w:lineRule="auto"/>
        <w:ind w:firstLine="411" w:firstLineChars="196"/>
        <w:jc w:val="left"/>
        <w:rPr>
          <w:rFonts w:ascii="宋体" w:hAnsi="宋体" w:cs="宋体"/>
          <w:color w:val="auto"/>
          <w:szCs w:val="21"/>
          <w:highlight w:val="none"/>
        </w:rPr>
      </w:pPr>
      <w:r>
        <w:rPr>
          <w:rFonts w:hint="eastAsia" w:ascii="宋体" w:hAnsi="宋体" w:cs="宋体"/>
          <w:color w:val="auto"/>
          <w:szCs w:val="21"/>
          <w:highlight w:val="none"/>
        </w:rPr>
        <w:t>2.不同投标人委托同一单位或者个人办理投标事宜。</w:t>
      </w:r>
    </w:p>
    <w:p w14:paraId="3B54970B">
      <w:pPr>
        <w:snapToGrid w:val="0"/>
        <w:spacing w:beforeLines="50" w:after="50" w:line="360" w:lineRule="auto"/>
        <w:ind w:firstLine="411" w:firstLineChars="196"/>
        <w:jc w:val="left"/>
        <w:rPr>
          <w:rFonts w:ascii="宋体" w:hAnsi="宋体" w:cs="宋体"/>
          <w:color w:val="auto"/>
          <w:szCs w:val="21"/>
          <w:highlight w:val="none"/>
        </w:rPr>
      </w:pPr>
      <w:r>
        <w:rPr>
          <w:rFonts w:hint="eastAsia" w:ascii="宋体" w:hAnsi="宋体" w:cs="宋体"/>
          <w:color w:val="auto"/>
          <w:szCs w:val="21"/>
          <w:highlight w:val="none"/>
        </w:rPr>
        <w:t>3.不同的投标人的投标文件载明的项目管理员为同一个人。</w:t>
      </w:r>
    </w:p>
    <w:p w14:paraId="1FEAC316">
      <w:pPr>
        <w:snapToGrid w:val="0"/>
        <w:spacing w:beforeLines="50" w:after="50" w:line="360" w:lineRule="auto"/>
        <w:ind w:firstLine="411" w:firstLineChars="196"/>
        <w:jc w:val="left"/>
        <w:rPr>
          <w:rFonts w:ascii="宋体" w:hAnsi="宋体" w:cs="宋体"/>
          <w:color w:val="auto"/>
          <w:szCs w:val="21"/>
          <w:highlight w:val="none"/>
        </w:rPr>
      </w:pPr>
      <w:r>
        <w:rPr>
          <w:rFonts w:hint="eastAsia" w:ascii="宋体" w:hAnsi="宋体" w:cs="宋体"/>
          <w:color w:val="auto"/>
          <w:szCs w:val="21"/>
          <w:highlight w:val="none"/>
        </w:rPr>
        <w:t>4.不同投标人的投标文件异常一致或者投标报价呈规律性差异。</w:t>
      </w:r>
    </w:p>
    <w:p w14:paraId="76700B02">
      <w:pPr>
        <w:snapToGrid w:val="0"/>
        <w:spacing w:beforeLines="50" w:after="50" w:line="360" w:lineRule="auto"/>
        <w:ind w:firstLine="411" w:firstLineChars="196"/>
        <w:jc w:val="left"/>
        <w:rPr>
          <w:rFonts w:ascii="宋体" w:hAnsi="宋体" w:cs="宋体"/>
          <w:color w:val="auto"/>
          <w:szCs w:val="21"/>
          <w:highlight w:val="none"/>
        </w:rPr>
      </w:pPr>
      <w:r>
        <w:rPr>
          <w:rFonts w:hint="eastAsia" w:ascii="宋体" w:hAnsi="宋体" w:cs="宋体"/>
          <w:color w:val="auto"/>
          <w:szCs w:val="21"/>
          <w:highlight w:val="none"/>
        </w:rPr>
        <w:t>5.不同投标人的投标文件相互混装。</w:t>
      </w:r>
    </w:p>
    <w:p w14:paraId="5FF51A1D">
      <w:pPr>
        <w:snapToGrid w:val="0"/>
        <w:spacing w:beforeLines="50" w:after="50" w:line="360" w:lineRule="auto"/>
        <w:ind w:firstLine="411" w:firstLineChars="196"/>
        <w:jc w:val="left"/>
        <w:rPr>
          <w:rFonts w:ascii="宋体" w:hAnsi="宋体" w:cs="宋体"/>
          <w:color w:val="auto"/>
          <w:szCs w:val="21"/>
          <w:highlight w:val="none"/>
        </w:rPr>
      </w:pPr>
      <w:r>
        <w:rPr>
          <w:rFonts w:ascii="宋体" w:hAnsi="宋体" w:cs="宋体"/>
          <w:color w:val="auto"/>
          <w:szCs w:val="21"/>
          <w:highlight w:val="none"/>
        </w:rPr>
        <w:t>6</w:t>
      </w:r>
      <w:r>
        <w:rPr>
          <w:rFonts w:hint="eastAsia" w:ascii="宋体" w:hAnsi="宋体" w:cs="宋体"/>
          <w:color w:val="auto"/>
          <w:szCs w:val="21"/>
          <w:highlight w:val="none"/>
        </w:rPr>
        <w:t>.不同投标人的投标保证金从同一单位或者个人账户转出。</w:t>
      </w:r>
    </w:p>
    <w:p w14:paraId="7B92ACB6">
      <w:pPr>
        <w:snapToGrid w:val="0"/>
        <w:spacing w:beforeLines="50" w:after="50" w:line="360" w:lineRule="auto"/>
        <w:ind w:firstLine="316"/>
        <w:jc w:val="left"/>
        <w:rPr>
          <w:rFonts w:ascii="宋体" w:hAnsi="宋体" w:cs="宋体"/>
          <w:color w:val="auto"/>
          <w:szCs w:val="21"/>
          <w:highlight w:val="none"/>
        </w:rPr>
      </w:pPr>
      <w:r>
        <w:rPr>
          <w:rFonts w:hint="eastAsia" w:ascii="宋体" w:hAnsi="宋体" w:cs="宋体"/>
          <w:b/>
          <w:color w:val="auto"/>
          <w:szCs w:val="21"/>
          <w:highlight w:val="none"/>
        </w:rPr>
        <w:t>二、我方承诺无下列恶意串通的情形：</w:t>
      </w:r>
    </w:p>
    <w:p w14:paraId="1DEE9C26">
      <w:pPr>
        <w:snapToGrid w:val="0"/>
        <w:spacing w:beforeLines="50" w:after="50" w:line="360" w:lineRule="auto"/>
        <w:ind w:firstLine="411" w:firstLineChars="196"/>
        <w:jc w:val="left"/>
        <w:rPr>
          <w:rFonts w:ascii="宋体" w:hAnsi="宋体" w:cs="宋体"/>
          <w:color w:val="auto"/>
          <w:szCs w:val="21"/>
          <w:highlight w:val="none"/>
        </w:rPr>
      </w:pPr>
      <w:r>
        <w:rPr>
          <w:rFonts w:hint="eastAsia" w:ascii="宋体" w:hAnsi="宋体" w:cs="宋体"/>
          <w:color w:val="auto"/>
          <w:szCs w:val="21"/>
          <w:highlight w:val="none"/>
        </w:rPr>
        <w:t>1.投标人直接或者间接从采购人或者采购代理机构处获得其他投标人的相关信息并修改其投标文件。</w:t>
      </w:r>
    </w:p>
    <w:p w14:paraId="171F0452">
      <w:pPr>
        <w:snapToGrid w:val="0"/>
        <w:spacing w:beforeLines="50" w:after="50" w:line="360" w:lineRule="auto"/>
        <w:ind w:firstLine="411" w:firstLineChars="196"/>
        <w:jc w:val="left"/>
        <w:rPr>
          <w:rFonts w:ascii="宋体" w:hAnsi="宋体" w:cs="宋体"/>
          <w:color w:val="auto"/>
          <w:szCs w:val="21"/>
          <w:highlight w:val="none"/>
        </w:rPr>
      </w:pPr>
      <w:r>
        <w:rPr>
          <w:rFonts w:hint="eastAsia" w:ascii="宋体" w:hAnsi="宋体" w:cs="宋体"/>
          <w:color w:val="auto"/>
          <w:szCs w:val="21"/>
          <w:highlight w:val="none"/>
        </w:rPr>
        <w:t>2.投标人按照采购人或者采购代理机构的授意撤换、修改投标文件。</w:t>
      </w:r>
    </w:p>
    <w:p w14:paraId="29F88B0B">
      <w:pPr>
        <w:snapToGrid w:val="0"/>
        <w:spacing w:beforeLines="50" w:after="50" w:line="360" w:lineRule="auto"/>
        <w:ind w:firstLine="411" w:firstLineChars="196"/>
        <w:jc w:val="left"/>
        <w:rPr>
          <w:rFonts w:ascii="宋体" w:hAnsi="宋体" w:cs="宋体"/>
          <w:color w:val="auto"/>
          <w:szCs w:val="21"/>
          <w:highlight w:val="none"/>
        </w:rPr>
      </w:pPr>
      <w:r>
        <w:rPr>
          <w:rFonts w:hint="eastAsia" w:ascii="宋体" w:hAnsi="宋体" w:cs="宋体"/>
          <w:color w:val="auto"/>
          <w:szCs w:val="21"/>
          <w:highlight w:val="none"/>
        </w:rPr>
        <w:t>3.投标人之间协商报价、技术方案等投标文件的实质性内容。</w:t>
      </w:r>
    </w:p>
    <w:p w14:paraId="5C24CB42">
      <w:pPr>
        <w:snapToGrid w:val="0"/>
        <w:spacing w:beforeLines="50" w:after="50" w:line="360" w:lineRule="auto"/>
        <w:ind w:firstLine="411" w:firstLineChars="196"/>
        <w:jc w:val="left"/>
        <w:rPr>
          <w:rFonts w:ascii="宋体" w:hAnsi="宋体" w:cs="宋体"/>
          <w:color w:val="auto"/>
          <w:szCs w:val="21"/>
          <w:highlight w:val="none"/>
        </w:rPr>
      </w:pPr>
      <w:r>
        <w:rPr>
          <w:rFonts w:hint="eastAsia" w:ascii="宋体" w:hAnsi="宋体" w:cs="宋体"/>
          <w:color w:val="auto"/>
          <w:szCs w:val="21"/>
          <w:highlight w:val="none"/>
        </w:rPr>
        <w:t>4.属于同一集团、协会、商会等组织成员的投标人按照该组织要求协同参加政府采购活动。</w:t>
      </w:r>
    </w:p>
    <w:p w14:paraId="0A4199E1">
      <w:pPr>
        <w:snapToGrid w:val="0"/>
        <w:spacing w:beforeLines="50" w:after="50" w:line="360" w:lineRule="auto"/>
        <w:ind w:firstLine="411" w:firstLineChars="196"/>
        <w:jc w:val="left"/>
        <w:rPr>
          <w:rFonts w:ascii="宋体" w:hAnsi="宋体" w:cs="宋体"/>
          <w:color w:val="auto"/>
          <w:szCs w:val="21"/>
          <w:highlight w:val="none"/>
        </w:rPr>
      </w:pPr>
      <w:r>
        <w:rPr>
          <w:rFonts w:hint="eastAsia" w:ascii="宋体" w:hAnsi="宋体" w:cs="宋体"/>
          <w:color w:val="auto"/>
          <w:szCs w:val="21"/>
          <w:highlight w:val="none"/>
        </w:rPr>
        <w:t>5.投标人之间事先约定一致抬高或者压低投标报价，或者在招标项目中事先约定轮流以高价位或者低价位中标，或者事先约定由某一特定投标人中标，然后再参加投标。</w:t>
      </w:r>
    </w:p>
    <w:p w14:paraId="306B8781">
      <w:pPr>
        <w:snapToGrid w:val="0"/>
        <w:spacing w:beforeLines="50" w:after="50" w:line="360" w:lineRule="auto"/>
        <w:ind w:firstLine="411" w:firstLineChars="196"/>
        <w:jc w:val="left"/>
        <w:rPr>
          <w:rFonts w:ascii="宋体" w:hAnsi="宋体" w:cs="宋体"/>
          <w:color w:val="auto"/>
          <w:szCs w:val="21"/>
          <w:highlight w:val="none"/>
        </w:rPr>
      </w:pPr>
      <w:r>
        <w:rPr>
          <w:rFonts w:hint="eastAsia" w:ascii="宋体" w:hAnsi="宋体" w:cs="宋体"/>
          <w:color w:val="auto"/>
          <w:szCs w:val="21"/>
          <w:highlight w:val="none"/>
        </w:rPr>
        <w:t>6.投标人之间商定部分投标人放弃参加政府采购活动或者放弃中标。</w:t>
      </w:r>
    </w:p>
    <w:p w14:paraId="2852FFB0">
      <w:pPr>
        <w:snapToGrid w:val="0"/>
        <w:spacing w:beforeLines="50" w:after="50" w:line="360" w:lineRule="auto"/>
        <w:ind w:firstLine="411" w:firstLineChars="196"/>
        <w:jc w:val="left"/>
        <w:rPr>
          <w:rFonts w:ascii="宋体" w:hAnsi="宋体" w:cs="宋体"/>
          <w:color w:val="auto"/>
          <w:szCs w:val="21"/>
          <w:highlight w:val="none"/>
        </w:rPr>
      </w:pPr>
      <w:r>
        <w:rPr>
          <w:rFonts w:hint="eastAsia" w:ascii="宋体" w:hAnsi="宋体" w:cs="宋体"/>
          <w:color w:val="auto"/>
          <w:szCs w:val="21"/>
          <w:highlight w:val="none"/>
        </w:rPr>
        <w:t>7.投标人与采购人或者采购代理机构之间、投标人相互之间，为谋求特定投标人中标或者排斥其他投标人的其他串通行为。</w:t>
      </w:r>
    </w:p>
    <w:p w14:paraId="1E3F762A">
      <w:pPr>
        <w:snapToGrid w:val="0"/>
        <w:spacing w:beforeLines="50" w:after="50" w:line="360" w:lineRule="auto"/>
        <w:ind w:firstLine="413" w:firstLineChars="196"/>
        <w:jc w:val="left"/>
        <w:rPr>
          <w:rFonts w:ascii="宋体" w:hAnsi="宋体" w:cs="宋体"/>
          <w:b/>
          <w:color w:val="auto"/>
          <w:szCs w:val="21"/>
          <w:highlight w:val="none"/>
        </w:rPr>
      </w:pPr>
      <w:r>
        <w:rPr>
          <w:rFonts w:hint="eastAsia" w:ascii="宋体" w:hAnsi="宋体" w:cs="宋体"/>
          <w:b/>
          <w:bCs/>
          <w:color w:val="auto"/>
          <w:szCs w:val="21"/>
          <w:highlight w:val="none"/>
        </w:rPr>
        <w:t>以上情形一经核查属实，接受政府采购监管部门对我方认定存在围标串标行为，我方愿意承担一切后果，并不再寻求任何旨在减轻或者免除法律责任的辩解</w:t>
      </w:r>
      <w:r>
        <w:rPr>
          <w:rFonts w:hint="eastAsia" w:ascii="宋体" w:hAnsi="宋体" w:cs="宋体"/>
          <w:b/>
          <w:color w:val="auto"/>
          <w:szCs w:val="21"/>
          <w:highlight w:val="none"/>
        </w:rPr>
        <w:t>。</w:t>
      </w:r>
    </w:p>
    <w:p w14:paraId="006B6B0B">
      <w:pPr>
        <w:snapToGrid w:val="0"/>
        <w:spacing w:line="360" w:lineRule="auto"/>
        <w:ind w:firstLine="5640" w:firstLineChars="2350"/>
        <w:rPr>
          <w:rFonts w:ascii="宋体" w:hAnsi="宋体" w:cs="宋体"/>
          <w:color w:val="auto"/>
          <w:kern w:val="0"/>
          <w:sz w:val="24"/>
          <w:highlight w:val="none"/>
        </w:rPr>
      </w:pPr>
      <w:r>
        <w:rPr>
          <w:rFonts w:hint="eastAsia" w:ascii="宋体" w:hAnsi="宋体" w:cs="宋体"/>
          <w:color w:val="auto"/>
          <w:kern w:val="0"/>
          <w:sz w:val="24"/>
          <w:highlight w:val="none"/>
          <w:lang w:val="zh-CN"/>
        </w:rPr>
        <w:t>投标人名称(盖公章)：</w:t>
      </w:r>
    </w:p>
    <w:p w14:paraId="6DFD8FFB">
      <w:pPr>
        <w:snapToGrid w:val="0"/>
        <w:spacing w:line="360" w:lineRule="auto"/>
        <w:ind w:firstLine="6360" w:firstLineChars="265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日期</w:t>
      </w:r>
      <w:r>
        <w:rPr>
          <w:rFonts w:hint="eastAsia" w:ascii="宋体" w:hAnsi="宋体" w:cs="宋体"/>
          <w:color w:val="auto"/>
          <w:kern w:val="0"/>
          <w:sz w:val="24"/>
          <w:highlight w:val="none"/>
        </w:rPr>
        <w:t>：  年  月  日</w:t>
      </w:r>
    </w:p>
    <w:p w14:paraId="75F40606">
      <w:pPr>
        <w:snapToGrid w:val="0"/>
        <w:spacing w:before="295" w:after="295" w:line="360" w:lineRule="auto"/>
        <w:ind w:firstLine="361"/>
        <w:rPr>
          <w:rFonts w:ascii="宋体" w:hAnsi="宋体" w:cs="宋体"/>
          <w:b/>
          <w:color w:val="auto"/>
          <w:sz w:val="24"/>
          <w:szCs w:val="20"/>
          <w:highlight w:val="none"/>
        </w:rPr>
      </w:pPr>
      <w:r>
        <w:rPr>
          <w:rFonts w:hint="eastAsia" w:ascii="宋体" w:hAnsi="宋体" w:cs="宋体"/>
          <w:b/>
          <w:color w:val="auto"/>
          <w:sz w:val="24"/>
          <w:szCs w:val="20"/>
          <w:highlight w:val="none"/>
        </w:rPr>
        <w:br w:type="page"/>
      </w:r>
      <w:r>
        <w:rPr>
          <w:rFonts w:hint="eastAsia" w:ascii="宋体" w:hAnsi="宋体" w:cs="宋体"/>
          <w:b/>
          <w:bCs/>
          <w:color w:val="auto"/>
          <w:sz w:val="28"/>
          <w:szCs w:val="28"/>
          <w:highlight w:val="none"/>
        </w:rPr>
        <w:t>4.法定代表人身份证明的格式：</w:t>
      </w:r>
    </w:p>
    <w:p w14:paraId="06859795">
      <w:pPr>
        <w:spacing w:beforeLines="100" w:afterLines="50"/>
        <w:ind w:left="540" w:firstLine="482"/>
        <w:jc w:val="center"/>
        <w:rPr>
          <w:rFonts w:ascii="宋体" w:hAnsi="宋体" w:cs="宋体"/>
          <w:b/>
          <w:color w:val="auto"/>
          <w:sz w:val="32"/>
          <w:szCs w:val="32"/>
          <w:highlight w:val="none"/>
        </w:rPr>
      </w:pPr>
    </w:p>
    <w:p w14:paraId="569B50EB">
      <w:pPr>
        <w:adjustRightInd w:val="0"/>
        <w:spacing w:beforeLines="100" w:afterLines="50"/>
        <w:ind w:left="539"/>
        <w:jc w:val="center"/>
        <w:rPr>
          <w:rFonts w:ascii="宋体" w:hAnsi="宋体" w:cs="宋体"/>
          <w:color w:val="auto"/>
          <w:sz w:val="32"/>
          <w:szCs w:val="32"/>
          <w:highlight w:val="none"/>
        </w:rPr>
      </w:pPr>
      <w:r>
        <w:rPr>
          <w:rFonts w:hint="eastAsia" w:ascii="宋体" w:hAnsi="宋体" w:cs="宋体"/>
          <w:b/>
          <w:color w:val="auto"/>
          <w:sz w:val="32"/>
          <w:szCs w:val="32"/>
          <w:highlight w:val="none"/>
        </w:rPr>
        <w:t>法定代表人身份证明</w:t>
      </w:r>
    </w:p>
    <w:p w14:paraId="23CDB9E2">
      <w:pPr>
        <w:adjustRightInd w:val="0"/>
        <w:spacing w:line="500" w:lineRule="exact"/>
        <w:ind w:left="539"/>
        <w:rPr>
          <w:rFonts w:ascii="宋体" w:hAnsi="宋体" w:cs="宋体"/>
          <w:color w:val="auto"/>
          <w:sz w:val="24"/>
          <w:highlight w:val="none"/>
        </w:rPr>
      </w:pPr>
      <w:r>
        <w:rPr>
          <w:rFonts w:hint="eastAsia" w:ascii="宋体" w:hAnsi="宋体" w:cs="宋体"/>
          <w:color w:val="auto"/>
          <w:sz w:val="24"/>
          <w:highlight w:val="none"/>
        </w:rPr>
        <w:t>投 标 人：</w:t>
      </w:r>
      <w:r>
        <w:rPr>
          <w:rFonts w:hint="eastAsia" w:ascii="宋体" w:hAnsi="宋体" w:cs="宋体"/>
          <w:color w:val="auto"/>
          <w:sz w:val="24"/>
          <w:highlight w:val="none"/>
          <w:u w:val="single"/>
        </w:rPr>
        <w:t xml:space="preserve">                                                        </w:t>
      </w:r>
    </w:p>
    <w:p w14:paraId="6A74AFC1">
      <w:pPr>
        <w:adjustRightInd w:val="0"/>
        <w:spacing w:line="500" w:lineRule="exact"/>
        <w:ind w:left="539"/>
        <w:rPr>
          <w:rFonts w:ascii="宋体" w:hAnsi="宋体" w:cs="宋体"/>
          <w:color w:val="auto"/>
          <w:sz w:val="24"/>
          <w:highlight w:val="none"/>
        </w:rPr>
      </w:pPr>
      <w:r>
        <w:rPr>
          <w:rFonts w:hint="eastAsia" w:ascii="宋体" w:hAnsi="宋体" w:cs="宋体"/>
          <w:color w:val="auto"/>
          <w:sz w:val="24"/>
          <w:highlight w:val="none"/>
        </w:rPr>
        <w:t>地    址：</w:t>
      </w:r>
      <w:r>
        <w:rPr>
          <w:rFonts w:hint="eastAsia" w:ascii="宋体" w:hAnsi="宋体" w:cs="宋体"/>
          <w:color w:val="auto"/>
          <w:sz w:val="24"/>
          <w:highlight w:val="none"/>
          <w:u w:val="single"/>
        </w:rPr>
        <w:t xml:space="preserve">                                                        </w:t>
      </w:r>
    </w:p>
    <w:p w14:paraId="2BFAEDD2">
      <w:pPr>
        <w:adjustRightInd w:val="0"/>
        <w:spacing w:line="500" w:lineRule="exact"/>
        <w:ind w:left="539"/>
        <w:rPr>
          <w:rFonts w:ascii="宋体" w:hAnsi="宋体" w:cs="宋体"/>
          <w:color w:val="auto"/>
          <w:sz w:val="24"/>
          <w:highlight w:val="none"/>
        </w:rPr>
      </w:pPr>
      <w:r>
        <w:rPr>
          <w:rFonts w:hint="eastAsia" w:ascii="宋体" w:hAnsi="宋体" w:cs="宋体"/>
          <w:color w:val="auto"/>
          <w:sz w:val="24"/>
          <w:highlight w:val="none"/>
        </w:rPr>
        <w:t>姓    名：</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性      别：</w:t>
      </w:r>
      <w:r>
        <w:rPr>
          <w:rFonts w:hint="eastAsia" w:ascii="宋体" w:hAnsi="宋体" w:cs="宋体"/>
          <w:color w:val="auto"/>
          <w:sz w:val="24"/>
          <w:highlight w:val="none"/>
          <w:u w:val="single"/>
        </w:rPr>
        <w:t xml:space="preserve">                </w:t>
      </w:r>
    </w:p>
    <w:p w14:paraId="3B6581AC">
      <w:pPr>
        <w:adjustRightInd w:val="0"/>
        <w:spacing w:line="500" w:lineRule="exact"/>
        <w:ind w:left="539"/>
        <w:rPr>
          <w:rFonts w:ascii="宋体" w:hAnsi="宋体" w:cs="宋体"/>
          <w:color w:val="auto"/>
          <w:sz w:val="24"/>
          <w:highlight w:val="none"/>
          <w:u w:val="single"/>
        </w:rPr>
      </w:pPr>
      <w:r>
        <w:rPr>
          <w:rFonts w:hint="eastAsia" w:ascii="宋体" w:hAnsi="宋体" w:cs="宋体"/>
          <w:color w:val="auto"/>
          <w:sz w:val="24"/>
          <w:highlight w:val="none"/>
        </w:rPr>
        <w:t>年    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职      务：</w:t>
      </w:r>
      <w:r>
        <w:rPr>
          <w:rFonts w:hint="eastAsia" w:ascii="宋体" w:hAnsi="宋体" w:cs="宋体"/>
          <w:color w:val="auto"/>
          <w:sz w:val="24"/>
          <w:highlight w:val="none"/>
          <w:u w:val="single"/>
        </w:rPr>
        <w:t xml:space="preserve">                </w:t>
      </w:r>
    </w:p>
    <w:p w14:paraId="5C87F4A6">
      <w:pPr>
        <w:adjustRightInd w:val="0"/>
        <w:spacing w:line="500" w:lineRule="exact"/>
        <w:ind w:left="539"/>
        <w:rPr>
          <w:rFonts w:ascii="宋体" w:hAnsi="宋体" w:cs="宋体"/>
          <w:color w:val="auto"/>
          <w:sz w:val="24"/>
          <w:highlight w:val="none"/>
        </w:rPr>
      </w:pPr>
      <w:r>
        <w:rPr>
          <w:rFonts w:hint="eastAsia" w:ascii="宋体" w:hAnsi="宋体" w:cs="宋体"/>
          <w:color w:val="auto"/>
          <w:sz w:val="24"/>
          <w:highlight w:val="none"/>
        </w:rPr>
        <w:t>身份证号码：</w:t>
      </w:r>
      <w:r>
        <w:rPr>
          <w:rFonts w:hint="eastAsia" w:ascii="宋体" w:hAnsi="宋体" w:cs="宋体"/>
          <w:color w:val="auto"/>
          <w:sz w:val="24"/>
          <w:highlight w:val="none"/>
          <w:u w:val="single"/>
        </w:rPr>
        <w:t xml:space="preserve">                                 </w:t>
      </w:r>
    </w:p>
    <w:p w14:paraId="2840B6D4">
      <w:pPr>
        <w:adjustRightInd w:val="0"/>
        <w:spacing w:line="500" w:lineRule="exact"/>
        <w:ind w:left="539"/>
        <w:rPr>
          <w:rFonts w:ascii="宋体" w:hAnsi="宋体" w:cs="宋体"/>
          <w:color w:val="auto"/>
          <w:sz w:val="24"/>
          <w:highlight w:val="none"/>
        </w:rPr>
      </w:pPr>
      <w:r>
        <w:rPr>
          <w:rFonts w:hint="eastAsia" w:ascii="宋体" w:hAnsi="宋体" w:cs="宋体"/>
          <w:color w:val="auto"/>
          <w:sz w:val="24"/>
          <w:highlight w:val="none"/>
        </w:rPr>
        <w:t>系</w:t>
      </w:r>
      <w:r>
        <w:rPr>
          <w:rFonts w:hint="eastAsia" w:ascii="宋体" w:hAnsi="宋体" w:cs="宋体"/>
          <w:color w:val="auto"/>
          <w:sz w:val="24"/>
          <w:highlight w:val="none"/>
          <w:u w:val="single"/>
        </w:rPr>
        <w:t xml:space="preserve">            （投标人名称）              </w:t>
      </w:r>
      <w:r>
        <w:rPr>
          <w:rFonts w:hint="eastAsia" w:ascii="宋体" w:hAnsi="宋体" w:cs="宋体"/>
          <w:color w:val="auto"/>
          <w:sz w:val="24"/>
          <w:highlight w:val="none"/>
        </w:rPr>
        <w:t>的法定代表人。</w:t>
      </w:r>
    </w:p>
    <w:p w14:paraId="07D62628">
      <w:pPr>
        <w:adjustRightInd w:val="0"/>
        <w:spacing w:line="500" w:lineRule="exact"/>
        <w:ind w:left="539"/>
        <w:rPr>
          <w:rFonts w:ascii="宋体" w:hAnsi="宋体" w:cs="宋体"/>
          <w:color w:val="auto"/>
          <w:sz w:val="24"/>
          <w:highlight w:val="none"/>
        </w:rPr>
      </w:pPr>
      <w:r>
        <w:rPr>
          <w:rFonts w:hint="eastAsia" w:ascii="宋体" w:hAnsi="宋体" w:cs="宋体"/>
          <w:color w:val="auto"/>
          <w:sz w:val="24"/>
          <w:highlight w:val="none"/>
        </w:rPr>
        <w:t>特此证明。</w:t>
      </w:r>
    </w:p>
    <w:p w14:paraId="490D4A61">
      <w:pPr>
        <w:adjustRightInd w:val="0"/>
        <w:spacing w:line="500" w:lineRule="exact"/>
        <w:ind w:left="539"/>
        <w:rPr>
          <w:rFonts w:ascii="宋体" w:hAnsi="宋体" w:cs="宋体"/>
          <w:color w:val="auto"/>
          <w:sz w:val="24"/>
          <w:highlight w:val="none"/>
        </w:rPr>
      </w:pPr>
    </w:p>
    <w:p w14:paraId="67925BF0">
      <w:pPr>
        <w:adjustRightInd w:val="0"/>
        <w:spacing w:line="500" w:lineRule="exact"/>
        <w:ind w:left="539"/>
        <w:rPr>
          <w:rFonts w:ascii="宋体" w:hAnsi="宋体" w:cs="宋体"/>
          <w:color w:val="auto"/>
          <w:sz w:val="24"/>
          <w:highlight w:val="none"/>
        </w:rPr>
      </w:pPr>
    </w:p>
    <w:p w14:paraId="70B5DA5C">
      <w:pPr>
        <w:adjustRightInd w:val="0"/>
        <w:spacing w:line="500" w:lineRule="exact"/>
        <w:ind w:left="539"/>
        <w:rPr>
          <w:rFonts w:ascii="宋体" w:hAnsi="宋体" w:cs="宋体"/>
          <w:color w:val="auto"/>
          <w:sz w:val="24"/>
          <w:highlight w:val="none"/>
        </w:rPr>
      </w:pPr>
      <w:r>
        <w:rPr>
          <w:rFonts w:hint="eastAsia" w:ascii="宋体" w:hAnsi="宋体" w:cs="宋体"/>
          <w:color w:val="auto"/>
          <w:sz w:val="24"/>
          <w:highlight w:val="none"/>
        </w:rPr>
        <w:t>附件：法定代表人有效身份证正反面复印件</w:t>
      </w:r>
    </w:p>
    <w:p w14:paraId="175E9B59">
      <w:pPr>
        <w:spacing w:line="500" w:lineRule="exact"/>
        <w:ind w:left="540" w:firstLine="360"/>
        <w:rPr>
          <w:rFonts w:ascii="宋体" w:hAnsi="宋体" w:cs="宋体"/>
          <w:color w:val="auto"/>
          <w:sz w:val="24"/>
          <w:highlight w:val="none"/>
        </w:rPr>
      </w:pPr>
    </w:p>
    <w:p w14:paraId="420F84CC">
      <w:pPr>
        <w:snapToGrid w:val="0"/>
        <w:spacing w:line="360" w:lineRule="auto"/>
        <w:ind w:firstLine="4935" w:firstLineChars="2350"/>
        <w:rPr>
          <w:rFonts w:ascii="宋体" w:hAnsi="宋体" w:cs="宋体"/>
          <w:color w:val="auto"/>
          <w:kern w:val="0"/>
          <w:sz w:val="24"/>
          <w:highlight w:val="none"/>
        </w:rPr>
      </w:pPr>
      <w:r>
        <w:rPr>
          <w:rFonts w:hint="eastAsia" w:ascii="宋体" w:hAnsi="宋体" w:cs="宋体"/>
          <w:color w:val="auto"/>
          <w:szCs w:val="21"/>
          <w:highlight w:val="none"/>
        </w:rPr>
        <w:t xml:space="preserve">  </w:t>
      </w:r>
      <w:r>
        <w:rPr>
          <w:rFonts w:hint="eastAsia" w:ascii="宋体" w:hAnsi="宋体" w:cs="宋体"/>
          <w:color w:val="auto"/>
          <w:kern w:val="0"/>
          <w:sz w:val="24"/>
          <w:highlight w:val="none"/>
          <w:lang w:val="zh-CN"/>
        </w:rPr>
        <w:t>投标人名称(盖公章)：</w:t>
      </w:r>
    </w:p>
    <w:p w14:paraId="031E64EC">
      <w:pPr>
        <w:snapToGrid w:val="0"/>
        <w:spacing w:line="360" w:lineRule="auto"/>
        <w:ind w:firstLine="5160" w:firstLineChars="215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日期</w:t>
      </w:r>
      <w:r>
        <w:rPr>
          <w:rFonts w:hint="eastAsia" w:ascii="宋体" w:hAnsi="宋体" w:cs="宋体"/>
          <w:color w:val="auto"/>
          <w:kern w:val="0"/>
          <w:sz w:val="24"/>
          <w:highlight w:val="none"/>
        </w:rPr>
        <w:t xml:space="preserve">：  年  </w:t>
      </w:r>
      <w:r>
        <w:rPr>
          <w:rFonts w:hint="eastAsia" w:ascii="宋体" w:hAnsi="宋体" w:cs="宋体"/>
          <w:color w:val="auto"/>
          <w:kern w:val="0"/>
          <w:sz w:val="24"/>
          <w:highlight w:val="none"/>
          <w:lang w:val="zh-CN"/>
        </w:rPr>
        <w:t>月</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日</w:t>
      </w:r>
    </w:p>
    <w:p w14:paraId="6F1BF9B4">
      <w:pPr>
        <w:snapToGrid w:val="0"/>
        <w:spacing w:beforeLines="50" w:after="50"/>
        <w:ind w:firstLine="361"/>
        <w:jc w:val="center"/>
        <w:rPr>
          <w:rFonts w:ascii="宋体" w:hAnsi="宋体" w:cs="宋体"/>
          <w:b/>
          <w:color w:val="auto"/>
          <w:sz w:val="24"/>
          <w:highlight w:val="none"/>
        </w:rPr>
      </w:pPr>
    </w:p>
    <w:p w14:paraId="351497E7">
      <w:pPr>
        <w:snapToGrid w:val="0"/>
        <w:spacing w:beforeLines="50" w:after="50"/>
        <w:ind w:firstLine="600" w:firstLineChars="250"/>
        <w:jc w:val="left"/>
        <w:rPr>
          <w:rFonts w:ascii="宋体" w:hAnsi="宋体" w:cs="宋体"/>
          <w:color w:val="auto"/>
          <w:sz w:val="24"/>
          <w:highlight w:val="none"/>
        </w:rPr>
      </w:pPr>
      <w:r>
        <w:rPr>
          <w:rFonts w:hint="eastAsia" w:ascii="宋体" w:hAnsi="宋体" w:cs="宋体"/>
          <w:color w:val="auto"/>
          <w:sz w:val="24"/>
          <w:highlight w:val="none"/>
        </w:rPr>
        <w:t>注：自然人投标的无需提供</w:t>
      </w:r>
    </w:p>
    <w:p w14:paraId="0330C871">
      <w:pPr>
        <w:snapToGrid w:val="0"/>
        <w:spacing w:beforeLines="50" w:after="50"/>
        <w:ind w:firstLine="600" w:firstLineChars="250"/>
        <w:jc w:val="left"/>
        <w:rPr>
          <w:rFonts w:ascii="宋体" w:hAnsi="宋体" w:cs="宋体"/>
          <w:color w:val="auto"/>
          <w:sz w:val="24"/>
          <w:highlight w:val="none"/>
        </w:rPr>
      </w:pPr>
    </w:p>
    <w:p w14:paraId="18834B89">
      <w:pPr>
        <w:snapToGrid w:val="0"/>
        <w:spacing w:beforeLines="50" w:after="50"/>
        <w:ind w:firstLine="602" w:firstLineChars="250"/>
        <w:jc w:val="left"/>
        <w:rPr>
          <w:rFonts w:ascii="宋体" w:hAnsi="宋体" w:cs="宋体"/>
          <w:b/>
          <w:color w:val="auto"/>
          <w:sz w:val="24"/>
          <w:szCs w:val="20"/>
          <w:highlight w:val="none"/>
        </w:rPr>
      </w:pPr>
    </w:p>
    <w:tbl>
      <w:tblPr>
        <w:tblStyle w:val="28"/>
        <w:tblpPr w:leftFromText="180" w:rightFromText="180" w:vertAnchor="text" w:horzAnchor="margin" w:tblpY="1169"/>
        <w:tblW w:w="90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52"/>
      </w:tblGrid>
      <w:tr w14:paraId="26C86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trPr>
        <w:tc>
          <w:tcPr>
            <w:tcW w:w="9052" w:type="dxa"/>
            <w:tcBorders>
              <w:top w:val="single" w:color="auto" w:sz="4" w:space="0"/>
              <w:left w:val="single" w:color="auto" w:sz="4" w:space="0"/>
              <w:bottom w:val="single" w:color="auto" w:sz="4" w:space="0"/>
              <w:right w:val="single" w:color="auto" w:sz="4" w:space="0"/>
            </w:tcBorders>
            <w:noWrap/>
          </w:tcPr>
          <w:p w14:paraId="07461069">
            <w:pPr>
              <w:keepNext w:val="0"/>
              <w:keepLines w:val="0"/>
              <w:suppressLineNumbers w:val="0"/>
              <w:spacing w:before="0" w:beforeAutospacing="0" w:after="0" w:afterAutospacing="0" w:line="360" w:lineRule="auto"/>
              <w:ind w:left="0" w:right="0" w:firstLine="361"/>
              <w:rPr>
                <w:rFonts w:ascii="宋体" w:hAnsi="宋体" w:cs="宋体"/>
                <w:b/>
                <w:color w:val="auto"/>
                <w:sz w:val="24"/>
                <w:highlight w:val="none"/>
              </w:rPr>
            </w:pPr>
          </w:p>
          <w:p w14:paraId="77739E46">
            <w:pPr>
              <w:keepNext w:val="0"/>
              <w:keepLines w:val="0"/>
              <w:suppressLineNumbers w:val="0"/>
              <w:spacing w:before="0" w:beforeAutospacing="0" w:after="0" w:afterAutospacing="0" w:line="360" w:lineRule="auto"/>
              <w:ind w:left="0" w:right="0" w:firstLine="361"/>
              <w:rPr>
                <w:rFonts w:ascii="宋体" w:hAnsi="宋体" w:cs="宋体"/>
                <w:b/>
                <w:color w:val="auto"/>
                <w:sz w:val="24"/>
                <w:highlight w:val="none"/>
              </w:rPr>
            </w:pPr>
            <w:r>
              <w:rPr>
                <w:rFonts w:hint="eastAsia" w:ascii="宋体" w:hAnsi="宋体" w:cs="宋体"/>
                <w:b/>
                <w:color w:val="auto"/>
                <w:sz w:val="24"/>
                <w:highlight w:val="none"/>
              </w:rPr>
              <w:t>法定代表人有效身份证复印件粘贴处（正、反面）</w:t>
            </w:r>
          </w:p>
        </w:tc>
      </w:tr>
    </w:tbl>
    <w:p w14:paraId="73BBBBC8">
      <w:pPr>
        <w:snapToGrid w:val="0"/>
        <w:spacing w:before="295" w:after="295" w:line="360" w:lineRule="auto"/>
        <w:ind w:firstLine="361"/>
        <w:jc w:val="left"/>
        <w:rPr>
          <w:rFonts w:ascii="宋体" w:hAnsi="宋体" w:cs="宋体"/>
          <w:b/>
          <w:color w:val="auto"/>
          <w:sz w:val="24"/>
          <w:szCs w:val="20"/>
          <w:highlight w:val="none"/>
        </w:rPr>
      </w:pPr>
      <w:r>
        <w:rPr>
          <w:rFonts w:hint="eastAsia" w:ascii="宋体" w:hAnsi="宋体" w:cs="宋体"/>
          <w:b/>
          <w:color w:val="auto"/>
          <w:sz w:val="24"/>
          <w:szCs w:val="20"/>
          <w:highlight w:val="none"/>
        </w:rPr>
        <w:t>附件：</w:t>
      </w:r>
      <w:r>
        <w:rPr>
          <w:rFonts w:hint="eastAsia" w:ascii="宋体" w:hAnsi="宋体" w:cs="宋体"/>
          <w:b/>
          <w:color w:val="auto"/>
          <w:sz w:val="24"/>
          <w:szCs w:val="20"/>
          <w:highlight w:val="none"/>
        </w:rPr>
        <w:br w:type="page"/>
      </w:r>
      <w:r>
        <w:rPr>
          <w:rFonts w:hint="eastAsia" w:ascii="宋体" w:hAnsi="宋体" w:cs="宋体"/>
          <w:b/>
          <w:bCs/>
          <w:color w:val="auto"/>
          <w:sz w:val="30"/>
          <w:szCs w:val="30"/>
          <w:highlight w:val="none"/>
        </w:rPr>
        <w:t>5.法定代表人授权委托书的格式：</w:t>
      </w:r>
    </w:p>
    <w:p w14:paraId="353CF625">
      <w:pPr>
        <w:snapToGrid w:val="0"/>
        <w:spacing w:beforeLines="50" w:after="50"/>
        <w:ind w:firstLine="482"/>
        <w:jc w:val="center"/>
        <w:rPr>
          <w:rFonts w:ascii="宋体" w:hAnsi="宋体" w:cs="宋体"/>
          <w:b/>
          <w:color w:val="auto"/>
          <w:sz w:val="32"/>
          <w:szCs w:val="32"/>
          <w:highlight w:val="none"/>
        </w:rPr>
      </w:pPr>
      <w:r>
        <w:rPr>
          <w:rFonts w:hint="eastAsia" w:ascii="宋体" w:hAnsi="宋体" w:cs="宋体"/>
          <w:b/>
          <w:color w:val="auto"/>
          <w:sz w:val="32"/>
          <w:szCs w:val="32"/>
          <w:highlight w:val="none"/>
        </w:rPr>
        <w:t>法定代表人授权委托书</w:t>
      </w:r>
      <w:r>
        <w:rPr>
          <w:rFonts w:hint="eastAsia" w:ascii="宋体" w:hAnsi="宋体" w:cs="宋体"/>
          <w:b/>
          <w:bCs/>
          <w:color w:val="auto"/>
          <w:sz w:val="30"/>
          <w:szCs w:val="30"/>
          <w:highlight w:val="none"/>
        </w:rPr>
        <w:t>（如有委托时）</w:t>
      </w:r>
    </w:p>
    <w:p w14:paraId="42CA5152">
      <w:pPr>
        <w:snapToGrid w:val="0"/>
        <w:spacing w:beforeLines="50" w:after="50"/>
        <w:ind w:firstLine="361"/>
        <w:jc w:val="center"/>
        <w:rPr>
          <w:rFonts w:ascii="宋体" w:hAnsi="宋体" w:cs="宋体"/>
          <w:b/>
          <w:color w:val="auto"/>
          <w:sz w:val="24"/>
          <w:highlight w:val="none"/>
        </w:rPr>
      </w:pPr>
    </w:p>
    <w:p w14:paraId="4EF5AEC2">
      <w:pPr>
        <w:spacing w:line="440" w:lineRule="exact"/>
        <w:ind w:firstLine="420" w:firstLineChars="200"/>
        <w:rPr>
          <w:rFonts w:hint="default" w:ascii="宋体" w:hAnsi="宋体" w:eastAsia="宋体" w:cs="宋体"/>
          <w:color w:val="auto"/>
          <w:szCs w:val="20"/>
          <w:highlight w:val="none"/>
          <w:u w:val="single"/>
          <w:lang w:val="en-US" w:eastAsia="zh-CN"/>
        </w:rPr>
      </w:pPr>
      <w:r>
        <w:rPr>
          <w:rFonts w:hint="eastAsia" w:ascii="宋体" w:hAnsi="宋体" w:cs="宋体"/>
          <w:color w:val="auto"/>
          <w:szCs w:val="20"/>
          <w:highlight w:val="none"/>
        </w:rPr>
        <w:t>致：</w:t>
      </w:r>
      <w:r>
        <w:rPr>
          <w:rFonts w:hint="eastAsia" w:ascii="宋体" w:hAnsi="宋体" w:cs="宋体"/>
          <w:color w:val="auto"/>
          <w:szCs w:val="20"/>
          <w:highlight w:val="none"/>
          <w:u w:val="single"/>
          <w:lang w:val="en-US" w:eastAsia="zh-CN"/>
        </w:rPr>
        <w:t xml:space="preserve">         </w:t>
      </w:r>
    </w:p>
    <w:p w14:paraId="01D2B6B9">
      <w:pPr>
        <w:spacing w:line="440" w:lineRule="exact"/>
        <w:ind w:firstLine="420" w:firstLineChars="200"/>
        <w:rPr>
          <w:rFonts w:ascii="宋体" w:hAnsi="宋体" w:cs="宋体"/>
          <w:color w:val="auto"/>
          <w:szCs w:val="20"/>
          <w:highlight w:val="none"/>
        </w:rPr>
      </w:pPr>
      <w:r>
        <w:rPr>
          <w:rFonts w:hint="eastAsia" w:ascii="宋体" w:hAnsi="宋体" w:cs="宋体"/>
          <w:color w:val="auto"/>
          <w:szCs w:val="20"/>
          <w:highlight w:val="none"/>
        </w:rPr>
        <w:t>本人</w:t>
      </w:r>
      <w:r>
        <w:rPr>
          <w:rFonts w:hint="eastAsia" w:ascii="宋体" w:hAnsi="宋体" w:cs="宋体"/>
          <w:color w:val="auto"/>
          <w:szCs w:val="20"/>
          <w:highlight w:val="none"/>
          <w:u w:val="single"/>
          <w:lang w:val="en-US" w:eastAsia="zh-CN"/>
        </w:rPr>
        <w:t xml:space="preserve">       </w:t>
      </w:r>
      <w:r>
        <w:rPr>
          <w:rFonts w:hint="eastAsia" w:ascii="宋体" w:hAnsi="宋体" w:cs="宋体"/>
          <w:color w:val="auto"/>
          <w:szCs w:val="20"/>
          <w:highlight w:val="none"/>
        </w:rPr>
        <w:t>（姓名）系</w:t>
      </w:r>
      <w:r>
        <w:rPr>
          <w:rFonts w:hint="eastAsia" w:ascii="宋体" w:hAnsi="宋体" w:cs="宋体"/>
          <w:color w:val="auto"/>
          <w:szCs w:val="20"/>
          <w:highlight w:val="none"/>
          <w:u w:val="single"/>
          <w:lang w:val="en-US" w:eastAsia="zh-CN"/>
        </w:rPr>
        <w:t xml:space="preserve">                             </w:t>
      </w:r>
      <w:r>
        <w:rPr>
          <w:rFonts w:hint="eastAsia" w:ascii="宋体" w:hAnsi="宋体" w:cs="宋体"/>
          <w:color w:val="auto"/>
          <w:szCs w:val="20"/>
          <w:highlight w:val="none"/>
        </w:rPr>
        <w:t>（投标人名称）的法定代表人，现授权我单位在职正式员工</w:t>
      </w:r>
      <w:r>
        <w:rPr>
          <w:rFonts w:hint="eastAsia" w:ascii="宋体" w:hAnsi="宋体" w:cs="宋体"/>
          <w:color w:val="auto"/>
          <w:szCs w:val="20"/>
          <w:highlight w:val="none"/>
          <w:u w:val="single"/>
          <w:lang w:val="en-US" w:eastAsia="zh-CN"/>
        </w:rPr>
        <w:t xml:space="preserve">                </w:t>
      </w:r>
      <w:r>
        <w:rPr>
          <w:rFonts w:hint="eastAsia" w:ascii="宋体" w:hAnsi="宋体" w:cs="宋体"/>
          <w:color w:val="auto"/>
          <w:szCs w:val="20"/>
          <w:highlight w:val="none"/>
        </w:rPr>
        <w:t>（姓名和职务）为我方代理人。代理人根据授权，以我方名义签署、澄清、说明、补正、递交、撤回、修改贵方组织的</w:t>
      </w:r>
      <w:r>
        <w:rPr>
          <w:rFonts w:hint="eastAsia" w:ascii="宋体" w:hAnsi="宋体" w:cs="宋体"/>
          <w:i/>
          <w:iCs/>
          <w:color w:val="auto"/>
          <w:szCs w:val="20"/>
          <w:highlight w:val="none"/>
          <w:u w:val="single"/>
        </w:rPr>
        <w:t>（项目名称）</w:t>
      </w:r>
      <w:r>
        <w:rPr>
          <w:rFonts w:hint="eastAsia" w:ascii="宋体" w:hAnsi="宋体" w:cs="宋体"/>
          <w:color w:val="auto"/>
          <w:szCs w:val="20"/>
          <w:highlight w:val="none"/>
        </w:rPr>
        <w:t>项目（项目编号：</w:t>
      </w:r>
      <w:r>
        <w:rPr>
          <w:rFonts w:hint="eastAsia" w:ascii="宋体" w:hAnsi="宋体" w:cs="宋体"/>
          <w:color w:val="auto"/>
          <w:szCs w:val="20"/>
          <w:highlight w:val="none"/>
          <w:u w:val="single"/>
        </w:rPr>
        <w:t xml:space="preserve">            </w:t>
      </w:r>
      <w:r>
        <w:rPr>
          <w:rFonts w:hint="eastAsia" w:ascii="宋体" w:hAnsi="宋体" w:cs="宋体"/>
          <w:color w:val="auto"/>
          <w:szCs w:val="20"/>
          <w:highlight w:val="none"/>
        </w:rPr>
        <w:t>）的投标文件、签订合同和处理一切有关事宜，其法律后果由我方承担。</w:t>
      </w:r>
    </w:p>
    <w:p w14:paraId="2B789331">
      <w:pPr>
        <w:spacing w:line="440" w:lineRule="exact"/>
        <w:ind w:firstLine="420" w:firstLineChars="200"/>
        <w:rPr>
          <w:rFonts w:ascii="宋体" w:hAnsi="宋体" w:cs="宋体"/>
          <w:color w:val="auto"/>
          <w:szCs w:val="20"/>
          <w:highlight w:val="none"/>
        </w:rPr>
      </w:pPr>
      <w:r>
        <w:rPr>
          <w:rFonts w:hint="eastAsia" w:ascii="宋体" w:hAnsi="宋体" w:cs="宋体"/>
          <w:color w:val="auto"/>
          <w:szCs w:val="20"/>
          <w:highlight w:val="none"/>
        </w:rPr>
        <w:t>本授权书于</w:t>
      </w:r>
      <w:r>
        <w:rPr>
          <w:rFonts w:hint="eastAsia" w:ascii="宋体" w:hAnsi="宋体" w:cs="宋体"/>
          <w:color w:val="auto"/>
          <w:szCs w:val="20"/>
          <w:highlight w:val="none"/>
          <w:u w:val="single"/>
        </w:rPr>
        <w:t xml:space="preserve"> </w:t>
      </w:r>
      <w:r>
        <w:rPr>
          <w:rFonts w:hint="eastAsia" w:ascii="宋体" w:hAnsi="宋体" w:cs="宋体"/>
          <w:color w:val="auto"/>
          <w:szCs w:val="20"/>
          <w:highlight w:val="none"/>
          <w:u w:val="single"/>
          <w:lang w:val="en-US" w:eastAsia="zh-CN"/>
        </w:rPr>
        <w:t xml:space="preserve">    </w:t>
      </w:r>
      <w:r>
        <w:rPr>
          <w:rFonts w:hint="eastAsia" w:ascii="宋体" w:hAnsi="宋体" w:cs="宋体"/>
          <w:color w:val="auto"/>
          <w:szCs w:val="20"/>
          <w:highlight w:val="none"/>
          <w:u w:val="single"/>
        </w:rPr>
        <w:t xml:space="preserve"> </w:t>
      </w:r>
      <w:r>
        <w:rPr>
          <w:rFonts w:hint="eastAsia" w:ascii="宋体" w:hAnsi="宋体" w:cs="宋体"/>
          <w:color w:val="auto"/>
          <w:szCs w:val="20"/>
          <w:highlight w:val="none"/>
        </w:rPr>
        <w:t>年</w:t>
      </w:r>
      <w:r>
        <w:rPr>
          <w:rFonts w:hint="eastAsia" w:ascii="宋体" w:hAnsi="宋体" w:cs="宋体"/>
          <w:color w:val="auto"/>
          <w:szCs w:val="20"/>
          <w:highlight w:val="none"/>
          <w:u w:val="single"/>
        </w:rPr>
        <w:t xml:space="preserve"> </w:t>
      </w:r>
      <w:r>
        <w:rPr>
          <w:rFonts w:hint="eastAsia" w:ascii="宋体" w:hAnsi="宋体" w:cs="宋体"/>
          <w:color w:val="auto"/>
          <w:szCs w:val="20"/>
          <w:highlight w:val="none"/>
          <w:u w:val="single"/>
          <w:lang w:val="en-US" w:eastAsia="zh-CN"/>
        </w:rPr>
        <w:t xml:space="preserve">  </w:t>
      </w:r>
      <w:r>
        <w:rPr>
          <w:rFonts w:hint="eastAsia" w:ascii="宋体" w:hAnsi="宋体" w:cs="宋体"/>
          <w:color w:val="auto"/>
          <w:szCs w:val="20"/>
          <w:highlight w:val="none"/>
          <w:u w:val="single"/>
        </w:rPr>
        <w:t xml:space="preserve"> </w:t>
      </w:r>
      <w:r>
        <w:rPr>
          <w:rFonts w:hint="eastAsia" w:ascii="宋体" w:hAnsi="宋体" w:cs="宋体"/>
          <w:color w:val="auto"/>
          <w:szCs w:val="20"/>
          <w:highlight w:val="none"/>
        </w:rPr>
        <w:t>月</w:t>
      </w:r>
      <w:r>
        <w:rPr>
          <w:rFonts w:hint="eastAsia" w:ascii="宋体" w:hAnsi="宋体" w:cs="宋体"/>
          <w:color w:val="auto"/>
          <w:szCs w:val="20"/>
          <w:highlight w:val="none"/>
          <w:u w:val="single"/>
        </w:rPr>
        <w:t xml:space="preserve">  </w:t>
      </w:r>
      <w:r>
        <w:rPr>
          <w:rFonts w:hint="eastAsia" w:ascii="宋体" w:hAnsi="宋体" w:cs="宋体"/>
          <w:color w:val="auto"/>
          <w:szCs w:val="20"/>
          <w:highlight w:val="none"/>
          <w:u w:val="single"/>
          <w:lang w:val="en-US" w:eastAsia="zh-CN"/>
        </w:rPr>
        <w:t xml:space="preserve">   </w:t>
      </w:r>
      <w:r>
        <w:rPr>
          <w:rFonts w:hint="eastAsia" w:ascii="宋体" w:hAnsi="宋体" w:cs="宋体"/>
          <w:color w:val="auto"/>
          <w:szCs w:val="20"/>
          <w:highlight w:val="none"/>
        </w:rPr>
        <w:t>日签字生效，委托期限：</w:t>
      </w:r>
      <w:r>
        <w:rPr>
          <w:rFonts w:hint="eastAsia" w:ascii="宋体" w:hAnsi="宋体" w:cs="宋体"/>
          <w:color w:val="auto"/>
          <w:szCs w:val="20"/>
          <w:highlight w:val="none"/>
          <w:u w:val="single"/>
        </w:rPr>
        <w:t xml:space="preserve">            </w:t>
      </w:r>
      <w:r>
        <w:rPr>
          <w:rFonts w:hint="eastAsia" w:ascii="宋体" w:hAnsi="宋体" w:cs="宋体"/>
          <w:color w:val="auto"/>
          <w:szCs w:val="20"/>
          <w:highlight w:val="none"/>
        </w:rPr>
        <w:t xml:space="preserve"> 。</w:t>
      </w:r>
    </w:p>
    <w:p w14:paraId="330249A3">
      <w:pPr>
        <w:spacing w:line="360" w:lineRule="auto"/>
        <w:ind w:firstLine="315"/>
        <w:rPr>
          <w:rFonts w:ascii="宋体" w:hAnsi="宋体" w:cs="宋体"/>
          <w:color w:val="auto"/>
          <w:szCs w:val="20"/>
          <w:highlight w:val="none"/>
        </w:rPr>
      </w:pPr>
      <w:r>
        <w:rPr>
          <w:rFonts w:hint="eastAsia" w:ascii="宋体" w:hAnsi="宋体" w:cs="宋体"/>
          <w:color w:val="auto"/>
          <w:szCs w:val="20"/>
          <w:highlight w:val="none"/>
        </w:rPr>
        <w:t>代理人无转委托权。</w:t>
      </w:r>
    </w:p>
    <w:p w14:paraId="672520BA">
      <w:pPr>
        <w:spacing w:line="360" w:lineRule="auto"/>
        <w:ind w:firstLine="315"/>
        <w:rPr>
          <w:rFonts w:ascii="宋体" w:hAnsi="宋体" w:cs="宋体"/>
          <w:color w:val="auto"/>
          <w:szCs w:val="20"/>
          <w:highlight w:val="none"/>
        </w:rPr>
      </w:pPr>
    </w:p>
    <w:p w14:paraId="1D453EDC">
      <w:pPr>
        <w:spacing w:line="360" w:lineRule="auto"/>
        <w:ind w:firstLine="315"/>
        <w:rPr>
          <w:rFonts w:ascii="宋体" w:hAnsi="宋体" w:cs="宋体"/>
          <w:color w:val="auto"/>
          <w:szCs w:val="20"/>
          <w:highlight w:val="none"/>
          <w:u w:val="single"/>
        </w:rPr>
      </w:pPr>
      <w:r>
        <w:rPr>
          <w:rFonts w:hint="eastAsia" w:ascii="宋体" w:hAnsi="宋体" w:cs="宋体"/>
          <w:color w:val="auto"/>
          <w:szCs w:val="20"/>
          <w:highlight w:val="none"/>
        </w:rPr>
        <w:t>投标人（盖公章）：</w:t>
      </w:r>
    </w:p>
    <w:p w14:paraId="72507562">
      <w:pPr>
        <w:spacing w:line="360" w:lineRule="auto"/>
        <w:ind w:firstLine="315"/>
        <w:rPr>
          <w:rFonts w:ascii="宋体" w:hAnsi="宋体" w:cs="宋体"/>
          <w:color w:val="auto"/>
          <w:szCs w:val="20"/>
          <w:highlight w:val="none"/>
          <w:u w:val="single"/>
        </w:rPr>
      </w:pPr>
      <w:r>
        <w:rPr>
          <w:rFonts w:hint="eastAsia" w:ascii="宋体" w:hAnsi="宋体" w:cs="宋体"/>
          <w:color w:val="auto"/>
          <w:szCs w:val="20"/>
          <w:highlight w:val="none"/>
        </w:rPr>
        <w:t>法定代表人（签字）：</w:t>
      </w:r>
    </w:p>
    <w:p w14:paraId="11695E0E">
      <w:pPr>
        <w:spacing w:line="360" w:lineRule="auto"/>
        <w:ind w:firstLine="315"/>
        <w:rPr>
          <w:rFonts w:ascii="宋体" w:hAnsi="宋体" w:cs="宋体"/>
          <w:color w:val="auto"/>
          <w:szCs w:val="20"/>
          <w:highlight w:val="none"/>
          <w:u w:val="single"/>
        </w:rPr>
      </w:pPr>
      <w:r>
        <w:rPr>
          <w:rFonts w:hint="eastAsia" w:ascii="宋体" w:hAnsi="宋体" w:cs="宋体"/>
          <w:color w:val="auto"/>
          <w:szCs w:val="20"/>
          <w:highlight w:val="none"/>
        </w:rPr>
        <w:t>法定代表人身份证号码：</w:t>
      </w:r>
    </w:p>
    <w:p w14:paraId="2A58C3C4">
      <w:pPr>
        <w:spacing w:line="360" w:lineRule="auto"/>
        <w:ind w:left="0" w:leftChars="0" w:firstLine="298" w:firstLineChars="142"/>
        <w:rPr>
          <w:rFonts w:ascii="宋体" w:hAnsi="宋体" w:cs="宋体"/>
          <w:color w:val="auto"/>
          <w:szCs w:val="20"/>
          <w:highlight w:val="none"/>
        </w:rPr>
      </w:pPr>
      <w:r>
        <w:rPr>
          <w:rFonts w:hint="eastAsia" w:ascii="宋体" w:hAnsi="宋体" w:cs="宋体"/>
          <w:color w:val="auto"/>
          <w:szCs w:val="20"/>
          <w:highlight w:val="none"/>
        </w:rPr>
        <w:t>委托代理人（签字）：</w:t>
      </w:r>
    </w:p>
    <w:p w14:paraId="2F491457">
      <w:pPr>
        <w:spacing w:line="360" w:lineRule="auto"/>
        <w:ind w:firstLine="315"/>
        <w:rPr>
          <w:rFonts w:ascii="宋体" w:hAnsi="宋体" w:cs="宋体"/>
          <w:color w:val="auto"/>
          <w:szCs w:val="20"/>
          <w:highlight w:val="none"/>
          <w:u w:val="single"/>
        </w:rPr>
      </w:pPr>
      <w:r>
        <w:rPr>
          <w:rFonts w:hint="eastAsia" w:ascii="宋体" w:hAnsi="宋体" w:cs="宋体"/>
          <w:color w:val="auto"/>
          <w:szCs w:val="20"/>
          <w:highlight w:val="none"/>
        </w:rPr>
        <w:t>委托代理人身份证号码：</w:t>
      </w:r>
    </w:p>
    <w:p w14:paraId="6A328E94">
      <w:pPr>
        <w:spacing w:line="360" w:lineRule="auto"/>
        <w:ind w:firstLine="315"/>
        <w:rPr>
          <w:rFonts w:ascii="宋体" w:hAnsi="宋体" w:cs="宋体"/>
          <w:color w:val="auto"/>
          <w:szCs w:val="20"/>
          <w:highlight w:val="none"/>
          <w:u w:val="single"/>
        </w:rPr>
      </w:pPr>
    </w:p>
    <w:p w14:paraId="47CBCF43">
      <w:pPr>
        <w:snapToGrid w:val="0"/>
        <w:spacing w:line="360" w:lineRule="auto"/>
        <w:ind w:firstLine="5640" w:firstLineChars="2350"/>
        <w:rPr>
          <w:rFonts w:ascii="宋体" w:hAnsi="宋体" w:cs="宋体"/>
          <w:color w:val="auto"/>
          <w:kern w:val="0"/>
          <w:sz w:val="24"/>
          <w:highlight w:val="none"/>
        </w:rPr>
      </w:pPr>
      <w:r>
        <w:rPr>
          <w:rFonts w:hint="eastAsia" w:ascii="宋体" w:hAnsi="宋体" w:cs="宋体"/>
          <w:color w:val="auto"/>
          <w:kern w:val="0"/>
          <w:sz w:val="24"/>
          <w:highlight w:val="none"/>
          <w:lang w:val="zh-CN"/>
        </w:rPr>
        <w:t>投标人名称(盖公章)：</w:t>
      </w:r>
    </w:p>
    <w:p w14:paraId="06550D63">
      <w:pPr>
        <w:snapToGrid w:val="0"/>
        <w:spacing w:line="360" w:lineRule="auto"/>
        <w:ind w:firstLine="5880" w:firstLineChars="245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日期</w:t>
      </w:r>
      <w:r>
        <w:rPr>
          <w:rFonts w:hint="eastAsia" w:ascii="宋体" w:hAnsi="宋体" w:cs="宋体"/>
          <w:color w:val="auto"/>
          <w:kern w:val="0"/>
          <w:sz w:val="24"/>
          <w:highlight w:val="none"/>
        </w:rPr>
        <w:t>：  年  月  日</w:t>
      </w:r>
    </w:p>
    <w:p w14:paraId="64048F71">
      <w:pPr>
        <w:spacing w:line="360" w:lineRule="auto"/>
        <w:ind w:firstLine="315"/>
        <w:rPr>
          <w:rFonts w:ascii="宋体" w:hAnsi="宋体" w:cs="宋体"/>
          <w:color w:val="auto"/>
          <w:szCs w:val="20"/>
          <w:highlight w:val="none"/>
          <w:u w:val="single"/>
        </w:rPr>
      </w:pPr>
    </w:p>
    <w:p w14:paraId="443F2286">
      <w:pPr>
        <w:spacing w:line="360" w:lineRule="auto"/>
        <w:rPr>
          <w:rFonts w:ascii="宋体" w:hAnsi="宋体" w:cs="宋体"/>
          <w:color w:val="auto"/>
          <w:szCs w:val="21"/>
          <w:highlight w:val="none"/>
        </w:rPr>
      </w:pPr>
      <w:r>
        <w:rPr>
          <w:rFonts w:hint="eastAsia" w:ascii="宋体" w:hAnsi="宋体" w:cs="宋体"/>
          <w:color w:val="auto"/>
          <w:szCs w:val="21"/>
          <w:highlight w:val="none"/>
        </w:rPr>
        <w:t>注：</w:t>
      </w:r>
    </w:p>
    <w:p w14:paraId="0BD06736">
      <w:pPr>
        <w:snapToGrid w:val="0"/>
        <w:spacing w:before="50" w:afterLines="50" w:line="360" w:lineRule="auto"/>
        <w:jc w:val="left"/>
        <w:rPr>
          <w:rFonts w:ascii="宋体" w:hAnsi="宋体" w:cs="宋体"/>
          <w:color w:val="auto"/>
          <w:szCs w:val="21"/>
          <w:highlight w:val="none"/>
        </w:rPr>
      </w:pPr>
      <w:r>
        <w:rPr>
          <w:rFonts w:hint="eastAsia" w:ascii="宋体" w:hAnsi="宋体" w:cs="宋体"/>
          <w:color w:val="auto"/>
          <w:szCs w:val="21"/>
          <w:highlight w:val="none"/>
        </w:rPr>
        <w:t>1.法定代表人和委托代理人必须在授权委托书上签字，</w:t>
      </w:r>
      <w:r>
        <w:rPr>
          <w:rFonts w:hint="eastAsia" w:ascii="宋体" w:hAnsi="宋体" w:cs="宋体"/>
          <w:b/>
          <w:bCs/>
          <w:color w:val="auto"/>
          <w:szCs w:val="21"/>
          <w:highlight w:val="none"/>
        </w:rPr>
        <w:t>否则作无效投标处理</w:t>
      </w:r>
      <w:r>
        <w:rPr>
          <w:rFonts w:hint="eastAsia" w:ascii="宋体" w:hAnsi="宋体" w:cs="宋体"/>
          <w:color w:val="auto"/>
          <w:szCs w:val="21"/>
          <w:highlight w:val="none"/>
        </w:rPr>
        <w:t>；</w:t>
      </w:r>
    </w:p>
    <w:p w14:paraId="76C03EA8">
      <w:pPr>
        <w:snapToGrid w:val="0"/>
        <w:spacing w:before="50" w:afterLines="50" w:line="360" w:lineRule="auto"/>
        <w:jc w:val="left"/>
        <w:rPr>
          <w:rFonts w:ascii="宋体" w:hAnsi="宋体" w:cs="宋体"/>
          <w:color w:val="auto"/>
          <w:szCs w:val="21"/>
          <w:highlight w:val="none"/>
        </w:rPr>
      </w:pPr>
      <w:r>
        <w:rPr>
          <w:rFonts w:hint="eastAsia" w:ascii="宋体" w:hAnsi="宋体" w:cs="宋体"/>
          <w:color w:val="auto"/>
          <w:szCs w:val="21"/>
          <w:highlight w:val="none"/>
        </w:rPr>
        <w:t>2.以联合体形式投标的，本授权委托书应由联合体牵头人的法定代表人按上述规定签署。</w:t>
      </w:r>
    </w:p>
    <w:p w14:paraId="0A1BEA1F">
      <w:pPr>
        <w:snapToGrid w:val="0"/>
        <w:spacing w:before="50" w:afterLines="50" w:line="360" w:lineRule="auto"/>
        <w:jc w:val="left"/>
        <w:rPr>
          <w:rFonts w:ascii="宋体" w:hAnsi="宋体" w:cs="宋体"/>
          <w:color w:val="auto"/>
          <w:szCs w:val="21"/>
          <w:highlight w:val="none"/>
        </w:rPr>
      </w:pPr>
      <w:r>
        <w:rPr>
          <w:rFonts w:hint="eastAsia" w:ascii="宋体" w:hAnsi="宋体" w:cs="宋体"/>
          <w:color w:val="auto"/>
          <w:szCs w:val="21"/>
          <w:highlight w:val="none"/>
        </w:rPr>
        <w:t>3. 投标人为其他组织或者自然人时，本招标文件规定的法定代表人指负责人或者自然人。本招标文件所称负责人是指参加投标的其他组织营业执照上的负责人，本招标文件所称自然人指参与投标的自然人本人。</w:t>
      </w:r>
    </w:p>
    <w:p w14:paraId="6F8AE5CC">
      <w:pPr>
        <w:snapToGrid w:val="0"/>
        <w:spacing w:before="50" w:afterLines="50" w:line="360" w:lineRule="auto"/>
        <w:jc w:val="left"/>
        <w:rPr>
          <w:rFonts w:ascii="宋体" w:hAnsi="宋体" w:cs="宋体"/>
          <w:color w:val="auto"/>
          <w:szCs w:val="21"/>
          <w:highlight w:val="none"/>
        </w:rPr>
      </w:pPr>
      <w:r>
        <w:rPr>
          <w:rFonts w:hint="eastAsia" w:ascii="宋体" w:hAnsi="宋体" w:cs="宋体"/>
          <w:color w:val="auto"/>
          <w:szCs w:val="21"/>
          <w:highlight w:val="none"/>
        </w:rPr>
        <w:t>4. 若为联合体投标须各方签字或盖章。</w:t>
      </w:r>
    </w:p>
    <w:p w14:paraId="438D279F">
      <w:pPr>
        <w:spacing w:line="360" w:lineRule="auto"/>
        <w:ind w:firstLine="361"/>
        <w:rPr>
          <w:rFonts w:ascii="宋体" w:hAnsi="宋体" w:cs="宋体"/>
          <w:b/>
          <w:color w:val="auto"/>
          <w:sz w:val="24"/>
          <w:highlight w:val="none"/>
        </w:rPr>
      </w:pPr>
    </w:p>
    <w:p w14:paraId="2F9CAE1F">
      <w:pPr>
        <w:spacing w:line="360" w:lineRule="auto"/>
        <w:ind w:firstLine="361"/>
        <w:rPr>
          <w:rFonts w:ascii="宋体" w:hAnsi="宋体" w:cs="宋体"/>
          <w:b/>
          <w:color w:val="auto"/>
          <w:sz w:val="24"/>
          <w:highlight w:val="none"/>
        </w:rPr>
      </w:pPr>
      <w:r>
        <w:rPr>
          <w:rFonts w:hint="eastAsia" w:ascii="宋体" w:hAnsi="宋体" w:cs="宋体"/>
          <w:b/>
          <w:color w:val="auto"/>
          <w:sz w:val="24"/>
          <w:highlight w:val="none"/>
        </w:rPr>
        <w:br w:type="page"/>
      </w:r>
      <w:r>
        <w:rPr>
          <w:rFonts w:hint="eastAsia" w:ascii="宋体" w:hAnsi="宋体" w:cs="宋体"/>
          <w:b/>
          <w:color w:val="auto"/>
          <w:sz w:val="24"/>
          <w:highlight w:val="none"/>
        </w:rPr>
        <w:t>附件：</w:t>
      </w:r>
    </w:p>
    <w:tbl>
      <w:tblPr>
        <w:tblStyle w:val="28"/>
        <w:tblpPr w:leftFromText="180" w:rightFromText="180" w:vertAnchor="text" w:horzAnchor="margin" w:tblpY="263"/>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7"/>
      </w:tblGrid>
      <w:tr w14:paraId="5B4BC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0" w:hRule="atLeast"/>
        </w:trPr>
        <w:tc>
          <w:tcPr>
            <w:tcW w:w="9067" w:type="dxa"/>
            <w:tcBorders>
              <w:top w:val="single" w:color="auto" w:sz="4" w:space="0"/>
              <w:left w:val="single" w:color="auto" w:sz="4" w:space="0"/>
              <w:bottom w:val="single" w:color="auto" w:sz="4" w:space="0"/>
              <w:right w:val="single" w:color="auto" w:sz="4" w:space="0"/>
            </w:tcBorders>
            <w:noWrap/>
          </w:tcPr>
          <w:p w14:paraId="0EEC64B2">
            <w:pPr>
              <w:keepNext w:val="0"/>
              <w:keepLines w:val="0"/>
              <w:suppressLineNumbers w:val="0"/>
              <w:spacing w:before="0" w:beforeAutospacing="0" w:after="0" w:afterAutospacing="0" w:line="360" w:lineRule="auto"/>
              <w:ind w:left="0" w:right="0" w:firstLine="361"/>
              <w:rPr>
                <w:rFonts w:ascii="宋体" w:hAnsi="宋体" w:cs="宋体"/>
                <w:b/>
                <w:color w:val="auto"/>
                <w:sz w:val="24"/>
                <w:highlight w:val="none"/>
              </w:rPr>
            </w:pPr>
          </w:p>
          <w:p w14:paraId="35FD69E8">
            <w:pPr>
              <w:keepNext w:val="0"/>
              <w:keepLines w:val="0"/>
              <w:suppressLineNumbers w:val="0"/>
              <w:spacing w:before="0" w:beforeAutospacing="0" w:after="0" w:afterAutospacing="0" w:line="360" w:lineRule="auto"/>
              <w:ind w:left="0" w:right="0" w:firstLine="361"/>
              <w:rPr>
                <w:rFonts w:ascii="宋体" w:hAnsi="宋体" w:cs="宋体"/>
                <w:b/>
                <w:color w:val="auto"/>
                <w:sz w:val="24"/>
                <w:highlight w:val="none"/>
              </w:rPr>
            </w:pPr>
            <w:r>
              <w:rPr>
                <w:rFonts w:hint="eastAsia" w:ascii="宋体" w:hAnsi="宋体" w:cs="宋体"/>
                <w:b/>
                <w:bCs/>
                <w:color w:val="auto"/>
                <w:sz w:val="24"/>
                <w:highlight w:val="none"/>
              </w:rPr>
              <w:t>委托代理人有效</w:t>
            </w:r>
            <w:r>
              <w:rPr>
                <w:rFonts w:hint="eastAsia" w:ascii="宋体" w:hAnsi="宋体" w:cs="宋体"/>
                <w:b/>
                <w:color w:val="auto"/>
                <w:sz w:val="24"/>
                <w:highlight w:val="none"/>
              </w:rPr>
              <w:t>身份证复印件粘贴处（正、反面）</w:t>
            </w:r>
          </w:p>
        </w:tc>
      </w:tr>
    </w:tbl>
    <w:p w14:paraId="6D6F0F5B">
      <w:pPr>
        <w:ind w:firstLine="360"/>
        <w:rPr>
          <w:rFonts w:ascii="宋体" w:hAnsi="宋体" w:cs="宋体"/>
          <w:b/>
          <w:color w:val="auto"/>
          <w:sz w:val="24"/>
          <w:szCs w:val="20"/>
          <w:highlight w:val="none"/>
        </w:rPr>
      </w:pPr>
      <w:r>
        <w:rPr>
          <w:rFonts w:hint="eastAsia" w:ascii="宋体" w:hAnsi="宋体" w:cs="宋体"/>
          <w:color w:val="auto"/>
          <w:sz w:val="24"/>
          <w:highlight w:val="none"/>
        </w:rPr>
        <w:br w:type="page"/>
      </w:r>
      <w:r>
        <w:rPr>
          <w:rFonts w:hint="eastAsia" w:ascii="宋体" w:hAnsi="宋体" w:cs="宋体"/>
          <w:b/>
          <w:color w:val="auto"/>
          <w:sz w:val="28"/>
          <w:szCs w:val="28"/>
          <w:highlight w:val="none"/>
        </w:rPr>
        <w:t>6.商务条款偏离表的格式：</w:t>
      </w:r>
    </w:p>
    <w:p w14:paraId="0AF4F671">
      <w:pPr>
        <w:snapToGrid w:val="0"/>
        <w:spacing w:beforeLines="50" w:after="50"/>
        <w:rPr>
          <w:rFonts w:ascii="宋体" w:hAnsi="宋体" w:cs="宋体"/>
          <w:color w:val="auto"/>
          <w:highlight w:val="none"/>
        </w:rPr>
      </w:pPr>
    </w:p>
    <w:p w14:paraId="086C33EF">
      <w:pPr>
        <w:ind w:firstLine="452"/>
        <w:jc w:val="center"/>
        <w:rPr>
          <w:rFonts w:ascii="宋体" w:hAnsi="宋体" w:cs="宋体"/>
          <w:b/>
          <w:bCs/>
          <w:color w:val="auto"/>
          <w:sz w:val="30"/>
          <w:szCs w:val="30"/>
          <w:highlight w:val="none"/>
        </w:rPr>
      </w:pPr>
      <w:r>
        <w:rPr>
          <w:rFonts w:hint="eastAsia" w:ascii="宋体" w:hAnsi="宋体" w:cs="宋体"/>
          <w:b/>
          <w:bCs/>
          <w:color w:val="auto"/>
          <w:sz w:val="30"/>
          <w:szCs w:val="30"/>
          <w:highlight w:val="none"/>
        </w:rPr>
        <w:t>商务条款偏离表</w:t>
      </w:r>
    </w:p>
    <w:p w14:paraId="31D9BEBF">
      <w:pPr>
        <w:ind w:firstLine="450"/>
        <w:jc w:val="center"/>
        <w:rPr>
          <w:rFonts w:ascii="宋体" w:hAnsi="宋体" w:cs="宋体"/>
          <w:color w:val="auto"/>
          <w:sz w:val="30"/>
          <w:szCs w:val="20"/>
          <w:highlight w:val="none"/>
        </w:rPr>
      </w:pPr>
    </w:p>
    <w:p w14:paraId="383AB825">
      <w:pPr>
        <w:snapToGrid w:val="0"/>
        <w:spacing w:before="50" w:after="50" w:line="480" w:lineRule="auto"/>
        <w:rPr>
          <w:rFonts w:ascii="宋体" w:hAnsi="宋体" w:cs="宋体"/>
          <w:color w:val="auto"/>
          <w:szCs w:val="21"/>
          <w:highlight w:val="none"/>
        </w:rPr>
      </w:pPr>
      <w:r>
        <w:rPr>
          <w:rFonts w:hint="eastAsia" w:ascii="宋体" w:hAnsi="宋体" w:cs="宋体"/>
          <w:color w:val="auto"/>
          <w:szCs w:val="21"/>
          <w:highlight w:val="none"/>
        </w:rPr>
        <w:t>项目名称：</w:t>
      </w:r>
      <w:r>
        <w:rPr>
          <w:rFonts w:hint="eastAsia" w:ascii="宋体" w:hAnsi="宋体" w:cs="宋体"/>
          <w:bCs/>
          <w:color w:val="auto"/>
          <w:szCs w:val="21"/>
          <w:highlight w:val="none"/>
          <w:u w:val="single"/>
        </w:rPr>
        <w:t xml:space="preserve">                              </w:t>
      </w:r>
    </w:p>
    <w:p w14:paraId="463B5A19">
      <w:pPr>
        <w:snapToGrid w:val="0"/>
        <w:spacing w:before="50" w:after="50" w:line="480" w:lineRule="auto"/>
        <w:rPr>
          <w:rFonts w:ascii="宋体" w:hAnsi="宋体" w:cs="宋体"/>
          <w:color w:val="auto"/>
          <w:szCs w:val="21"/>
          <w:highlight w:val="none"/>
          <w:u w:val="single"/>
        </w:rPr>
      </w:pPr>
      <w:r>
        <w:rPr>
          <w:rFonts w:hint="eastAsia" w:ascii="宋体" w:hAnsi="宋体" w:cs="宋体"/>
          <w:color w:val="auto"/>
          <w:szCs w:val="21"/>
          <w:highlight w:val="none"/>
        </w:rPr>
        <w:t>项目编号：</w:t>
      </w:r>
      <w:r>
        <w:rPr>
          <w:rFonts w:hint="eastAsia" w:ascii="宋体" w:hAnsi="宋体" w:cs="宋体"/>
          <w:bCs/>
          <w:color w:val="auto"/>
          <w:szCs w:val="21"/>
          <w:highlight w:val="none"/>
          <w:u w:val="single"/>
        </w:rPr>
        <w:t xml:space="preserve">                              </w:t>
      </w:r>
    </w:p>
    <w:p w14:paraId="02A74B79">
      <w:pPr>
        <w:spacing w:line="360" w:lineRule="auto"/>
        <w:rPr>
          <w:rFonts w:ascii="宋体" w:hAnsi="宋体" w:cs="宋体"/>
          <w:b/>
          <w:color w:val="auto"/>
          <w:szCs w:val="21"/>
          <w:highlight w:val="none"/>
        </w:rPr>
      </w:pPr>
      <w:r>
        <w:rPr>
          <w:rFonts w:hint="eastAsia" w:ascii="宋体" w:hAnsi="宋体" w:cs="宋体"/>
          <w:bCs/>
          <w:color w:val="auto"/>
          <w:szCs w:val="21"/>
          <w:highlight w:val="none"/>
        </w:rPr>
        <w:t>所投分标（此处有分标时填写具体分标号，无分标时填写“无”）：</w:t>
      </w:r>
      <w:r>
        <w:rPr>
          <w:rFonts w:hint="eastAsia" w:ascii="宋体" w:hAnsi="宋体" w:cs="宋体"/>
          <w:bCs/>
          <w:color w:val="auto"/>
          <w:szCs w:val="21"/>
          <w:highlight w:val="none"/>
          <w:u w:val="single"/>
        </w:rPr>
        <w:t xml:space="preserve">    </w:t>
      </w:r>
    </w:p>
    <w:tbl>
      <w:tblPr>
        <w:tblStyle w:val="28"/>
        <w:tblW w:w="93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3731"/>
        <w:gridCol w:w="3307"/>
        <w:gridCol w:w="1560"/>
      </w:tblGrid>
      <w:tr w14:paraId="4CB7D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724" w:type="dxa"/>
            <w:tcBorders>
              <w:top w:val="single" w:color="auto" w:sz="4" w:space="0"/>
              <w:left w:val="single" w:color="auto" w:sz="4" w:space="0"/>
              <w:bottom w:val="single" w:color="auto" w:sz="4" w:space="0"/>
              <w:right w:val="single" w:color="auto" w:sz="4" w:space="0"/>
            </w:tcBorders>
            <w:noWrap/>
            <w:vAlign w:val="center"/>
          </w:tcPr>
          <w:p w14:paraId="1ABC9D4F">
            <w:pPr>
              <w:keepNext w:val="0"/>
              <w:keepLines w:val="0"/>
              <w:suppressLineNumbers w:val="0"/>
              <w:spacing w:before="0" w:beforeAutospacing="0" w:after="0" w:afterAutospacing="0" w:line="340" w:lineRule="exact"/>
              <w:ind w:left="0" w:right="0"/>
              <w:jc w:val="center"/>
              <w:rPr>
                <w:rFonts w:ascii="宋体" w:hAnsi="宋体" w:cs="宋体"/>
                <w:color w:val="auto"/>
                <w:szCs w:val="21"/>
                <w:highlight w:val="none"/>
              </w:rPr>
            </w:pPr>
            <w:r>
              <w:rPr>
                <w:rFonts w:hint="eastAsia" w:ascii="宋体" w:hAnsi="宋体" w:cs="宋体"/>
                <w:color w:val="auto"/>
                <w:szCs w:val="21"/>
                <w:highlight w:val="none"/>
              </w:rPr>
              <w:t>项号</w:t>
            </w:r>
          </w:p>
        </w:tc>
        <w:tc>
          <w:tcPr>
            <w:tcW w:w="3731" w:type="dxa"/>
            <w:tcBorders>
              <w:top w:val="single" w:color="auto" w:sz="4" w:space="0"/>
              <w:left w:val="single" w:color="auto" w:sz="4" w:space="0"/>
              <w:bottom w:val="single" w:color="auto" w:sz="4" w:space="0"/>
              <w:right w:val="single" w:color="auto" w:sz="4" w:space="0"/>
            </w:tcBorders>
            <w:noWrap/>
            <w:vAlign w:val="center"/>
          </w:tcPr>
          <w:p w14:paraId="6A80E7FA">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rPr>
              <w:t>招标文件的商务条款</w:t>
            </w:r>
            <w:r>
              <w:rPr>
                <w:rFonts w:hint="eastAsia" w:ascii="宋体" w:hAnsi="宋体" w:cs="宋体"/>
                <w:color w:val="auto"/>
                <w:szCs w:val="21"/>
                <w:highlight w:val="none"/>
                <w:lang w:eastAsia="zh-CN"/>
              </w:rPr>
              <w:t>要求</w:t>
            </w:r>
          </w:p>
        </w:tc>
        <w:tc>
          <w:tcPr>
            <w:tcW w:w="3307" w:type="dxa"/>
            <w:tcBorders>
              <w:top w:val="single" w:color="auto" w:sz="4" w:space="0"/>
              <w:left w:val="single" w:color="auto" w:sz="4" w:space="0"/>
              <w:bottom w:val="single" w:color="auto" w:sz="4" w:space="0"/>
              <w:right w:val="single" w:color="auto" w:sz="4" w:space="0"/>
            </w:tcBorders>
            <w:noWrap/>
            <w:vAlign w:val="center"/>
          </w:tcPr>
          <w:p w14:paraId="35BC716D">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rPr>
              <w:t>投标文件的商务条款响应</w:t>
            </w:r>
            <w:r>
              <w:rPr>
                <w:rFonts w:hint="eastAsia" w:ascii="宋体" w:hAnsi="宋体" w:cs="宋体"/>
                <w:color w:val="auto"/>
                <w:szCs w:val="21"/>
                <w:highlight w:val="none"/>
                <w:lang w:val="en-US" w:eastAsia="zh-CN"/>
              </w:rPr>
              <w:t>内容</w:t>
            </w:r>
          </w:p>
        </w:tc>
        <w:tc>
          <w:tcPr>
            <w:tcW w:w="1560" w:type="dxa"/>
            <w:tcBorders>
              <w:top w:val="single" w:color="auto" w:sz="4" w:space="0"/>
              <w:left w:val="single" w:color="auto" w:sz="4" w:space="0"/>
              <w:bottom w:val="single" w:color="auto" w:sz="4" w:space="0"/>
              <w:right w:val="single" w:color="auto" w:sz="4" w:space="0"/>
            </w:tcBorders>
            <w:noWrap/>
            <w:vAlign w:val="center"/>
          </w:tcPr>
          <w:p w14:paraId="1DEDACAD">
            <w:pPr>
              <w:keepNext w:val="0"/>
              <w:keepLines w:val="0"/>
              <w:suppressLineNumbers w:val="0"/>
              <w:spacing w:before="0" w:beforeAutospacing="0" w:after="0" w:afterAutospacing="0" w:line="340" w:lineRule="exact"/>
              <w:ind w:left="0" w:right="0"/>
              <w:jc w:val="center"/>
              <w:rPr>
                <w:rFonts w:ascii="宋体" w:hAnsi="宋体" w:cs="宋体"/>
                <w:color w:val="auto"/>
                <w:szCs w:val="21"/>
                <w:highlight w:val="none"/>
              </w:rPr>
            </w:pPr>
            <w:r>
              <w:rPr>
                <w:rFonts w:hint="eastAsia" w:ascii="宋体" w:hAnsi="宋体" w:cs="宋体"/>
                <w:color w:val="auto"/>
                <w:szCs w:val="21"/>
                <w:highlight w:val="none"/>
              </w:rPr>
              <w:t>偏离说明</w:t>
            </w:r>
          </w:p>
        </w:tc>
      </w:tr>
      <w:tr w14:paraId="5C110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724" w:type="dxa"/>
            <w:tcBorders>
              <w:top w:val="single" w:color="auto" w:sz="4" w:space="0"/>
              <w:left w:val="single" w:color="auto" w:sz="4" w:space="0"/>
              <w:bottom w:val="single" w:color="auto" w:sz="4" w:space="0"/>
              <w:right w:val="single" w:color="auto" w:sz="4" w:space="0"/>
            </w:tcBorders>
            <w:noWrap/>
          </w:tcPr>
          <w:p w14:paraId="316C3900">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w:t>
            </w:r>
          </w:p>
        </w:tc>
        <w:tc>
          <w:tcPr>
            <w:tcW w:w="3731" w:type="dxa"/>
            <w:tcBorders>
              <w:top w:val="single" w:color="auto" w:sz="4" w:space="0"/>
              <w:left w:val="single" w:color="auto" w:sz="4" w:space="0"/>
              <w:bottom w:val="single" w:color="auto" w:sz="4" w:space="0"/>
              <w:right w:val="single" w:color="auto" w:sz="4" w:space="0"/>
            </w:tcBorders>
            <w:noWrap/>
          </w:tcPr>
          <w:p w14:paraId="6BF1B249">
            <w:pPr>
              <w:keepNext w:val="0"/>
              <w:keepLines w:val="0"/>
              <w:suppressLineNumbers w:val="0"/>
              <w:spacing w:before="0" w:beforeAutospacing="0" w:after="0" w:afterAutospacing="0" w:line="340" w:lineRule="exact"/>
              <w:ind w:left="0" w:right="0"/>
              <w:rPr>
                <w:rFonts w:ascii="宋体" w:hAnsi="宋体" w:cs="宋体"/>
                <w:color w:val="auto"/>
                <w:szCs w:val="21"/>
                <w:highlight w:val="none"/>
              </w:rPr>
            </w:pPr>
          </w:p>
        </w:tc>
        <w:tc>
          <w:tcPr>
            <w:tcW w:w="3307" w:type="dxa"/>
            <w:tcBorders>
              <w:top w:val="single" w:color="auto" w:sz="4" w:space="0"/>
              <w:left w:val="single" w:color="auto" w:sz="4" w:space="0"/>
              <w:bottom w:val="single" w:color="auto" w:sz="4" w:space="0"/>
              <w:right w:val="single" w:color="auto" w:sz="4" w:space="0"/>
            </w:tcBorders>
            <w:noWrap/>
          </w:tcPr>
          <w:p w14:paraId="0C095CC9">
            <w:pPr>
              <w:keepNext w:val="0"/>
              <w:keepLines w:val="0"/>
              <w:suppressLineNumbers w:val="0"/>
              <w:spacing w:before="0" w:beforeAutospacing="0" w:after="0" w:afterAutospacing="0" w:line="340" w:lineRule="exact"/>
              <w:ind w:left="0" w:right="0"/>
              <w:rPr>
                <w:rFonts w:ascii="宋体" w:hAnsi="宋体" w:cs="宋体"/>
                <w:color w:val="auto"/>
                <w:szCs w:val="21"/>
                <w:highlight w:val="none"/>
              </w:rPr>
            </w:pPr>
          </w:p>
        </w:tc>
        <w:tc>
          <w:tcPr>
            <w:tcW w:w="1560" w:type="dxa"/>
            <w:tcBorders>
              <w:top w:val="single" w:color="auto" w:sz="4" w:space="0"/>
              <w:left w:val="single" w:color="auto" w:sz="4" w:space="0"/>
              <w:bottom w:val="single" w:color="auto" w:sz="4" w:space="0"/>
              <w:right w:val="single" w:color="auto" w:sz="4" w:space="0"/>
            </w:tcBorders>
            <w:noWrap/>
          </w:tcPr>
          <w:p w14:paraId="4AA8F64B">
            <w:pPr>
              <w:keepNext w:val="0"/>
              <w:keepLines w:val="0"/>
              <w:suppressLineNumbers w:val="0"/>
              <w:spacing w:before="0" w:beforeAutospacing="0" w:after="0" w:afterAutospacing="0" w:line="300" w:lineRule="exact"/>
              <w:ind w:left="0" w:right="0"/>
              <w:rPr>
                <w:rFonts w:ascii="宋体" w:hAnsi="宋体" w:cs="宋体"/>
                <w:color w:val="auto"/>
                <w:szCs w:val="21"/>
                <w:highlight w:val="none"/>
              </w:rPr>
            </w:pPr>
          </w:p>
        </w:tc>
      </w:tr>
      <w:tr w14:paraId="14204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724" w:type="dxa"/>
            <w:tcBorders>
              <w:top w:val="single" w:color="auto" w:sz="4" w:space="0"/>
              <w:left w:val="single" w:color="auto" w:sz="4" w:space="0"/>
              <w:bottom w:val="single" w:color="auto" w:sz="4" w:space="0"/>
              <w:right w:val="single" w:color="auto" w:sz="4" w:space="0"/>
            </w:tcBorders>
            <w:noWrap/>
          </w:tcPr>
          <w:p w14:paraId="47B49A9B">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2</w:t>
            </w:r>
          </w:p>
        </w:tc>
        <w:tc>
          <w:tcPr>
            <w:tcW w:w="3731" w:type="dxa"/>
            <w:tcBorders>
              <w:top w:val="single" w:color="auto" w:sz="4" w:space="0"/>
              <w:left w:val="single" w:color="auto" w:sz="4" w:space="0"/>
              <w:bottom w:val="single" w:color="auto" w:sz="4" w:space="0"/>
              <w:right w:val="single" w:color="auto" w:sz="4" w:space="0"/>
            </w:tcBorders>
            <w:noWrap/>
          </w:tcPr>
          <w:p w14:paraId="5D6088BA">
            <w:pPr>
              <w:keepNext w:val="0"/>
              <w:keepLines w:val="0"/>
              <w:suppressLineNumbers w:val="0"/>
              <w:spacing w:before="0" w:beforeAutospacing="0" w:after="0" w:afterAutospacing="0" w:line="340" w:lineRule="exact"/>
              <w:ind w:left="0" w:right="0"/>
              <w:rPr>
                <w:rFonts w:ascii="宋体" w:hAnsi="宋体" w:cs="宋体"/>
                <w:color w:val="auto"/>
                <w:szCs w:val="21"/>
                <w:highlight w:val="none"/>
              </w:rPr>
            </w:pPr>
          </w:p>
        </w:tc>
        <w:tc>
          <w:tcPr>
            <w:tcW w:w="3307" w:type="dxa"/>
            <w:tcBorders>
              <w:top w:val="single" w:color="auto" w:sz="4" w:space="0"/>
              <w:left w:val="single" w:color="auto" w:sz="4" w:space="0"/>
              <w:bottom w:val="single" w:color="auto" w:sz="4" w:space="0"/>
              <w:right w:val="single" w:color="auto" w:sz="4" w:space="0"/>
            </w:tcBorders>
            <w:noWrap/>
          </w:tcPr>
          <w:p w14:paraId="1A9734A4">
            <w:pPr>
              <w:keepNext w:val="0"/>
              <w:keepLines w:val="0"/>
              <w:suppressLineNumbers w:val="0"/>
              <w:spacing w:before="0" w:beforeAutospacing="0" w:after="0" w:afterAutospacing="0" w:line="340" w:lineRule="exact"/>
              <w:ind w:left="0" w:right="0"/>
              <w:rPr>
                <w:rFonts w:ascii="宋体" w:hAnsi="宋体" w:cs="宋体"/>
                <w:color w:val="auto"/>
                <w:szCs w:val="21"/>
                <w:highlight w:val="none"/>
              </w:rPr>
            </w:pPr>
          </w:p>
        </w:tc>
        <w:tc>
          <w:tcPr>
            <w:tcW w:w="1560" w:type="dxa"/>
            <w:tcBorders>
              <w:top w:val="single" w:color="auto" w:sz="4" w:space="0"/>
              <w:left w:val="single" w:color="auto" w:sz="4" w:space="0"/>
              <w:bottom w:val="single" w:color="auto" w:sz="4" w:space="0"/>
              <w:right w:val="single" w:color="auto" w:sz="4" w:space="0"/>
            </w:tcBorders>
            <w:noWrap/>
          </w:tcPr>
          <w:p w14:paraId="1FE31849">
            <w:pPr>
              <w:keepNext w:val="0"/>
              <w:keepLines w:val="0"/>
              <w:suppressLineNumbers w:val="0"/>
              <w:spacing w:before="0" w:beforeAutospacing="0" w:after="0" w:afterAutospacing="0" w:line="300" w:lineRule="exact"/>
              <w:ind w:left="0" w:right="0"/>
              <w:rPr>
                <w:rFonts w:ascii="宋体" w:hAnsi="宋体" w:cs="宋体"/>
                <w:color w:val="auto"/>
                <w:szCs w:val="21"/>
                <w:highlight w:val="none"/>
              </w:rPr>
            </w:pPr>
          </w:p>
        </w:tc>
      </w:tr>
      <w:tr w14:paraId="0284A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724" w:type="dxa"/>
            <w:tcBorders>
              <w:top w:val="single" w:color="auto" w:sz="4" w:space="0"/>
              <w:left w:val="single" w:color="auto" w:sz="4" w:space="0"/>
              <w:bottom w:val="single" w:color="auto" w:sz="4" w:space="0"/>
              <w:right w:val="single" w:color="auto" w:sz="4" w:space="0"/>
            </w:tcBorders>
            <w:noWrap/>
          </w:tcPr>
          <w:p w14:paraId="01DB43A4">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3</w:t>
            </w:r>
          </w:p>
        </w:tc>
        <w:tc>
          <w:tcPr>
            <w:tcW w:w="3731" w:type="dxa"/>
            <w:tcBorders>
              <w:top w:val="single" w:color="auto" w:sz="4" w:space="0"/>
              <w:left w:val="single" w:color="auto" w:sz="4" w:space="0"/>
              <w:bottom w:val="single" w:color="auto" w:sz="4" w:space="0"/>
              <w:right w:val="single" w:color="auto" w:sz="4" w:space="0"/>
            </w:tcBorders>
            <w:noWrap/>
          </w:tcPr>
          <w:p w14:paraId="59874965">
            <w:pPr>
              <w:keepNext w:val="0"/>
              <w:keepLines w:val="0"/>
              <w:suppressLineNumbers w:val="0"/>
              <w:spacing w:before="0" w:beforeAutospacing="0" w:after="0" w:afterAutospacing="0" w:line="340" w:lineRule="exact"/>
              <w:ind w:left="0" w:right="0"/>
              <w:rPr>
                <w:rFonts w:ascii="宋体" w:hAnsi="宋体" w:cs="宋体"/>
                <w:color w:val="auto"/>
                <w:szCs w:val="21"/>
                <w:highlight w:val="none"/>
              </w:rPr>
            </w:pPr>
          </w:p>
        </w:tc>
        <w:tc>
          <w:tcPr>
            <w:tcW w:w="3307" w:type="dxa"/>
            <w:tcBorders>
              <w:top w:val="single" w:color="auto" w:sz="4" w:space="0"/>
              <w:left w:val="single" w:color="auto" w:sz="4" w:space="0"/>
              <w:bottom w:val="single" w:color="auto" w:sz="4" w:space="0"/>
              <w:right w:val="single" w:color="auto" w:sz="4" w:space="0"/>
            </w:tcBorders>
            <w:noWrap/>
          </w:tcPr>
          <w:p w14:paraId="7B6719FF">
            <w:pPr>
              <w:keepNext w:val="0"/>
              <w:keepLines w:val="0"/>
              <w:suppressLineNumbers w:val="0"/>
              <w:spacing w:before="0" w:beforeAutospacing="0" w:after="0" w:afterAutospacing="0" w:line="340" w:lineRule="exact"/>
              <w:ind w:left="0" w:right="0"/>
              <w:rPr>
                <w:rFonts w:ascii="宋体" w:hAnsi="宋体" w:cs="宋体"/>
                <w:color w:val="auto"/>
                <w:szCs w:val="21"/>
                <w:highlight w:val="none"/>
              </w:rPr>
            </w:pPr>
          </w:p>
        </w:tc>
        <w:tc>
          <w:tcPr>
            <w:tcW w:w="1560" w:type="dxa"/>
            <w:tcBorders>
              <w:top w:val="single" w:color="auto" w:sz="4" w:space="0"/>
              <w:left w:val="single" w:color="auto" w:sz="4" w:space="0"/>
              <w:bottom w:val="single" w:color="auto" w:sz="4" w:space="0"/>
              <w:right w:val="single" w:color="auto" w:sz="4" w:space="0"/>
            </w:tcBorders>
            <w:noWrap/>
          </w:tcPr>
          <w:p w14:paraId="4C4FB6CF">
            <w:pPr>
              <w:keepNext w:val="0"/>
              <w:keepLines w:val="0"/>
              <w:suppressLineNumbers w:val="0"/>
              <w:spacing w:before="0" w:beforeAutospacing="0" w:after="0" w:afterAutospacing="0" w:line="300" w:lineRule="exact"/>
              <w:ind w:left="0" w:right="0"/>
              <w:rPr>
                <w:rFonts w:ascii="宋体" w:hAnsi="宋体" w:cs="宋体"/>
                <w:color w:val="auto"/>
                <w:szCs w:val="21"/>
                <w:highlight w:val="none"/>
              </w:rPr>
            </w:pPr>
          </w:p>
        </w:tc>
      </w:tr>
      <w:tr w14:paraId="3CC5D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724" w:type="dxa"/>
            <w:tcBorders>
              <w:top w:val="single" w:color="auto" w:sz="4" w:space="0"/>
              <w:left w:val="single" w:color="auto" w:sz="4" w:space="0"/>
              <w:bottom w:val="single" w:color="auto" w:sz="4" w:space="0"/>
              <w:right w:val="single" w:color="auto" w:sz="4" w:space="0"/>
            </w:tcBorders>
            <w:noWrap/>
          </w:tcPr>
          <w:p w14:paraId="53FC7465">
            <w:pPr>
              <w:keepNext w:val="0"/>
              <w:keepLines w:val="0"/>
              <w:suppressLineNumbers w:val="0"/>
              <w:spacing w:before="0" w:beforeAutospacing="0" w:after="0" w:afterAutospacing="0" w:line="34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w:t>
            </w:r>
          </w:p>
        </w:tc>
        <w:tc>
          <w:tcPr>
            <w:tcW w:w="3731" w:type="dxa"/>
            <w:tcBorders>
              <w:top w:val="single" w:color="auto" w:sz="4" w:space="0"/>
              <w:left w:val="single" w:color="auto" w:sz="4" w:space="0"/>
              <w:bottom w:val="single" w:color="auto" w:sz="4" w:space="0"/>
              <w:right w:val="single" w:color="auto" w:sz="4" w:space="0"/>
            </w:tcBorders>
            <w:noWrap/>
          </w:tcPr>
          <w:p w14:paraId="1A1CEB75">
            <w:pPr>
              <w:keepNext w:val="0"/>
              <w:keepLines w:val="0"/>
              <w:suppressLineNumbers w:val="0"/>
              <w:spacing w:before="0" w:beforeAutospacing="0" w:after="0" w:afterAutospacing="0" w:line="340" w:lineRule="exact"/>
              <w:ind w:left="0" w:right="0"/>
              <w:rPr>
                <w:rFonts w:ascii="宋体" w:hAnsi="宋体" w:cs="宋体"/>
                <w:color w:val="auto"/>
                <w:szCs w:val="21"/>
                <w:highlight w:val="none"/>
              </w:rPr>
            </w:pPr>
          </w:p>
        </w:tc>
        <w:tc>
          <w:tcPr>
            <w:tcW w:w="3307" w:type="dxa"/>
            <w:tcBorders>
              <w:top w:val="single" w:color="auto" w:sz="4" w:space="0"/>
              <w:left w:val="single" w:color="auto" w:sz="4" w:space="0"/>
              <w:bottom w:val="single" w:color="auto" w:sz="4" w:space="0"/>
              <w:right w:val="single" w:color="auto" w:sz="4" w:space="0"/>
            </w:tcBorders>
            <w:noWrap/>
          </w:tcPr>
          <w:p w14:paraId="7E553322">
            <w:pPr>
              <w:keepNext w:val="0"/>
              <w:keepLines w:val="0"/>
              <w:suppressLineNumbers w:val="0"/>
              <w:spacing w:before="0" w:beforeAutospacing="0" w:after="0" w:afterAutospacing="0" w:line="340" w:lineRule="exact"/>
              <w:ind w:left="0" w:right="0"/>
              <w:rPr>
                <w:rFonts w:ascii="宋体" w:hAnsi="宋体" w:cs="宋体"/>
                <w:color w:val="auto"/>
                <w:szCs w:val="21"/>
                <w:highlight w:val="none"/>
              </w:rPr>
            </w:pPr>
          </w:p>
        </w:tc>
        <w:tc>
          <w:tcPr>
            <w:tcW w:w="1560" w:type="dxa"/>
            <w:tcBorders>
              <w:top w:val="single" w:color="auto" w:sz="4" w:space="0"/>
              <w:left w:val="single" w:color="auto" w:sz="4" w:space="0"/>
              <w:bottom w:val="single" w:color="auto" w:sz="4" w:space="0"/>
              <w:right w:val="single" w:color="auto" w:sz="4" w:space="0"/>
            </w:tcBorders>
            <w:noWrap/>
          </w:tcPr>
          <w:p w14:paraId="5F497437">
            <w:pPr>
              <w:keepNext w:val="0"/>
              <w:keepLines w:val="0"/>
              <w:suppressLineNumbers w:val="0"/>
              <w:spacing w:before="0" w:beforeAutospacing="0" w:after="0" w:afterAutospacing="0" w:line="300" w:lineRule="exact"/>
              <w:ind w:left="0" w:right="0"/>
              <w:rPr>
                <w:rFonts w:ascii="宋体" w:hAnsi="宋体" w:cs="宋体"/>
                <w:color w:val="auto"/>
                <w:szCs w:val="21"/>
                <w:highlight w:val="none"/>
              </w:rPr>
            </w:pPr>
          </w:p>
        </w:tc>
      </w:tr>
    </w:tbl>
    <w:p w14:paraId="7FC7AF61">
      <w:pPr>
        <w:spacing w:line="360" w:lineRule="auto"/>
        <w:ind w:left="-708" w:leftChars="-337"/>
        <w:rPr>
          <w:rFonts w:ascii="宋体" w:hAnsi="宋体" w:cs="宋体"/>
          <w:color w:val="auto"/>
          <w:szCs w:val="20"/>
          <w:highlight w:val="none"/>
        </w:rPr>
      </w:pPr>
    </w:p>
    <w:p w14:paraId="0B854D26">
      <w:pPr>
        <w:spacing w:line="360" w:lineRule="auto"/>
        <w:ind w:left="-8" w:firstLine="315"/>
        <w:rPr>
          <w:rFonts w:ascii="宋体" w:hAnsi="宋体" w:cs="宋体"/>
          <w:color w:val="auto"/>
          <w:szCs w:val="20"/>
          <w:highlight w:val="none"/>
        </w:rPr>
      </w:pPr>
      <w:r>
        <w:rPr>
          <w:rFonts w:hint="eastAsia" w:ascii="宋体" w:hAnsi="宋体" w:cs="宋体"/>
          <w:color w:val="auto"/>
          <w:szCs w:val="20"/>
          <w:highlight w:val="none"/>
        </w:rPr>
        <w:t>注：</w:t>
      </w:r>
    </w:p>
    <w:p w14:paraId="3C826D7D">
      <w:pPr>
        <w:spacing w:line="360" w:lineRule="auto"/>
        <w:ind w:left="-8" w:firstLine="315"/>
        <w:rPr>
          <w:rFonts w:ascii="宋体" w:hAnsi="宋体" w:cs="宋体"/>
          <w:color w:val="auto"/>
          <w:szCs w:val="20"/>
          <w:highlight w:val="none"/>
        </w:rPr>
      </w:pPr>
      <w:r>
        <w:rPr>
          <w:rFonts w:hint="eastAsia" w:ascii="宋体" w:hAnsi="宋体" w:cs="宋体"/>
          <w:color w:val="auto"/>
          <w:szCs w:val="20"/>
          <w:highlight w:val="none"/>
        </w:rPr>
        <w:t>1.表格内容均需按要求填写并加盖投标人公章。</w:t>
      </w:r>
    </w:p>
    <w:p w14:paraId="1751EE59">
      <w:pPr>
        <w:spacing w:line="360" w:lineRule="auto"/>
        <w:ind w:left="-8" w:firstLine="315"/>
        <w:rPr>
          <w:rFonts w:ascii="宋体" w:hAnsi="宋体" w:cs="宋体"/>
          <w:color w:val="auto"/>
          <w:szCs w:val="20"/>
          <w:highlight w:val="none"/>
        </w:rPr>
      </w:pPr>
      <w:r>
        <w:rPr>
          <w:rFonts w:hint="eastAsia" w:ascii="宋体" w:hAnsi="宋体" w:cs="宋体"/>
          <w:color w:val="auto"/>
          <w:szCs w:val="20"/>
          <w:highlight w:val="none"/>
        </w:rPr>
        <w:t>2.请逐条对应本项目招标文件“第二章  采购需求”中“商务条款”的要求，详细填写相应的具体内容。“偏离说明”一栏应当选择“正偏离”或“负偏离”或“无偏离”进行填写。</w:t>
      </w:r>
    </w:p>
    <w:p w14:paraId="5040BDE8">
      <w:pPr>
        <w:spacing w:line="360" w:lineRule="auto"/>
        <w:ind w:left="-8" w:firstLine="315"/>
        <w:rPr>
          <w:rFonts w:ascii="宋体" w:hAnsi="宋体" w:cs="宋体"/>
          <w:color w:val="auto"/>
          <w:szCs w:val="20"/>
          <w:highlight w:val="none"/>
        </w:rPr>
      </w:pPr>
      <w:r>
        <w:rPr>
          <w:rFonts w:hint="eastAsia" w:ascii="宋体" w:hAnsi="宋体" w:cs="宋体"/>
          <w:color w:val="auto"/>
          <w:szCs w:val="20"/>
          <w:highlight w:val="none"/>
        </w:rPr>
        <w:t>3.当投标文件的商务内容低于招标文件要求时，投标人应当如实写明“负偏离”。</w:t>
      </w:r>
    </w:p>
    <w:p w14:paraId="15109475">
      <w:pPr>
        <w:snapToGrid w:val="0"/>
        <w:spacing w:before="50" w:after="50"/>
        <w:ind w:firstLine="360"/>
        <w:rPr>
          <w:rFonts w:ascii="宋体" w:hAnsi="宋体" w:cs="宋体"/>
          <w:color w:val="auto"/>
          <w:sz w:val="24"/>
          <w:highlight w:val="none"/>
        </w:rPr>
      </w:pPr>
    </w:p>
    <w:p w14:paraId="7B028B53">
      <w:pPr>
        <w:snapToGrid w:val="0"/>
        <w:spacing w:line="360" w:lineRule="auto"/>
        <w:ind w:firstLine="5640" w:firstLineChars="2350"/>
        <w:rPr>
          <w:rFonts w:ascii="宋体" w:hAnsi="宋体" w:cs="宋体"/>
          <w:color w:val="auto"/>
          <w:kern w:val="0"/>
          <w:sz w:val="24"/>
          <w:highlight w:val="none"/>
        </w:rPr>
      </w:pPr>
      <w:r>
        <w:rPr>
          <w:rFonts w:hint="eastAsia" w:ascii="宋体" w:hAnsi="宋体" w:cs="宋体"/>
          <w:color w:val="auto"/>
          <w:kern w:val="0"/>
          <w:sz w:val="24"/>
          <w:highlight w:val="none"/>
          <w:lang w:val="zh-CN"/>
        </w:rPr>
        <w:t>投标人名称(盖公章)：</w:t>
      </w:r>
    </w:p>
    <w:p w14:paraId="58557818">
      <w:pPr>
        <w:snapToGrid w:val="0"/>
        <w:spacing w:line="360" w:lineRule="auto"/>
        <w:ind w:firstLine="5880" w:firstLineChars="245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日期</w:t>
      </w:r>
      <w:r>
        <w:rPr>
          <w:rFonts w:hint="eastAsia" w:ascii="宋体" w:hAnsi="宋体" w:cs="宋体"/>
          <w:color w:val="auto"/>
          <w:kern w:val="0"/>
          <w:sz w:val="24"/>
          <w:highlight w:val="none"/>
        </w:rPr>
        <w:t>：  年  月  日</w:t>
      </w:r>
    </w:p>
    <w:p w14:paraId="3D14C97F">
      <w:pPr>
        <w:ind w:firstLine="422"/>
        <w:jc w:val="center"/>
        <w:outlineLvl w:val="1"/>
        <w:rPr>
          <w:rFonts w:ascii="宋体" w:hAnsi="宋体" w:cs="宋体"/>
          <w:b/>
          <w:bCs/>
          <w:color w:val="auto"/>
          <w:sz w:val="28"/>
          <w:szCs w:val="28"/>
          <w:highlight w:val="none"/>
        </w:rPr>
      </w:pPr>
      <w:bookmarkStart w:id="253" w:name="_Toc352"/>
      <w:bookmarkStart w:id="254" w:name="_Toc8712"/>
      <w:bookmarkStart w:id="255" w:name="_Toc19686839"/>
      <w:bookmarkStart w:id="256" w:name="_Toc11965"/>
      <w:bookmarkStart w:id="257" w:name="_Toc18262"/>
      <w:bookmarkStart w:id="258" w:name="_Toc5911"/>
      <w:r>
        <w:rPr>
          <w:rFonts w:hint="eastAsia" w:ascii="宋体" w:hAnsi="宋体" w:cs="宋体"/>
          <w:b/>
          <w:bCs/>
          <w:color w:val="auto"/>
          <w:sz w:val="28"/>
          <w:szCs w:val="28"/>
          <w:highlight w:val="none"/>
        </w:rPr>
        <w:br w:type="page"/>
      </w:r>
      <w:r>
        <w:rPr>
          <w:rFonts w:hint="eastAsia" w:ascii="宋体" w:hAnsi="宋体" w:cs="宋体"/>
          <w:b/>
          <w:bCs/>
          <w:color w:val="auto"/>
          <w:sz w:val="28"/>
          <w:szCs w:val="28"/>
          <w:highlight w:val="none"/>
        </w:rPr>
        <w:t>第</w:t>
      </w:r>
      <w:r>
        <w:rPr>
          <w:rFonts w:hint="eastAsia" w:ascii="宋体" w:hAnsi="宋体" w:cs="宋体"/>
          <w:b/>
          <w:bCs/>
          <w:color w:val="auto"/>
          <w:sz w:val="28"/>
          <w:szCs w:val="28"/>
          <w:highlight w:val="none"/>
          <w:lang w:eastAsia="zh-CN"/>
        </w:rPr>
        <w:t>三</w:t>
      </w:r>
      <w:r>
        <w:rPr>
          <w:rFonts w:hint="eastAsia" w:ascii="宋体" w:hAnsi="宋体" w:cs="宋体"/>
          <w:b/>
          <w:bCs/>
          <w:color w:val="auto"/>
          <w:sz w:val="28"/>
          <w:szCs w:val="28"/>
          <w:highlight w:val="none"/>
        </w:rPr>
        <w:t>节 技术文件格式</w:t>
      </w:r>
      <w:bookmarkEnd w:id="253"/>
      <w:bookmarkEnd w:id="254"/>
      <w:bookmarkEnd w:id="255"/>
      <w:bookmarkEnd w:id="256"/>
      <w:bookmarkEnd w:id="257"/>
      <w:bookmarkEnd w:id="258"/>
    </w:p>
    <w:p w14:paraId="05E3B5C2">
      <w:pPr>
        <w:snapToGrid w:val="0"/>
        <w:spacing w:beforeLines="50" w:after="50"/>
        <w:ind w:firstLine="360"/>
        <w:rPr>
          <w:rFonts w:ascii="宋体" w:hAnsi="宋体" w:cs="宋体"/>
          <w:color w:val="auto"/>
          <w:sz w:val="24"/>
          <w:highlight w:val="none"/>
        </w:rPr>
      </w:pPr>
    </w:p>
    <w:p w14:paraId="56DCBCE4">
      <w:pPr>
        <w:snapToGrid w:val="0"/>
        <w:spacing w:beforeLines="50" w:after="50"/>
        <w:ind w:left="142" w:firstLine="422"/>
        <w:jc w:val="left"/>
        <w:rPr>
          <w:rFonts w:ascii="宋体" w:hAnsi="宋体" w:cs="宋体"/>
          <w:b/>
          <w:color w:val="auto"/>
          <w:sz w:val="28"/>
          <w:szCs w:val="28"/>
          <w:highlight w:val="none"/>
        </w:rPr>
      </w:pPr>
      <w:r>
        <w:rPr>
          <w:rFonts w:hint="eastAsia" w:ascii="宋体" w:hAnsi="宋体" w:cs="宋体"/>
          <w:b/>
          <w:color w:val="auto"/>
          <w:sz w:val="28"/>
          <w:szCs w:val="28"/>
          <w:highlight w:val="none"/>
        </w:rPr>
        <w:t xml:space="preserve">1. 技术文件封面的格式： </w:t>
      </w:r>
    </w:p>
    <w:p w14:paraId="42876304">
      <w:pPr>
        <w:snapToGrid w:val="0"/>
        <w:spacing w:beforeLines="50" w:after="50"/>
        <w:ind w:firstLine="360"/>
        <w:rPr>
          <w:rFonts w:ascii="宋体" w:hAnsi="宋体" w:cs="宋体"/>
          <w:color w:val="auto"/>
          <w:sz w:val="24"/>
          <w:highlight w:val="none"/>
        </w:rPr>
      </w:pPr>
    </w:p>
    <w:p w14:paraId="71BC9FBC">
      <w:pPr>
        <w:snapToGrid w:val="0"/>
        <w:spacing w:beforeLines="50" w:after="50"/>
        <w:ind w:firstLine="6300" w:firstLineChars="3000"/>
        <w:rPr>
          <w:rFonts w:ascii="宋体" w:hAnsi="宋体" w:cs="宋体"/>
          <w:bCs/>
          <w:color w:val="auto"/>
          <w:sz w:val="32"/>
          <w:szCs w:val="20"/>
          <w:highlight w:val="none"/>
        </w:rPr>
      </w:pPr>
      <w:r>
        <w:rPr>
          <w:rFonts w:hint="eastAsia" w:ascii="宋体" w:hAnsi="宋体" w:cs="宋体"/>
          <w:bCs/>
          <w:color w:val="auto"/>
          <w:highlight w:val="none"/>
        </w:rPr>
        <w:t>电子投标文件</w:t>
      </w:r>
    </w:p>
    <w:p w14:paraId="367B4327">
      <w:pPr>
        <w:snapToGrid w:val="0"/>
        <w:spacing w:beforeLines="50" w:after="50"/>
        <w:ind w:firstLine="360"/>
        <w:rPr>
          <w:rFonts w:ascii="宋体" w:hAnsi="宋体" w:cs="宋体"/>
          <w:color w:val="auto"/>
          <w:sz w:val="24"/>
          <w:szCs w:val="20"/>
          <w:highlight w:val="none"/>
        </w:rPr>
      </w:pPr>
    </w:p>
    <w:p w14:paraId="707F1616">
      <w:pPr>
        <w:snapToGrid w:val="0"/>
        <w:spacing w:beforeLines="50" w:after="50"/>
        <w:ind w:firstLine="482"/>
        <w:jc w:val="center"/>
        <w:rPr>
          <w:rFonts w:ascii="宋体" w:hAnsi="宋体" w:cs="宋体"/>
          <w:b/>
          <w:bCs/>
          <w:color w:val="auto"/>
          <w:sz w:val="32"/>
          <w:szCs w:val="32"/>
          <w:highlight w:val="none"/>
        </w:rPr>
      </w:pPr>
    </w:p>
    <w:p w14:paraId="386DD42A">
      <w:pPr>
        <w:snapToGrid w:val="0"/>
        <w:spacing w:beforeLines="50" w:after="50"/>
        <w:ind w:firstLine="482"/>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技术文件</w:t>
      </w:r>
    </w:p>
    <w:p w14:paraId="3951F2D9">
      <w:pPr>
        <w:snapToGrid w:val="0"/>
        <w:spacing w:beforeLines="50" w:after="50"/>
        <w:ind w:firstLine="360"/>
        <w:rPr>
          <w:rFonts w:ascii="宋体" w:hAnsi="宋体" w:cs="宋体"/>
          <w:bCs/>
          <w:color w:val="auto"/>
          <w:sz w:val="24"/>
          <w:szCs w:val="20"/>
          <w:highlight w:val="none"/>
        </w:rPr>
      </w:pPr>
    </w:p>
    <w:p w14:paraId="36111124">
      <w:pPr>
        <w:snapToGrid w:val="0"/>
        <w:spacing w:beforeLines="50" w:after="50" w:line="400" w:lineRule="exact"/>
        <w:ind w:firstLine="360" w:firstLineChars="150"/>
        <w:rPr>
          <w:rFonts w:ascii="宋体" w:hAnsi="宋体" w:cs="宋体"/>
          <w:bCs/>
          <w:color w:val="auto"/>
          <w:sz w:val="24"/>
          <w:highlight w:val="none"/>
        </w:rPr>
      </w:pPr>
    </w:p>
    <w:p w14:paraId="4C6991DF">
      <w:pPr>
        <w:snapToGrid w:val="0"/>
        <w:spacing w:beforeLines="50" w:after="50" w:line="400" w:lineRule="exact"/>
        <w:ind w:firstLine="360" w:firstLineChars="150"/>
        <w:rPr>
          <w:rFonts w:ascii="宋体" w:hAnsi="宋体" w:cs="宋体"/>
          <w:bCs/>
          <w:color w:val="auto"/>
          <w:sz w:val="24"/>
          <w:szCs w:val="20"/>
          <w:highlight w:val="none"/>
        </w:rPr>
      </w:pPr>
      <w:r>
        <w:rPr>
          <w:rFonts w:hint="eastAsia" w:ascii="宋体" w:hAnsi="宋体" w:cs="宋体"/>
          <w:bCs/>
          <w:color w:val="auto"/>
          <w:sz w:val="24"/>
          <w:highlight w:val="none"/>
        </w:rPr>
        <w:t xml:space="preserve">项目名称：  </w:t>
      </w:r>
    </w:p>
    <w:p w14:paraId="3ABF42B0">
      <w:pPr>
        <w:snapToGrid w:val="0"/>
        <w:spacing w:beforeLines="50" w:after="50" w:line="400" w:lineRule="exact"/>
        <w:ind w:firstLine="360" w:firstLineChars="150"/>
        <w:rPr>
          <w:rFonts w:ascii="宋体" w:hAnsi="宋体" w:cs="宋体"/>
          <w:bCs/>
          <w:color w:val="auto"/>
          <w:sz w:val="24"/>
          <w:highlight w:val="none"/>
        </w:rPr>
      </w:pPr>
      <w:r>
        <w:rPr>
          <w:rFonts w:hint="eastAsia" w:ascii="宋体" w:hAnsi="宋体" w:cs="宋体"/>
          <w:bCs/>
          <w:color w:val="auto"/>
          <w:sz w:val="24"/>
          <w:highlight w:val="none"/>
        </w:rPr>
        <w:t xml:space="preserve">项目编号：  </w:t>
      </w:r>
    </w:p>
    <w:p w14:paraId="51B13621">
      <w:pPr>
        <w:snapToGrid w:val="0"/>
        <w:spacing w:beforeLines="50" w:after="50" w:line="400" w:lineRule="exact"/>
        <w:ind w:firstLine="360" w:firstLineChars="150"/>
        <w:rPr>
          <w:rFonts w:ascii="宋体" w:hAnsi="宋体" w:cs="宋体"/>
          <w:bCs/>
          <w:color w:val="auto"/>
          <w:sz w:val="24"/>
          <w:highlight w:val="none"/>
        </w:rPr>
      </w:pPr>
      <w:r>
        <w:rPr>
          <w:rFonts w:hint="eastAsia" w:ascii="宋体" w:hAnsi="宋体" w:cs="宋体"/>
          <w:bCs/>
          <w:color w:val="auto"/>
          <w:sz w:val="24"/>
          <w:highlight w:val="none"/>
        </w:rPr>
        <w:t>所投分标（如有则填写，无分标时填写“无”或者留空）：</w:t>
      </w:r>
    </w:p>
    <w:p w14:paraId="44847B26">
      <w:pPr>
        <w:snapToGrid w:val="0"/>
        <w:spacing w:beforeLines="50" w:after="50" w:line="400" w:lineRule="exact"/>
        <w:ind w:firstLine="360" w:firstLineChars="150"/>
        <w:rPr>
          <w:rFonts w:ascii="宋体" w:hAnsi="宋体" w:cs="宋体"/>
          <w:bCs/>
          <w:color w:val="auto"/>
          <w:sz w:val="24"/>
          <w:highlight w:val="none"/>
        </w:rPr>
      </w:pPr>
      <w:r>
        <w:rPr>
          <w:rFonts w:hint="eastAsia" w:ascii="宋体" w:hAnsi="宋体" w:cs="宋体"/>
          <w:bCs/>
          <w:color w:val="auto"/>
          <w:sz w:val="24"/>
          <w:highlight w:val="none"/>
        </w:rPr>
        <w:t>投标人名称：</w:t>
      </w:r>
    </w:p>
    <w:p w14:paraId="0B7C31F8">
      <w:pPr>
        <w:snapToGrid w:val="0"/>
        <w:spacing w:beforeLines="50" w:after="50" w:line="400" w:lineRule="exact"/>
        <w:ind w:firstLine="360" w:firstLineChars="150"/>
        <w:rPr>
          <w:rFonts w:ascii="宋体" w:hAnsi="宋体" w:cs="宋体"/>
          <w:bCs/>
          <w:color w:val="auto"/>
          <w:sz w:val="24"/>
          <w:highlight w:val="none"/>
        </w:rPr>
      </w:pPr>
      <w:r>
        <w:rPr>
          <w:rFonts w:hint="eastAsia" w:ascii="宋体" w:hAnsi="宋体" w:cs="宋体"/>
          <w:bCs/>
          <w:color w:val="auto"/>
          <w:sz w:val="24"/>
          <w:highlight w:val="none"/>
        </w:rPr>
        <w:t>投标人地址：</w:t>
      </w:r>
    </w:p>
    <w:p w14:paraId="06494504">
      <w:pPr>
        <w:snapToGrid w:val="0"/>
        <w:spacing w:beforeLines="50" w:after="50"/>
        <w:ind w:firstLine="360"/>
        <w:jc w:val="center"/>
        <w:rPr>
          <w:rFonts w:ascii="宋体" w:hAnsi="宋体" w:cs="宋体"/>
          <w:color w:val="auto"/>
          <w:sz w:val="24"/>
          <w:highlight w:val="none"/>
        </w:rPr>
      </w:pPr>
    </w:p>
    <w:p w14:paraId="1E59B69D">
      <w:pPr>
        <w:snapToGrid w:val="0"/>
        <w:spacing w:beforeLines="50" w:after="50"/>
        <w:ind w:firstLine="360"/>
        <w:jc w:val="center"/>
        <w:rPr>
          <w:rFonts w:ascii="宋体" w:hAnsi="宋体" w:cs="宋体"/>
          <w:color w:val="auto"/>
          <w:sz w:val="24"/>
          <w:highlight w:val="none"/>
        </w:rPr>
      </w:pPr>
    </w:p>
    <w:p w14:paraId="21341099">
      <w:pPr>
        <w:snapToGrid w:val="0"/>
        <w:spacing w:beforeLines="50" w:after="50"/>
        <w:ind w:firstLine="360"/>
        <w:jc w:val="center"/>
        <w:rPr>
          <w:rFonts w:ascii="宋体" w:hAnsi="宋体" w:cs="宋体"/>
          <w:color w:val="auto"/>
          <w:sz w:val="24"/>
          <w:highlight w:val="none"/>
        </w:rPr>
      </w:pPr>
    </w:p>
    <w:p w14:paraId="32328EC4">
      <w:pPr>
        <w:snapToGrid w:val="0"/>
        <w:spacing w:beforeLines="50" w:after="50"/>
        <w:ind w:firstLine="360"/>
        <w:jc w:val="center"/>
        <w:rPr>
          <w:rFonts w:ascii="宋体" w:hAnsi="宋体" w:cs="宋体"/>
          <w:color w:val="auto"/>
          <w:sz w:val="24"/>
          <w:highlight w:val="none"/>
        </w:rPr>
      </w:pPr>
    </w:p>
    <w:p w14:paraId="38D093B1">
      <w:pPr>
        <w:snapToGrid w:val="0"/>
        <w:spacing w:beforeLines="50" w:after="50"/>
        <w:ind w:firstLine="3840" w:firstLineChars="1600"/>
        <w:rPr>
          <w:rFonts w:ascii="宋体" w:hAnsi="宋体" w:cs="宋体"/>
          <w:color w:val="auto"/>
          <w:sz w:val="24"/>
          <w:highlight w:val="none"/>
        </w:rPr>
      </w:pPr>
      <w:r>
        <w:rPr>
          <w:rFonts w:hint="eastAsia" w:ascii="宋体" w:hAnsi="宋体" w:cs="宋体"/>
          <w:color w:val="auto"/>
          <w:sz w:val="24"/>
          <w:highlight w:val="none"/>
        </w:rPr>
        <w:t xml:space="preserve">  年    月    日</w:t>
      </w:r>
    </w:p>
    <w:p w14:paraId="20D8E9E0">
      <w:pPr>
        <w:snapToGrid w:val="0"/>
        <w:spacing w:beforeLines="50" w:after="50"/>
        <w:ind w:firstLine="360"/>
        <w:jc w:val="center"/>
        <w:rPr>
          <w:rFonts w:ascii="宋体" w:hAnsi="宋体" w:cs="宋体"/>
          <w:color w:val="auto"/>
          <w:sz w:val="24"/>
          <w:szCs w:val="20"/>
          <w:highlight w:val="none"/>
        </w:rPr>
      </w:pPr>
    </w:p>
    <w:p w14:paraId="3F9E2052">
      <w:pPr>
        <w:snapToGrid w:val="0"/>
        <w:spacing w:beforeLines="50" w:after="50"/>
        <w:ind w:left="142" w:firstLine="361"/>
        <w:jc w:val="left"/>
        <w:rPr>
          <w:rFonts w:ascii="宋体" w:hAnsi="宋体" w:cs="宋体"/>
          <w:b/>
          <w:bCs/>
          <w:color w:val="auto"/>
          <w:sz w:val="24"/>
          <w:highlight w:val="none"/>
        </w:rPr>
      </w:pPr>
      <w:r>
        <w:rPr>
          <w:rFonts w:hint="eastAsia" w:ascii="宋体" w:hAnsi="宋体" w:cs="宋体"/>
          <w:b/>
          <w:bCs/>
          <w:color w:val="auto"/>
          <w:sz w:val="24"/>
          <w:highlight w:val="none"/>
        </w:rPr>
        <w:br w:type="page"/>
      </w:r>
      <w:r>
        <w:rPr>
          <w:rFonts w:hint="eastAsia" w:ascii="宋体" w:hAnsi="宋体" w:cs="宋体"/>
          <w:b/>
          <w:bCs/>
          <w:color w:val="auto"/>
          <w:sz w:val="28"/>
          <w:szCs w:val="28"/>
          <w:highlight w:val="none"/>
        </w:rPr>
        <w:t>2. 技术文件目录</w:t>
      </w:r>
    </w:p>
    <w:p w14:paraId="643423F0">
      <w:pPr>
        <w:spacing w:line="360" w:lineRule="auto"/>
        <w:ind w:right="420" w:firstLine="360"/>
        <w:rPr>
          <w:rFonts w:ascii="宋体" w:hAnsi="宋体" w:cs="宋体"/>
          <w:b/>
          <w:color w:val="auto"/>
          <w:kern w:val="0"/>
          <w:sz w:val="36"/>
          <w:szCs w:val="36"/>
          <w:highlight w:val="none"/>
        </w:rPr>
      </w:pPr>
      <w:r>
        <w:rPr>
          <w:rFonts w:hint="eastAsia" w:ascii="宋体" w:hAnsi="宋体" w:cs="宋体"/>
          <w:color w:val="auto"/>
          <w:kern w:val="0"/>
          <w:sz w:val="24"/>
          <w:highlight w:val="none"/>
        </w:rPr>
        <w:t>根据招标文件规定及投标人提供的材料自行编写目录（部分格式后附）。</w:t>
      </w:r>
    </w:p>
    <w:p w14:paraId="34BB8238">
      <w:pPr>
        <w:snapToGrid w:val="0"/>
        <w:spacing w:beforeLines="50" w:after="50"/>
        <w:ind w:firstLine="361"/>
        <w:jc w:val="left"/>
        <w:rPr>
          <w:rFonts w:ascii="宋体" w:hAnsi="宋体" w:cs="宋体"/>
          <w:b/>
          <w:color w:val="auto"/>
          <w:sz w:val="24"/>
          <w:highlight w:val="none"/>
        </w:rPr>
      </w:pPr>
    </w:p>
    <w:p w14:paraId="1B8DD74B">
      <w:pPr>
        <w:spacing w:line="500" w:lineRule="exact"/>
        <w:ind w:firstLine="452"/>
        <w:jc w:val="left"/>
        <w:rPr>
          <w:rFonts w:ascii="宋体" w:hAnsi="宋体" w:cs="宋体"/>
          <w:b/>
          <w:bCs/>
          <w:color w:val="auto"/>
          <w:sz w:val="30"/>
          <w:szCs w:val="30"/>
          <w:highlight w:val="none"/>
        </w:rPr>
      </w:pPr>
      <w:r>
        <w:rPr>
          <w:rFonts w:hint="eastAsia" w:ascii="宋体" w:hAnsi="宋体" w:cs="宋体"/>
          <w:b/>
          <w:bCs/>
          <w:color w:val="auto"/>
          <w:sz w:val="30"/>
          <w:szCs w:val="30"/>
          <w:highlight w:val="none"/>
        </w:rPr>
        <w:br w:type="page"/>
      </w:r>
      <w:r>
        <w:rPr>
          <w:rFonts w:hint="eastAsia" w:ascii="宋体" w:hAnsi="宋体" w:cs="宋体"/>
          <w:b/>
          <w:color w:val="auto"/>
          <w:sz w:val="28"/>
          <w:szCs w:val="28"/>
          <w:highlight w:val="none"/>
        </w:rPr>
        <w:t>3. 技术性能、参数偏离表的格式：</w:t>
      </w:r>
    </w:p>
    <w:p w14:paraId="52DB23D7">
      <w:pPr>
        <w:spacing w:line="500" w:lineRule="exact"/>
        <w:ind w:firstLine="452"/>
        <w:jc w:val="center"/>
        <w:rPr>
          <w:rFonts w:ascii="宋体" w:hAnsi="宋体" w:cs="宋体"/>
          <w:b/>
          <w:bCs/>
          <w:color w:val="auto"/>
          <w:sz w:val="30"/>
          <w:szCs w:val="30"/>
          <w:highlight w:val="none"/>
        </w:rPr>
      </w:pPr>
      <w:r>
        <w:rPr>
          <w:rFonts w:hint="eastAsia" w:ascii="宋体" w:hAnsi="宋体" w:cs="宋体"/>
          <w:b/>
          <w:bCs/>
          <w:color w:val="auto"/>
          <w:sz w:val="30"/>
          <w:szCs w:val="30"/>
          <w:highlight w:val="none"/>
        </w:rPr>
        <w:t>技术性能、参数偏离表</w:t>
      </w:r>
    </w:p>
    <w:p w14:paraId="1936A2EA">
      <w:pPr>
        <w:spacing w:line="440" w:lineRule="exact"/>
        <w:ind w:firstLine="420" w:firstLineChars="200"/>
        <w:rPr>
          <w:rFonts w:ascii="宋体" w:hAnsi="宋体" w:cs="宋体"/>
          <w:color w:val="auto"/>
          <w:szCs w:val="20"/>
          <w:highlight w:val="none"/>
        </w:rPr>
      </w:pPr>
    </w:p>
    <w:p w14:paraId="487165D6">
      <w:pPr>
        <w:snapToGrid w:val="0"/>
        <w:spacing w:before="50" w:after="50" w:line="480" w:lineRule="auto"/>
        <w:rPr>
          <w:rFonts w:ascii="宋体" w:hAnsi="宋体" w:cs="宋体"/>
          <w:color w:val="auto"/>
          <w:szCs w:val="21"/>
          <w:highlight w:val="none"/>
        </w:rPr>
      </w:pPr>
      <w:r>
        <w:rPr>
          <w:rFonts w:hint="eastAsia" w:ascii="宋体" w:hAnsi="宋体" w:cs="宋体"/>
          <w:color w:val="auto"/>
          <w:szCs w:val="21"/>
          <w:highlight w:val="none"/>
        </w:rPr>
        <w:t>项目名称：</w:t>
      </w:r>
      <w:r>
        <w:rPr>
          <w:rFonts w:hint="eastAsia" w:ascii="宋体" w:hAnsi="宋体" w:cs="宋体"/>
          <w:bCs/>
          <w:color w:val="auto"/>
          <w:szCs w:val="21"/>
          <w:highlight w:val="none"/>
          <w:u w:val="single"/>
        </w:rPr>
        <w:t xml:space="preserve">                              </w:t>
      </w:r>
    </w:p>
    <w:p w14:paraId="39C55831">
      <w:pPr>
        <w:snapToGrid w:val="0"/>
        <w:spacing w:before="50" w:after="50" w:line="480" w:lineRule="auto"/>
        <w:rPr>
          <w:rFonts w:ascii="宋体" w:hAnsi="宋体" w:cs="宋体"/>
          <w:color w:val="auto"/>
          <w:szCs w:val="21"/>
          <w:highlight w:val="none"/>
          <w:u w:val="single"/>
        </w:rPr>
      </w:pPr>
      <w:r>
        <w:rPr>
          <w:rFonts w:hint="eastAsia" w:ascii="宋体" w:hAnsi="宋体" w:cs="宋体"/>
          <w:color w:val="auto"/>
          <w:szCs w:val="21"/>
          <w:highlight w:val="none"/>
        </w:rPr>
        <w:t>项目编号：</w:t>
      </w:r>
      <w:r>
        <w:rPr>
          <w:rFonts w:hint="eastAsia" w:ascii="宋体" w:hAnsi="宋体" w:cs="宋体"/>
          <w:bCs/>
          <w:color w:val="auto"/>
          <w:szCs w:val="21"/>
          <w:highlight w:val="none"/>
          <w:u w:val="single"/>
        </w:rPr>
        <w:t xml:space="preserve">                              </w:t>
      </w:r>
    </w:p>
    <w:p w14:paraId="2DBCA1BB">
      <w:pPr>
        <w:pStyle w:val="14"/>
        <w:spacing w:line="480" w:lineRule="auto"/>
        <w:rPr>
          <w:color w:val="auto"/>
          <w:highlight w:val="none"/>
        </w:rPr>
      </w:pPr>
      <w:r>
        <w:rPr>
          <w:rFonts w:hint="eastAsia" w:hAnsi="宋体" w:cs="宋体"/>
          <w:bCs/>
          <w:color w:val="auto"/>
          <w:szCs w:val="21"/>
          <w:highlight w:val="none"/>
        </w:rPr>
        <w:t>所投分标（此处有分标时填写具体分标号，无分标时填写“无”）：</w:t>
      </w:r>
      <w:r>
        <w:rPr>
          <w:rFonts w:hint="eastAsia" w:hAnsi="宋体" w:cs="宋体"/>
          <w:bCs/>
          <w:color w:val="auto"/>
          <w:szCs w:val="21"/>
          <w:highlight w:val="none"/>
          <w:u w:val="single"/>
        </w:rPr>
        <w:t xml:space="preserve">    </w:t>
      </w:r>
    </w:p>
    <w:tbl>
      <w:tblPr>
        <w:tblStyle w:val="28"/>
        <w:tblW w:w="94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
        <w:gridCol w:w="1058"/>
        <w:gridCol w:w="3280"/>
        <w:gridCol w:w="3249"/>
        <w:gridCol w:w="1110"/>
      </w:tblGrid>
      <w:tr w14:paraId="67170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jc w:val="center"/>
        </w:trPr>
        <w:tc>
          <w:tcPr>
            <w:tcW w:w="774" w:type="dxa"/>
            <w:tcBorders>
              <w:top w:val="single" w:color="auto" w:sz="4" w:space="0"/>
              <w:left w:val="single" w:color="auto" w:sz="4" w:space="0"/>
              <w:bottom w:val="single" w:color="auto" w:sz="4" w:space="0"/>
              <w:right w:val="single" w:color="auto" w:sz="4" w:space="0"/>
            </w:tcBorders>
            <w:vAlign w:val="center"/>
          </w:tcPr>
          <w:p w14:paraId="5772AC3B">
            <w:pPr>
              <w:keepNext w:val="0"/>
              <w:keepLines w:val="0"/>
              <w:widowControl/>
              <w:suppressLineNumbers w:val="0"/>
              <w:spacing w:before="0" w:beforeAutospacing="0" w:after="0" w:afterAutospacing="0"/>
              <w:ind w:left="0" w:right="0"/>
              <w:jc w:val="left"/>
              <w:rPr>
                <w:rFonts w:ascii="宋体" w:hAnsi="宋体" w:cs="宋体"/>
                <w:color w:val="auto"/>
                <w:szCs w:val="21"/>
                <w:highlight w:val="none"/>
              </w:rPr>
            </w:pPr>
            <w:r>
              <w:rPr>
                <w:rFonts w:hint="eastAsia" w:ascii="宋体" w:hAnsi="宋体" w:cs="宋体"/>
                <w:color w:val="auto"/>
                <w:szCs w:val="21"/>
                <w:highlight w:val="none"/>
              </w:rPr>
              <w:t>项号</w:t>
            </w:r>
          </w:p>
        </w:tc>
        <w:tc>
          <w:tcPr>
            <w:tcW w:w="1058" w:type="dxa"/>
            <w:tcBorders>
              <w:top w:val="single" w:color="auto" w:sz="4" w:space="0"/>
              <w:left w:val="single" w:color="auto" w:sz="4" w:space="0"/>
              <w:bottom w:val="single" w:color="auto" w:sz="4" w:space="0"/>
              <w:right w:val="single" w:color="auto" w:sz="4" w:space="0"/>
            </w:tcBorders>
            <w:vAlign w:val="center"/>
          </w:tcPr>
          <w:p w14:paraId="68435D61">
            <w:pPr>
              <w:keepNext w:val="0"/>
              <w:keepLines w:val="0"/>
              <w:suppressLineNumbers w:val="0"/>
              <w:spacing w:before="0" w:beforeAutospacing="0" w:after="0" w:afterAutospacing="0"/>
              <w:ind w:left="0" w:right="0"/>
              <w:jc w:val="center"/>
              <w:rPr>
                <w:rFonts w:ascii="宋体" w:hAnsi="宋体" w:cs="宋体"/>
                <w:color w:val="auto"/>
                <w:szCs w:val="21"/>
                <w:highlight w:val="none"/>
              </w:rPr>
            </w:pPr>
            <w:r>
              <w:rPr>
                <w:rFonts w:hint="eastAsia" w:ascii="宋体" w:hAnsi="宋体" w:cs="宋体"/>
                <w:color w:val="auto"/>
                <w:szCs w:val="21"/>
                <w:highlight w:val="none"/>
              </w:rPr>
              <w:t>标的名称</w:t>
            </w:r>
          </w:p>
        </w:tc>
        <w:tc>
          <w:tcPr>
            <w:tcW w:w="3280" w:type="dxa"/>
            <w:tcBorders>
              <w:top w:val="single" w:color="auto" w:sz="4" w:space="0"/>
              <w:left w:val="single" w:color="auto" w:sz="4" w:space="0"/>
              <w:bottom w:val="single" w:color="auto" w:sz="4" w:space="0"/>
              <w:right w:val="single" w:color="auto" w:sz="4" w:space="0"/>
            </w:tcBorders>
            <w:vAlign w:val="center"/>
          </w:tcPr>
          <w:p w14:paraId="37DE57C1">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lang w:eastAsia="zh-CN"/>
              </w:rPr>
            </w:pPr>
            <w:r>
              <w:rPr>
                <w:rFonts w:hint="eastAsia" w:ascii="宋体" w:hAnsi="宋体"/>
                <w:color w:val="auto"/>
                <w:szCs w:val="21"/>
                <w:highlight w:val="none"/>
              </w:rPr>
              <w:t>招标文件采购需求中的技术性能、参数</w:t>
            </w:r>
            <w:r>
              <w:rPr>
                <w:rFonts w:hint="eastAsia" w:ascii="宋体" w:hAnsi="宋体"/>
                <w:color w:val="auto"/>
                <w:szCs w:val="21"/>
                <w:highlight w:val="none"/>
                <w:lang w:eastAsia="zh-CN"/>
              </w:rPr>
              <w:t>要求</w:t>
            </w:r>
          </w:p>
        </w:tc>
        <w:tc>
          <w:tcPr>
            <w:tcW w:w="3249" w:type="dxa"/>
            <w:tcBorders>
              <w:top w:val="single" w:color="auto" w:sz="4" w:space="0"/>
              <w:left w:val="single" w:color="auto" w:sz="4" w:space="0"/>
              <w:bottom w:val="single" w:color="auto" w:sz="4" w:space="0"/>
              <w:right w:val="single" w:color="auto" w:sz="4" w:space="0"/>
            </w:tcBorders>
            <w:vAlign w:val="center"/>
          </w:tcPr>
          <w:p w14:paraId="7B4B7D6F">
            <w:pPr>
              <w:keepNext w:val="0"/>
              <w:keepLines w:val="0"/>
              <w:suppressLineNumbers w:val="0"/>
              <w:spacing w:before="0" w:beforeAutospacing="0" w:after="0" w:afterAutospacing="0"/>
              <w:ind w:left="0" w:right="0"/>
              <w:jc w:val="center"/>
              <w:rPr>
                <w:rFonts w:ascii="宋体" w:hAnsi="宋体" w:cs="宋体"/>
                <w:color w:val="auto"/>
                <w:szCs w:val="21"/>
                <w:highlight w:val="none"/>
              </w:rPr>
            </w:pPr>
            <w:r>
              <w:rPr>
                <w:rFonts w:hint="eastAsia" w:ascii="宋体" w:hAnsi="宋体"/>
                <w:color w:val="auto"/>
                <w:szCs w:val="21"/>
                <w:highlight w:val="none"/>
              </w:rPr>
              <w:t>投标文件响应的技术性能、参数</w:t>
            </w:r>
          </w:p>
        </w:tc>
        <w:tc>
          <w:tcPr>
            <w:tcW w:w="1110" w:type="dxa"/>
            <w:tcBorders>
              <w:top w:val="single" w:color="auto" w:sz="4" w:space="0"/>
              <w:left w:val="single" w:color="auto" w:sz="4" w:space="0"/>
              <w:bottom w:val="single" w:color="auto" w:sz="4" w:space="0"/>
              <w:right w:val="single" w:color="auto" w:sz="4" w:space="0"/>
            </w:tcBorders>
            <w:vAlign w:val="center"/>
          </w:tcPr>
          <w:p w14:paraId="752A410C">
            <w:pPr>
              <w:keepNext w:val="0"/>
              <w:keepLines w:val="0"/>
              <w:widowControl/>
              <w:suppressLineNumbers w:val="0"/>
              <w:spacing w:before="0" w:beforeAutospacing="0" w:after="0" w:afterAutospacing="0"/>
              <w:ind w:left="0" w:right="0"/>
              <w:jc w:val="left"/>
              <w:rPr>
                <w:rFonts w:ascii="宋体" w:hAnsi="宋体" w:cs="宋体"/>
                <w:color w:val="auto"/>
                <w:szCs w:val="21"/>
                <w:highlight w:val="none"/>
              </w:rPr>
            </w:pPr>
            <w:r>
              <w:rPr>
                <w:rFonts w:hint="eastAsia" w:ascii="宋体" w:hAnsi="宋体"/>
                <w:color w:val="auto"/>
                <w:szCs w:val="21"/>
                <w:highlight w:val="none"/>
              </w:rPr>
              <w:t>偏离说明</w:t>
            </w:r>
          </w:p>
        </w:tc>
      </w:tr>
      <w:tr w14:paraId="762FF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774" w:type="dxa"/>
            <w:tcBorders>
              <w:top w:val="single" w:color="auto" w:sz="4" w:space="0"/>
              <w:left w:val="single" w:color="auto" w:sz="4" w:space="0"/>
              <w:bottom w:val="single" w:color="auto" w:sz="4" w:space="0"/>
              <w:right w:val="single" w:color="auto" w:sz="4" w:space="0"/>
            </w:tcBorders>
            <w:vAlign w:val="center"/>
          </w:tcPr>
          <w:p w14:paraId="1FBFA964">
            <w:pPr>
              <w:keepNext w:val="0"/>
              <w:keepLines w:val="0"/>
              <w:suppressLineNumbers w:val="0"/>
              <w:spacing w:before="0" w:beforeAutospacing="0" w:after="0" w:afterAutospacing="0"/>
              <w:ind w:left="0" w:right="0"/>
              <w:jc w:val="center"/>
              <w:rPr>
                <w:rFonts w:ascii="宋体" w:hAnsi="宋体" w:cs="宋体"/>
                <w:color w:val="auto"/>
                <w:szCs w:val="21"/>
                <w:highlight w:val="none"/>
              </w:rPr>
            </w:pPr>
            <w:r>
              <w:rPr>
                <w:rFonts w:hint="eastAsia" w:ascii="宋体" w:hAnsi="宋体" w:cs="宋体"/>
                <w:color w:val="auto"/>
                <w:szCs w:val="21"/>
                <w:highlight w:val="none"/>
              </w:rPr>
              <w:t>1</w:t>
            </w:r>
          </w:p>
        </w:tc>
        <w:tc>
          <w:tcPr>
            <w:tcW w:w="1058" w:type="dxa"/>
            <w:tcBorders>
              <w:top w:val="single" w:color="auto" w:sz="4" w:space="0"/>
              <w:left w:val="single" w:color="auto" w:sz="4" w:space="0"/>
              <w:bottom w:val="single" w:color="auto" w:sz="4" w:space="0"/>
              <w:right w:val="single" w:color="auto" w:sz="4" w:space="0"/>
            </w:tcBorders>
            <w:vAlign w:val="center"/>
          </w:tcPr>
          <w:p w14:paraId="23B17723">
            <w:pPr>
              <w:keepNext w:val="0"/>
              <w:keepLines w:val="0"/>
              <w:suppressLineNumbers w:val="0"/>
              <w:spacing w:before="0" w:beforeAutospacing="0" w:after="0" w:afterAutospacing="0"/>
              <w:ind w:left="0" w:right="0"/>
              <w:rPr>
                <w:rFonts w:ascii="宋体" w:hAnsi="宋体" w:cs="宋体"/>
                <w:color w:val="auto"/>
                <w:szCs w:val="21"/>
                <w:highlight w:val="none"/>
              </w:rPr>
            </w:pPr>
          </w:p>
        </w:tc>
        <w:tc>
          <w:tcPr>
            <w:tcW w:w="3280" w:type="dxa"/>
            <w:tcBorders>
              <w:top w:val="single" w:color="auto" w:sz="4" w:space="0"/>
              <w:left w:val="single" w:color="auto" w:sz="4" w:space="0"/>
              <w:bottom w:val="single" w:color="auto" w:sz="4" w:space="0"/>
              <w:right w:val="single" w:color="auto" w:sz="4" w:space="0"/>
            </w:tcBorders>
            <w:vAlign w:val="center"/>
          </w:tcPr>
          <w:p w14:paraId="058EF56B">
            <w:pPr>
              <w:keepNext w:val="0"/>
              <w:keepLines w:val="0"/>
              <w:suppressLineNumbers w:val="0"/>
              <w:spacing w:before="0" w:beforeAutospacing="0" w:after="0" w:afterAutospacing="0"/>
              <w:ind w:left="0" w:right="0"/>
              <w:rPr>
                <w:rFonts w:ascii="宋体" w:hAnsi="宋体" w:cs="宋体"/>
                <w:color w:val="auto"/>
                <w:szCs w:val="21"/>
                <w:highlight w:val="none"/>
              </w:rPr>
            </w:pPr>
          </w:p>
        </w:tc>
        <w:tc>
          <w:tcPr>
            <w:tcW w:w="3249" w:type="dxa"/>
            <w:tcBorders>
              <w:top w:val="single" w:color="auto" w:sz="4" w:space="0"/>
              <w:left w:val="single" w:color="auto" w:sz="4" w:space="0"/>
              <w:bottom w:val="single" w:color="auto" w:sz="4" w:space="0"/>
              <w:right w:val="single" w:color="auto" w:sz="4" w:space="0"/>
            </w:tcBorders>
            <w:vAlign w:val="center"/>
          </w:tcPr>
          <w:p w14:paraId="62362EEC">
            <w:pPr>
              <w:keepNext w:val="0"/>
              <w:keepLines w:val="0"/>
              <w:suppressLineNumbers w:val="0"/>
              <w:spacing w:before="0" w:beforeAutospacing="0" w:after="0" w:afterAutospacing="0"/>
              <w:ind w:left="0" w:right="0"/>
              <w:rPr>
                <w:rFonts w:ascii="宋体" w:hAnsi="宋体" w:cs="宋体"/>
                <w:color w:val="auto"/>
                <w:szCs w:val="21"/>
                <w:highlight w:val="none"/>
              </w:rPr>
            </w:pPr>
          </w:p>
        </w:tc>
        <w:tc>
          <w:tcPr>
            <w:tcW w:w="1110" w:type="dxa"/>
            <w:tcBorders>
              <w:top w:val="single" w:color="auto" w:sz="4" w:space="0"/>
              <w:left w:val="single" w:color="auto" w:sz="4" w:space="0"/>
              <w:bottom w:val="single" w:color="auto" w:sz="4" w:space="0"/>
              <w:right w:val="single" w:color="auto" w:sz="4" w:space="0"/>
            </w:tcBorders>
            <w:vAlign w:val="center"/>
          </w:tcPr>
          <w:p w14:paraId="58376612">
            <w:pPr>
              <w:keepNext w:val="0"/>
              <w:keepLines w:val="0"/>
              <w:suppressLineNumbers w:val="0"/>
              <w:spacing w:before="0" w:beforeAutospacing="0" w:after="0" w:afterAutospacing="0"/>
              <w:ind w:left="0" w:right="0"/>
              <w:rPr>
                <w:rFonts w:ascii="宋体" w:hAnsi="宋体" w:cs="宋体"/>
                <w:color w:val="auto"/>
                <w:szCs w:val="21"/>
                <w:highlight w:val="none"/>
              </w:rPr>
            </w:pPr>
          </w:p>
        </w:tc>
      </w:tr>
      <w:tr w14:paraId="41081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774" w:type="dxa"/>
            <w:tcBorders>
              <w:top w:val="single" w:color="auto" w:sz="4" w:space="0"/>
              <w:left w:val="single" w:color="auto" w:sz="4" w:space="0"/>
              <w:bottom w:val="single" w:color="auto" w:sz="4" w:space="0"/>
              <w:right w:val="single" w:color="auto" w:sz="4" w:space="0"/>
            </w:tcBorders>
            <w:vAlign w:val="center"/>
          </w:tcPr>
          <w:p w14:paraId="58FCBC71">
            <w:pPr>
              <w:keepNext w:val="0"/>
              <w:keepLines w:val="0"/>
              <w:suppressLineNumbers w:val="0"/>
              <w:spacing w:before="0" w:beforeAutospacing="0" w:after="0" w:afterAutospacing="0"/>
              <w:ind w:left="0" w:right="0"/>
              <w:jc w:val="center"/>
              <w:rPr>
                <w:rFonts w:ascii="宋体" w:hAnsi="宋体" w:cs="宋体"/>
                <w:color w:val="auto"/>
                <w:szCs w:val="21"/>
                <w:highlight w:val="none"/>
              </w:rPr>
            </w:pPr>
            <w:r>
              <w:rPr>
                <w:rFonts w:hint="eastAsia" w:ascii="宋体" w:hAnsi="宋体" w:cs="宋体"/>
                <w:color w:val="auto"/>
                <w:szCs w:val="21"/>
                <w:highlight w:val="none"/>
              </w:rPr>
              <w:t>2</w:t>
            </w:r>
          </w:p>
        </w:tc>
        <w:tc>
          <w:tcPr>
            <w:tcW w:w="1058" w:type="dxa"/>
            <w:tcBorders>
              <w:top w:val="single" w:color="auto" w:sz="4" w:space="0"/>
              <w:left w:val="single" w:color="auto" w:sz="4" w:space="0"/>
              <w:bottom w:val="single" w:color="auto" w:sz="4" w:space="0"/>
              <w:right w:val="single" w:color="auto" w:sz="4" w:space="0"/>
            </w:tcBorders>
            <w:vAlign w:val="center"/>
          </w:tcPr>
          <w:p w14:paraId="6F4ED99C">
            <w:pPr>
              <w:keepNext w:val="0"/>
              <w:keepLines w:val="0"/>
              <w:suppressLineNumbers w:val="0"/>
              <w:spacing w:before="0" w:beforeAutospacing="0" w:after="0" w:afterAutospacing="0"/>
              <w:ind w:left="0" w:right="0"/>
              <w:rPr>
                <w:rFonts w:ascii="宋体" w:hAnsi="宋体" w:cs="宋体"/>
                <w:color w:val="auto"/>
                <w:szCs w:val="21"/>
                <w:highlight w:val="none"/>
              </w:rPr>
            </w:pPr>
          </w:p>
        </w:tc>
        <w:tc>
          <w:tcPr>
            <w:tcW w:w="3280" w:type="dxa"/>
            <w:tcBorders>
              <w:top w:val="single" w:color="auto" w:sz="4" w:space="0"/>
              <w:left w:val="single" w:color="auto" w:sz="4" w:space="0"/>
              <w:bottom w:val="single" w:color="auto" w:sz="4" w:space="0"/>
              <w:right w:val="single" w:color="auto" w:sz="4" w:space="0"/>
            </w:tcBorders>
            <w:vAlign w:val="center"/>
          </w:tcPr>
          <w:p w14:paraId="522A2F2E">
            <w:pPr>
              <w:keepNext w:val="0"/>
              <w:keepLines w:val="0"/>
              <w:suppressLineNumbers w:val="0"/>
              <w:spacing w:before="0" w:beforeAutospacing="0" w:after="0" w:afterAutospacing="0"/>
              <w:ind w:left="0" w:right="0"/>
              <w:rPr>
                <w:rFonts w:ascii="宋体" w:hAnsi="宋体" w:cs="宋体"/>
                <w:color w:val="auto"/>
                <w:szCs w:val="21"/>
                <w:highlight w:val="none"/>
              </w:rPr>
            </w:pPr>
          </w:p>
        </w:tc>
        <w:tc>
          <w:tcPr>
            <w:tcW w:w="3249" w:type="dxa"/>
            <w:tcBorders>
              <w:top w:val="single" w:color="auto" w:sz="4" w:space="0"/>
              <w:left w:val="single" w:color="auto" w:sz="4" w:space="0"/>
              <w:bottom w:val="single" w:color="auto" w:sz="4" w:space="0"/>
              <w:right w:val="single" w:color="auto" w:sz="4" w:space="0"/>
            </w:tcBorders>
            <w:vAlign w:val="center"/>
          </w:tcPr>
          <w:p w14:paraId="328A38F2">
            <w:pPr>
              <w:keepNext w:val="0"/>
              <w:keepLines w:val="0"/>
              <w:suppressLineNumbers w:val="0"/>
              <w:spacing w:before="0" w:beforeAutospacing="0" w:after="0" w:afterAutospacing="0"/>
              <w:ind w:left="0" w:right="0"/>
              <w:rPr>
                <w:rFonts w:ascii="宋体" w:hAnsi="宋体" w:cs="宋体"/>
                <w:color w:val="auto"/>
                <w:szCs w:val="21"/>
                <w:highlight w:val="none"/>
              </w:rPr>
            </w:pPr>
          </w:p>
        </w:tc>
        <w:tc>
          <w:tcPr>
            <w:tcW w:w="1110" w:type="dxa"/>
            <w:tcBorders>
              <w:top w:val="single" w:color="auto" w:sz="4" w:space="0"/>
              <w:left w:val="single" w:color="auto" w:sz="4" w:space="0"/>
              <w:bottom w:val="single" w:color="auto" w:sz="4" w:space="0"/>
              <w:right w:val="single" w:color="auto" w:sz="4" w:space="0"/>
            </w:tcBorders>
            <w:vAlign w:val="center"/>
          </w:tcPr>
          <w:p w14:paraId="0A40B98F">
            <w:pPr>
              <w:keepNext w:val="0"/>
              <w:keepLines w:val="0"/>
              <w:suppressLineNumbers w:val="0"/>
              <w:spacing w:before="0" w:beforeAutospacing="0" w:after="0" w:afterAutospacing="0"/>
              <w:ind w:left="0" w:right="0"/>
              <w:rPr>
                <w:rFonts w:ascii="宋体" w:hAnsi="宋体" w:cs="宋体"/>
                <w:color w:val="auto"/>
                <w:szCs w:val="21"/>
                <w:highlight w:val="none"/>
              </w:rPr>
            </w:pPr>
          </w:p>
        </w:tc>
      </w:tr>
      <w:tr w14:paraId="6EAC5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774" w:type="dxa"/>
            <w:tcBorders>
              <w:top w:val="single" w:color="auto" w:sz="4" w:space="0"/>
              <w:left w:val="single" w:color="auto" w:sz="4" w:space="0"/>
              <w:bottom w:val="single" w:color="auto" w:sz="4" w:space="0"/>
              <w:right w:val="single" w:color="auto" w:sz="4" w:space="0"/>
            </w:tcBorders>
            <w:vAlign w:val="center"/>
          </w:tcPr>
          <w:p w14:paraId="5E344E4D">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3</w:t>
            </w:r>
          </w:p>
        </w:tc>
        <w:tc>
          <w:tcPr>
            <w:tcW w:w="1058" w:type="dxa"/>
            <w:tcBorders>
              <w:top w:val="single" w:color="auto" w:sz="4" w:space="0"/>
              <w:left w:val="single" w:color="auto" w:sz="4" w:space="0"/>
              <w:bottom w:val="single" w:color="auto" w:sz="4" w:space="0"/>
              <w:right w:val="single" w:color="auto" w:sz="4" w:space="0"/>
            </w:tcBorders>
            <w:vAlign w:val="center"/>
          </w:tcPr>
          <w:p w14:paraId="420562D7">
            <w:pPr>
              <w:keepNext w:val="0"/>
              <w:keepLines w:val="0"/>
              <w:suppressLineNumbers w:val="0"/>
              <w:spacing w:before="0" w:beforeAutospacing="0" w:after="0" w:afterAutospacing="0"/>
              <w:ind w:left="0" w:right="0"/>
              <w:rPr>
                <w:rFonts w:ascii="宋体" w:hAnsi="宋体" w:cs="宋体"/>
                <w:color w:val="auto"/>
                <w:szCs w:val="21"/>
                <w:highlight w:val="none"/>
              </w:rPr>
            </w:pPr>
          </w:p>
        </w:tc>
        <w:tc>
          <w:tcPr>
            <w:tcW w:w="3280" w:type="dxa"/>
            <w:tcBorders>
              <w:top w:val="single" w:color="auto" w:sz="4" w:space="0"/>
              <w:left w:val="single" w:color="auto" w:sz="4" w:space="0"/>
              <w:bottom w:val="single" w:color="auto" w:sz="4" w:space="0"/>
              <w:right w:val="single" w:color="auto" w:sz="4" w:space="0"/>
            </w:tcBorders>
            <w:vAlign w:val="center"/>
          </w:tcPr>
          <w:p w14:paraId="58CBE8F2">
            <w:pPr>
              <w:keepNext w:val="0"/>
              <w:keepLines w:val="0"/>
              <w:suppressLineNumbers w:val="0"/>
              <w:spacing w:before="0" w:beforeAutospacing="0" w:after="0" w:afterAutospacing="0"/>
              <w:ind w:left="0" w:right="0"/>
              <w:rPr>
                <w:rFonts w:ascii="宋体" w:hAnsi="宋体" w:cs="宋体"/>
                <w:color w:val="auto"/>
                <w:szCs w:val="21"/>
                <w:highlight w:val="none"/>
              </w:rPr>
            </w:pPr>
          </w:p>
        </w:tc>
        <w:tc>
          <w:tcPr>
            <w:tcW w:w="3249" w:type="dxa"/>
            <w:tcBorders>
              <w:top w:val="single" w:color="auto" w:sz="4" w:space="0"/>
              <w:left w:val="single" w:color="auto" w:sz="4" w:space="0"/>
              <w:bottom w:val="single" w:color="auto" w:sz="4" w:space="0"/>
              <w:right w:val="single" w:color="auto" w:sz="4" w:space="0"/>
            </w:tcBorders>
            <w:vAlign w:val="center"/>
          </w:tcPr>
          <w:p w14:paraId="243541C2">
            <w:pPr>
              <w:keepNext w:val="0"/>
              <w:keepLines w:val="0"/>
              <w:suppressLineNumbers w:val="0"/>
              <w:spacing w:before="0" w:beforeAutospacing="0" w:after="0" w:afterAutospacing="0"/>
              <w:ind w:left="0" w:right="0"/>
              <w:rPr>
                <w:rFonts w:ascii="宋体" w:hAnsi="宋体" w:cs="宋体"/>
                <w:color w:val="auto"/>
                <w:szCs w:val="21"/>
                <w:highlight w:val="none"/>
              </w:rPr>
            </w:pPr>
          </w:p>
        </w:tc>
        <w:tc>
          <w:tcPr>
            <w:tcW w:w="1110" w:type="dxa"/>
            <w:tcBorders>
              <w:top w:val="single" w:color="auto" w:sz="4" w:space="0"/>
              <w:left w:val="single" w:color="auto" w:sz="4" w:space="0"/>
              <w:bottom w:val="single" w:color="auto" w:sz="4" w:space="0"/>
              <w:right w:val="single" w:color="auto" w:sz="4" w:space="0"/>
            </w:tcBorders>
            <w:vAlign w:val="center"/>
          </w:tcPr>
          <w:p w14:paraId="154314F5">
            <w:pPr>
              <w:keepNext w:val="0"/>
              <w:keepLines w:val="0"/>
              <w:suppressLineNumbers w:val="0"/>
              <w:spacing w:before="0" w:beforeAutospacing="0" w:after="0" w:afterAutospacing="0"/>
              <w:ind w:left="0" w:right="0"/>
              <w:rPr>
                <w:rFonts w:ascii="宋体" w:hAnsi="宋体" w:cs="宋体"/>
                <w:color w:val="auto"/>
                <w:szCs w:val="21"/>
                <w:highlight w:val="none"/>
              </w:rPr>
            </w:pPr>
          </w:p>
        </w:tc>
      </w:tr>
      <w:tr w14:paraId="0DC16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774" w:type="dxa"/>
            <w:tcBorders>
              <w:top w:val="single" w:color="auto" w:sz="4" w:space="0"/>
              <w:left w:val="single" w:color="auto" w:sz="4" w:space="0"/>
              <w:bottom w:val="single" w:color="auto" w:sz="4" w:space="0"/>
              <w:right w:val="single" w:color="auto" w:sz="4" w:space="0"/>
            </w:tcBorders>
            <w:vAlign w:val="center"/>
          </w:tcPr>
          <w:p w14:paraId="7BD8ABD1">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4</w:t>
            </w:r>
          </w:p>
        </w:tc>
        <w:tc>
          <w:tcPr>
            <w:tcW w:w="1058" w:type="dxa"/>
            <w:tcBorders>
              <w:top w:val="single" w:color="auto" w:sz="4" w:space="0"/>
              <w:left w:val="single" w:color="auto" w:sz="4" w:space="0"/>
              <w:bottom w:val="single" w:color="auto" w:sz="4" w:space="0"/>
              <w:right w:val="single" w:color="auto" w:sz="4" w:space="0"/>
            </w:tcBorders>
            <w:vAlign w:val="center"/>
          </w:tcPr>
          <w:p w14:paraId="5868F9F2">
            <w:pPr>
              <w:keepNext w:val="0"/>
              <w:keepLines w:val="0"/>
              <w:suppressLineNumbers w:val="0"/>
              <w:spacing w:before="0" w:beforeAutospacing="0" w:after="0" w:afterAutospacing="0"/>
              <w:ind w:left="0" w:right="0"/>
              <w:rPr>
                <w:rFonts w:ascii="宋体" w:hAnsi="宋体" w:cs="宋体"/>
                <w:color w:val="auto"/>
                <w:szCs w:val="21"/>
                <w:highlight w:val="none"/>
              </w:rPr>
            </w:pPr>
          </w:p>
        </w:tc>
        <w:tc>
          <w:tcPr>
            <w:tcW w:w="3280" w:type="dxa"/>
            <w:tcBorders>
              <w:top w:val="single" w:color="auto" w:sz="4" w:space="0"/>
              <w:left w:val="single" w:color="auto" w:sz="4" w:space="0"/>
              <w:bottom w:val="single" w:color="auto" w:sz="4" w:space="0"/>
              <w:right w:val="single" w:color="auto" w:sz="4" w:space="0"/>
            </w:tcBorders>
            <w:vAlign w:val="center"/>
          </w:tcPr>
          <w:p w14:paraId="0188FC03">
            <w:pPr>
              <w:keepNext w:val="0"/>
              <w:keepLines w:val="0"/>
              <w:suppressLineNumbers w:val="0"/>
              <w:spacing w:before="0" w:beforeAutospacing="0" w:after="0" w:afterAutospacing="0"/>
              <w:ind w:left="0" w:right="0"/>
              <w:rPr>
                <w:rFonts w:ascii="宋体" w:hAnsi="宋体" w:cs="宋体"/>
                <w:color w:val="auto"/>
                <w:szCs w:val="21"/>
                <w:highlight w:val="none"/>
              </w:rPr>
            </w:pPr>
          </w:p>
        </w:tc>
        <w:tc>
          <w:tcPr>
            <w:tcW w:w="3249" w:type="dxa"/>
            <w:tcBorders>
              <w:top w:val="single" w:color="auto" w:sz="4" w:space="0"/>
              <w:left w:val="single" w:color="auto" w:sz="4" w:space="0"/>
              <w:bottom w:val="single" w:color="auto" w:sz="4" w:space="0"/>
              <w:right w:val="single" w:color="auto" w:sz="4" w:space="0"/>
            </w:tcBorders>
            <w:vAlign w:val="center"/>
          </w:tcPr>
          <w:p w14:paraId="28D842F6">
            <w:pPr>
              <w:keepNext w:val="0"/>
              <w:keepLines w:val="0"/>
              <w:suppressLineNumbers w:val="0"/>
              <w:spacing w:before="0" w:beforeAutospacing="0" w:after="0" w:afterAutospacing="0"/>
              <w:ind w:left="0" w:right="0"/>
              <w:rPr>
                <w:rFonts w:ascii="宋体" w:hAnsi="宋体" w:cs="宋体"/>
                <w:color w:val="auto"/>
                <w:szCs w:val="21"/>
                <w:highlight w:val="none"/>
              </w:rPr>
            </w:pPr>
          </w:p>
        </w:tc>
        <w:tc>
          <w:tcPr>
            <w:tcW w:w="1110" w:type="dxa"/>
            <w:tcBorders>
              <w:top w:val="single" w:color="auto" w:sz="4" w:space="0"/>
              <w:left w:val="single" w:color="auto" w:sz="4" w:space="0"/>
              <w:bottom w:val="single" w:color="auto" w:sz="4" w:space="0"/>
              <w:right w:val="single" w:color="auto" w:sz="4" w:space="0"/>
            </w:tcBorders>
            <w:vAlign w:val="center"/>
          </w:tcPr>
          <w:p w14:paraId="57CD958E">
            <w:pPr>
              <w:keepNext w:val="0"/>
              <w:keepLines w:val="0"/>
              <w:suppressLineNumbers w:val="0"/>
              <w:spacing w:before="0" w:beforeAutospacing="0" w:after="0" w:afterAutospacing="0"/>
              <w:ind w:left="0" w:right="0"/>
              <w:rPr>
                <w:rFonts w:ascii="宋体" w:hAnsi="宋体" w:cs="宋体"/>
                <w:color w:val="auto"/>
                <w:szCs w:val="21"/>
                <w:highlight w:val="none"/>
              </w:rPr>
            </w:pPr>
          </w:p>
        </w:tc>
      </w:tr>
      <w:tr w14:paraId="2C550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774" w:type="dxa"/>
            <w:tcBorders>
              <w:top w:val="single" w:color="auto" w:sz="4" w:space="0"/>
              <w:left w:val="single" w:color="auto" w:sz="4" w:space="0"/>
              <w:bottom w:val="single" w:color="auto" w:sz="4" w:space="0"/>
              <w:right w:val="single" w:color="auto" w:sz="4" w:space="0"/>
            </w:tcBorders>
            <w:vAlign w:val="center"/>
          </w:tcPr>
          <w:p w14:paraId="22ACD323">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5</w:t>
            </w:r>
          </w:p>
        </w:tc>
        <w:tc>
          <w:tcPr>
            <w:tcW w:w="1058" w:type="dxa"/>
            <w:tcBorders>
              <w:top w:val="single" w:color="auto" w:sz="4" w:space="0"/>
              <w:left w:val="single" w:color="auto" w:sz="4" w:space="0"/>
              <w:bottom w:val="single" w:color="auto" w:sz="4" w:space="0"/>
              <w:right w:val="single" w:color="auto" w:sz="4" w:space="0"/>
            </w:tcBorders>
            <w:vAlign w:val="center"/>
          </w:tcPr>
          <w:p w14:paraId="03E8FE03">
            <w:pPr>
              <w:keepNext w:val="0"/>
              <w:keepLines w:val="0"/>
              <w:suppressLineNumbers w:val="0"/>
              <w:spacing w:before="0" w:beforeAutospacing="0" w:after="0" w:afterAutospacing="0"/>
              <w:ind w:left="0" w:right="0"/>
              <w:rPr>
                <w:rFonts w:ascii="宋体" w:hAnsi="宋体" w:cs="宋体"/>
                <w:color w:val="auto"/>
                <w:szCs w:val="21"/>
                <w:highlight w:val="none"/>
              </w:rPr>
            </w:pPr>
          </w:p>
        </w:tc>
        <w:tc>
          <w:tcPr>
            <w:tcW w:w="3280" w:type="dxa"/>
            <w:tcBorders>
              <w:top w:val="single" w:color="auto" w:sz="4" w:space="0"/>
              <w:left w:val="single" w:color="auto" w:sz="4" w:space="0"/>
              <w:bottom w:val="single" w:color="auto" w:sz="4" w:space="0"/>
              <w:right w:val="single" w:color="auto" w:sz="4" w:space="0"/>
            </w:tcBorders>
            <w:vAlign w:val="center"/>
          </w:tcPr>
          <w:p w14:paraId="0284864B">
            <w:pPr>
              <w:keepNext w:val="0"/>
              <w:keepLines w:val="0"/>
              <w:suppressLineNumbers w:val="0"/>
              <w:spacing w:before="0" w:beforeAutospacing="0" w:after="0" w:afterAutospacing="0"/>
              <w:ind w:left="0" w:right="0"/>
              <w:rPr>
                <w:rFonts w:ascii="宋体" w:hAnsi="宋体" w:cs="宋体"/>
                <w:color w:val="auto"/>
                <w:szCs w:val="21"/>
                <w:highlight w:val="none"/>
              </w:rPr>
            </w:pPr>
          </w:p>
        </w:tc>
        <w:tc>
          <w:tcPr>
            <w:tcW w:w="3249" w:type="dxa"/>
            <w:tcBorders>
              <w:top w:val="single" w:color="auto" w:sz="4" w:space="0"/>
              <w:left w:val="single" w:color="auto" w:sz="4" w:space="0"/>
              <w:bottom w:val="single" w:color="auto" w:sz="4" w:space="0"/>
              <w:right w:val="single" w:color="auto" w:sz="4" w:space="0"/>
            </w:tcBorders>
            <w:vAlign w:val="center"/>
          </w:tcPr>
          <w:p w14:paraId="234ACD70">
            <w:pPr>
              <w:keepNext w:val="0"/>
              <w:keepLines w:val="0"/>
              <w:suppressLineNumbers w:val="0"/>
              <w:spacing w:before="0" w:beforeAutospacing="0" w:after="0" w:afterAutospacing="0"/>
              <w:ind w:left="0" w:right="0"/>
              <w:rPr>
                <w:rFonts w:ascii="宋体" w:hAnsi="宋体" w:cs="宋体"/>
                <w:color w:val="auto"/>
                <w:szCs w:val="21"/>
                <w:highlight w:val="none"/>
              </w:rPr>
            </w:pPr>
          </w:p>
        </w:tc>
        <w:tc>
          <w:tcPr>
            <w:tcW w:w="1110" w:type="dxa"/>
            <w:tcBorders>
              <w:top w:val="single" w:color="auto" w:sz="4" w:space="0"/>
              <w:left w:val="single" w:color="auto" w:sz="4" w:space="0"/>
              <w:bottom w:val="single" w:color="auto" w:sz="4" w:space="0"/>
              <w:right w:val="single" w:color="auto" w:sz="4" w:space="0"/>
            </w:tcBorders>
            <w:vAlign w:val="center"/>
          </w:tcPr>
          <w:p w14:paraId="20959470">
            <w:pPr>
              <w:keepNext w:val="0"/>
              <w:keepLines w:val="0"/>
              <w:suppressLineNumbers w:val="0"/>
              <w:spacing w:before="0" w:beforeAutospacing="0" w:after="0" w:afterAutospacing="0"/>
              <w:ind w:left="0" w:right="0"/>
              <w:rPr>
                <w:rFonts w:ascii="宋体" w:hAnsi="宋体" w:cs="宋体"/>
                <w:color w:val="auto"/>
                <w:szCs w:val="21"/>
                <w:highlight w:val="none"/>
              </w:rPr>
            </w:pPr>
          </w:p>
        </w:tc>
      </w:tr>
      <w:tr w14:paraId="37672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774" w:type="dxa"/>
            <w:tcBorders>
              <w:top w:val="single" w:color="auto" w:sz="4" w:space="0"/>
              <w:left w:val="single" w:color="auto" w:sz="4" w:space="0"/>
              <w:bottom w:val="single" w:color="auto" w:sz="4" w:space="0"/>
              <w:right w:val="single" w:color="auto" w:sz="4" w:space="0"/>
            </w:tcBorders>
            <w:vAlign w:val="center"/>
          </w:tcPr>
          <w:p w14:paraId="30A3F39A">
            <w:pPr>
              <w:keepNext w:val="0"/>
              <w:keepLines w:val="0"/>
              <w:suppressLineNumbers w:val="0"/>
              <w:spacing w:before="0" w:beforeAutospacing="0" w:after="0" w:afterAutospacing="0"/>
              <w:ind w:left="0" w:right="0"/>
              <w:rPr>
                <w:rFonts w:hint="eastAsia" w:ascii="宋体" w:hAnsi="宋体" w:cs="宋体"/>
                <w:color w:val="auto"/>
                <w:szCs w:val="21"/>
                <w:highlight w:val="none"/>
              </w:rPr>
            </w:pPr>
            <w:r>
              <w:rPr>
                <w:rFonts w:hint="eastAsia" w:ascii="宋体" w:hAnsi="宋体" w:cs="宋体"/>
                <w:color w:val="auto"/>
                <w:szCs w:val="21"/>
                <w:highlight w:val="none"/>
              </w:rPr>
              <w:t>...</w:t>
            </w:r>
          </w:p>
        </w:tc>
        <w:tc>
          <w:tcPr>
            <w:tcW w:w="1058" w:type="dxa"/>
            <w:tcBorders>
              <w:top w:val="single" w:color="auto" w:sz="4" w:space="0"/>
              <w:left w:val="single" w:color="auto" w:sz="4" w:space="0"/>
              <w:bottom w:val="single" w:color="auto" w:sz="4" w:space="0"/>
              <w:right w:val="single" w:color="auto" w:sz="4" w:space="0"/>
            </w:tcBorders>
            <w:vAlign w:val="center"/>
          </w:tcPr>
          <w:p w14:paraId="38467B0A">
            <w:pPr>
              <w:keepNext w:val="0"/>
              <w:keepLines w:val="0"/>
              <w:suppressLineNumbers w:val="0"/>
              <w:spacing w:before="0" w:beforeAutospacing="0" w:after="0" w:afterAutospacing="0"/>
              <w:ind w:left="0" w:right="0"/>
              <w:rPr>
                <w:rFonts w:ascii="宋体" w:hAnsi="宋体" w:cs="宋体"/>
                <w:color w:val="auto"/>
                <w:szCs w:val="21"/>
                <w:highlight w:val="none"/>
              </w:rPr>
            </w:pPr>
          </w:p>
        </w:tc>
        <w:tc>
          <w:tcPr>
            <w:tcW w:w="3280" w:type="dxa"/>
            <w:tcBorders>
              <w:top w:val="single" w:color="auto" w:sz="4" w:space="0"/>
              <w:left w:val="single" w:color="auto" w:sz="4" w:space="0"/>
              <w:bottom w:val="single" w:color="auto" w:sz="4" w:space="0"/>
              <w:right w:val="single" w:color="auto" w:sz="4" w:space="0"/>
            </w:tcBorders>
            <w:vAlign w:val="center"/>
          </w:tcPr>
          <w:p w14:paraId="42D498B2">
            <w:pPr>
              <w:keepNext w:val="0"/>
              <w:keepLines w:val="0"/>
              <w:suppressLineNumbers w:val="0"/>
              <w:spacing w:before="0" w:beforeAutospacing="0" w:after="0" w:afterAutospacing="0"/>
              <w:ind w:left="0" w:right="0"/>
              <w:rPr>
                <w:rFonts w:ascii="宋体" w:hAnsi="宋体" w:cs="宋体"/>
                <w:color w:val="auto"/>
                <w:szCs w:val="21"/>
                <w:highlight w:val="none"/>
              </w:rPr>
            </w:pPr>
          </w:p>
        </w:tc>
        <w:tc>
          <w:tcPr>
            <w:tcW w:w="3249" w:type="dxa"/>
            <w:tcBorders>
              <w:top w:val="single" w:color="auto" w:sz="4" w:space="0"/>
              <w:left w:val="single" w:color="auto" w:sz="4" w:space="0"/>
              <w:bottom w:val="single" w:color="auto" w:sz="4" w:space="0"/>
              <w:right w:val="single" w:color="auto" w:sz="4" w:space="0"/>
            </w:tcBorders>
            <w:vAlign w:val="center"/>
          </w:tcPr>
          <w:p w14:paraId="5BCEC406">
            <w:pPr>
              <w:keepNext w:val="0"/>
              <w:keepLines w:val="0"/>
              <w:suppressLineNumbers w:val="0"/>
              <w:spacing w:before="0" w:beforeAutospacing="0" w:after="0" w:afterAutospacing="0"/>
              <w:ind w:left="0" w:right="0"/>
              <w:rPr>
                <w:rFonts w:ascii="宋体" w:hAnsi="宋体" w:cs="宋体"/>
                <w:color w:val="auto"/>
                <w:szCs w:val="21"/>
                <w:highlight w:val="none"/>
              </w:rPr>
            </w:pPr>
          </w:p>
        </w:tc>
        <w:tc>
          <w:tcPr>
            <w:tcW w:w="1110" w:type="dxa"/>
            <w:tcBorders>
              <w:top w:val="single" w:color="auto" w:sz="4" w:space="0"/>
              <w:left w:val="single" w:color="auto" w:sz="4" w:space="0"/>
              <w:bottom w:val="single" w:color="auto" w:sz="4" w:space="0"/>
              <w:right w:val="single" w:color="auto" w:sz="4" w:space="0"/>
            </w:tcBorders>
            <w:vAlign w:val="center"/>
          </w:tcPr>
          <w:p w14:paraId="246C9F0F">
            <w:pPr>
              <w:keepNext w:val="0"/>
              <w:keepLines w:val="0"/>
              <w:suppressLineNumbers w:val="0"/>
              <w:spacing w:before="0" w:beforeAutospacing="0" w:after="0" w:afterAutospacing="0"/>
              <w:ind w:left="0" w:right="0"/>
              <w:rPr>
                <w:rFonts w:ascii="宋体" w:hAnsi="宋体" w:cs="宋体"/>
                <w:color w:val="auto"/>
                <w:szCs w:val="21"/>
                <w:highlight w:val="none"/>
              </w:rPr>
            </w:pPr>
          </w:p>
        </w:tc>
      </w:tr>
      <w:tr w14:paraId="63CC2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9471" w:type="dxa"/>
            <w:gridSpan w:val="5"/>
            <w:tcBorders>
              <w:top w:val="single" w:color="auto" w:sz="4" w:space="0"/>
              <w:left w:val="single" w:color="auto" w:sz="4" w:space="0"/>
              <w:bottom w:val="single" w:color="auto" w:sz="4" w:space="0"/>
              <w:right w:val="single" w:color="auto" w:sz="4" w:space="0"/>
            </w:tcBorders>
            <w:vAlign w:val="center"/>
          </w:tcPr>
          <w:p w14:paraId="412CD6E0">
            <w:pPr>
              <w:keepNext w:val="0"/>
              <w:keepLines w:val="0"/>
              <w:suppressLineNumbers w:val="0"/>
              <w:spacing w:before="0" w:beforeAutospacing="0" w:after="0" w:afterAutospacing="0"/>
              <w:ind w:left="0" w:right="0"/>
              <w:rPr>
                <w:rFonts w:ascii="宋体" w:hAnsi="宋体" w:cs="宋体"/>
                <w:color w:val="auto"/>
                <w:szCs w:val="21"/>
                <w:highlight w:val="none"/>
              </w:rPr>
            </w:pPr>
            <w:r>
              <w:rPr>
                <w:rFonts w:hint="eastAsia" w:ascii="宋体" w:hAnsi="宋体" w:cs="宋体"/>
                <w:color w:val="auto"/>
                <w:szCs w:val="21"/>
                <w:highlight w:val="none"/>
              </w:rPr>
              <w:t>投标货物中，属于优先采购节能产品为本项目招标文件“第二章采购需求”中的第</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rPr>
              <w:t>项产品</w:t>
            </w:r>
            <w:r>
              <w:rPr>
                <w:rFonts w:hint="eastAsia" w:ascii="宋体" w:hAnsi="宋体" w:cs="宋体"/>
                <w:color w:val="auto"/>
                <w:szCs w:val="21"/>
                <w:highlight w:val="none"/>
                <w:lang w:eastAsia="zh-CN"/>
              </w:rPr>
              <w:t>：</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rPr>
              <w:t>，合计</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rPr>
              <w:t>项；属于优先采购环境标志产品为本项目招标文件“第二章采购需求”中的第</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rPr>
              <w:t>项产品：</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rPr>
              <w:t>，合计</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rPr>
              <w:t>项。（注：如有，请逐项列出，如无填写“无”或者留空。）</w:t>
            </w:r>
          </w:p>
        </w:tc>
      </w:tr>
    </w:tbl>
    <w:p w14:paraId="32CAEBDE">
      <w:pPr>
        <w:pStyle w:val="45"/>
        <w:rPr>
          <w:rFonts w:hAnsi="宋体"/>
          <w:color w:val="auto"/>
          <w:szCs w:val="21"/>
          <w:highlight w:val="none"/>
        </w:rPr>
      </w:pPr>
    </w:p>
    <w:p w14:paraId="71C522C7">
      <w:pPr>
        <w:spacing w:line="360" w:lineRule="auto"/>
        <w:rPr>
          <w:rFonts w:ascii="宋体" w:hAnsi="宋体" w:cs="宋体"/>
          <w:color w:val="auto"/>
          <w:szCs w:val="21"/>
          <w:highlight w:val="none"/>
        </w:rPr>
      </w:pPr>
      <w:r>
        <w:rPr>
          <w:rFonts w:hint="eastAsia" w:ascii="宋体" w:hAnsi="宋体" w:cs="宋体"/>
          <w:color w:val="auto"/>
          <w:szCs w:val="21"/>
          <w:highlight w:val="none"/>
        </w:rPr>
        <w:t>注：</w:t>
      </w:r>
    </w:p>
    <w:p w14:paraId="23413D2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1.表格内容均需按要求填写并加盖投标人公章。</w:t>
      </w:r>
    </w:p>
    <w:p w14:paraId="02F976ED">
      <w:pPr>
        <w:spacing w:line="360" w:lineRule="auto"/>
        <w:ind w:firstLine="420" w:firstLineChars="200"/>
        <w:rPr>
          <w:rFonts w:hint="eastAsia" w:ascii="宋体" w:hAnsi="宋体" w:cs="宋体"/>
          <w:color w:val="auto"/>
          <w:szCs w:val="21"/>
          <w:highlight w:val="none"/>
        </w:rPr>
      </w:pPr>
      <w:r>
        <w:rPr>
          <w:rFonts w:hint="eastAsia" w:ascii="宋体" w:hAnsi="宋体" w:cs="宋体"/>
          <w:bCs/>
          <w:color w:val="auto"/>
          <w:szCs w:val="21"/>
          <w:highlight w:val="none"/>
        </w:rPr>
        <w:t>2.</w:t>
      </w:r>
      <w:r>
        <w:rPr>
          <w:rFonts w:hint="eastAsia" w:ascii="宋体" w:hAnsi="宋体" w:cs="宋体"/>
          <w:color w:val="auto"/>
          <w:szCs w:val="21"/>
          <w:highlight w:val="none"/>
        </w:rPr>
        <w:t>请根据所投货物的实际技术</w:t>
      </w:r>
      <w:r>
        <w:rPr>
          <w:rFonts w:hint="eastAsia" w:ascii="宋体" w:hAnsi="宋体"/>
          <w:color w:val="auto"/>
          <w:szCs w:val="21"/>
          <w:highlight w:val="none"/>
        </w:rPr>
        <w:t>性能、参数</w:t>
      </w:r>
      <w:r>
        <w:rPr>
          <w:rFonts w:hint="eastAsia" w:ascii="宋体" w:hAnsi="宋体" w:cs="宋体"/>
          <w:color w:val="auto"/>
          <w:szCs w:val="21"/>
          <w:highlight w:val="none"/>
        </w:rPr>
        <w:t>，逐条对应本项目招标文件“第二章 采购需求”中“</w:t>
      </w:r>
      <w:r>
        <w:rPr>
          <w:rFonts w:hint="eastAsia" w:ascii="宋体" w:hAnsi="宋体" w:eastAsia="宋体" w:cs="宋体"/>
          <w:b/>
          <w:bCs/>
          <w:color w:val="auto"/>
          <w:sz w:val="21"/>
          <w:szCs w:val="21"/>
          <w:highlight w:val="none"/>
        </w:rPr>
        <w:t>技术性能、参数及有关要求</w:t>
      </w:r>
      <w:r>
        <w:rPr>
          <w:rFonts w:hint="eastAsia" w:ascii="宋体" w:hAnsi="宋体" w:cs="宋体"/>
          <w:color w:val="auto"/>
          <w:szCs w:val="21"/>
          <w:highlight w:val="none"/>
        </w:rPr>
        <w:t>”的条款</w:t>
      </w:r>
      <w:r>
        <w:rPr>
          <w:rFonts w:hint="eastAsia" w:ascii="宋体" w:hAnsi="宋体" w:cs="宋体"/>
          <w:color w:val="auto"/>
          <w:szCs w:val="21"/>
          <w:highlight w:val="none"/>
          <w:lang w:eastAsia="zh-CN"/>
        </w:rPr>
        <w:t>一一</w:t>
      </w:r>
      <w:r>
        <w:rPr>
          <w:rFonts w:hint="eastAsia" w:ascii="宋体" w:hAnsi="宋体" w:cs="宋体"/>
          <w:color w:val="auto"/>
          <w:kern w:val="0"/>
          <w:szCs w:val="21"/>
          <w:highlight w:val="none"/>
          <w:lang w:val="zh-CN"/>
        </w:rPr>
        <w:t>作出明确响应，并作出偏离说明，未进行</w:t>
      </w:r>
      <w:r>
        <w:rPr>
          <w:rFonts w:hint="eastAsia" w:ascii="宋体" w:hAnsi="宋体" w:cs="宋体"/>
          <w:color w:val="auto"/>
          <w:szCs w:val="21"/>
          <w:highlight w:val="none"/>
        </w:rPr>
        <w:t>逐条</w:t>
      </w:r>
      <w:r>
        <w:rPr>
          <w:rFonts w:hint="eastAsia" w:ascii="宋体" w:hAnsi="宋体" w:cs="宋体"/>
          <w:color w:val="auto"/>
          <w:kern w:val="0"/>
          <w:szCs w:val="21"/>
          <w:highlight w:val="none"/>
          <w:lang w:val="zh-CN"/>
        </w:rPr>
        <w:t>响应的，视为负偏离</w:t>
      </w:r>
      <w:r>
        <w:rPr>
          <w:rFonts w:hint="eastAsia" w:ascii="宋体" w:hAnsi="宋体" w:cs="宋体"/>
          <w:color w:val="auto"/>
          <w:szCs w:val="21"/>
          <w:highlight w:val="none"/>
        </w:rPr>
        <w:t>。“偏离说明”一栏应当选择“正偏离”或“负偏离”或“无偏离”进行填写。</w:t>
      </w:r>
    </w:p>
    <w:p w14:paraId="6F0F609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.如果招标文件需求为小于或大于某个数值标准时，投标文件</w:t>
      </w:r>
      <w:r>
        <w:rPr>
          <w:rFonts w:hint="eastAsia" w:ascii="宋体" w:hAnsi="宋体" w:cs="宋体"/>
          <w:color w:val="auto"/>
          <w:szCs w:val="21"/>
          <w:highlight w:val="none"/>
          <w:lang w:eastAsia="zh-CN"/>
        </w:rPr>
        <w:t>的</w:t>
      </w:r>
      <w:r>
        <w:rPr>
          <w:rFonts w:hint="eastAsia" w:ascii="宋体" w:hAnsi="宋体" w:cs="宋体"/>
          <w:color w:val="auto"/>
          <w:szCs w:val="21"/>
          <w:highlight w:val="none"/>
        </w:rPr>
        <w:t>承诺不得直接复制招标文件需求，投标文件</w:t>
      </w:r>
      <w:r>
        <w:rPr>
          <w:rFonts w:hint="eastAsia" w:ascii="宋体" w:hAnsi="宋体" w:cs="宋体"/>
          <w:color w:val="auto"/>
          <w:szCs w:val="21"/>
          <w:highlight w:val="none"/>
          <w:lang w:eastAsia="zh-CN"/>
        </w:rPr>
        <w:t>的</w:t>
      </w:r>
      <w:r>
        <w:rPr>
          <w:rFonts w:hint="eastAsia" w:ascii="宋体" w:hAnsi="宋体" w:cs="宋体"/>
          <w:color w:val="auto"/>
          <w:szCs w:val="21"/>
          <w:highlight w:val="none"/>
        </w:rPr>
        <w:t>承诺内容应当写明投标货物具体参数的具体数值。</w:t>
      </w:r>
    </w:p>
    <w:p w14:paraId="34054A1F">
      <w:pPr>
        <w:spacing w:line="360" w:lineRule="auto"/>
        <w:ind w:firstLine="420" w:firstLineChars="200"/>
        <w:rPr>
          <w:rFonts w:ascii="宋体" w:hAnsi="宋体" w:cs="宋体"/>
          <w:color w:val="auto"/>
          <w:szCs w:val="21"/>
          <w:highlight w:val="none"/>
        </w:rPr>
      </w:pPr>
      <w:r>
        <w:rPr>
          <w:rFonts w:hint="eastAsia" w:ascii="宋体" w:hAnsi="宋体" w:cs="宋体"/>
          <w:bCs/>
          <w:color w:val="auto"/>
          <w:szCs w:val="21"/>
          <w:highlight w:val="none"/>
          <w:lang w:val="en-US" w:eastAsia="zh-CN"/>
        </w:rPr>
        <w:t>4</w:t>
      </w:r>
      <w:r>
        <w:rPr>
          <w:rFonts w:hint="eastAsia" w:ascii="宋体" w:hAnsi="宋体" w:cs="宋体"/>
          <w:bCs/>
          <w:color w:val="auto"/>
          <w:szCs w:val="21"/>
          <w:highlight w:val="none"/>
        </w:rPr>
        <w:t>.当投标文件的</w:t>
      </w:r>
      <w:r>
        <w:rPr>
          <w:rFonts w:hint="eastAsia" w:ascii="宋体" w:hAnsi="宋体" w:cs="宋体"/>
          <w:color w:val="auto"/>
          <w:szCs w:val="21"/>
          <w:highlight w:val="none"/>
        </w:rPr>
        <w:t>技术</w:t>
      </w:r>
      <w:r>
        <w:rPr>
          <w:rFonts w:hint="eastAsia" w:ascii="宋体" w:hAnsi="宋体"/>
          <w:color w:val="auto"/>
          <w:szCs w:val="21"/>
          <w:highlight w:val="none"/>
        </w:rPr>
        <w:t>性能、参数</w:t>
      </w:r>
      <w:r>
        <w:rPr>
          <w:rFonts w:hint="eastAsia" w:ascii="宋体" w:hAnsi="宋体" w:cs="宋体"/>
          <w:bCs/>
          <w:color w:val="auto"/>
          <w:szCs w:val="21"/>
          <w:highlight w:val="none"/>
        </w:rPr>
        <w:t>内容低于</w:t>
      </w:r>
      <w:r>
        <w:rPr>
          <w:rFonts w:hint="eastAsia" w:ascii="宋体" w:hAnsi="宋体" w:cs="宋体"/>
          <w:bCs/>
          <w:color w:val="auto"/>
          <w:szCs w:val="21"/>
          <w:highlight w:val="none"/>
          <w:lang w:val="en-US" w:eastAsia="zh-CN"/>
        </w:rPr>
        <w:t>或不满足</w:t>
      </w:r>
      <w:r>
        <w:rPr>
          <w:rFonts w:hint="eastAsia" w:ascii="宋体" w:hAnsi="宋体" w:cs="宋体"/>
          <w:bCs/>
          <w:color w:val="auto"/>
          <w:szCs w:val="21"/>
          <w:highlight w:val="none"/>
        </w:rPr>
        <w:t>招标文件要求时，投标人应当如实写明“负偏离”。</w:t>
      </w:r>
    </w:p>
    <w:p w14:paraId="2C80B0B3">
      <w:pPr>
        <w:snapToGrid w:val="0"/>
        <w:ind w:firstLine="270"/>
        <w:jc w:val="left"/>
        <w:rPr>
          <w:color w:val="auto"/>
          <w:sz w:val="18"/>
          <w:szCs w:val="18"/>
          <w:highlight w:val="none"/>
          <w:lang w:val="zh-CN"/>
        </w:rPr>
      </w:pPr>
    </w:p>
    <w:p w14:paraId="7B393C7D">
      <w:pPr>
        <w:snapToGrid w:val="0"/>
        <w:spacing w:line="360" w:lineRule="auto"/>
        <w:ind w:firstLine="5880" w:firstLineChars="2450"/>
        <w:rPr>
          <w:rFonts w:ascii="宋体" w:hAnsi="宋体" w:cs="宋体"/>
          <w:color w:val="auto"/>
          <w:kern w:val="0"/>
          <w:sz w:val="24"/>
          <w:highlight w:val="none"/>
        </w:rPr>
      </w:pPr>
      <w:r>
        <w:rPr>
          <w:rFonts w:hint="eastAsia" w:ascii="宋体" w:hAnsi="宋体" w:cs="宋体"/>
          <w:color w:val="auto"/>
          <w:kern w:val="0"/>
          <w:sz w:val="24"/>
          <w:highlight w:val="none"/>
          <w:lang w:val="zh-CN"/>
        </w:rPr>
        <w:t>投标人名称(盖公章)：</w:t>
      </w:r>
    </w:p>
    <w:p w14:paraId="710CAF68">
      <w:pPr>
        <w:snapToGrid w:val="0"/>
        <w:spacing w:line="360" w:lineRule="auto"/>
        <w:ind w:firstLine="5880" w:firstLineChars="245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日期</w:t>
      </w:r>
      <w:r>
        <w:rPr>
          <w:rFonts w:hint="eastAsia" w:ascii="宋体" w:hAnsi="宋体" w:cs="宋体"/>
          <w:color w:val="auto"/>
          <w:kern w:val="0"/>
          <w:sz w:val="24"/>
          <w:highlight w:val="none"/>
        </w:rPr>
        <w:t>：  年  月  日</w:t>
      </w:r>
    </w:p>
    <w:p w14:paraId="6043B16F">
      <w:pPr>
        <w:rPr>
          <w:rFonts w:ascii="宋体" w:hAnsi="宋体" w:cs="宋体"/>
          <w:b/>
          <w:color w:val="auto"/>
          <w:sz w:val="28"/>
          <w:szCs w:val="28"/>
          <w:highlight w:val="none"/>
        </w:rPr>
      </w:pPr>
      <w:r>
        <w:rPr>
          <w:color w:val="auto"/>
          <w:highlight w:val="none"/>
        </w:rPr>
        <w:br w:type="page"/>
      </w:r>
      <w:r>
        <w:rPr>
          <w:rFonts w:hint="eastAsia" w:ascii="宋体" w:hAnsi="宋体" w:cs="宋体"/>
          <w:b/>
          <w:color w:val="auto"/>
          <w:sz w:val="28"/>
          <w:szCs w:val="28"/>
          <w:highlight w:val="none"/>
        </w:rPr>
        <w:t>4、售后服务方案</w:t>
      </w:r>
    </w:p>
    <w:p w14:paraId="15EDB8AE">
      <w:pPr>
        <w:snapToGrid w:val="0"/>
        <w:spacing w:beforeLines="50" w:after="50"/>
        <w:ind w:firstLine="452"/>
        <w:jc w:val="center"/>
        <w:rPr>
          <w:rFonts w:ascii="宋体" w:hAnsi="宋体" w:cs="宋体"/>
          <w:b/>
          <w:color w:val="auto"/>
          <w:sz w:val="30"/>
          <w:szCs w:val="30"/>
          <w:highlight w:val="none"/>
        </w:rPr>
      </w:pPr>
      <w:r>
        <w:rPr>
          <w:rFonts w:hint="eastAsia" w:ascii="宋体" w:hAnsi="宋体" w:cs="宋体"/>
          <w:b/>
          <w:color w:val="auto"/>
          <w:sz w:val="30"/>
          <w:szCs w:val="30"/>
          <w:highlight w:val="none"/>
        </w:rPr>
        <w:t>售后服务方案</w:t>
      </w:r>
    </w:p>
    <w:p w14:paraId="36625590">
      <w:pPr>
        <w:snapToGrid w:val="0"/>
        <w:spacing w:beforeLines="50" w:after="50"/>
        <w:ind w:firstLine="420" w:firstLineChars="200"/>
        <w:rPr>
          <w:rFonts w:ascii="宋体" w:hAnsi="宋体" w:cs="宋体"/>
          <w:b/>
          <w:color w:val="auto"/>
          <w:szCs w:val="21"/>
          <w:highlight w:val="none"/>
        </w:rPr>
      </w:pPr>
      <w:r>
        <w:rPr>
          <w:rFonts w:hint="eastAsia" w:ascii="宋体" w:hAnsi="宋体" w:cs="宋体"/>
          <w:color w:val="auto"/>
          <w:szCs w:val="21"/>
          <w:highlight w:val="none"/>
        </w:rPr>
        <w:t>由投标人按本项目招标文件“第二章采购需求”中商务条款部分的售后服务要求自行填写，其中要包含售后服务承诺书。</w:t>
      </w:r>
    </w:p>
    <w:p w14:paraId="3B73553C">
      <w:pPr>
        <w:autoSpaceDE w:val="0"/>
        <w:autoSpaceDN w:val="0"/>
        <w:ind w:firstLine="316"/>
        <w:rPr>
          <w:rFonts w:ascii="宋体" w:hAnsi="宋体" w:cs="宋体"/>
          <w:b/>
          <w:color w:val="auto"/>
          <w:szCs w:val="21"/>
          <w:highlight w:val="none"/>
        </w:rPr>
      </w:pPr>
      <w:r>
        <w:rPr>
          <w:rFonts w:hint="eastAsia" w:ascii="宋体" w:hAnsi="宋体" w:cs="宋体"/>
          <w:b/>
          <w:color w:val="auto"/>
          <w:szCs w:val="21"/>
          <w:highlight w:val="none"/>
        </w:rPr>
        <w:t>附表A：售后服务机构情况表</w:t>
      </w:r>
      <w:r>
        <w:rPr>
          <w:rFonts w:hint="eastAsia" w:ascii="宋体" w:hAnsi="宋体" w:cs="宋体"/>
          <w:color w:val="auto"/>
          <w:szCs w:val="21"/>
          <w:highlight w:val="none"/>
        </w:rPr>
        <w:t>（按此格式自制）</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2332"/>
        <w:gridCol w:w="1091"/>
        <w:gridCol w:w="1241"/>
        <w:gridCol w:w="1973"/>
        <w:gridCol w:w="1255"/>
      </w:tblGrid>
      <w:tr w14:paraId="684AA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825" w:type="dxa"/>
            <w:vAlign w:val="center"/>
          </w:tcPr>
          <w:p w14:paraId="5CF66C55">
            <w:pPr>
              <w:keepNext w:val="0"/>
              <w:keepLines w:val="0"/>
              <w:suppressLineNumbers w:val="0"/>
              <w:autoSpaceDE w:val="0"/>
              <w:autoSpaceDN w:val="0"/>
              <w:spacing w:before="0" w:beforeAutospacing="0" w:after="0" w:afterAutospacing="0"/>
              <w:ind w:left="0" w:right="0"/>
              <w:jc w:val="center"/>
              <w:rPr>
                <w:rFonts w:ascii="宋体" w:hAnsi="宋体" w:cs="宋体"/>
                <w:b/>
                <w:color w:val="auto"/>
                <w:szCs w:val="21"/>
                <w:highlight w:val="none"/>
              </w:rPr>
            </w:pPr>
            <w:r>
              <w:rPr>
                <w:rFonts w:hint="eastAsia" w:ascii="宋体" w:hAnsi="宋体" w:cs="宋体"/>
                <w:b/>
                <w:color w:val="auto"/>
                <w:szCs w:val="21"/>
                <w:highlight w:val="none"/>
              </w:rPr>
              <w:t>序号</w:t>
            </w:r>
          </w:p>
        </w:tc>
        <w:tc>
          <w:tcPr>
            <w:tcW w:w="2332" w:type="dxa"/>
            <w:vAlign w:val="center"/>
          </w:tcPr>
          <w:p w14:paraId="68EC418B">
            <w:pPr>
              <w:keepNext w:val="0"/>
              <w:keepLines w:val="0"/>
              <w:suppressLineNumbers w:val="0"/>
              <w:autoSpaceDE w:val="0"/>
              <w:autoSpaceDN w:val="0"/>
              <w:spacing w:before="0" w:beforeAutospacing="0" w:after="0" w:afterAutospacing="0"/>
              <w:ind w:left="0" w:right="0"/>
              <w:jc w:val="center"/>
              <w:rPr>
                <w:rFonts w:ascii="宋体" w:hAnsi="宋体" w:cs="宋体"/>
                <w:b/>
                <w:color w:val="auto"/>
                <w:szCs w:val="21"/>
                <w:highlight w:val="none"/>
              </w:rPr>
            </w:pPr>
            <w:r>
              <w:rPr>
                <w:rFonts w:hint="eastAsia" w:ascii="宋体" w:hAnsi="宋体" w:cs="宋体"/>
                <w:b/>
                <w:color w:val="auto"/>
                <w:szCs w:val="21"/>
                <w:highlight w:val="none"/>
              </w:rPr>
              <w:t>机构名称</w:t>
            </w:r>
          </w:p>
        </w:tc>
        <w:tc>
          <w:tcPr>
            <w:tcW w:w="1091" w:type="dxa"/>
            <w:vAlign w:val="center"/>
          </w:tcPr>
          <w:p w14:paraId="2196056C">
            <w:pPr>
              <w:keepNext w:val="0"/>
              <w:keepLines w:val="0"/>
              <w:suppressLineNumbers w:val="0"/>
              <w:autoSpaceDE w:val="0"/>
              <w:autoSpaceDN w:val="0"/>
              <w:spacing w:before="0" w:beforeAutospacing="0" w:after="0" w:afterAutospacing="0"/>
              <w:ind w:left="0" w:right="0"/>
              <w:jc w:val="center"/>
              <w:rPr>
                <w:rFonts w:ascii="宋体" w:hAnsi="宋体" w:cs="宋体"/>
                <w:b/>
                <w:color w:val="auto"/>
                <w:szCs w:val="21"/>
                <w:highlight w:val="none"/>
              </w:rPr>
            </w:pPr>
            <w:r>
              <w:rPr>
                <w:rFonts w:hint="eastAsia" w:ascii="宋体" w:hAnsi="宋体" w:cs="宋体"/>
                <w:b/>
                <w:color w:val="auto"/>
                <w:szCs w:val="21"/>
                <w:highlight w:val="none"/>
              </w:rPr>
              <w:t>机构性质</w:t>
            </w:r>
          </w:p>
        </w:tc>
        <w:tc>
          <w:tcPr>
            <w:tcW w:w="1241" w:type="dxa"/>
            <w:vAlign w:val="center"/>
          </w:tcPr>
          <w:p w14:paraId="7C0C4AF2">
            <w:pPr>
              <w:keepNext w:val="0"/>
              <w:keepLines w:val="0"/>
              <w:suppressLineNumbers w:val="0"/>
              <w:autoSpaceDE w:val="0"/>
              <w:autoSpaceDN w:val="0"/>
              <w:spacing w:before="0" w:beforeAutospacing="0" w:after="0" w:afterAutospacing="0"/>
              <w:ind w:left="0" w:right="0"/>
              <w:jc w:val="center"/>
              <w:rPr>
                <w:rFonts w:ascii="宋体" w:hAnsi="宋体" w:cs="宋体"/>
                <w:b/>
                <w:color w:val="auto"/>
                <w:szCs w:val="21"/>
                <w:highlight w:val="none"/>
              </w:rPr>
            </w:pPr>
            <w:r>
              <w:rPr>
                <w:rFonts w:hint="eastAsia" w:ascii="宋体" w:hAnsi="宋体" w:cs="宋体"/>
                <w:b/>
                <w:color w:val="auto"/>
                <w:szCs w:val="21"/>
                <w:highlight w:val="none"/>
              </w:rPr>
              <w:t>注册地址</w:t>
            </w:r>
          </w:p>
        </w:tc>
        <w:tc>
          <w:tcPr>
            <w:tcW w:w="1973" w:type="dxa"/>
            <w:vAlign w:val="center"/>
          </w:tcPr>
          <w:p w14:paraId="7BFDDECB">
            <w:pPr>
              <w:keepNext w:val="0"/>
              <w:keepLines w:val="0"/>
              <w:suppressLineNumbers w:val="0"/>
              <w:autoSpaceDE w:val="0"/>
              <w:autoSpaceDN w:val="0"/>
              <w:spacing w:before="0" w:beforeAutospacing="0" w:after="0" w:afterAutospacing="0"/>
              <w:ind w:left="0" w:right="0"/>
              <w:jc w:val="center"/>
              <w:rPr>
                <w:rFonts w:ascii="宋体" w:hAnsi="宋体" w:cs="宋体"/>
                <w:b/>
                <w:color w:val="auto"/>
                <w:szCs w:val="21"/>
                <w:highlight w:val="none"/>
              </w:rPr>
            </w:pPr>
            <w:r>
              <w:rPr>
                <w:rFonts w:hint="eastAsia" w:ascii="宋体" w:hAnsi="宋体" w:cs="宋体"/>
                <w:b/>
                <w:color w:val="auto"/>
                <w:szCs w:val="21"/>
                <w:highlight w:val="none"/>
              </w:rPr>
              <w:t>货物技术人员数量</w:t>
            </w:r>
          </w:p>
        </w:tc>
        <w:tc>
          <w:tcPr>
            <w:tcW w:w="1255" w:type="dxa"/>
            <w:vAlign w:val="center"/>
          </w:tcPr>
          <w:p w14:paraId="1A605754">
            <w:pPr>
              <w:keepNext w:val="0"/>
              <w:keepLines w:val="0"/>
              <w:suppressLineNumbers w:val="0"/>
              <w:autoSpaceDE w:val="0"/>
              <w:autoSpaceDN w:val="0"/>
              <w:spacing w:before="0" w:beforeAutospacing="0" w:after="0" w:afterAutospacing="0"/>
              <w:ind w:left="0" w:right="0"/>
              <w:jc w:val="center"/>
              <w:rPr>
                <w:rFonts w:ascii="宋体" w:hAnsi="宋体" w:cs="宋体"/>
                <w:b/>
                <w:color w:val="auto"/>
                <w:szCs w:val="21"/>
                <w:highlight w:val="none"/>
              </w:rPr>
            </w:pPr>
            <w:r>
              <w:rPr>
                <w:rFonts w:hint="eastAsia" w:ascii="宋体" w:hAnsi="宋体" w:cs="宋体"/>
                <w:b/>
                <w:color w:val="auto"/>
                <w:szCs w:val="21"/>
                <w:highlight w:val="none"/>
              </w:rPr>
              <w:t>联系电话</w:t>
            </w:r>
          </w:p>
        </w:tc>
      </w:tr>
      <w:tr w14:paraId="2BB99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825" w:type="dxa"/>
            <w:vAlign w:val="center"/>
          </w:tcPr>
          <w:p w14:paraId="4F184CE3">
            <w:pPr>
              <w:keepNext w:val="0"/>
              <w:keepLines w:val="0"/>
              <w:suppressLineNumbers w:val="0"/>
              <w:autoSpaceDE w:val="0"/>
              <w:autoSpaceDN w:val="0"/>
              <w:spacing w:before="0" w:beforeAutospacing="0" w:after="0" w:afterAutospacing="0"/>
              <w:ind w:left="0" w:right="0"/>
              <w:jc w:val="center"/>
              <w:rPr>
                <w:rFonts w:ascii="宋体" w:hAnsi="宋体" w:cs="宋体"/>
                <w:color w:val="auto"/>
                <w:szCs w:val="21"/>
                <w:highlight w:val="none"/>
              </w:rPr>
            </w:pPr>
          </w:p>
        </w:tc>
        <w:tc>
          <w:tcPr>
            <w:tcW w:w="2332" w:type="dxa"/>
            <w:vAlign w:val="center"/>
          </w:tcPr>
          <w:p w14:paraId="7F3E4A66">
            <w:pPr>
              <w:keepNext w:val="0"/>
              <w:keepLines w:val="0"/>
              <w:suppressLineNumbers w:val="0"/>
              <w:autoSpaceDE w:val="0"/>
              <w:autoSpaceDN w:val="0"/>
              <w:spacing w:before="0" w:beforeAutospacing="0" w:after="0" w:afterAutospacing="0"/>
              <w:ind w:left="0" w:right="0"/>
              <w:jc w:val="center"/>
              <w:rPr>
                <w:rFonts w:ascii="宋体" w:hAnsi="宋体" w:cs="宋体"/>
                <w:color w:val="auto"/>
                <w:szCs w:val="21"/>
                <w:highlight w:val="none"/>
              </w:rPr>
            </w:pPr>
          </w:p>
        </w:tc>
        <w:tc>
          <w:tcPr>
            <w:tcW w:w="1091" w:type="dxa"/>
            <w:vAlign w:val="center"/>
          </w:tcPr>
          <w:p w14:paraId="08180BE7">
            <w:pPr>
              <w:keepNext w:val="0"/>
              <w:keepLines w:val="0"/>
              <w:suppressLineNumbers w:val="0"/>
              <w:autoSpaceDE w:val="0"/>
              <w:autoSpaceDN w:val="0"/>
              <w:spacing w:before="0" w:beforeAutospacing="0" w:after="0" w:afterAutospacing="0"/>
              <w:ind w:left="0" w:right="0"/>
              <w:jc w:val="center"/>
              <w:rPr>
                <w:rFonts w:ascii="宋体" w:hAnsi="宋体" w:cs="宋体"/>
                <w:color w:val="auto"/>
                <w:szCs w:val="21"/>
                <w:highlight w:val="none"/>
              </w:rPr>
            </w:pPr>
          </w:p>
        </w:tc>
        <w:tc>
          <w:tcPr>
            <w:tcW w:w="1241" w:type="dxa"/>
            <w:vAlign w:val="center"/>
          </w:tcPr>
          <w:p w14:paraId="1492A7E0">
            <w:pPr>
              <w:keepNext w:val="0"/>
              <w:keepLines w:val="0"/>
              <w:suppressLineNumbers w:val="0"/>
              <w:autoSpaceDE w:val="0"/>
              <w:autoSpaceDN w:val="0"/>
              <w:spacing w:before="0" w:beforeAutospacing="0" w:after="0" w:afterAutospacing="0"/>
              <w:ind w:left="0" w:right="0"/>
              <w:jc w:val="center"/>
              <w:rPr>
                <w:rFonts w:ascii="宋体" w:hAnsi="宋体" w:cs="宋体"/>
                <w:color w:val="auto"/>
                <w:szCs w:val="21"/>
                <w:highlight w:val="none"/>
              </w:rPr>
            </w:pPr>
          </w:p>
        </w:tc>
        <w:tc>
          <w:tcPr>
            <w:tcW w:w="1973" w:type="dxa"/>
            <w:vAlign w:val="center"/>
          </w:tcPr>
          <w:p w14:paraId="3D2089E4">
            <w:pPr>
              <w:keepNext w:val="0"/>
              <w:keepLines w:val="0"/>
              <w:suppressLineNumbers w:val="0"/>
              <w:autoSpaceDE w:val="0"/>
              <w:autoSpaceDN w:val="0"/>
              <w:spacing w:before="0" w:beforeAutospacing="0" w:after="0" w:afterAutospacing="0"/>
              <w:ind w:left="0" w:right="0"/>
              <w:jc w:val="center"/>
              <w:rPr>
                <w:rFonts w:ascii="宋体" w:hAnsi="宋体" w:cs="宋体"/>
                <w:color w:val="auto"/>
                <w:szCs w:val="21"/>
                <w:highlight w:val="none"/>
              </w:rPr>
            </w:pPr>
          </w:p>
        </w:tc>
        <w:tc>
          <w:tcPr>
            <w:tcW w:w="1255" w:type="dxa"/>
            <w:vAlign w:val="center"/>
          </w:tcPr>
          <w:p w14:paraId="756FCE4C">
            <w:pPr>
              <w:keepNext w:val="0"/>
              <w:keepLines w:val="0"/>
              <w:suppressLineNumbers w:val="0"/>
              <w:autoSpaceDE w:val="0"/>
              <w:autoSpaceDN w:val="0"/>
              <w:spacing w:before="0" w:beforeAutospacing="0" w:after="0" w:afterAutospacing="0"/>
              <w:ind w:left="0" w:right="0"/>
              <w:jc w:val="center"/>
              <w:rPr>
                <w:rFonts w:ascii="宋体" w:hAnsi="宋体" w:cs="宋体"/>
                <w:color w:val="auto"/>
                <w:szCs w:val="21"/>
                <w:highlight w:val="none"/>
              </w:rPr>
            </w:pPr>
          </w:p>
        </w:tc>
      </w:tr>
      <w:tr w14:paraId="203F1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825" w:type="dxa"/>
            <w:vAlign w:val="center"/>
          </w:tcPr>
          <w:p w14:paraId="645AA1BC">
            <w:pPr>
              <w:keepNext w:val="0"/>
              <w:keepLines w:val="0"/>
              <w:suppressLineNumbers w:val="0"/>
              <w:autoSpaceDE w:val="0"/>
              <w:autoSpaceDN w:val="0"/>
              <w:spacing w:before="0" w:beforeAutospacing="0" w:after="0" w:afterAutospacing="0"/>
              <w:ind w:left="0" w:right="0"/>
              <w:jc w:val="center"/>
              <w:rPr>
                <w:rFonts w:ascii="宋体" w:hAnsi="宋体" w:cs="宋体"/>
                <w:color w:val="auto"/>
                <w:szCs w:val="21"/>
                <w:highlight w:val="none"/>
              </w:rPr>
            </w:pPr>
          </w:p>
        </w:tc>
        <w:tc>
          <w:tcPr>
            <w:tcW w:w="2332" w:type="dxa"/>
            <w:vAlign w:val="center"/>
          </w:tcPr>
          <w:p w14:paraId="7CD5BAE7">
            <w:pPr>
              <w:keepNext w:val="0"/>
              <w:keepLines w:val="0"/>
              <w:suppressLineNumbers w:val="0"/>
              <w:autoSpaceDE w:val="0"/>
              <w:autoSpaceDN w:val="0"/>
              <w:spacing w:before="0" w:beforeAutospacing="0" w:after="0" w:afterAutospacing="0"/>
              <w:ind w:left="0" w:right="0"/>
              <w:jc w:val="center"/>
              <w:rPr>
                <w:rFonts w:ascii="宋体" w:hAnsi="宋体" w:cs="宋体"/>
                <w:color w:val="auto"/>
                <w:szCs w:val="21"/>
                <w:highlight w:val="none"/>
              </w:rPr>
            </w:pPr>
          </w:p>
        </w:tc>
        <w:tc>
          <w:tcPr>
            <w:tcW w:w="1091" w:type="dxa"/>
            <w:vAlign w:val="center"/>
          </w:tcPr>
          <w:p w14:paraId="27E65334">
            <w:pPr>
              <w:keepNext w:val="0"/>
              <w:keepLines w:val="0"/>
              <w:suppressLineNumbers w:val="0"/>
              <w:autoSpaceDE w:val="0"/>
              <w:autoSpaceDN w:val="0"/>
              <w:spacing w:before="0" w:beforeAutospacing="0" w:after="0" w:afterAutospacing="0"/>
              <w:ind w:left="0" w:right="0"/>
              <w:jc w:val="center"/>
              <w:rPr>
                <w:rFonts w:ascii="宋体" w:hAnsi="宋体" w:cs="宋体"/>
                <w:color w:val="auto"/>
                <w:szCs w:val="21"/>
                <w:highlight w:val="none"/>
              </w:rPr>
            </w:pPr>
          </w:p>
        </w:tc>
        <w:tc>
          <w:tcPr>
            <w:tcW w:w="1241" w:type="dxa"/>
            <w:vAlign w:val="center"/>
          </w:tcPr>
          <w:p w14:paraId="3067008F">
            <w:pPr>
              <w:keepNext w:val="0"/>
              <w:keepLines w:val="0"/>
              <w:suppressLineNumbers w:val="0"/>
              <w:autoSpaceDE w:val="0"/>
              <w:autoSpaceDN w:val="0"/>
              <w:spacing w:before="0" w:beforeAutospacing="0" w:after="0" w:afterAutospacing="0"/>
              <w:ind w:left="0" w:right="0"/>
              <w:jc w:val="center"/>
              <w:rPr>
                <w:rFonts w:ascii="宋体" w:hAnsi="宋体" w:cs="宋体"/>
                <w:color w:val="auto"/>
                <w:szCs w:val="21"/>
                <w:highlight w:val="none"/>
              </w:rPr>
            </w:pPr>
          </w:p>
        </w:tc>
        <w:tc>
          <w:tcPr>
            <w:tcW w:w="1973" w:type="dxa"/>
            <w:vAlign w:val="center"/>
          </w:tcPr>
          <w:p w14:paraId="39460A67">
            <w:pPr>
              <w:keepNext w:val="0"/>
              <w:keepLines w:val="0"/>
              <w:suppressLineNumbers w:val="0"/>
              <w:autoSpaceDE w:val="0"/>
              <w:autoSpaceDN w:val="0"/>
              <w:spacing w:before="0" w:beforeAutospacing="0" w:after="0" w:afterAutospacing="0"/>
              <w:ind w:left="0" w:right="0"/>
              <w:jc w:val="center"/>
              <w:rPr>
                <w:rFonts w:ascii="宋体" w:hAnsi="宋体" w:cs="宋体"/>
                <w:color w:val="auto"/>
                <w:szCs w:val="21"/>
                <w:highlight w:val="none"/>
              </w:rPr>
            </w:pPr>
          </w:p>
        </w:tc>
        <w:tc>
          <w:tcPr>
            <w:tcW w:w="1255" w:type="dxa"/>
            <w:vAlign w:val="center"/>
          </w:tcPr>
          <w:p w14:paraId="6EA0021F">
            <w:pPr>
              <w:keepNext w:val="0"/>
              <w:keepLines w:val="0"/>
              <w:suppressLineNumbers w:val="0"/>
              <w:autoSpaceDE w:val="0"/>
              <w:autoSpaceDN w:val="0"/>
              <w:spacing w:before="0" w:beforeAutospacing="0" w:after="0" w:afterAutospacing="0"/>
              <w:ind w:left="0" w:right="0"/>
              <w:jc w:val="center"/>
              <w:rPr>
                <w:rFonts w:ascii="宋体" w:hAnsi="宋体" w:cs="宋体"/>
                <w:color w:val="auto"/>
                <w:szCs w:val="21"/>
                <w:highlight w:val="none"/>
              </w:rPr>
            </w:pPr>
          </w:p>
        </w:tc>
      </w:tr>
      <w:tr w14:paraId="757D9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825" w:type="dxa"/>
            <w:vAlign w:val="center"/>
          </w:tcPr>
          <w:p w14:paraId="3400926F">
            <w:pPr>
              <w:keepNext w:val="0"/>
              <w:keepLines w:val="0"/>
              <w:suppressLineNumbers w:val="0"/>
              <w:autoSpaceDE w:val="0"/>
              <w:autoSpaceDN w:val="0"/>
              <w:spacing w:before="0" w:beforeAutospacing="0" w:after="0" w:afterAutospacing="0"/>
              <w:ind w:left="0" w:right="0"/>
              <w:jc w:val="center"/>
              <w:rPr>
                <w:rFonts w:ascii="宋体" w:hAnsi="宋体" w:cs="宋体"/>
                <w:color w:val="auto"/>
                <w:szCs w:val="21"/>
                <w:highlight w:val="none"/>
              </w:rPr>
            </w:pPr>
          </w:p>
        </w:tc>
        <w:tc>
          <w:tcPr>
            <w:tcW w:w="2332" w:type="dxa"/>
            <w:vAlign w:val="center"/>
          </w:tcPr>
          <w:p w14:paraId="00D83547">
            <w:pPr>
              <w:keepNext w:val="0"/>
              <w:keepLines w:val="0"/>
              <w:suppressLineNumbers w:val="0"/>
              <w:autoSpaceDE w:val="0"/>
              <w:autoSpaceDN w:val="0"/>
              <w:spacing w:before="0" w:beforeAutospacing="0" w:after="0" w:afterAutospacing="0"/>
              <w:ind w:left="0" w:right="0"/>
              <w:jc w:val="center"/>
              <w:rPr>
                <w:rFonts w:ascii="宋体" w:hAnsi="宋体" w:cs="宋体"/>
                <w:color w:val="auto"/>
                <w:szCs w:val="21"/>
                <w:highlight w:val="none"/>
              </w:rPr>
            </w:pPr>
          </w:p>
        </w:tc>
        <w:tc>
          <w:tcPr>
            <w:tcW w:w="1091" w:type="dxa"/>
            <w:vAlign w:val="center"/>
          </w:tcPr>
          <w:p w14:paraId="057B377D">
            <w:pPr>
              <w:keepNext w:val="0"/>
              <w:keepLines w:val="0"/>
              <w:suppressLineNumbers w:val="0"/>
              <w:autoSpaceDE w:val="0"/>
              <w:autoSpaceDN w:val="0"/>
              <w:spacing w:before="0" w:beforeAutospacing="0" w:after="0" w:afterAutospacing="0"/>
              <w:ind w:left="0" w:right="0"/>
              <w:jc w:val="center"/>
              <w:rPr>
                <w:rFonts w:ascii="宋体" w:hAnsi="宋体" w:cs="宋体"/>
                <w:color w:val="auto"/>
                <w:szCs w:val="21"/>
                <w:highlight w:val="none"/>
              </w:rPr>
            </w:pPr>
          </w:p>
        </w:tc>
        <w:tc>
          <w:tcPr>
            <w:tcW w:w="1241" w:type="dxa"/>
            <w:vAlign w:val="center"/>
          </w:tcPr>
          <w:p w14:paraId="3DDF9519">
            <w:pPr>
              <w:keepNext w:val="0"/>
              <w:keepLines w:val="0"/>
              <w:suppressLineNumbers w:val="0"/>
              <w:autoSpaceDE w:val="0"/>
              <w:autoSpaceDN w:val="0"/>
              <w:spacing w:before="0" w:beforeAutospacing="0" w:after="0" w:afterAutospacing="0"/>
              <w:ind w:left="0" w:right="0"/>
              <w:jc w:val="center"/>
              <w:rPr>
                <w:rFonts w:ascii="宋体" w:hAnsi="宋体" w:cs="宋体"/>
                <w:color w:val="auto"/>
                <w:szCs w:val="21"/>
                <w:highlight w:val="none"/>
              </w:rPr>
            </w:pPr>
          </w:p>
        </w:tc>
        <w:tc>
          <w:tcPr>
            <w:tcW w:w="1973" w:type="dxa"/>
            <w:vAlign w:val="center"/>
          </w:tcPr>
          <w:p w14:paraId="477A4DA3">
            <w:pPr>
              <w:keepNext w:val="0"/>
              <w:keepLines w:val="0"/>
              <w:suppressLineNumbers w:val="0"/>
              <w:autoSpaceDE w:val="0"/>
              <w:autoSpaceDN w:val="0"/>
              <w:spacing w:before="0" w:beforeAutospacing="0" w:after="0" w:afterAutospacing="0"/>
              <w:ind w:left="0" w:right="0"/>
              <w:jc w:val="center"/>
              <w:rPr>
                <w:rFonts w:ascii="宋体" w:hAnsi="宋体" w:cs="宋体"/>
                <w:color w:val="auto"/>
                <w:szCs w:val="21"/>
                <w:highlight w:val="none"/>
              </w:rPr>
            </w:pPr>
          </w:p>
        </w:tc>
        <w:tc>
          <w:tcPr>
            <w:tcW w:w="1255" w:type="dxa"/>
            <w:vAlign w:val="center"/>
          </w:tcPr>
          <w:p w14:paraId="0E69C314">
            <w:pPr>
              <w:keepNext w:val="0"/>
              <w:keepLines w:val="0"/>
              <w:suppressLineNumbers w:val="0"/>
              <w:autoSpaceDE w:val="0"/>
              <w:autoSpaceDN w:val="0"/>
              <w:spacing w:before="0" w:beforeAutospacing="0" w:after="0" w:afterAutospacing="0"/>
              <w:ind w:left="0" w:right="0"/>
              <w:jc w:val="center"/>
              <w:rPr>
                <w:rFonts w:ascii="宋体" w:hAnsi="宋体" w:cs="宋体"/>
                <w:color w:val="auto"/>
                <w:szCs w:val="21"/>
                <w:highlight w:val="none"/>
              </w:rPr>
            </w:pPr>
          </w:p>
        </w:tc>
      </w:tr>
    </w:tbl>
    <w:p w14:paraId="452ECB8D">
      <w:pPr>
        <w:autoSpaceDE w:val="0"/>
        <w:autoSpaceDN w:val="0"/>
        <w:ind w:firstLine="316"/>
        <w:rPr>
          <w:rFonts w:ascii="宋体" w:hAnsi="宋体" w:cs="宋体"/>
          <w:color w:val="auto"/>
          <w:kern w:val="0"/>
          <w:szCs w:val="21"/>
          <w:highlight w:val="none"/>
        </w:rPr>
      </w:pPr>
      <w:r>
        <w:rPr>
          <w:rFonts w:hint="eastAsia" w:ascii="宋体" w:hAnsi="宋体" w:cs="宋体"/>
          <w:b/>
          <w:color w:val="auto"/>
          <w:szCs w:val="21"/>
          <w:highlight w:val="none"/>
        </w:rPr>
        <w:t>注：关于项目涉及的所有售后服务机构均在本表注明，包括供应商本单位和符合条件的第三方货物机构；</w:t>
      </w:r>
    </w:p>
    <w:tbl>
      <w:tblPr>
        <w:tblStyle w:val="28"/>
        <w:tblpPr w:leftFromText="180" w:rightFromText="180" w:vertAnchor="text" w:horzAnchor="page" w:tblpX="1455" w:tblpY="401"/>
        <w:tblOverlap w:val="never"/>
        <w:tblW w:w="9041" w:type="dxa"/>
        <w:tblInd w:w="0" w:type="dxa"/>
        <w:tblLayout w:type="fixed"/>
        <w:tblCellMar>
          <w:top w:w="0" w:type="dxa"/>
          <w:left w:w="108" w:type="dxa"/>
          <w:bottom w:w="0" w:type="dxa"/>
          <w:right w:w="108" w:type="dxa"/>
        </w:tblCellMar>
      </w:tblPr>
      <w:tblGrid>
        <w:gridCol w:w="510"/>
        <w:gridCol w:w="825"/>
        <w:gridCol w:w="885"/>
        <w:gridCol w:w="510"/>
        <w:gridCol w:w="780"/>
        <w:gridCol w:w="765"/>
        <w:gridCol w:w="915"/>
        <w:gridCol w:w="765"/>
        <w:gridCol w:w="1036"/>
        <w:gridCol w:w="1002"/>
        <w:gridCol w:w="1048"/>
      </w:tblGrid>
      <w:tr w14:paraId="517651B8">
        <w:tblPrEx>
          <w:tblCellMar>
            <w:top w:w="0" w:type="dxa"/>
            <w:left w:w="108" w:type="dxa"/>
            <w:bottom w:w="0" w:type="dxa"/>
            <w:right w:w="108" w:type="dxa"/>
          </w:tblCellMar>
        </w:tblPrEx>
        <w:trPr>
          <w:trHeight w:val="994" w:hRule="atLeast"/>
        </w:trPr>
        <w:tc>
          <w:tcPr>
            <w:tcW w:w="510" w:type="dxa"/>
            <w:tcBorders>
              <w:top w:val="single" w:color="auto" w:sz="6" w:space="0"/>
              <w:left w:val="single" w:color="auto" w:sz="6" w:space="0"/>
              <w:bottom w:val="single" w:color="auto" w:sz="6" w:space="0"/>
              <w:right w:val="single" w:color="auto" w:sz="4" w:space="0"/>
            </w:tcBorders>
            <w:vAlign w:val="center"/>
          </w:tcPr>
          <w:p w14:paraId="537D8632">
            <w:pPr>
              <w:keepNext w:val="0"/>
              <w:keepLines w:val="0"/>
              <w:suppressLineNumbers w:val="0"/>
              <w:autoSpaceDE w:val="0"/>
              <w:autoSpaceDN w:val="0"/>
              <w:spacing w:before="0" w:beforeAutospacing="0" w:after="0" w:afterAutospacing="0"/>
              <w:ind w:left="0" w:right="0"/>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825" w:type="dxa"/>
            <w:tcBorders>
              <w:top w:val="single" w:color="auto" w:sz="6" w:space="0"/>
              <w:left w:val="single" w:color="auto" w:sz="4" w:space="0"/>
              <w:bottom w:val="single" w:color="auto" w:sz="6" w:space="0"/>
              <w:right w:val="single" w:color="auto" w:sz="6" w:space="0"/>
            </w:tcBorders>
            <w:vAlign w:val="center"/>
          </w:tcPr>
          <w:p w14:paraId="5F9DBFE5">
            <w:pPr>
              <w:keepNext w:val="0"/>
              <w:keepLines w:val="0"/>
              <w:suppressLineNumbers w:val="0"/>
              <w:autoSpaceDE w:val="0"/>
              <w:autoSpaceDN w:val="0"/>
              <w:spacing w:before="0" w:beforeAutospacing="0" w:after="0" w:afterAutospacing="0"/>
              <w:ind w:left="0" w:right="0"/>
              <w:jc w:val="center"/>
              <w:rPr>
                <w:rFonts w:ascii="宋体" w:hAnsi="宋体" w:cs="宋体"/>
                <w:color w:val="auto"/>
                <w:szCs w:val="21"/>
                <w:highlight w:val="none"/>
              </w:rPr>
            </w:pPr>
            <w:r>
              <w:rPr>
                <w:rFonts w:hint="eastAsia" w:ascii="宋体" w:hAnsi="宋体" w:cs="宋体"/>
                <w:color w:val="auto"/>
                <w:szCs w:val="21"/>
                <w:highlight w:val="none"/>
              </w:rPr>
              <w:t>类别</w:t>
            </w:r>
          </w:p>
        </w:tc>
        <w:tc>
          <w:tcPr>
            <w:tcW w:w="885" w:type="dxa"/>
            <w:tcBorders>
              <w:top w:val="single" w:color="auto" w:sz="6" w:space="0"/>
              <w:left w:val="single" w:color="auto" w:sz="6" w:space="0"/>
              <w:bottom w:val="single" w:color="auto" w:sz="6" w:space="0"/>
              <w:right w:val="single" w:color="auto" w:sz="6" w:space="0"/>
            </w:tcBorders>
            <w:vAlign w:val="center"/>
          </w:tcPr>
          <w:p w14:paraId="12ABE448">
            <w:pPr>
              <w:keepNext w:val="0"/>
              <w:keepLines w:val="0"/>
              <w:suppressLineNumbers w:val="0"/>
              <w:autoSpaceDE w:val="0"/>
              <w:autoSpaceDN w:val="0"/>
              <w:spacing w:before="0" w:beforeAutospacing="0" w:after="0" w:afterAutospacing="0"/>
              <w:ind w:left="0" w:right="0"/>
              <w:jc w:val="center"/>
              <w:rPr>
                <w:rFonts w:ascii="宋体" w:hAnsi="宋体" w:cs="宋体"/>
                <w:color w:val="auto"/>
                <w:szCs w:val="21"/>
                <w:highlight w:val="none"/>
              </w:rPr>
            </w:pPr>
            <w:r>
              <w:rPr>
                <w:rFonts w:hint="eastAsia" w:ascii="宋体" w:hAnsi="宋体" w:cs="宋体"/>
                <w:color w:val="auto"/>
                <w:szCs w:val="21"/>
                <w:highlight w:val="none"/>
              </w:rPr>
              <w:t>姓名</w:t>
            </w:r>
          </w:p>
        </w:tc>
        <w:tc>
          <w:tcPr>
            <w:tcW w:w="510" w:type="dxa"/>
            <w:tcBorders>
              <w:top w:val="single" w:color="auto" w:sz="6" w:space="0"/>
              <w:left w:val="single" w:color="auto" w:sz="6" w:space="0"/>
              <w:bottom w:val="single" w:color="auto" w:sz="6" w:space="0"/>
              <w:right w:val="single" w:color="auto" w:sz="6" w:space="0"/>
            </w:tcBorders>
            <w:vAlign w:val="center"/>
          </w:tcPr>
          <w:p w14:paraId="78AEBBD6">
            <w:pPr>
              <w:keepNext w:val="0"/>
              <w:keepLines w:val="0"/>
              <w:suppressLineNumbers w:val="0"/>
              <w:autoSpaceDE w:val="0"/>
              <w:autoSpaceDN w:val="0"/>
              <w:spacing w:before="0" w:beforeAutospacing="0" w:after="0" w:afterAutospacing="0"/>
              <w:ind w:left="0" w:right="0"/>
              <w:jc w:val="center"/>
              <w:rPr>
                <w:rFonts w:ascii="宋体" w:hAnsi="宋体" w:cs="宋体"/>
                <w:color w:val="auto"/>
                <w:szCs w:val="21"/>
                <w:highlight w:val="none"/>
              </w:rPr>
            </w:pPr>
            <w:r>
              <w:rPr>
                <w:rFonts w:hint="eastAsia" w:ascii="宋体" w:hAnsi="宋体" w:cs="宋体"/>
                <w:color w:val="auto"/>
                <w:szCs w:val="21"/>
                <w:highlight w:val="none"/>
              </w:rPr>
              <w:t>性别</w:t>
            </w:r>
          </w:p>
        </w:tc>
        <w:tc>
          <w:tcPr>
            <w:tcW w:w="780" w:type="dxa"/>
            <w:tcBorders>
              <w:top w:val="single" w:color="auto" w:sz="6" w:space="0"/>
              <w:left w:val="single" w:color="auto" w:sz="6" w:space="0"/>
              <w:bottom w:val="single" w:color="auto" w:sz="6" w:space="0"/>
              <w:right w:val="single" w:color="auto" w:sz="6" w:space="0"/>
            </w:tcBorders>
            <w:vAlign w:val="center"/>
          </w:tcPr>
          <w:p w14:paraId="2E9A8DEE">
            <w:pPr>
              <w:keepNext w:val="0"/>
              <w:keepLines w:val="0"/>
              <w:suppressLineNumbers w:val="0"/>
              <w:autoSpaceDE w:val="0"/>
              <w:autoSpaceDN w:val="0"/>
              <w:spacing w:before="0" w:beforeAutospacing="0" w:after="0" w:afterAutospacing="0"/>
              <w:ind w:left="0" w:right="0"/>
              <w:jc w:val="center"/>
              <w:rPr>
                <w:rFonts w:ascii="宋体" w:hAnsi="宋体" w:cs="宋体"/>
                <w:color w:val="auto"/>
                <w:szCs w:val="21"/>
                <w:highlight w:val="none"/>
              </w:rPr>
            </w:pPr>
            <w:r>
              <w:rPr>
                <w:rFonts w:hint="eastAsia" w:ascii="宋体" w:hAnsi="宋体" w:cs="宋体"/>
                <w:color w:val="auto"/>
                <w:szCs w:val="21"/>
                <w:highlight w:val="none"/>
              </w:rPr>
              <w:t>年龄</w:t>
            </w:r>
          </w:p>
        </w:tc>
        <w:tc>
          <w:tcPr>
            <w:tcW w:w="765" w:type="dxa"/>
            <w:tcBorders>
              <w:top w:val="single" w:color="auto" w:sz="6" w:space="0"/>
              <w:left w:val="single" w:color="auto" w:sz="6" w:space="0"/>
              <w:bottom w:val="single" w:color="auto" w:sz="6" w:space="0"/>
              <w:right w:val="single" w:color="auto" w:sz="6" w:space="0"/>
            </w:tcBorders>
            <w:vAlign w:val="center"/>
          </w:tcPr>
          <w:p w14:paraId="1A1A73A5">
            <w:pPr>
              <w:keepNext w:val="0"/>
              <w:keepLines w:val="0"/>
              <w:suppressLineNumbers w:val="0"/>
              <w:autoSpaceDE w:val="0"/>
              <w:autoSpaceDN w:val="0"/>
              <w:spacing w:before="0" w:beforeAutospacing="0" w:after="0" w:afterAutospacing="0"/>
              <w:ind w:left="0" w:right="0"/>
              <w:jc w:val="center"/>
              <w:rPr>
                <w:rFonts w:ascii="宋体" w:hAnsi="宋体" w:cs="宋体"/>
                <w:color w:val="auto"/>
                <w:szCs w:val="21"/>
                <w:highlight w:val="none"/>
              </w:rPr>
            </w:pPr>
            <w:r>
              <w:rPr>
                <w:rFonts w:hint="eastAsia" w:ascii="宋体" w:hAnsi="宋体" w:cs="宋体"/>
                <w:color w:val="auto"/>
                <w:szCs w:val="21"/>
                <w:highlight w:val="none"/>
              </w:rPr>
              <w:t>学历</w:t>
            </w:r>
          </w:p>
        </w:tc>
        <w:tc>
          <w:tcPr>
            <w:tcW w:w="915" w:type="dxa"/>
            <w:tcBorders>
              <w:top w:val="single" w:color="auto" w:sz="6" w:space="0"/>
              <w:left w:val="single" w:color="auto" w:sz="6" w:space="0"/>
              <w:bottom w:val="single" w:color="auto" w:sz="6" w:space="0"/>
              <w:right w:val="single" w:color="auto" w:sz="6" w:space="0"/>
            </w:tcBorders>
            <w:vAlign w:val="center"/>
          </w:tcPr>
          <w:p w14:paraId="3147814E">
            <w:pPr>
              <w:keepNext w:val="0"/>
              <w:keepLines w:val="0"/>
              <w:suppressLineNumbers w:val="0"/>
              <w:autoSpaceDE w:val="0"/>
              <w:autoSpaceDN w:val="0"/>
              <w:spacing w:before="0" w:beforeAutospacing="0" w:after="0" w:afterAutospacing="0"/>
              <w:ind w:left="0" w:right="0"/>
              <w:jc w:val="center"/>
              <w:rPr>
                <w:rFonts w:ascii="宋体" w:hAnsi="宋体" w:cs="宋体"/>
                <w:color w:val="auto"/>
                <w:szCs w:val="21"/>
                <w:highlight w:val="none"/>
              </w:rPr>
            </w:pPr>
            <w:r>
              <w:rPr>
                <w:rFonts w:hint="eastAsia" w:ascii="宋体" w:hAnsi="宋体" w:cs="宋体"/>
                <w:color w:val="auto"/>
                <w:szCs w:val="21"/>
                <w:highlight w:val="none"/>
              </w:rPr>
              <w:t>专业</w:t>
            </w:r>
          </w:p>
        </w:tc>
        <w:tc>
          <w:tcPr>
            <w:tcW w:w="765" w:type="dxa"/>
            <w:tcBorders>
              <w:top w:val="single" w:color="auto" w:sz="6" w:space="0"/>
              <w:left w:val="single" w:color="auto" w:sz="6" w:space="0"/>
              <w:bottom w:val="single" w:color="auto" w:sz="6" w:space="0"/>
              <w:right w:val="single" w:color="auto" w:sz="6" w:space="0"/>
            </w:tcBorders>
            <w:vAlign w:val="center"/>
          </w:tcPr>
          <w:p w14:paraId="2887F755">
            <w:pPr>
              <w:keepNext w:val="0"/>
              <w:keepLines w:val="0"/>
              <w:suppressLineNumbers w:val="0"/>
              <w:autoSpaceDE w:val="0"/>
              <w:autoSpaceDN w:val="0"/>
              <w:spacing w:before="0" w:beforeAutospacing="0" w:after="0" w:afterAutospacing="0"/>
              <w:ind w:left="0" w:right="0"/>
              <w:jc w:val="center"/>
              <w:rPr>
                <w:rFonts w:ascii="宋体" w:hAnsi="宋体" w:cs="宋体"/>
                <w:color w:val="auto"/>
                <w:szCs w:val="21"/>
                <w:highlight w:val="none"/>
              </w:rPr>
            </w:pPr>
            <w:r>
              <w:rPr>
                <w:rFonts w:hint="eastAsia" w:ascii="宋体" w:hAnsi="宋体" w:cs="宋体"/>
                <w:color w:val="auto"/>
                <w:szCs w:val="21"/>
                <w:highlight w:val="none"/>
              </w:rPr>
              <w:t>职称</w:t>
            </w:r>
          </w:p>
        </w:tc>
        <w:tc>
          <w:tcPr>
            <w:tcW w:w="1036" w:type="dxa"/>
            <w:tcBorders>
              <w:top w:val="single" w:color="auto" w:sz="6" w:space="0"/>
              <w:left w:val="single" w:color="auto" w:sz="6" w:space="0"/>
              <w:bottom w:val="single" w:color="auto" w:sz="6" w:space="0"/>
              <w:right w:val="single" w:color="auto" w:sz="6" w:space="0"/>
            </w:tcBorders>
            <w:vAlign w:val="center"/>
          </w:tcPr>
          <w:p w14:paraId="24511C92">
            <w:pPr>
              <w:keepNext w:val="0"/>
              <w:keepLines w:val="0"/>
              <w:suppressLineNumbers w:val="0"/>
              <w:autoSpaceDE w:val="0"/>
              <w:autoSpaceDN w:val="0"/>
              <w:spacing w:before="0" w:beforeAutospacing="0" w:after="0" w:afterAutospacing="0"/>
              <w:ind w:left="0" w:right="0"/>
              <w:jc w:val="center"/>
              <w:rPr>
                <w:rFonts w:ascii="宋体" w:hAnsi="宋体" w:cs="宋体"/>
                <w:color w:val="auto"/>
                <w:szCs w:val="21"/>
                <w:highlight w:val="none"/>
              </w:rPr>
            </w:pPr>
            <w:r>
              <w:rPr>
                <w:rFonts w:hint="eastAsia" w:ascii="宋体" w:hAnsi="宋体" w:cs="宋体"/>
                <w:color w:val="auto"/>
                <w:szCs w:val="21"/>
                <w:highlight w:val="none"/>
              </w:rPr>
              <w:t>本项目中的职责</w:t>
            </w:r>
          </w:p>
        </w:tc>
        <w:tc>
          <w:tcPr>
            <w:tcW w:w="1002" w:type="dxa"/>
            <w:tcBorders>
              <w:top w:val="single" w:color="auto" w:sz="6" w:space="0"/>
              <w:left w:val="single" w:color="auto" w:sz="6" w:space="0"/>
              <w:bottom w:val="single" w:color="auto" w:sz="6" w:space="0"/>
              <w:right w:val="single" w:color="auto" w:sz="6" w:space="0"/>
            </w:tcBorders>
            <w:vAlign w:val="center"/>
          </w:tcPr>
          <w:p w14:paraId="2E93E7D9">
            <w:pPr>
              <w:keepNext w:val="0"/>
              <w:keepLines w:val="0"/>
              <w:suppressLineNumbers w:val="0"/>
              <w:autoSpaceDE w:val="0"/>
              <w:autoSpaceDN w:val="0"/>
              <w:spacing w:before="0" w:beforeAutospacing="0" w:after="0" w:afterAutospacing="0"/>
              <w:ind w:left="0" w:right="0"/>
              <w:jc w:val="center"/>
              <w:rPr>
                <w:rFonts w:ascii="宋体" w:hAnsi="宋体" w:cs="宋体"/>
                <w:color w:val="auto"/>
                <w:szCs w:val="21"/>
                <w:highlight w:val="none"/>
              </w:rPr>
            </w:pPr>
            <w:r>
              <w:rPr>
                <w:rFonts w:hint="eastAsia" w:ascii="宋体" w:hAnsi="宋体" w:cs="宋体"/>
                <w:color w:val="auto"/>
                <w:szCs w:val="21"/>
                <w:highlight w:val="none"/>
              </w:rPr>
              <w:t>响应时间</w:t>
            </w:r>
          </w:p>
        </w:tc>
        <w:tc>
          <w:tcPr>
            <w:tcW w:w="1048" w:type="dxa"/>
            <w:tcBorders>
              <w:top w:val="single" w:color="auto" w:sz="6" w:space="0"/>
              <w:left w:val="single" w:color="auto" w:sz="6" w:space="0"/>
              <w:bottom w:val="single" w:color="auto" w:sz="6" w:space="0"/>
              <w:right w:val="single" w:color="auto" w:sz="6" w:space="0"/>
            </w:tcBorders>
            <w:vAlign w:val="center"/>
          </w:tcPr>
          <w:p w14:paraId="0E082376">
            <w:pPr>
              <w:keepNext w:val="0"/>
              <w:keepLines w:val="0"/>
              <w:suppressLineNumbers w:val="0"/>
              <w:autoSpaceDE w:val="0"/>
              <w:autoSpaceDN w:val="0"/>
              <w:spacing w:before="0" w:beforeAutospacing="0" w:after="0" w:afterAutospacing="0"/>
              <w:ind w:left="0" w:right="0"/>
              <w:jc w:val="center"/>
              <w:rPr>
                <w:rFonts w:ascii="宋体" w:hAnsi="宋体" w:cs="宋体"/>
                <w:color w:val="auto"/>
                <w:szCs w:val="21"/>
                <w:highlight w:val="none"/>
              </w:rPr>
            </w:pPr>
            <w:r>
              <w:rPr>
                <w:rFonts w:hint="eastAsia" w:ascii="宋体" w:hAnsi="宋体" w:cs="宋体"/>
                <w:color w:val="auto"/>
                <w:szCs w:val="21"/>
                <w:highlight w:val="none"/>
              </w:rPr>
              <w:t>到达现场时间</w:t>
            </w:r>
          </w:p>
        </w:tc>
      </w:tr>
      <w:tr w14:paraId="0EED9100">
        <w:tblPrEx>
          <w:tblCellMar>
            <w:top w:w="0" w:type="dxa"/>
            <w:left w:w="108" w:type="dxa"/>
            <w:bottom w:w="0" w:type="dxa"/>
            <w:right w:w="108" w:type="dxa"/>
          </w:tblCellMar>
        </w:tblPrEx>
        <w:trPr>
          <w:trHeight w:val="1050" w:hRule="atLeast"/>
        </w:trPr>
        <w:tc>
          <w:tcPr>
            <w:tcW w:w="510" w:type="dxa"/>
            <w:tcBorders>
              <w:top w:val="single" w:color="auto" w:sz="6" w:space="0"/>
              <w:left w:val="single" w:color="auto" w:sz="6" w:space="0"/>
              <w:bottom w:val="single" w:color="auto" w:sz="6" w:space="0"/>
              <w:right w:val="single" w:color="auto" w:sz="4" w:space="0"/>
            </w:tcBorders>
            <w:vAlign w:val="center"/>
          </w:tcPr>
          <w:p w14:paraId="2F12EC1E">
            <w:pPr>
              <w:keepNext w:val="0"/>
              <w:keepLines w:val="0"/>
              <w:suppressLineNumbers w:val="0"/>
              <w:autoSpaceDE w:val="0"/>
              <w:autoSpaceDN w:val="0"/>
              <w:spacing w:before="0" w:beforeAutospacing="0" w:after="0" w:afterAutospacing="0"/>
              <w:ind w:left="0" w:right="0"/>
              <w:jc w:val="center"/>
              <w:rPr>
                <w:rFonts w:ascii="宋体" w:hAnsi="宋体" w:cs="宋体"/>
                <w:color w:val="auto"/>
                <w:szCs w:val="21"/>
                <w:highlight w:val="none"/>
              </w:rPr>
            </w:pPr>
          </w:p>
        </w:tc>
        <w:tc>
          <w:tcPr>
            <w:tcW w:w="825" w:type="dxa"/>
            <w:tcBorders>
              <w:top w:val="single" w:color="auto" w:sz="6" w:space="0"/>
              <w:left w:val="single" w:color="auto" w:sz="4" w:space="0"/>
              <w:bottom w:val="single" w:color="auto" w:sz="6" w:space="0"/>
              <w:right w:val="single" w:color="auto" w:sz="6" w:space="0"/>
            </w:tcBorders>
            <w:vAlign w:val="center"/>
          </w:tcPr>
          <w:p w14:paraId="48D8D5E7">
            <w:pPr>
              <w:keepNext w:val="0"/>
              <w:keepLines w:val="0"/>
              <w:suppressLineNumbers w:val="0"/>
              <w:autoSpaceDE w:val="0"/>
              <w:autoSpaceDN w:val="0"/>
              <w:spacing w:before="0" w:beforeAutospacing="0" w:after="0" w:afterAutospacing="0"/>
              <w:ind w:left="0" w:right="0"/>
              <w:jc w:val="center"/>
              <w:rPr>
                <w:rFonts w:ascii="宋体" w:hAnsi="宋体" w:cs="宋体"/>
                <w:color w:val="auto"/>
                <w:szCs w:val="21"/>
                <w:highlight w:val="none"/>
              </w:rPr>
            </w:pPr>
            <w:r>
              <w:rPr>
                <w:rFonts w:hint="eastAsia" w:ascii="宋体" w:hAnsi="宋体" w:cs="宋体"/>
                <w:color w:val="auto"/>
                <w:szCs w:val="21"/>
                <w:highlight w:val="none"/>
              </w:rPr>
              <w:t>总协调人</w:t>
            </w:r>
          </w:p>
        </w:tc>
        <w:tc>
          <w:tcPr>
            <w:tcW w:w="885" w:type="dxa"/>
            <w:tcBorders>
              <w:top w:val="single" w:color="auto" w:sz="6" w:space="0"/>
              <w:left w:val="single" w:color="auto" w:sz="6" w:space="0"/>
              <w:bottom w:val="single" w:color="auto" w:sz="6" w:space="0"/>
              <w:right w:val="single" w:color="auto" w:sz="6" w:space="0"/>
            </w:tcBorders>
            <w:vAlign w:val="center"/>
          </w:tcPr>
          <w:p w14:paraId="535F422D">
            <w:pPr>
              <w:keepNext w:val="0"/>
              <w:keepLines w:val="0"/>
              <w:suppressLineNumbers w:val="0"/>
              <w:autoSpaceDE w:val="0"/>
              <w:autoSpaceDN w:val="0"/>
              <w:spacing w:before="0" w:beforeAutospacing="0" w:after="0" w:afterAutospacing="0"/>
              <w:ind w:left="0" w:right="0"/>
              <w:rPr>
                <w:rFonts w:ascii="宋体" w:hAnsi="宋体" w:cs="宋体"/>
                <w:color w:val="auto"/>
                <w:szCs w:val="21"/>
                <w:highlight w:val="none"/>
              </w:rPr>
            </w:pPr>
          </w:p>
        </w:tc>
        <w:tc>
          <w:tcPr>
            <w:tcW w:w="510" w:type="dxa"/>
            <w:tcBorders>
              <w:top w:val="single" w:color="auto" w:sz="6" w:space="0"/>
              <w:left w:val="single" w:color="auto" w:sz="6" w:space="0"/>
              <w:bottom w:val="single" w:color="auto" w:sz="6" w:space="0"/>
              <w:right w:val="single" w:color="auto" w:sz="6" w:space="0"/>
            </w:tcBorders>
            <w:vAlign w:val="center"/>
          </w:tcPr>
          <w:p w14:paraId="283B0539">
            <w:pPr>
              <w:keepNext w:val="0"/>
              <w:keepLines w:val="0"/>
              <w:suppressLineNumbers w:val="0"/>
              <w:autoSpaceDE w:val="0"/>
              <w:autoSpaceDN w:val="0"/>
              <w:spacing w:before="0" w:beforeAutospacing="0" w:after="0" w:afterAutospacing="0"/>
              <w:ind w:left="0" w:right="0"/>
              <w:rPr>
                <w:rFonts w:ascii="宋体" w:hAnsi="宋体" w:cs="宋体"/>
                <w:color w:val="auto"/>
                <w:szCs w:val="21"/>
                <w:highlight w:val="none"/>
              </w:rPr>
            </w:pPr>
          </w:p>
        </w:tc>
        <w:tc>
          <w:tcPr>
            <w:tcW w:w="780" w:type="dxa"/>
            <w:tcBorders>
              <w:top w:val="single" w:color="auto" w:sz="6" w:space="0"/>
              <w:left w:val="single" w:color="auto" w:sz="6" w:space="0"/>
              <w:bottom w:val="single" w:color="auto" w:sz="6" w:space="0"/>
              <w:right w:val="single" w:color="auto" w:sz="6" w:space="0"/>
            </w:tcBorders>
            <w:vAlign w:val="center"/>
          </w:tcPr>
          <w:p w14:paraId="20047E58">
            <w:pPr>
              <w:keepNext w:val="0"/>
              <w:keepLines w:val="0"/>
              <w:suppressLineNumbers w:val="0"/>
              <w:autoSpaceDE w:val="0"/>
              <w:autoSpaceDN w:val="0"/>
              <w:spacing w:before="0" w:beforeAutospacing="0" w:after="0" w:afterAutospacing="0"/>
              <w:ind w:left="0" w:right="0"/>
              <w:rPr>
                <w:rFonts w:ascii="宋体" w:hAnsi="宋体" w:cs="宋体"/>
                <w:color w:val="auto"/>
                <w:szCs w:val="21"/>
                <w:highlight w:val="none"/>
              </w:rPr>
            </w:pPr>
          </w:p>
        </w:tc>
        <w:tc>
          <w:tcPr>
            <w:tcW w:w="765" w:type="dxa"/>
            <w:tcBorders>
              <w:top w:val="single" w:color="auto" w:sz="6" w:space="0"/>
              <w:left w:val="single" w:color="auto" w:sz="6" w:space="0"/>
              <w:bottom w:val="single" w:color="auto" w:sz="6" w:space="0"/>
              <w:right w:val="single" w:color="auto" w:sz="6" w:space="0"/>
            </w:tcBorders>
            <w:vAlign w:val="center"/>
          </w:tcPr>
          <w:p w14:paraId="4598B287">
            <w:pPr>
              <w:keepNext w:val="0"/>
              <w:keepLines w:val="0"/>
              <w:suppressLineNumbers w:val="0"/>
              <w:autoSpaceDE w:val="0"/>
              <w:autoSpaceDN w:val="0"/>
              <w:spacing w:before="0" w:beforeAutospacing="0" w:after="0" w:afterAutospacing="0"/>
              <w:ind w:left="0" w:right="0"/>
              <w:rPr>
                <w:rFonts w:ascii="宋体" w:hAnsi="宋体" w:cs="宋体"/>
                <w:color w:val="auto"/>
                <w:szCs w:val="21"/>
                <w:highlight w:val="none"/>
              </w:rPr>
            </w:pPr>
          </w:p>
        </w:tc>
        <w:tc>
          <w:tcPr>
            <w:tcW w:w="915" w:type="dxa"/>
            <w:tcBorders>
              <w:top w:val="single" w:color="auto" w:sz="6" w:space="0"/>
              <w:left w:val="single" w:color="auto" w:sz="6" w:space="0"/>
              <w:bottom w:val="single" w:color="auto" w:sz="6" w:space="0"/>
              <w:right w:val="single" w:color="auto" w:sz="6" w:space="0"/>
            </w:tcBorders>
            <w:vAlign w:val="center"/>
          </w:tcPr>
          <w:p w14:paraId="0AC5DAAF">
            <w:pPr>
              <w:keepNext w:val="0"/>
              <w:keepLines w:val="0"/>
              <w:suppressLineNumbers w:val="0"/>
              <w:autoSpaceDE w:val="0"/>
              <w:autoSpaceDN w:val="0"/>
              <w:spacing w:before="0" w:beforeAutospacing="0" w:after="0" w:afterAutospacing="0"/>
              <w:ind w:left="0" w:right="0"/>
              <w:rPr>
                <w:rFonts w:ascii="宋体" w:hAnsi="宋体" w:cs="宋体"/>
                <w:color w:val="auto"/>
                <w:szCs w:val="21"/>
                <w:highlight w:val="none"/>
              </w:rPr>
            </w:pPr>
          </w:p>
        </w:tc>
        <w:tc>
          <w:tcPr>
            <w:tcW w:w="765" w:type="dxa"/>
            <w:tcBorders>
              <w:top w:val="single" w:color="auto" w:sz="6" w:space="0"/>
              <w:left w:val="single" w:color="auto" w:sz="6" w:space="0"/>
              <w:bottom w:val="single" w:color="auto" w:sz="6" w:space="0"/>
              <w:right w:val="single" w:color="auto" w:sz="6" w:space="0"/>
            </w:tcBorders>
            <w:vAlign w:val="center"/>
          </w:tcPr>
          <w:p w14:paraId="5B3736CB">
            <w:pPr>
              <w:keepNext w:val="0"/>
              <w:keepLines w:val="0"/>
              <w:suppressLineNumbers w:val="0"/>
              <w:autoSpaceDE w:val="0"/>
              <w:autoSpaceDN w:val="0"/>
              <w:spacing w:before="0" w:beforeAutospacing="0" w:after="0" w:afterAutospacing="0"/>
              <w:ind w:left="0" w:right="0"/>
              <w:rPr>
                <w:rFonts w:ascii="宋体" w:hAnsi="宋体" w:cs="宋体"/>
                <w:color w:val="auto"/>
                <w:szCs w:val="21"/>
                <w:highlight w:val="none"/>
              </w:rPr>
            </w:pPr>
          </w:p>
        </w:tc>
        <w:tc>
          <w:tcPr>
            <w:tcW w:w="1036" w:type="dxa"/>
            <w:tcBorders>
              <w:top w:val="single" w:color="auto" w:sz="6" w:space="0"/>
              <w:left w:val="single" w:color="auto" w:sz="6" w:space="0"/>
              <w:bottom w:val="single" w:color="auto" w:sz="6" w:space="0"/>
              <w:right w:val="single" w:color="auto" w:sz="6" w:space="0"/>
            </w:tcBorders>
            <w:vAlign w:val="center"/>
          </w:tcPr>
          <w:p w14:paraId="748EC64E">
            <w:pPr>
              <w:keepNext w:val="0"/>
              <w:keepLines w:val="0"/>
              <w:suppressLineNumbers w:val="0"/>
              <w:autoSpaceDE w:val="0"/>
              <w:autoSpaceDN w:val="0"/>
              <w:spacing w:before="0" w:beforeAutospacing="0" w:after="0" w:afterAutospacing="0"/>
              <w:ind w:left="0" w:right="0"/>
              <w:rPr>
                <w:rFonts w:ascii="宋体" w:hAnsi="宋体" w:cs="宋体"/>
                <w:color w:val="auto"/>
                <w:szCs w:val="21"/>
                <w:highlight w:val="none"/>
              </w:rPr>
            </w:pPr>
          </w:p>
        </w:tc>
        <w:tc>
          <w:tcPr>
            <w:tcW w:w="1002" w:type="dxa"/>
            <w:tcBorders>
              <w:top w:val="single" w:color="auto" w:sz="6" w:space="0"/>
              <w:left w:val="single" w:color="auto" w:sz="6" w:space="0"/>
              <w:bottom w:val="single" w:color="auto" w:sz="6" w:space="0"/>
              <w:right w:val="single" w:color="auto" w:sz="6" w:space="0"/>
            </w:tcBorders>
            <w:vAlign w:val="center"/>
          </w:tcPr>
          <w:p w14:paraId="18F19E5D">
            <w:pPr>
              <w:keepNext w:val="0"/>
              <w:keepLines w:val="0"/>
              <w:suppressLineNumbers w:val="0"/>
              <w:autoSpaceDE w:val="0"/>
              <w:autoSpaceDN w:val="0"/>
              <w:spacing w:before="0" w:beforeAutospacing="0" w:after="0" w:afterAutospacing="0"/>
              <w:ind w:left="0" w:right="0"/>
              <w:rPr>
                <w:rFonts w:ascii="宋体" w:hAnsi="宋体" w:cs="宋体"/>
                <w:color w:val="auto"/>
                <w:szCs w:val="21"/>
                <w:highlight w:val="none"/>
              </w:rPr>
            </w:pPr>
          </w:p>
        </w:tc>
        <w:tc>
          <w:tcPr>
            <w:tcW w:w="1048" w:type="dxa"/>
            <w:tcBorders>
              <w:top w:val="single" w:color="auto" w:sz="6" w:space="0"/>
              <w:left w:val="single" w:color="auto" w:sz="6" w:space="0"/>
              <w:bottom w:val="single" w:color="auto" w:sz="6" w:space="0"/>
              <w:right w:val="single" w:color="auto" w:sz="6" w:space="0"/>
            </w:tcBorders>
            <w:vAlign w:val="center"/>
          </w:tcPr>
          <w:p w14:paraId="5A9ADB99">
            <w:pPr>
              <w:keepNext w:val="0"/>
              <w:keepLines w:val="0"/>
              <w:suppressLineNumbers w:val="0"/>
              <w:autoSpaceDE w:val="0"/>
              <w:autoSpaceDN w:val="0"/>
              <w:spacing w:before="0" w:beforeAutospacing="0" w:after="0" w:afterAutospacing="0"/>
              <w:ind w:left="0" w:right="0"/>
              <w:rPr>
                <w:rFonts w:ascii="宋体" w:hAnsi="宋体" w:cs="宋体"/>
                <w:color w:val="auto"/>
                <w:szCs w:val="21"/>
                <w:highlight w:val="none"/>
              </w:rPr>
            </w:pPr>
          </w:p>
        </w:tc>
      </w:tr>
      <w:tr w14:paraId="4638AE89">
        <w:tblPrEx>
          <w:tblCellMar>
            <w:top w:w="0" w:type="dxa"/>
            <w:left w:w="108" w:type="dxa"/>
            <w:bottom w:w="0" w:type="dxa"/>
            <w:right w:w="108" w:type="dxa"/>
          </w:tblCellMar>
        </w:tblPrEx>
        <w:trPr>
          <w:trHeight w:val="1073" w:hRule="atLeast"/>
        </w:trPr>
        <w:tc>
          <w:tcPr>
            <w:tcW w:w="510" w:type="dxa"/>
            <w:tcBorders>
              <w:top w:val="single" w:color="auto" w:sz="6" w:space="0"/>
              <w:left w:val="single" w:color="auto" w:sz="6" w:space="0"/>
              <w:bottom w:val="single" w:color="auto" w:sz="6" w:space="0"/>
              <w:right w:val="single" w:color="auto" w:sz="4" w:space="0"/>
            </w:tcBorders>
            <w:vAlign w:val="center"/>
          </w:tcPr>
          <w:p w14:paraId="7C867C9E">
            <w:pPr>
              <w:keepNext w:val="0"/>
              <w:keepLines w:val="0"/>
              <w:suppressLineNumbers w:val="0"/>
              <w:autoSpaceDE w:val="0"/>
              <w:autoSpaceDN w:val="0"/>
              <w:spacing w:before="0" w:beforeAutospacing="0" w:after="0" w:afterAutospacing="0"/>
              <w:ind w:left="0" w:right="0"/>
              <w:jc w:val="center"/>
              <w:rPr>
                <w:rFonts w:ascii="宋体" w:hAnsi="宋体" w:cs="宋体"/>
                <w:color w:val="auto"/>
                <w:szCs w:val="21"/>
                <w:highlight w:val="none"/>
              </w:rPr>
            </w:pPr>
          </w:p>
        </w:tc>
        <w:tc>
          <w:tcPr>
            <w:tcW w:w="825" w:type="dxa"/>
            <w:tcBorders>
              <w:top w:val="single" w:color="auto" w:sz="6" w:space="0"/>
              <w:left w:val="single" w:color="auto" w:sz="4" w:space="0"/>
              <w:bottom w:val="single" w:color="auto" w:sz="6" w:space="0"/>
              <w:right w:val="single" w:color="auto" w:sz="6" w:space="0"/>
            </w:tcBorders>
            <w:vAlign w:val="center"/>
          </w:tcPr>
          <w:p w14:paraId="14B02BE9">
            <w:pPr>
              <w:keepNext w:val="0"/>
              <w:keepLines w:val="0"/>
              <w:suppressLineNumbers w:val="0"/>
              <w:autoSpaceDE w:val="0"/>
              <w:autoSpaceDN w:val="0"/>
              <w:spacing w:before="0" w:beforeAutospacing="0" w:after="0" w:afterAutospacing="0"/>
              <w:ind w:left="0" w:right="0"/>
              <w:jc w:val="center"/>
              <w:rPr>
                <w:rFonts w:ascii="宋体" w:hAnsi="宋体" w:cs="宋体"/>
                <w:color w:val="auto"/>
                <w:szCs w:val="21"/>
                <w:highlight w:val="none"/>
              </w:rPr>
            </w:pPr>
            <w:r>
              <w:rPr>
                <w:rFonts w:hint="eastAsia" w:ascii="宋体" w:hAnsi="宋体" w:cs="宋体"/>
                <w:color w:val="auto"/>
                <w:szCs w:val="21"/>
                <w:highlight w:val="none"/>
              </w:rPr>
              <w:t>售后人员</w:t>
            </w:r>
          </w:p>
        </w:tc>
        <w:tc>
          <w:tcPr>
            <w:tcW w:w="885" w:type="dxa"/>
            <w:tcBorders>
              <w:top w:val="single" w:color="auto" w:sz="6" w:space="0"/>
              <w:left w:val="single" w:color="auto" w:sz="6" w:space="0"/>
              <w:bottom w:val="single" w:color="auto" w:sz="6" w:space="0"/>
              <w:right w:val="single" w:color="auto" w:sz="6" w:space="0"/>
            </w:tcBorders>
            <w:vAlign w:val="center"/>
          </w:tcPr>
          <w:p w14:paraId="7AFE9FB3">
            <w:pPr>
              <w:keepNext w:val="0"/>
              <w:keepLines w:val="0"/>
              <w:suppressLineNumbers w:val="0"/>
              <w:autoSpaceDE w:val="0"/>
              <w:autoSpaceDN w:val="0"/>
              <w:spacing w:before="0" w:beforeAutospacing="0" w:after="0" w:afterAutospacing="0"/>
              <w:ind w:left="0" w:right="0"/>
              <w:rPr>
                <w:rFonts w:ascii="宋体" w:hAnsi="宋体" w:cs="宋体"/>
                <w:color w:val="auto"/>
                <w:szCs w:val="21"/>
                <w:highlight w:val="none"/>
              </w:rPr>
            </w:pPr>
          </w:p>
        </w:tc>
        <w:tc>
          <w:tcPr>
            <w:tcW w:w="510" w:type="dxa"/>
            <w:tcBorders>
              <w:top w:val="single" w:color="auto" w:sz="6" w:space="0"/>
              <w:left w:val="single" w:color="auto" w:sz="6" w:space="0"/>
              <w:bottom w:val="single" w:color="auto" w:sz="6" w:space="0"/>
              <w:right w:val="single" w:color="auto" w:sz="6" w:space="0"/>
            </w:tcBorders>
            <w:vAlign w:val="center"/>
          </w:tcPr>
          <w:p w14:paraId="250B98AB">
            <w:pPr>
              <w:keepNext w:val="0"/>
              <w:keepLines w:val="0"/>
              <w:suppressLineNumbers w:val="0"/>
              <w:autoSpaceDE w:val="0"/>
              <w:autoSpaceDN w:val="0"/>
              <w:spacing w:before="0" w:beforeAutospacing="0" w:after="0" w:afterAutospacing="0"/>
              <w:ind w:left="0" w:right="0"/>
              <w:rPr>
                <w:rFonts w:ascii="宋体" w:hAnsi="宋体" w:cs="宋体"/>
                <w:color w:val="auto"/>
                <w:szCs w:val="21"/>
                <w:highlight w:val="none"/>
              </w:rPr>
            </w:pPr>
          </w:p>
        </w:tc>
        <w:tc>
          <w:tcPr>
            <w:tcW w:w="780" w:type="dxa"/>
            <w:tcBorders>
              <w:top w:val="single" w:color="auto" w:sz="6" w:space="0"/>
              <w:left w:val="single" w:color="auto" w:sz="6" w:space="0"/>
              <w:bottom w:val="single" w:color="auto" w:sz="6" w:space="0"/>
              <w:right w:val="single" w:color="auto" w:sz="6" w:space="0"/>
            </w:tcBorders>
            <w:vAlign w:val="center"/>
          </w:tcPr>
          <w:p w14:paraId="3522BB56">
            <w:pPr>
              <w:keepNext w:val="0"/>
              <w:keepLines w:val="0"/>
              <w:suppressLineNumbers w:val="0"/>
              <w:autoSpaceDE w:val="0"/>
              <w:autoSpaceDN w:val="0"/>
              <w:spacing w:before="0" w:beforeAutospacing="0" w:after="0" w:afterAutospacing="0"/>
              <w:ind w:left="0" w:right="0"/>
              <w:rPr>
                <w:rFonts w:ascii="宋体" w:hAnsi="宋体" w:cs="宋体"/>
                <w:color w:val="auto"/>
                <w:szCs w:val="21"/>
                <w:highlight w:val="none"/>
              </w:rPr>
            </w:pPr>
          </w:p>
        </w:tc>
        <w:tc>
          <w:tcPr>
            <w:tcW w:w="765" w:type="dxa"/>
            <w:tcBorders>
              <w:top w:val="single" w:color="auto" w:sz="6" w:space="0"/>
              <w:left w:val="single" w:color="auto" w:sz="6" w:space="0"/>
              <w:bottom w:val="single" w:color="auto" w:sz="6" w:space="0"/>
              <w:right w:val="single" w:color="auto" w:sz="6" w:space="0"/>
            </w:tcBorders>
            <w:vAlign w:val="center"/>
          </w:tcPr>
          <w:p w14:paraId="4CD9C654">
            <w:pPr>
              <w:keepNext w:val="0"/>
              <w:keepLines w:val="0"/>
              <w:suppressLineNumbers w:val="0"/>
              <w:autoSpaceDE w:val="0"/>
              <w:autoSpaceDN w:val="0"/>
              <w:spacing w:before="0" w:beforeAutospacing="0" w:after="0" w:afterAutospacing="0"/>
              <w:ind w:left="0" w:right="0"/>
              <w:rPr>
                <w:rFonts w:ascii="宋体" w:hAnsi="宋体" w:cs="宋体"/>
                <w:color w:val="auto"/>
                <w:szCs w:val="21"/>
                <w:highlight w:val="none"/>
              </w:rPr>
            </w:pPr>
          </w:p>
        </w:tc>
        <w:tc>
          <w:tcPr>
            <w:tcW w:w="915" w:type="dxa"/>
            <w:tcBorders>
              <w:top w:val="single" w:color="auto" w:sz="6" w:space="0"/>
              <w:left w:val="single" w:color="auto" w:sz="6" w:space="0"/>
              <w:bottom w:val="single" w:color="auto" w:sz="6" w:space="0"/>
              <w:right w:val="single" w:color="auto" w:sz="6" w:space="0"/>
            </w:tcBorders>
            <w:vAlign w:val="center"/>
          </w:tcPr>
          <w:p w14:paraId="11D228B8">
            <w:pPr>
              <w:keepNext w:val="0"/>
              <w:keepLines w:val="0"/>
              <w:suppressLineNumbers w:val="0"/>
              <w:autoSpaceDE w:val="0"/>
              <w:autoSpaceDN w:val="0"/>
              <w:spacing w:before="0" w:beforeAutospacing="0" w:after="0" w:afterAutospacing="0"/>
              <w:ind w:left="0" w:right="0"/>
              <w:rPr>
                <w:rFonts w:ascii="宋体" w:hAnsi="宋体" w:cs="宋体"/>
                <w:color w:val="auto"/>
                <w:szCs w:val="21"/>
                <w:highlight w:val="none"/>
              </w:rPr>
            </w:pPr>
          </w:p>
        </w:tc>
        <w:tc>
          <w:tcPr>
            <w:tcW w:w="765" w:type="dxa"/>
            <w:tcBorders>
              <w:top w:val="single" w:color="auto" w:sz="6" w:space="0"/>
              <w:left w:val="single" w:color="auto" w:sz="6" w:space="0"/>
              <w:bottom w:val="single" w:color="auto" w:sz="6" w:space="0"/>
              <w:right w:val="single" w:color="auto" w:sz="6" w:space="0"/>
            </w:tcBorders>
            <w:vAlign w:val="center"/>
          </w:tcPr>
          <w:p w14:paraId="484668EF">
            <w:pPr>
              <w:keepNext w:val="0"/>
              <w:keepLines w:val="0"/>
              <w:suppressLineNumbers w:val="0"/>
              <w:autoSpaceDE w:val="0"/>
              <w:autoSpaceDN w:val="0"/>
              <w:spacing w:before="0" w:beforeAutospacing="0" w:after="0" w:afterAutospacing="0"/>
              <w:ind w:left="0" w:right="0"/>
              <w:rPr>
                <w:rFonts w:ascii="宋体" w:hAnsi="宋体" w:cs="宋体"/>
                <w:color w:val="auto"/>
                <w:szCs w:val="21"/>
                <w:highlight w:val="none"/>
              </w:rPr>
            </w:pPr>
          </w:p>
        </w:tc>
        <w:tc>
          <w:tcPr>
            <w:tcW w:w="1036" w:type="dxa"/>
            <w:tcBorders>
              <w:top w:val="single" w:color="auto" w:sz="6" w:space="0"/>
              <w:left w:val="single" w:color="auto" w:sz="6" w:space="0"/>
              <w:bottom w:val="single" w:color="auto" w:sz="6" w:space="0"/>
              <w:right w:val="single" w:color="auto" w:sz="6" w:space="0"/>
            </w:tcBorders>
            <w:vAlign w:val="center"/>
          </w:tcPr>
          <w:p w14:paraId="624F9DC1">
            <w:pPr>
              <w:keepNext w:val="0"/>
              <w:keepLines w:val="0"/>
              <w:suppressLineNumbers w:val="0"/>
              <w:autoSpaceDE w:val="0"/>
              <w:autoSpaceDN w:val="0"/>
              <w:spacing w:before="0" w:beforeAutospacing="0" w:after="0" w:afterAutospacing="0"/>
              <w:ind w:left="0" w:right="0"/>
              <w:rPr>
                <w:rFonts w:ascii="宋体" w:hAnsi="宋体" w:cs="宋体"/>
                <w:color w:val="auto"/>
                <w:szCs w:val="21"/>
                <w:highlight w:val="none"/>
              </w:rPr>
            </w:pPr>
          </w:p>
        </w:tc>
        <w:tc>
          <w:tcPr>
            <w:tcW w:w="1002" w:type="dxa"/>
            <w:tcBorders>
              <w:top w:val="single" w:color="auto" w:sz="6" w:space="0"/>
              <w:left w:val="single" w:color="auto" w:sz="6" w:space="0"/>
              <w:bottom w:val="single" w:color="auto" w:sz="6" w:space="0"/>
              <w:right w:val="single" w:color="auto" w:sz="6" w:space="0"/>
            </w:tcBorders>
            <w:vAlign w:val="center"/>
          </w:tcPr>
          <w:p w14:paraId="55DA3BE7">
            <w:pPr>
              <w:keepNext w:val="0"/>
              <w:keepLines w:val="0"/>
              <w:suppressLineNumbers w:val="0"/>
              <w:autoSpaceDE w:val="0"/>
              <w:autoSpaceDN w:val="0"/>
              <w:spacing w:before="0" w:beforeAutospacing="0" w:after="0" w:afterAutospacing="0"/>
              <w:ind w:left="0" w:right="0"/>
              <w:rPr>
                <w:rFonts w:ascii="宋体" w:hAnsi="宋体" w:cs="宋体"/>
                <w:color w:val="auto"/>
                <w:szCs w:val="21"/>
                <w:highlight w:val="none"/>
              </w:rPr>
            </w:pPr>
          </w:p>
        </w:tc>
        <w:tc>
          <w:tcPr>
            <w:tcW w:w="1048" w:type="dxa"/>
            <w:tcBorders>
              <w:top w:val="single" w:color="auto" w:sz="6" w:space="0"/>
              <w:left w:val="single" w:color="auto" w:sz="6" w:space="0"/>
              <w:bottom w:val="single" w:color="auto" w:sz="6" w:space="0"/>
              <w:right w:val="single" w:color="auto" w:sz="6" w:space="0"/>
            </w:tcBorders>
            <w:vAlign w:val="center"/>
          </w:tcPr>
          <w:p w14:paraId="2B0EF4F6">
            <w:pPr>
              <w:keepNext w:val="0"/>
              <w:keepLines w:val="0"/>
              <w:suppressLineNumbers w:val="0"/>
              <w:autoSpaceDE w:val="0"/>
              <w:autoSpaceDN w:val="0"/>
              <w:spacing w:before="0" w:beforeAutospacing="0" w:after="0" w:afterAutospacing="0"/>
              <w:ind w:left="0" w:right="0"/>
              <w:rPr>
                <w:rFonts w:ascii="宋体" w:hAnsi="宋体" w:cs="宋体"/>
                <w:color w:val="auto"/>
                <w:szCs w:val="21"/>
                <w:highlight w:val="none"/>
              </w:rPr>
            </w:pPr>
          </w:p>
        </w:tc>
      </w:tr>
    </w:tbl>
    <w:p w14:paraId="7E03AC33">
      <w:pPr>
        <w:autoSpaceDE w:val="0"/>
        <w:autoSpaceDN w:val="0"/>
        <w:ind w:firstLine="316"/>
        <w:rPr>
          <w:rFonts w:ascii="宋体" w:hAnsi="宋体" w:cs="宋体"/>
          <w:color w:val="auto"/>
          <w:kern w:val="0"/>
          <w:szCs w:val="21"/>
          <w:highlight w:val="none"/>
        </w:rPr>
      </w:pPr>
      <w:r>
        <w:rPr>
          <w:rFonts w:hint="eastAsia" w:ascii="宋体" w:hAnsi="宋体" w:cs="宋体"/>
          <w:b/>
          <w:color w:val="auto"/>
          <w:kern w:val="0"/>
          <w:szCs w:val="21"/>
          <w:highlight w:val="none"/>
        </w:rPr>
        <w:t>附表B：售后服务人员情况表</w:t>
      </w:r>
      <w:r>
        <w:rPr>
          <w:rFonts w:hint="eastAsia" w:ascii="宋体" w:hAnsi="宋体" w:cs="宋体"/>
          <w:color w:val="auto"/>
          <w:szCs w:val="21"/>
          <w:highlight w:val="none"/>
        </w:rPr>
        <w:t>（按此格式自制）</w:t>
      </w:r>
    </w:p>
    <w:p w14:paraId="3B934A04">
      <w:pPr>
        <w:pStyle w:val="27"/>
        <w:ind w:left="0" w:leftChars="0" w:firstLine="0" w:firstLineChars="0"/>
        <w:rPr>
          <w:rFonts w:ascii="宋体" w:hAnsi="宋体" w:cs="宋体"/>
          <w:color w:val="auto"/>
          <w:szCs w:val="21"/>
          <w:highlight w:val="none"/>
        </w:rPr>
      </w:pPr>
    </w:p>
    <w:p w14:paraId="4A1164E1">
      <w:pPr>
        <w:pStyle w:val="27"/>
        <w:spacing w:line="240" w:lineRule="auto"/>
        <w:ind w:left="0" w:leftChars="0" w:firstLine="0" w:firstLineChars="0"/>
        <w:rPr>
          <w:rFonts w:ascii="宋体" w:hAnsi="宋体" w:cs="宋体"/>
          <w:b/>
          <w:color w:val="auto"/>
          <w:kern w:val="0"/>
          <w:szCs w:val="21"/>
          <w:highlight w:val="none"/>
        </w:rPr>
      </w:pPr>
      <w:r>
        <w:rPr>
          <w:rFonts w:hint="eastAsia" w:ascii="宋体" w:hAnsi="宋体" w:cs="宋体"/>
          <w:b/>
          <w:color w:val="auto"/>
          <w:kern w:val="0"/>
          <w:szCs w:val="21"/>
          <w:highlight w:val="none"/>
        </w:rPr>
        <w:t>附表C：维保期满后售后服务</w:t>
      </w:r>
      <w:r>
        <w:rPr>
          <w:rFonts w:hint="eastAsia" w:ascii="宋体" w:hAnsi="宋体" w:cs="宋体"/>
          <w:color w:val="auto"/>
          <w:szCs w:val="21"/>
          <w:highlight w:val="none"/>
        </w:rPr>
        <w:t>（按此格式自制）</w:t>
      </w:r>
    </w:p>
    <w:tbl>
      <w:tblPr>
        <w:tblStyle w:val="28"/>
        <w:tblW w:w="89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350"/>
        <w:gridCol w:w="1197"/>
        <w:gridCol w:w="947"/>
        <w:gridCol w:w="766"/>
        <w:gridCol w:w="752"/>
        <w:gridCol w:w="1295"/>
        <w:gridCol w:w="1026"/>
        <w:gridCol w:w="1132"/>
      </w:tblGrid>
      <w:tr w14:paraId="20F10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4794" w:type="dxa"/>
            <w:gridSpan w:val="5"/>
            <w:tcBorders>
              <w:top w:val="single" w:color="auto" w:sz="4" w:space="0"/>
              <w:left w:val="single" w:color="auto" w:sz="4" w:space="0"/>
              <w:bottom w:val="single" w:color="auto" w:sz="4" w:space="0"/>
              <w:right w:val="single" w:color="auto" w:sz="4" w:space="0"/>
            </w:tcBorders>
            <w:vAlign w:val="center"/>
          </w:tcPr>
          <w:p w14:paraId="6EA5B0E0">
            <w:pPr>
              <w:keepNext w:val="0"/>
              <w:keepLines w:val="0"/>
              <w:suppressLineNumbers w:val="0"/>
              <w:spacing w:before="0" w:beforeAutospacing="0" w:after="0" w:afterAutospacing="0"/>
              <w:ind w:left="0" w:right="0"/>
              <w:jc w:val="center"/>
              <w:rPr>
                <w:rFonts w:ascii="宋体" w:hAnsi="宋体" w:cs="宋体"/>
                <w:snapToGrid w:val="0"/>
                <w:color w:val="auto"/>
                <w:szCs w:val="21"/>
                <w:highlight w:val="none"/>
              </w:rPr>
            </w:pPr>
            <w:r>
              <w:rPr>
                <w:rFonts w:hint="eastAsia" w:ascii="宋体" w:hAnsi="宋体" w:cs="宋体"/>
                <w:snapToGrid w:val="0"/>
                <w:color w:val="auto"/>
                <w:szCs w:val="21"/>
                <w:highlight w:val="none"/>
              </w:rPr>
              <w:t>厂家信息</w:t>
            </w:r>
          </w:p>
        </w:tc>
        <w:tc>
          <w:tcPr>
            <w:tcW w:w="4205" w:type="dxa"/>
            <w:gridSpan w:val="4"/>
            <w:tcBorders>
              <w:top w:val="single" w:color="auto" w:sz="4" w:space="0"/>
              <w:left w:val="single" w:color="auto" w:sz="4" w:space="0"/>
              <w:bottom w:val="single" w:color="auto" w:sz="4" w:space="0"/>
              <w:right w:val="single" w:color="auto" w:sz="4" w:space="0"/>
            </w:tcBorders>
            <w:vAlign w:val="center"/>
          </w:tcPr>
          <w:p w14:paraId="6FEB722C">
            <w:pPr>
              <w:keepNext w:val="0"/>
              <w:keepLines w:val="0"/>
              <w:widowControl/>
              <w:suppressLineNumbers w:val="0"/>
              <w:spacing w:before="0" w:beforeAutospacing="0" w:after="0" w:afterAutospacing="0"/>
              <w:ind w:left="0" w:right="0"/>
              <w:jc w:val="center"/>
              <w:textAlignment w:val="center"/>
              <w:rPr>
                <w:rFonts w:ascii="宋体" w:hAnsi="宋体" w:cs="宋体"/>
                <w:snapToGrid w:val="0"/>
                <w:color w:val="auto"/>
                <w:szCs w:val="21"/>
                <w:highlight w:val="none"/>
              </w:rPr>
            </w:pPr>
            <w:r>
              <w:rPr>
                <w:rFonts w:hint="eastAsia" w:ascii="宋体" w:hAnsi="宋体" w:cs="宋体"/>
                <w:snapToGrid w:val="0"/>
                <w:color w:val="auto"/>
                <w:szCs w:val="21"/>
                <w:highlight w:val="none"/>
              </w:rPr>
              <w:t>授权</w:t>
            </w:r>
            <w:r>
              <w:rPr>
                <w:rFonts w:hint="eastAsia" w:ascii="宋体" w:hAnsi="宋体" w:cs="宋体"/>
                <w:color w:val="auto"/>
                <w:szCs w:val="21"/>
                <w:highlight w:val="none"/>
              </w:rPr>
              <w:t>售后</w:t>
            </w:r>
            <w:r>
              <w:rPr>
                <w:rFonts w:hint="eastAsia" w:ascii="宋体" w:hAnsi="宋体" w:cs="宋体"/>
                <w:snapToGrid w:val="0"/>
                <w:color w:val="auto"/>
                <w:szCs w:val="21"/>
                <w:highlight w:val="none"/>
              </w:rPr>
              <w:t>代理商（如有）</w:t>
            </w:r>
          </w:p>
        </w:tc>
      </w:tr>
      <w:tr w14:paraId="68816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3" w:hRule="atLeast"/>
          <w:jc w:val="center"/>
        </w:trPr>
        <w:tc>
          <w:tcPr>
            <w:tcW w:w="534" w:type="dxa"/>
            <w:tcBorders>
              <w:top w:val="single" w:color="auto" w:sz="4" w:space="0"/>
              <w:left w:val="single" w:color="auto" w:sz="4" w:space="0"/>
              <w:bottom w:val="single" w:color="auto" w:sz="4" w:space="0"/>
              <w:right w:val="single" w:color="auto" w:sz="4" w:space="0"/>
            </w:tcBorders>
            <w:vAlign w:val="center"/>
          </w:tcPr>
          <w:p w14:paraId="655F1029">
            <w:pPr>
              <w:pStyle w:val="14"/>
              <w:keepNext w:val="0"/>
              <w:keepLines w:val="0"/>
              <w:suppressLineNumbers w:val="0"/>
              <w:wordWrap w:val="0"/>
              <w:snapToGrid w:val="0"/>
              <w:spacing w:before="0" w:beforeAutospacing="0" w:after="0" w:afterAutospacing="0"/>
              <w:ind w:left="0" w:right="0"/>
              <w:jc w:val="center"/>
              <w:rPr>
                <w:rFonts w:hAnsi="宋体" w:cs="宋体"/>
                <w:color w:val="auto"/>
                <w:spacing w:val="-20"/>
                <w:highlight w:val="none"/>
              </w:rPr>
            </w:pPr>
            <w:r>
              <w:rPr>
                <w:rFonts w:hint="eastAsia" w:hAnsi="宋体" w:cs="宋体"/>
                <w:color w:val="auto"/>
                <w:spacing w:val="-20"/>
                <w:highlight w:val="none"/>
              </w:rPr>
              <w:t>序号</w:t>
            </w:r>
          </w:p>
        </w:tc>
        <w:tc>
          <w:tcPr>
            <w:tcW w:w="1350" w:type="dxa"/>
            <w:tcBorders>
              <w:top w:val="single" w:color="auto" w:sz="4" w:space="0"/>
              <w:left w:val="single" w:color="auto" w:sz="4" w:space="0"/>
              <w:bottom w:val="single" w:color="auto" w:sz="4" w:space="0"/>
              <w:right w:val="single" w:color="auto" w:sz="4" w:space="0"/>
            </w:tcBorders>
            <w:vAlign w:val="center"/>
          </w:tcPr>
          <w:p w14:paraId="3BF9F6F8">
            <w:pPr>
              <w:keepNext w:val="0"/>
              <w:keepLines w:val="0"/>
              <w:suppressLineNumbers w:val="0"/>
              <w:wordWrap w:val="0"/>
              <w:topLinePunct/>
              <w:spacing w:before="0" w:beforeAutospacing="0" w:after="0" w:afterAutospacing="0"/>
              <w:ind w:left="0" w:right="0"/>
              <w:jc w:val="center"/>
              <w:rPr>
                <w:rFonts w:ascii="宋体" w:hAnsi="宋体" w:cs="宋体"/>
                <w:color w:val="auto"/>
                <w:szCs w:val="21"/>
                <w:highlight w:val="none"/>
              </w:rPr>
            </w:pPr>
            <w:r>
              <w:rPr>
                <w:rFonts w:hint="eastAsia" w:ascii="宋体" w:hAnsi="宋体" w:cs="宋体"/>
                <w:color w:val="auto"/>
                <w:szCs w:val="21"/>
                <w:highlight w:val="none"/>
              </w:rPr>
              <w:t>物品名称</w:t>
            </w:r>
          </w:p>
          <w:p w14:paraId="38C65DF2">
            <w:pPr>
              <w:keepNext w:val="0"/>
              <w:keepLines w:val="0"/>
              <w:suppressLineNumbers w:val="0"/>
              <w:wordWrap w:val="0"/>
              <w:topLinePunct/>
              <w:spacing w:before="0" w:beforeAutospacing="0" w:after="0" w:afterAutospacing="0"/>
              <w:ind w:left="0" w:right="0"/>
              <w:jc w:val="center"/>
              <w:rPr>
                <w:rFonts w:ascii="宋体" w:hAnsi="宋体" w:cs="宋体"/>
                <w:snapToGrid w:val="0"/>
                <w:color w:val="auto"/>
                <w:szCs w:val="21"/>
                <w:highlight w:val="none"/>
              </w:rPr>
            </w:pPr>
          </w:p>
        </w:tc>
        <w:tc>
          <w:tcPr>
            <w:tcW w:w="1197" w:type="dxa"/>
            <w:tcBorders>
              <w:top w:val="single" w:color="auto" w:sz="4" w:space="0"/>
              <w:left w:val="single" w:color="auto" w:sz="4" w:space="0"/>
              <w:bottom w:val="single" w:color="auto" w:sz="4" w:space="0"/>
              <w:right w:val="single" w:color="auto" w:sz="4" w:space="0"/>
            </w:tcBorders>
            <w:vAlign w:val="center"/>
          </w:tcPr>
          <w:p w14:paraId="4576668F">
            <w:pPr>
              <w:keepNext w:val="0"/>
              <w:keepLines w:val="0"/>
              <w:suppressLineNumbers w:val="0"/>
              <w:spacing w:before="0" w:beforeAutospacing="0" w:after="0" w:afterAutospacing="0"/>
              <w:ind w:left="0" w:right="0"/>
              <w:jc w:val="center"/>
              <w:rPr>
                <w:rFonts w:ascii="宋体" w:hAnsi="宋体" w:cs="宋体"/>
                <w:snapToGrid w:val="0"/>
                <w:color w:val="auto"/>
                <w:szCs w:val="21"/>
                <w:highlight w:val="none"/>
              </w:rPr>
            </w:pPr>
            <w:r>
              <w:rPr>
                <w:rFonts w:hint="eastAsia" w:ascii="宋体" w:hAnsi="宋体" w:cs="宋体"/>
                <w:color w:val="auto"/>
                <w:szCs w:val="21"/>
                <w:highlight w:val="none"/>
              </w:rPr>
              <w:t>生产厂家名称</w:t>
            </w:r>
          </w:p>
        </w:tc>
        <w:tc>
          <w:tcPr>
            <w:tcW w:w="947" w:type="dxa"/>
            <w:tcBorders>
              <w:top w:val="single" w:color="auto" w:sz="4" w:space="0"/>
              <w:left w:val="single" w:color="auto" w:sz="4" w:space="0"/>
              <w:bottom w:val="single" w:color="auto" w:sz="4" w:space="0"/>
              <w:right w:val="single" w:color="auto" w:sz="4" w:space="0"/>
            </w:tcBorders>
            <w:vAlign w:val="center"/>
          </w:tcPr>
          <w:p w14:paraId="6602273F">
            <w:pPr>
              <w:keepNext w:val="0"/>
              <w:keepLines w:val="0"/>
              <w:suppressLineNumbers w:val="0"/>
              <w:spacing w:before="0" w:beforeAutospacing="0" w:after="0" w:afterAutospacing="0"/>
              <w:ind w:left="0" w:right="0"/>
              <w:jc w:val="center"/>
              <w:rPr>
                <w:rFonts w:ascii="宋体" w:hAnsi="宋体" w:cs="宋体"/>
                <w:snapToGrid w:val="0"/>
                <w:color w:val="auto"/>
                <w:szCs w:val="21"/>
                <w:highlight w:val="none"/>
              </w:rPr>
            </w:pPr>
            <w:r>
              <w:rPr>
                <w:rFonts w:hint="eastAsia" w:ascii="宋体" w:hAnsi="宋体" w:cs="宋体"/>
                <w:color w:val="auto"/>
                <w:szCs w:val="21"/>
                <w:highlight w:val="none"/>
              </w:rPr>
              <w:t>厂家工程师</w:t>
            </w:r>
          </w:p>
        </w:tc>
        <w:tc>
          <w:tcPr>
            <w:tcW w:w="766" w:type="dxa"/>
            <w:tcBorders>
              <w:top w:val="single" w:color="auto" w:sz="4" w:space="0"/>
              <w:left w:val="single" w:color="auto" w:sz="4" w:space="0"/>
              <w:bottom w:val="single" w:color="auto" w:sz="4" w:space="0"/>
              <w:right w:val="single" w:color="auto" w:sz="4" w:space="0"/>
            </w:tcBorders>
            <w:vAlign w:val="center"/>
          </w:tcPr>
          <w:p w14:paraId="43A46591">
            <w:pPr>
              <w:keepNext w:val="0"/>
              <w:keepLines w:val="0"/>
              <w:suppressLineNumbers w:val="0"/>
              <w:spacing w:before="0" w:beforeAutospacing="0" w:after="0" w:afterAutospacing="0"/>
              <w:ind w:left="0" w:right="0"/>
              <w:jc w:val="center"/>
              <w:rPr>
                <w:rFonts w:ascii="宋体" w:hAnsi="宋体" w:cs="宋体"/>
                <w:snapToGrid w:val="0"/>
                <w:color w:val="auto"/>
                <w:szCs w:val="21"/>
                <w:highlight w:val="none"/>
              </w:rPr>
            </w:pPr>
            <w:r>
              <w:rPr>
                <w:rFonts w:hint="eastAsia" w:ascii="宋体" w:hAnsi="宋体" w:cs="宋体"/>
                <w:color w:val="auto"/>
                <w:szCs w:val="21"/>
                <w:highlight w:val="none"/>
              </w:rPr>
              <w:t>联系方式</w:t>
            </w:r>
          </w:p>
        </w:tc>
        <w:tc>
          <w:tcPr>
            <w:tcW w:w="752" w:type="dxa"/>
            <w:tcBorders>
              <w:top w:val="single" w:color="auto" w:sz="4" w:space="0"/>
              <w:left w:val="single" w:color="auto" w:sz="4" w:space="0"/>
              <w:bottom w:val="single" w:color="auto" w:sz="4" w:space="0"/>
              <w:right w:val="single" w:color="auto" w:sz="4" w:space="0"/>
            </w:tcBorders>
            <w:vAlign w:val="center"/>
          </w:tcPr>
          <w:p w14:paraId="404EEBFA">
            <w:pPr>
              <w:keepNext w:val="0"/>
              <w:keepLines w:val="0"/>
              <w:suppressLineNumbers w:val="0"/>
              <w:spacing w:before="0" w:beforeAutospacing="0" w:after="0" w:afterAutospacing="0"/>
              <w:ind w:left="0" w:right="0"/>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1295" w:type="dxa"/>
            <w:tcBorders>
              <w:top w:val="single" w:color="auto" w:sz="4" w:space="0"/>
              <w:left w:val="single" w:color="auto" w:sz="4" w:space="0"/>
              <w:bottom w:val="single" w:color="auto" w:sz="4" w:space="0"/>
              <w:right w:val="single" w:color="auto" w:sz="4" w:space="0"/>
            </w:tcBorders>
            <w:vAlign w:val="center"/>
          </w:tcPr>
          <w:p w14:paraId="1323D344">
            <w:pPr>
              <w:pStyle w:val="14"/>
              <w:keepNext w:val="0"/>
              <w:keepLines w:val="0"/>
              <w:suppressLineNumbers w:val="0"/>
              <w:wordWrap w:val="0"/>
              <w:snapToGrid w:val="0"/>
              <w:spacing w:before="0" w:beforeAutospacing="0" w:after="0" w:afterAutospacing="0"/>
              <w:ind w:left="0" w:right="0"/>
              <w:jc w:val="center"/>
              <w:rPr>
                <w:rFonts w:hAnsi="宋体" w:cs="宋体"/>
                <w:snapToGrid w:val="0"/>
                <w:color w:val="auto"/>
                <w:highlight w:val="none"/>
              </w:rPr>
            </w:pPr>
            <w:r>
              <w:rPr>
                <w:rFonts w:hint="eastAsia" w:hAnsi="宋体" w:cs="宋体"/>
                <w:color w:val="auto"/>
                <w:highlight w:val="none"/>
              </w:rPr>
              <w:t>授权售后代理商名称（维修、配件供应及服务）</w:t>
            </w:r>
          </w:p>
        </w:tc>
        <w:tc>
          <w:tcPr>
            <w:tcW w:w="1026" w:type="dxa"/>
            <w:tcBorders>
              <w:top w:val="single" w:color="auto" w:sz="4" w:space="0"/>
              <w:left w:val="single" w:color="auto" w:sz="4" w:space="0"/>
              <w:bottom w:val="single" w:color="auto" w:sz="4" w:space="0"/>
              <w:right w:val="single" w:color="auto" w:sz="4" w:space="0"/>
            </w:tcBorders>
            <w:vAlign w:val="center"/>
          </w:tcPr>
          <w:p w14:paraId="1AE70B7E">
            <w:pPr>
              <w:keepNext w:val="0"/>
              <w:keepLines w:val="0"/>
              <w:widowControl/>
              <w:suppressLineNumbers w:val="0"/>
              <w:spacing w:before="0" w:beforeAutospacing="0" w:after="0" w:afterAutospacing="0"/>
              <w:ind w:left="0" w:right="0"/>
              <w:jc w:val="center"/>
              <w:textAlignment w:val="center"/>
              <w:rPr>
                <w:rFonts w:ascii="宋体" w:hAnsi="宋体" w:cs="宋体"/>
                <w:snapToGrid w:val="0"/>
                <w:color w:val="auto"/>
                <w:szCs w:val="21"/>
                <w:highlight w:val="none"/>
              </w:rPr>
            </w:pPr>
            <w:r>
              <w:rPr>
                <w:rFonts w:hint="eastAsia" w:ascii="宋体" w:hAnsi="宋体" w:cs="宋体"/>
                <w:color w:val="auto"/>
                <w:kern w:val="0"/>
                <w:szCs w:val="21"/>
                <w:highlight w:val="none"/>
              </w:rPr>
              <w:t>代理商联系人</w:t>
            </w:r>
          </w:p>
        </w:tc>
        <w:tc>
          <w:tcPr>
            <w:tcW w:w="1132" w:type="dxa"/>
            <w:tcBorders>
              <w:top w:val="single" w:color="auto" w:sz="4" w:space="0"/>
              <w:left w:val="single" w:color="auto" w:sz="4" w:space="0"/>
              <w:bottom w:val="single" w:color="auto" w:sz="4" w:space="0"/>
              <w:right w:val="single" w:color="auto" w:sz="4" w:space="0"/>
            </w:tcBorders>
            <w:vAlign w:val="center"/>
          </w:tcPr>
          <w:p w14:paraId="2BA233DE">
            <w:pPr>
              <w:keepNext w:val="0"/>
              <w:keepLines w:val="0"/>
              <w:widowControl/>
              <w:suppressLineNumbers w:val="0"/>
              <w:spacing w:before="0" w:beforeAutospacing="0" w:after="0" w:afterAutospacing="0"/>
              <w:ind w:left="0" w:right="0"/>
              <w:jc w:val="center"/>
              <w:textAlignment w:val="center"/>
              <w:rPr>
                <w:rFonts w:ascii="宋体" w:hAnsi="宋体" w:cs="宋体"/>
                <w:snapToGrid w:val="0"/>
                <w:color w:val="auto"/>
                <w:szCs w:val="21"/>
                <w:highlight w:val="none"/>
              </w:rPr>
            </w:pPr>
            <w:r>
              <w:rPr>
                <w:rFonts w:hint="eastAsia" w:ascii="宋体" w:hAnsi="宋体" w:cs="宋体"/>
                <w:color w:val="auto"/>
                <w:kern w:val="0"/>
                <w:szCs w:val="21"/>
                <w:highlight w:val="none"/>
              </w:rPr>
              <w:t>联系方式</w:t>
            </w:r>
          </w:p>
        </w:tc>
      </w:tr>
      <w:tr w14:paraId="10B0B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34" w:type="dxa"/>
            <w:vMerge w:val="restart"/>
            <w:tcBorders>
              <w:top w:val="single" w:color="auto" w:sz="4" w:space="0"/>
              <w:left w:val="single" w:color="auto" w:sz="4" w:space="0"/>
              <w:right w:val="single" w:color="auto" w:sz="4" w:space="0"/>
            </w:tcBorders>
          </w:tcPr>
          <w:p w14:paraId="3231A669">
            <w:pPr>
              <w:keepNext w:val="0"/>
              <w:keepLines w:val="0"/>
              <w:suppressLineNumbers w:val="0"/>
              <w:wordWrap w:val="0"/>
              <w:adjustRightInd w:val="0"/>
              <w:snapToGrid w:val="0"/>
              <w:spacing w:before="0" w:beforeAutospacing="0" w:after="0" w:afterAutospacing="0"/>
              <w:ind w:left="0" w:right="0"/>
              <w:jc w:val="center"/>
              <w:rPr>
                <w:rFonts w:ascii="宋体" w:hAnsi="宋体" w:cs="宋体"/>
                <w:snapToGrid w:val="0"/>
                <w:color w:val="auto"/>
                <w:szCs w:val="21"/>
                <w:highlight w:val="none"/>
              </w:rPr>
            </w:pPr>
            <w:r>
              <w:rPr>
                <w:rFonts w:hint="eastAsia" w:ascii="宋体" w:hAnsi="宋体" w:cs="宋体"/>
                <w:snapToGrid w:val="0"/>
                <w:color w:val="auto"/>
                <w:szCs w:val="21"/>
                <w:highlight w:val="none"/>
              </w:rPr>
              <w:t>1</w:t>
            </w:r>
          </w:p>
        </w:tc>
        <w:tc>
          <w:tcPr>
            <w:tcW w:w="1350" w:type="dxa"/>
            <w:vMerge w:val="restart"/>
            <w:tcBorders>
              <w:top w:val="single" w:color="auto" w:sz="4" w:space="0"/>
              <w:left w:val="single" w:color="auto" w:sz="4" w:space="0"/>
              <w:right w:val="single" w:color="auto" w:sz="4" w:space="0"/>
            </w:tcBorders>
          </w:tcPr>
          <w:p w14:paraId="3B9B9AB3">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p>
        </w:tc>
        <w:tc>
          <w:tcPr>
            <w:tcW w:w="1197" w:type="dxa"/>
            <w:vMerge w:val="restart"/>
            <w:tcBorders>
              <w:top w:val="single" w:color="auto" w:sz="4" w:space="0"/>
              <w:left w:val="single" w:color="auto" w:sz="4" w:space="0"/>
              <w:right w:val="single" w:color="auto" w:sz="4" w:space="0"/>
            </w:tcBorders>
          </w:tcPr>
          <w:p w14:paraId="26527D8A">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p>
        </w:tc>
        <w:tc>
          <w:tcPr>
            <w:tcW w:w="947" w:type="dxa"/>
            <w:vMerge w:val="restart"/>
            <w:tcBorders>
              <w:top w:val="single" w:color="auto" w:sz="4" w:space="0"/>
              <w:left w:val="single" w:color="auto" w:sz="4" w:space="0"/>
              <w:right w:val="single" w:color="auto" w:sz="4" w:space="0"/>
            </w:tcBorders>
          </w:tcPr>
          <w:p w14:paraId="7CCFFDA9">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p>
        </w:tc>
        <w:tc>
          <w:tcPr>
            <w:tcW w:w="766" w:type="dxa"/>
            <w:vMerge w:val="restart"/>
            <w:tcBorders>
              <w:top w:val="single" w:color="auto" w:sz="4" w:space="0"/>
              <w:left w:val="single" w:color="auto" w:sz="4" w:space="0"/>
              <w:right w:val="single" w:color="auto" w:sz="4" w:space="0"/>
            </w:tcBorders>
          </w:tcPr>
          <w:p w14:paraId="086AD0A4">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p>
        </w:tc>
        <w:tc>
          <w:tcPr>
            <w:tcW w:w="752" w:type="dxa"/>
            <w:tcBorders>
              <w:top w:val="single" w:color="auto" w:sz="4" w:space="0"/>
              <w:left w:val="single" w:color="auto" w:sz="4" w:space="0"/>
              <w:bottom w:val="single" w:color="auto" w:sz="4" w:space="0"/>
              <w:right w:val="single" w:color="auto" w:sz="4" w:space="0"/>
            </w:tcBorders>
          </w:tcPr>
          <w:p w14:paraId="455927C9">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r>
              <w:rPr>
                <w:rFonts w:hint="eastAsia" w:ascii="宋体" w:hAnsi="宋体" w:cs="宋体"/>
                <w:color w:val="auto"/>
                <w:szCs w:val="21"/>
                <w:highlight w:val="none"/>
              </w:rPr>
              <w:t>1</w:t>
            </w:r>
          </w:p>
        </w:tc>
        <w:tc>
          <w:tcPr>
            <w:tcW w:w="1295" w:type="dxa"/>
            <w:tcBorders>
              <w:top w:val="single" w:color="auto" w:sz="4" w:space="0"/>
              <w:left w:val="single" w:color="auto" w:sz="4" w:space="0"/>
              <w:bottom w:val="single" w:color="auto" w:sz="4" w:space="0"/>
              <w:right w:val="single" w:color="auto" w:sz="4" w:space="0"/>
            </w:tcBorders>
          </w:tcPr>
          <w:p w14:paraId="29542B54">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p>
        </w:tc>
        <w:tc>
          <w:tcPr>
            <w:tcW w:w="1026" w:type="dxa"/>
            <w:tcBorders>
              <w:top w:val="single" w:color="auto" w:sz="4" w:space="0"/>
              <w:left w:val="single" w:color="auto" w:sz="4" w:space="0"/>
              <w:bottom w:val="single" w:color="auto" w:sz="4" w:space="0"/>
              <w:right w:val="single" w:color="auto" w:sz="4" w:space="0"/>
            </w:tcBorders>
          </w:tcPr>
          <w:p w14:paraId="074F33A8">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p>
        </w:tc>
        <w:tc>
          <w:tcPr>
            <w:tcW w:w="1132" w:type="dxa"/>
            <w:tcBorders>
              <w:top w:val="single" w:color="auto" w:sz="4" w:space="0"/>
              <w:left w:val="single" w:color="auto" w:sz="4" w:space="0"/>
              <w:bottom w:val="single" w:color="auto" w:sz="4" w:space="0"/>
              <w:right w:val="single" w:color="auto" w:sz="4" w:space="0"/>
            </w:tcBorders>
          </w:tcPr>
          <w:p w14:paraId="0FF59EB6">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p>
        </w:tc>
      </w:tr>
      <w:tr w14:paraId="5B2D9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34" w:type="dxa"/>
            <w:vMerge w:val="continue"/>
            <w:tcBorders>
              <w:left w:val="single" w:color="auto" w:sz="4" w:space="0"/>
              <w:right w:val="single" w:color="auto" w:sz="4" w:space="0"/>
            </w:tcBorders>
          </w:tcPr>
          <w:p w14:paraId="5FB46659">
            <w:pPr>
              <w:keepNext w:val="0"/>
              <w:keepLines w:val="0"/>
              <w:suppressLineNumbers w:val="0"/>
              <w:wordWrap w:val="0"/>
              <w:adjustRightInd w:val="0"/>
              <w:snapToGrid w:val="0"/>
              <w:spacing w:before="0" w:beforeAutospacing="0" w:after="0" w:afterAutospacing="0"/>
              <w:ind w:left="0" w:right="0"/>
              <w:jc w:val="center"/>
              <w:rPr>
                <w:rFonts w:ascii="宋体" w:hAnsi="宋体" w:cs="宋体"/>
                <w:snapToGrid w:val="0"/>
                <w:color w:val="auto"/>
                <w:szCs w:val="21"/>
                <w:highlight w:val="none"/>
              </w:rPr>
            </w:pPr>
          </w:p>
        </w:tc>
        <w:tc>
          <w:tcPr>
            <w:tcW w:w="1350" w:type="dxa"/>
            <w:vMerge w:val="continue"/>
            <w:tcBorders>
              <w:left w:val="single" w:color="auto" w:sz="4" w:space="0"/>
              <w:right w:val="single" w:color="auto" w:sz="4" w:space="0"/>
            </w:tcBorders>
          </w:tcPr>
          <w:p w14:paraId="18DCCEE5">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p>
        </w:tc>
        <w:tc>
          <w:tcPr>
            <w:tcW w:w="1197" w:type="dxa"/>
            <w:vMerge w:val="continue"/>
            <w:tcBorders>
              <w:left w:val="single" w:color="auto" w:sz="4" w:space="0"/>
              <w:right w:val="single" w:color="auto" w:sz="4" w:space="0"/>
            </w:tcBorders>
          </w:tcPr>
          <w:p w14:paraId="7C654518">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p>
        </w:tc>
        <w:tc>
          <w:tcPr>
            <w:tcW w:w="947" w:type="dxa"/>
            <w:vMerge w:val="continue"/>
            <w:tcBorders>
              <w:left w:val="single" w:color="auto" w:sz="4" w:space="0"/>
              <w:right w:val="single" w:color="auto" w:sz="4" w:space="0"/>
            </w:tcBorders>
          </w:tcPr>
          <w:p w14:paraId="5128C607">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p>
        </w:tc>
        <w:tc>
          <w:tcPr>
            <w:tcW w:w="766" w:type="dxa"/>
            <w:vMerge w:val="continue"/>
            <w:tcBorders>
              <w:left w:val="single" w:color="auto" w:sz="4" w:space="0"/>
              <w:right w:val="single" w:color="auto" w:sz="4" w:space="0"/>
            </w:tcBorders>
          </w:tcPr>
          <w:p w14:paraId="7D323E41">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p>
        </w:tc>
        <w:tc>
          <w:tcPr>
            <w:tcW w:w="752" w:type="dxa"/>
            <w:tcBorders>
              <w:top w:val="single" w:color="auto" w:sz="4" w:space="0"/>
              <w:left w:val="single" w:color="auto" w:sz="4" w:space="0"/>
              <w:bottom w:val="single" w:color="auto" w:sz="4" w:space="0"/>
              <w:right w:val="single" w:color="auto" w:sz="4" w:space="0"/>
            </w:tcBorders>
          </w:tcPr>
          <w:p w14:paraId="66703DC5">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r>
              <w:rPr>
                <w:rFonts w:hint="eastAsia" w:ascii="宋体" w:hAnsi="宋体" w:cs="宋体"/>
                <w:color w:val="auto"/>
                <w:szCs w:val="21"/>
                <w:highlight w:val="none"/>
              </w:rPr>
              <w:t>2</w:t>
            </w:r>
          </w:p>
        </w:tc>
        <w:tc>
          <w:tcPr>
            <w:tcW w:w="1295" w:type="dxa"/>
            <w:tcBorders>
              <w:top w:val="single" w:color="auto" w:sz="4" w:space="0"/>
              <w:left w:val="single" w:color="auto" w:sz="4" w:space="0"/>
              <w:bottom w:val="single" w:color="auto" w:sz="4" w:space="0"/>
              <w:right w:val="single" w:color="auto" w:sz="4" w:space="0"/>
            </w:tcBorders>
          </w:tcPr>
          <w:p w14:paraId="4DE62CBD">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p>
        </w:tc>
        <w:tc>
          <w:tcPr>
            <w:tcW w:w="1026" w:type="dxa"/>
            <w:tcBorders>
              <w:top w:val="single" w:color="auto" w:sz="4" w:space="0"/>
              <w:left w:val="single" w:color="auto" w:sz="4" w:space="0"/>
              <w:bottom w:val="single" w:color="auto" w:sz="4" w:space="0"/>
              <w:right w:val="single" w:color="auto" w:sz="4" w:space="0"/>
            </w:tcBorders>
          </w:tcPr>
          <w:p w14:paraId="5214D349">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p>
        </w:tc>
        <w:tc>
          <w:tcPr>
            <w:tcW w:w="1132" w:type="dxa"/>
            <w:tcBorders>
              <w:top w:val="single" w:color="auto" w:sz="4" w:space="0"/>
              <w:left w:val="single" w:color="auto" w:sz="4" w:space="0"/>
              <w:bottom w:val="single" w:color="auto" w:sz="4" w:space="0"/>
              <w:right w:val="single" w:color="auto" w:sz="4" w:space="0"/>
            </w:tcBorders>
          </w:tcPr>
          <w:p w14:paraId="6BECCE08">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p>
        </w:tc>
      </w:tr>
      <w:tr w14:paraId="1C09A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34" w:type="dxa"/>
            <w:vMerge w:val="continue"/>
            <w:tcBorders>
              <w:left w:val="single" w:color="auto" w:sz="4" w:space="0"/>
              <w:bottom w:val="single" w:color="auto" w:sz="4" w:space="0"/>
              <w:right w:val="single" w:color="auto" w:sz="4" w:space="0"/>
            </w:tcBorders>
          </w:tcPr>
          <w:p w14:paraId="4A13F77E">
            <w:pPr>
              <w:keepNext w:val="0"/>
              <w:keepLines w:val="0"/>
              <w:suppressLineNumbers w:val="0"/>
              <w:wordWrap w:val="0"/>
              <w:adjustRightInd w:val="0"/>
              <w:snapToGrid w:val="0"/>
              <w:spacing w:before="0" w:beforeAutospacing="0" w:after="0" w:afterAutospacing="0"/>
              <w:ind w:left="0" w:right="0"/>
              <w:jc w:val="center"/>
              <w:rPr>
                <w:rFonts w:ascii="宋体" w:hAnsi="宋体" w:cs="宋体"/>
                <w:snapToGrid w:val="0"/>
                <w:color w:val="auto"/>
                <w:szCs w:val="21"/>
                <w:highlight w:val="none"/>
              </w:rPr>
            </w:pPr>
          </w:p>
        </w:tc>
        <w:tc>
          <w:tcPr>
            <w:tcW w:w="1350" w:type="dxa"/>
            <w:vMerge w:val="continue"/>
            <w:tcBorders>
              <w:left w:val="single" w:color="auto" w:sz="4" w:space="0"/>
              <w:bottom w:val="single" w:color="auto" w:sz="4" w:space="0"/>
              <w:right w:val="single" w:color="auto" w:sz="4" w:space="0"/>
            </w:tcBorders>
          </w:tcPr>
          <w:p w14:paraId="63A613A6">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p>
        </w:tc>
        <w:tc>
          <w:tcPr>
            <w:tcW w:w="1197" w:type="dxa"/>
            <w:vMerge w:val="continue"/>
            <w:tcBorders>
              <w:left w:val="single" w:color="auto" w:sz="4" w:space="0"/>
              <w:bottom w:val="single" w:color="auto" w:sz="4" w:space="0"/>
              <w:right w:val="single" w:color="auto" w:sz="4" w:space="0"/>
            </w:tcBorders>
          </w:tcPr>
          <w:p w14:paraId="4752D5F9">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p>
        </w:tc>
        <w:tc>
          <w:tcPr>
            <w:tcW w:w="947" w:type="dxa"/>
            <w:vMerge w:val="continue"/>
            <w:tcBorders>
              <w:left w:val="single" w:color="auto" w:sz="4" w:space="0"/>
              <w:bottom w:val="single" w:color="auto" w:sz="4" w:space="0"/>
              <w:right w:val="single" w:color="auto" w:sz="4" w:space="0"/>
            </w:tcBorders>
          </w:tcPr>
          <w:p w14:paraId="51216238">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p>
        </w:tc>
        <w:tc>
          <w:tcPr>
            <w:tcW w:w="766" w:type="dxa"/>
            <w:vMerge w:val="continue"/>
            <w:tcBorders>
              <w:left w:val="single" w:color="auto" w:sz="4" w:space="0"/>
              <w:bottom w:val="single" w:color="auto" w:sz="4" w:space="0"/>
              <w:right w:val="single" w:color="auto" w:sz="4" w:space="0"/>
            </w:tcBorders>
          </w:tcPr>
          <w:p w14:paraId="74EF2190">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p>
        </w:tc>
        <w:tc>
          <w:tcPr>
            <w:tcW w:w="752" w:type="dxa"/>
            <w:tcBorders>
              <w:top w:val="single" w:color="auto" w:sz="4" w:space="0"/>
              <w:left w:val="single" w:color="auto" w:sz="4" w:space="0"/>
              <w:bottom w:val="single" w:color="auto" w:sz="4" w:space="0"/>
              <w:right w:val="single" w:color="auto" w:sz="4" w:space="0"/>
            </w:tcBorders>
          </w:tcPr>
          <w:p w14:paraId="1173F932">
            <w:pPr>
              <w:keepNext w:val="0"/>
              <w:keepLines w:val="0"/>
              <w:suppressLineNumbers w:val="0"/>
              <w:tabs>
                <w:tab w:val="left" w:pos="320"/>
              </w:tabs>
              <w:wordWrap w:val="0"/>
              <w:adjustRightInd w:val="0"/>
              <w:snapToGrid w:val="0"/>
              <w:spacing w:before="0" w:beforeAutospacing="0" w:after="0" w:afterAutospacing="0"/>
              <w:ind w:left="0" w:right="0"/>
              <w:rPr>
                <w:rFonts w:ascii="宋体" w:hAnsi="宋体" w:cs="宋体"/>
                <w:color w:val="auto"/>
                <w:szCs w:val="21"/>
                <w:highlight w:val="none"/>
              </w:rPr>
            </w:pPr>
            <w:r>
              <w:rPr>
                <w:rFonts w:hint="eastAsia" w:ascii="宋体" w:hAnsi="宋体" w:cs="宋体"/>
                <w:color w:val="auto"/>
                <w:szCs w:val="21"/>
                <w:highlight w:val="none"/>
              </w:rPr>
              <w:t>...</w:t>
            </w:r>
          </w:p>
        </w:tc>
        <w:tc>
          <w:tcPr>
            <w:tcW w:w="1295" w:type="dxa"/>
            <w:tcBorders>
              <w:top w:val="single" w:color="auto" w:sz="4" w:space="0"/>
              <w:left w:val="single" w:color="auto" w:sz="4" w:space="0"/>
              <w:bottom w:val="single" w:color="auto" w:sz="4" w:space="0"/>
              <w:right w:val="single" w:color="auto" w:sz="4" w:space="0"/>
            </w:tcBorders>
          </w:tcPr>
          <w:p w14:paraId="2DF4CCDA">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p>
        </w:tc>
        <w:tc>
          <w:tcPr>
            <w:tcW w:w="1026" w:type="dxa"/>
            <w:tcBorders>
              <w:top w:val="single" w:color="auto" w:sz="4" w:space="0"/>
              <w:left w:val="single" w:color="auto" w:sz="4" w:space="0"/>
              <w:bottom w:val="single" w:color="auto" w:sz="4" w:space="0"/>
              <w:right w:val="single" w:color="auto" w:sz="4" w:space="0"/>
            </w:tcBorders>
          </w:tcPr>
          <w:p w14:paraId="20160559">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p>
        </w:tc>
        <w:tc>
          <w:tcPr>
            <w:tcW w:w="1132" w:type="dxa"/>
            <w:tcBorders>
              <w:top w:val="single" w:color="auto" w:sz="4" w:space="0"/>
              <w:left w:val="single" w:color="auto" w:sz="4" w:space="0"/>
              <w:bottom w:val="single" w:color="auto" w:sz="4" w:space="0"/>
              <w:right w:val="single" w:color="auto" w:sz="4" w:space="0"/>
            </w:tcBorders>
          </w:tcPr>
          <w:p w14:paraId="3E8830AA">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p>
        </w:tc>
      </w:tr>
      <w:tr w14:paraId="5E844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34" w:type="dxa"/>
            <w:vMerge w:val="restart"/>
            <w:tcBorders>
              <w:top w:val="single" w:color="auto" w:sz="4" w:space="0"/>
              <w:left w:val="single" w:color="auto" w:sz="4" w:space="0"/>
              <w:right w:val="single" w:color="auto" w:sz="4" w:space="0"/>
            </w:tcBorders>
          </w:tcPr>
          <w:p w14:paraId="6E5D2E74">
            <w:pPr>
              <w:keepNext w:val="0"/>
              <w:keepLines w:val="0"/>
              <w:suppressLineNumbers w:val="0"/>
              <w:wordWrap w:val="0"/>
              <w:adjustRightInd w:val="0"/>
              <w:snapToGrid w:val="0"/>
              <w:spacing w:before="0" w:beforeAutospacing="0" w:after="0" w:afterAutospacing="0"/>
              <w:ind w:left="0" w:right="0"/>
              <w:jc w:val="center"/>
              <w:rPr>
                <w:rFonts w:ascii="宋体" w:hAnsi="宋体" w:cs="宋体"/>
                <w:snapToGrid w:val="0"/>
                <w:color w:val="auto"/>
                <w:szCs w:val="21"/>
                <w:highlight w:val="none"/>
              </w:rPr>
            </w:pPr>
            <w:r>
              <w:rPr>
                <w:rFonts w:hint="eastAsia" w:ascii="宋体" w:hAnsi="宋体" w:cs="宋体"/>
                <w:snapToGrid w:val="0"/>
                <w:color w:val="auto"/>
                <w:szCs w:val="21"/>
                <w:highlight w:val="none"/>
              </w:rPr>
              <w:t>2</w:t>
            </w:r>
          </w:p>
        </w:tc>
        <w:tc>
          <w:tcPr>
            <w:tcW w:w="1350" w:type="dxa"/>
            <w:vMerge w:val="restart"/>
            <w:tcBorders>
              <w:top w:val="single" w:color="auto" w:sz="4" w:space="0"/>
              <w:left w:val="single" w:color="auto" w:sz="4" w:space="0"/>
              <w:right w:val="single" w:color="auto" w:sz="4" w:space="0"/>
            </w:tcBorders>
          </w:tcPr>
          <w:p w14:paraId="723F8B68">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p>
        </w:tc>
        <w:tc>
          <w:tcPr>
            <w:tcW w:w="1197" w:type="dxa"/>
            <w:vMerge w:val="restart"/>
            <w:tcBorders>
              <w:top w:val="single" w:color="auto" w:sz="4" w:space="0"/>
              <w:left w:val="single" w:color="auto" w:sz="4" w:space="0"/>
              <w:right w:val="single" w:color="auto" w:sz="4" w:space="0"/>
            </w:tcBorders>
          </w:tcPr>
          <w:p w14:paraId="1BCFF054">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p>
        </w:tc>
        <w:tc>
          <w:tcPr>
            <w:tcW w:w="947" w:type="dxa"/>
            <w:vMerge w:val="restart"/>
            <w:tcBorders>
              <w:top w:val="single" w:color="auto" w:sz="4" w:space="0"/>
              <w:left w:val="single" w:color="auto" w:sz="4" w:space="0"/>
              <w:right w:val="single" w:color="auto" w:sz="4" w:space="0"/>
            </w:tcBorders>
          </w:tcPr>
          <w:p w14:paraId="55BC6F2F">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p>
        </w:tc>
        <w:tc>
          <w:tcPr>
            <w:tcW w:w="766" w:type="dxa"/>
            <w:vMerge w:val="restart"/>
            <w:tcBorders>
              <w:top w:val="single" w:color="auto" w:sz="4" w:space="0"/>
              <w:left w:val="single" w:color="auto" w:sz="4" w:space="0"/>
              <w:right w:val="single" w:color="auto" w:sz="4" w:space="0"/>
            </w:tcBorders>
          </w:tcPr>
          <w:p w14:paraId="3151276E">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p>
        </w:tc>
        <w:tc>
          <w:tcPr>
            <w:tcW w:w="752" w:type="dxa"/>
            <w:tcBorders>
              <w:top w:val="single" w:color="auto" w:sz="4" w:space="0"/>
              <w:left w:val="single" w:color="auto" w:sz="4" w:space="0"/>
              <w:bottom w:val="single" w:color="auto" w:sz="4" w:space="0"/>
              <w:right w:val="single" w:color="auto" w:sz="4" w:space="0"/>
            </w:tcBorders>
          </w:tcPr>
          <w:p w14:paraId="5D676DB9">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r>
              <w:rPr>
                <w:rFonts w:hint="eastAsia" w:ascii="宋体" w:hAnsi="宋体" w:cs="宋体"/>
                <w:color w:val="auto"/>
                <w:szCs w:val="21"/>
                <w:highlight w:val="none"/>
              </w:rPr>
              <w:t>1</w:t>
            </w:r>
          </w:p>
        </w:tc>
        <w:tc>
          <w:tcPr>
            <w:tcW w:w="1295" w:type="dxa"/>
            <w:tcBorders>
              <w:top w:val="single" w:color="auto" w:sz="4" w:space="0"/>
              <w:left w:val="single" w:color="auto" w:sz="4" w:space="0"/>
              <w:bottom w:val="single" w:color="auto" w:sz="4" w:space="0"/>
              <w:right w:val="single" w:color="auto" w:sz="4" w:space="0"/>
            </w:tcBorders>
          </w:tcPr>
          <w:p w14:paraId="67E93DD0">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p>
        </w:tc>
        <w:tc>
          <w:tcPr>
            <w:tcW w:w="1026" w:type="dxa"/>
            <w:tcBorders>
              <w:top w:val="single" w:color="auto" w:sz="4" w:space="0"/>
              <w:left w:val="single" w:color="auto" w:sz="4" w:space="0"/>
              <w:bottom w:val="single" w:color="auto" w:sz="4" w:space="0"/>
              <w:right w:val="single" w:color="auto" w:sz="4" w:space="0"/>
            </w:tcBorders>
          </w:tcPr>
          <w:p w14:paraId="37CA1934">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p>
        </w:tc>
        <w:tc>
          <w:tcPr>
            <w:tcW w:w="1132" w:type="dxa"/>
            <w:tcBorders>
              <w:top w:val="single" w:color="auto" w:sz="4" w:space="0"/>
              <w:left w:val="single" w:color="auto" w:sz="4" w:space="0"/>
              <w:bottom w:val="single" w:color="auto" w:sz="4" w:space="0"/>
              <w:right w:val="single" w:color="auto" w:sz="4" w:space="0"/>
            </w:tcBorders>
          </w:tcPr>
          <w:p w14:paraId="3DC58564">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p>
        </w:tc>
      </w:tr>
      <w:tr w14:paraId="60647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34" w:type="dxa"/>
            <w:vMerge w:val="continue"/>
            <w:tcBorders>
              <w:left w:val="single" w:color="auto" w:sz="4" w:space="0"/>
              <w:right w:val="single" w:color="auto" w:sz="4" w:space="0"/>
            </w:tcBorders>
          </w:tcPr>
          <w:p w14:paraId="5D4A1451">
            <w:pPr>
              <w:keepNext w:val="0"/>
              <w:keepLines w:val="0"/>
              <w:suppressLineNumbers w:val="0"/>
              <w:wordWrap w:val="0"/>
              <w:adjustRightInd w:val="0"/>
              <w:snapToGrid w:val="0"/>
              <w:spacing w:before="0" w:beforeAutospacing="0" w:after="0" w:afterAutospacing="0"/>
              <w:ind w:left="0" w:right="0"/>
              <w:jc w:val="center"/>
              <w:rPr>
                <w:rFonts w:ascii="宋体" w:hAnsi="宋体" w:cs="宋体"/>
                <w:snapToGrid w:val="0"/>
                <w:color w:val="auto"/>
                <w:szCs w:val="21"/>
                <w:highlight w:val="none"/>
              </w:rPr>
            </w:pPr>
          </w:p>
        </w:tc>
        <w:tc>
          <w:tcPr>
            <w:tcW w:w="1350" w:type="dxa"/>
            <w:vMerge w:val="continue"/>
            <w:tcBorders>
              <w:left w:val="single" w:color="auto" w:sz="4" w:space="0"/>
              <w:right w:val="single" w:color="auto" w:sz="4" w:space="0"/>
            </w:tcBorders>
          </w:tcPr>
          <w:p w14:paraId="4E546E54">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p>
        </w:tc>
        <w:tc>
          <w:tcPr>
            <w:tcW w:w="1197" w:type="dxa"/>
            <w:vMerge w:val="continue"/>
            <w:tcBorders>
              <w:left w:val="single" w:color="auto" w:sz="4" w:space="0"/>
              <w:right w:val="single" w:color="auto" w:sz="4" w:space="0"/>
            </w:tcBorders>
          </w:tcPr>
          <w:p w14:paraId="550917D1">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p>
        </w:tc>
        <w:tc>
          <w:tcPr>
            <w:tcW w:w="947" w:type="dxa"/>
            <w:vMerge w:val="continue"/>
            <w:tcBorders>
              <w:left w:val="single" w:color="auto" w:sz="4" w:space="0"/>
              <w:right w:val="single" w:color="auto" w:sz="4" w:space="0"/>
            </w:tcBorders>
          </w:tcPr>
          <w:p w14:paraId="4884A1F8">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p>
        </w:tc>
        <w:tc>
          <w:tcPr>
            <w:tcW w:w="766" w:type="dxa"/>
            <w:vMerge w:val="continue"/>
            <w:tcBorders>
              <w:left w:val="single" w:color="auto" w:sz="4" w:space="0"/>
              <w:right w:val="single" w:color="auto" w:sz="4" w:space="0"/>
            </w:tcBorders>
          </w:tcPr>
          <w:p w14:paraId="18B86897">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p>
        </w:tc>
        <w:tc>
          <w:tcPr>
            <w:tcW w:w="752" w:type="dxa"/>
            <w:tcBorders>
              <w:top w:val="single" w:color="auto" w:sz="4" w:space="0"/>
              <w:left w:val="single" w:color="auto" w:sz="4" w:space="0"/>
              <w:bottom w:val="single" w:color="auto" w:sz="4" w:space="0"/>
              <w:right w:val="single" w:color="auto" w:sz="4" w:space="0"/>
            </w:tcBorders>
          </w:tcPr>
          <w:p w14:paraId="0A2D0DAD">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r>
              <w:rPr>
                <w:rFonts w:hint="eastAsia" w:ascii="宋体" w:hAnsi="宋体" w:cs="宋体"/>
                <w:color w:val="auto"/>
                <w:szCs w:val="21"/>
                <w:highlight w:val="none"/>
              </w:rPr>
              <w:t>2</w:t>
            </w:r>
          </w:p>
        </w:tc>
        <w:tc>
          <w:tcPr>
            <w:tcW w:w="1295" w:type="dxa"/>
            <w:tcBorders>
              <w:top w:val="single" w:color="auto" w:sz="4" w:space="0"/>
              <w:left w:val="single" w:color="auto" w:sz="4" w:space="0"/>
              <w:bottom w:val="single" w:color="auto" w:sz="4" w:space="0"/>
              <w:right w:val="single" w:color="auto" w:sz="4" w:space="0"/>
            </w:tcBorders>
          </w:tcPr>
          <w:p w14:paraId="7AA34E93">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p>
        </w:tc>
        <w:tc>
          <w:tcPr>
            <w:tcW w:w="1026" w:type="dxa"/>
            <w:tcBorders>
              <w:top w:val="single" w:color="auto" w:sz="4" w:space="0"/>
              <w:left w:val="single" w:color="auto" w:sz="4" w:space="0"/>
              <w:bottom w:val="single" w:color="auto" w:sz="4" w:space="0"/>
              <w:right w:val="single" w:color="auto" w:sz="4" w:space="0"/>
            </w:tcBorders>
          </w:tcPr>
          <w:p w14:paraId="5F56A2A6">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p>
        </w:tc>
        <w:tc>
          <w:tcPr>
            <w:tcW w:w="1132" w:type="dxa"/>
            <w:tcBorders>
              <w:top w:val="single" w:color="auto" w:sz="4" w:space="0"/>
              <w:left w:val="single" w:color="auto" w:sz="4" w:space="0"/>
              <w:bottom w:val="single" w:color="auto" w:sz="4" w:space="0"/>
              <w:right w:val="single" w:color="auto" w:sz="4" w:space="0"/>
            </w:tcBorders>
          </w:tcPr>
          <w:p w14:paraId="13750387">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p>
        </w:tc>
      </w:tr>
      <w:tr w14:paraId="56A44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34" w:type="dxa"/>
            <w:vMerge w:val="continue"/>
            <w:tcBorders>
              <w:left w:val="single" w:color="auto" w:sz="4" w:space="0"/>
              <w:right w:val="single" w:color="auto" w:sz="4" w:space="0"/>
            </w:tcBorders>
          </w:tcPr>
          <w:p w14:paraId="58168F06">
            <w:pPr>
              <w:keepNext w:val="0"/>
              <w:keepLines w:val="0"/>
              <w:suppressLineNumbers w:val="0"/>
              <w:wordWrap w:val="0"/>
              <w:adjustRightInd w:val="0"/>
              <w:snapToGrid w:val="0"/>
              <w:spacing w:before="0" w:beforeAutospacing="0" w:after="0" w:afterAutospacing="0"/>
              <w:ind w:left="0" w:right="0"/>
              <w:rPr>
                <w:rFonts w:ascii="宋体" w:hAnsi="宋体" w:cs="宋体"/>
                <w:snapToGrid w:val="0"/>
                <w:color w:val="auto"/>
                <w:szCs w:val="21"/>
                <w:highlight w:val="none"/>
              </w:rPr>
            </w:pPr>
          </w:p>
        </w:tc>
        <w:tc>
          <w:tcPr>
            <w:tcW w:w="1350" w:type="dxa"/>
            <w:vMerge w:val="continue"/>
            <w:tcBorders>
              <w:left w:val="single" w:color="auto" w:sz="4" w:space="0"/>
              <w:right w:val="single" w:color="auto" w:sz="4" w:space="0"/>
            </w:tcBorders>
          </w:tcPr>
          <w:p w14:paraId="1C5459C0">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p>
        </w:tc>
        <w:tc>
          <w:tcPr>
            <w:tcW w:w="1197" w:type="dxa"/>
            <w:vMerge w:val="continue"/>
            <w:tcBorders>
              <w:left w:val="single" w:color="auto" w:sz="4" w:space="0"/>
              <w:right w:val="single" w:color="auto" w:sz="4" w:space="0"/>
            </w:tcBorders>
          </w:tcPr>
          <w:p w14:paraId="2EFF73BC">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p>
        </w:tc>
        <w:tc>
          <w:tcPr>
            <w:tcW w:w="947" w:type="dxa"/>
            <w:vMerge w:val="continue"/>
            <w:tcBorders>
              <w:left w:val="single" w:color="auto" w:sz="4" w:space="0"/>
              <w:right w:val="single" w:color="auto" w:sz="4" w:space="0"/>
            </w:tcBorders>
          </w:tcPr>
          <w:p w14:paraId="52001AC9">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p>
        </w:tc>
        <w:tc>
          <w:tcPr>
            <w:tcW w:w="766" w:type="dxa"/>
            <w:vMerge w:val="continue"/>
            <w:tcBorders>
              <w:left w:val="single" w:color="auto" w:sz="4" w:space="0"/>
              <w:right w:val="single" w:color="auto" w:sz="4" w:space="0"/>
            </w:tcBorders>
          </w:tcPr>
          <w:p w14:paraId="66456029">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p>
        </w:tc>
        <w:tc>
          <w:tcPr>
            <w:tcW w:w="752" w:type="dxa"/>
            <w:tcBorders>
              <w:top w:val="single" w:color="auto" w:sz="4" w:space="0"/>
              <w:left w:val="single" w:color="auto" w:sz="4" w:space="0"/>
              <w:bottom w:val="single" w:color="auto" w:sz="4" w:space="0"/>
              <w:right w:val="single" w:color="auto" w:sz="4" w:space="0"/>
            </w:tcBorders>
          </w:tcPr>
          <w:p w14:paraId="3D275DF3">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r>
              <w:rPr>
                <w:rFonts w:hint="eastAsia" w:ascii="宋体" w:hAnsi="宋体" w:cs="宋体"/>
                <w:color w:val="auto"/>
                <w:szCs w:val="21"/>
                <w:highlight w:val="none"/>
              </w:rPr>
              <w:t>...</w:t>
            </w:r>
          </w:p>
        </w:tc>
        <w:tc>
          <w:tcPr>
            <w:tcW w:w="1295" w:type="dxa"/>
            <w:tcBorders>
              <w:top w:val="single" w:color="auto" w:sz="4" w:space="0"/>
              <w:left w:val="single" w:color="auto" w:sz="4" w:space="0"/>
              <w:bottom w:val="single" w:color="auto" w:sz="4" w:space="0"/>
              <w:right w:val="single" w:color="auto" w:sz="4" w:space="0"/>
            </w:tcBorders>
          </w:tcPr>
          <w:p w14:paraId="66536A95">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p>
        </w:tc>
        <w:tc>
          <w:tcPr>
            <w:tcW w:w="1026" w:type="dxa"/>
            <w:tcBorders>
              <w:top w:val="single" w:color="auto" w:sz="4" w:space="0"/>
              <w:left w:val="single" w:color="auto" w:sz="4" w:space="0"/>
              <w:bottom w:val="single" w:color="auto" w:sz="4" w:space="0"/>
              <w:right w:val="single" w:color="auto" w:sz="4" w:space="0"/>
            </w:tcBorders>
          </w:tcPr>
          <w:p w14:paraId="042BCA16">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p>
        </w:tc>
        <w:tc>
          <w:tcPr>
            <w:tcW w:w="1132" w:type="dxa"/>
            <w:tcBorders>
              <w:top w:val="single" w:color="auto" w:sz="4" w:space="0"/>
              <w:left w:val="single" w:color="auto" w:sz="4" w:space="0"/>
              <w:bottom w:val="single" w:color="auto" w:sz="4" w:space="0"/>
              <w:right w:val="single" w:color="auto" w:sz="4" w:space="0"/>
            </w:tcBorders>
          </w:tcPr>
          <w:p w14:paraId="0D0CDEDF">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p>
        </w:tc>
      </w:tr>
      <w:tr w14:paraId="61E5B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534" w:type="dxa"/>
            <w:tcBorders>
              <w:left w:val="single" w:color="auto" w:sz="4" w:space="0"/>
              <w:bottom w:val="single" w:color="auto" w:sz="4" w:space="0"/>
              <w:right w:val="single" w:color="auto" w:sz="4" w:space="0"/>
            </w:tcBorders>
          </w:tcPr>
          <w:p w14:paraId="4532CF12">
            <w:pPr>
              <w:keepNext w:val="0"/>
              <w:keepLines w:val="0"/>
              <w:suppressLineNumbers w:val="0"/>
              <w:wordWrap w:val="0"/>
              <w:adjustRightInd w:val="0"/>
              <w:snapToGrid w:val="0"/>
              <w:spacing w:before="0" w:beforeAutospacing="0" w:after="0" w:afterAutospacing="0"/>
              <w:ind w:left="0" w:right="0"/>
              <w:rPr>
                <w:rFonts w:ascii="宋体" w:hAnsi="宋体" w:cs="宋体"/>
                <w:snapToGrid w:val="0"/>
                <w:color w:val="auto"/>
                <w:szCs w:val="21"/>
                <w:highlight w:val="none"/>
              </w:rPr>
            </w:pPr>
            <w:r>
              <w:rPr>
                <w:rFonts w:hint="eastAsia" w:ascii="宋体" w:hAnsi="宋体" w:cs="宋体"/>
                <w:snapToGrid w:val="0"/>
                <w:color w:val="auto"/>
                <w:szCs w:val="21"/>
                <w:highlight w:val="none"/>
              </w:rPr>
              <w:t>...</w:t>
            </w:r>
          </w:p>
        </w:tc>
        <w:tc>
          <w:tcPr>
            <w:tcW w:w="1350" w:type="dxa"/>
            <w:tcBorders>
              <w:left w:val="single" w:color="auto" w:sz="4" w:space="0"/>
              <w:bottom w:val="single" w:color="auto" w:sz="4" w:space="0"/>
              <w:right w:val="single" w:color="auto" w:sz="4" w:space="0"/>
            </w:tcBorders>
          </w:tcPr>
          <w:p w14:paraId="63095251">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p>
        </w:tc>
        <w:tc>
          <w:tcPr>
            <w:tcW w:w="1197" w:type="dxa"/>
            <w:tcBorders>
              <w:left w:val="single" w:color="auto" w:sz="4" w:space="0"/>
              <w:bottom w:val="single" w:color="auto" w:sz="4" w:space="0"/>
              <w:right w:val="single" w:color="auto" w:sz="4" w:space="0"/>
            </w:tcBorders>
          </w:tcPr>
          <w:p w14:paraId="6C29F468">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p>
        </w:tc>
        <w:tc>
          <w:tcPr>
            <w:tcW w:w="947" w:type="dxa"/>
            <w:tcBorders>
              <w:left w:val="single" w:color="auto" w:sz="4" w:space="0"/>
              <w:bottom w:val="single" w:color="auto" w:sz="4" w:space="0"/>
              <w:right w:val="single" w:color="auto" w:sz="4" w:space="0"/>
            </w:tcBorders>
          </w:tcPr>
          <w:p w14:paraId="587FD2F4">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p>
        </w:tc>
        <w:tc>
          <w:tcPr>
            <w:tcW w:w="766" w:type="dxa"/>
            <w:tcBorders>
              <w:left w:val="single" w:color="auto" w:sz="4" w:space="0"/>
              <w:bottom w:val="single" w:color="auto" w:sz="4" w:space="0"/>
              <w:right w:val="single" w:color="auto" w:sz="4" w:space="0"/>
            </w:tcBorders>
          </w:tcPr>
          <w:p w14:paraId="058DBDA5">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p>
        </w:tc>
        <w:tc>
          <w:tcPr>
            <w:tcW w:w="752" w:type="dxa"/>
            <w:tcBorders>
              <w:top w:val="single" w:color="auto" w:sz="4" w:space="0"/>
              <w:left w:val="single" w:color="auto" w:sz="4" w:space="0"/>
              <w:bottom w:val="single" w:color="auto" w:sz="4" w:space="0"/>
              <w:right w:val="single" w:color="auto" w:sz="4" w:space="0"/>
            </w:tcBorders>
          </w:tcPr>
          <w:p w14:paraId="549C7BBE">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p>
        </w:tc>
        <w:tc>
          <w:tcPr>
            <w:tcW w:w="1295" w:type="dxa"/>
            <w:tcBorders>
              <w:top w:val="single" w:color="auto" w:sz="4" w:space="0"/>
              <w:left w:val="single" w:color="auto" w:sz="4" w:space="0"/>
              <w:bottom w:val="single" w:color="auto" w:sz="4" w:space="0"/>
              <w:right w:val="single" w:color="auto" w:sz="4" w:space="0"/>
            </w:tcBorders>
          </w:tcPr>
          <w:p w14:paraId="5BB47607">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p>
        </w:tc>
        <w:tc>
          <w:tcPr>
            <w:tcW w:w="1026" w:type="dxa"/>
            <w:tcBorders>
              <w:top w:val="single" w:color="auto" w:sz="4" w:space="0"/>
              <w:left w:val="single" w:color="auto" w:sz="4" w:space="0"/>
              <w:bottom w:val="single" w:color="auto" w:sz="4" w:space="0"/>
              <w:right w:val="single" w:color="auto" w:sz="4" w:space="0"/>
            </w:tcBorders>
          </w:tcPr>
          <w:p w14:paraId="1984E062">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p>
        </w:tc>
        <w:tc>
          <w:tcPr>
            <w:tcW w:w="1132" w:type="dxa"/>
            <w:tcBorders>
              <w:top w:val="single" w:color="auto" w:sz="4" w:space="0"/>
              <w:left w:val="single" w:color="auto" w:sz="4" w:space="0"/>
              <w:bottom w:val="single" w:color="auto" w:sz="4" w:space="0"/>
              <w:right w:val="single" w:color="auto" w:sz="4" w:space="0"/>
            </w:tcBorders>
          </w:tcPr>
          <w:p w14:paraId="66CA7903">
            <w:pPr>
              <w:keepNext w:val="0"/>
              <w:keepLines w:val="0"/>
              <w:suppressLineNumbers w:val="0"/>
              <w:wordWrap w:val="0"/>
              <w:adjustRightInd w:val="0"/>
              <w:snapToGrid w:val="0"/>
              <w:spacing w:before="0" w:beforeAutospacing="0" w:after="0" w:afterAutospacing="0"/>
              <w:ind w:left="0" w:right="0"/>
              <w:rPr>
                <w:rFonts w:ascii="宋体" w:hAnsi="宋体" w:cs="宋体"/>
                <w:color w:val="auto"/>
                <w:szCs w:val="21"/>
                <w:highlight w:val="none"/>
              </w:rPr>
            </w:pPr>
          </w:p>
        </w:tc>
      </w:tr>
    </w:tbl>
    <w:p w14:paraId="6C245B35">
      <w:pPr>
        <w:pStyle w:val="27"/>
        <w:ind w:left="0" w:leftChars="0" w:firstLine="0" w:firstLineChars="0"/>
        <w:rPr>
          <w:rFonts w:ascii="宋体" w:hAnsi="宋体" w:cs="宋体"/>
          <w:color w:val="auto"/>
          <w:kern w:val="0"/>
          <w:szCs w:val="21"/>
          <w:highlight w:val="none"/>
        </w:rPr>
      </w:pPr>
    </w:p>
    <w:p w14:paraId="0A080C7D">
      <w:pPr>
        <w:rPr>
          <w:color w:val="auto"/>
          <w:highlight w:val="none"/>
        </w:rPr>
      </w:pPr>
      <w:r>
        <w:rPr>
          <w:rFonts w:hint="eastAsia"/>
          <w:color w:val="auto"/>
          <w:highlight w:val="none"/>
        </w:rPr>
        <w:t>填表说明：</w:t>
      </w:r>
    </w:p>
    <w:p w14:paraId="48CE52E6">
      <w:pPr>
        <w:rPr>
          <w:color w:val="auto"/>
          <w:highlight w:val="none"/>
        </w:rPr>
      </w:pPr>
      <w:r>
        <w:rPr>
          <w:rFonts w:hint="eastAsia"/>
          <w:color w:val="auto"/>
          <w:highlight w:val="none"/>
        </w:rPr>
        <w:t>1.若为厂家直接售后，则无需填写授权售后代理商；</w:t>
      </w:r>
    </w:p>
    <w:p w14:paraId="205D888E">
      <w:pPr>
        <w:rPr>
          <w:color w:val="auto"/>
          <w:highlight w:val="none"/>
        </w:rPr>
      </w:pPr>
      <w:r>
        <w:rPr>
          <w:rFonts w:hint="eastAsia"/>
          <w:color w:val="auto"/>
          <w:highlight w:val="none"/>
        </w:rPr>
        <w:t>2.所报授权售后代理商为设备维修、配件供应、维保期满后维保服务采购的重要依据；</w:t>
      </w:r>
    </w:p>
    <w:p w14:paraId="63463A61">
      <w:pPr>
        <w:rPr>
          <w:color w:val="auto"/>
          <w:highlight w:val="none"/>
        </w:rPr>
      </w:pPr>
      <w:r>
        <w:rPr>
          <w:rFonts w:hint="eastAsia"/>
          <w:color w:val="auto"/>
          <w:highlight w:val="none"/>
        </w:rPr>
        <w:t>3.若售后代理商更换，请及时联系采购单位进行修改，提供更正说明。</w:t>
      </w:r>
    </w:p>
    <w:p w14:paraId="1C5CCBE5">
      <w:pPr>
        <w:ind w:firstLine="480"/>
        <w:rPr>
          <w:rFonts w:ascii="宋体" w:hAnsi="宋体" w:cs="宋体"/>
          <w:color w:val="auto"/>
          <w:sz w:val="32"/>
          <w:szCs w:val="32"/>
          <w:highlight w:val="none"/>
        </w:rPr>
      </w:pPr>
    </w:p>
    <w:p w14:paraId="13A5A456">
      <w:pPr>
        <w:autoSpaceDE w:val="0"/>
        <w:autoSpaceDN w:val="0"/>
        <w:ind w:left="4334" w:leftChars="2064" w:firstLine="720" w:firstLineChars="300"/>
        <w:rPr>
          <w:rFonts w:ascii="宋体" w:hAnsi="宋体" w:cs="宋体"/>
          <w:color w:val="auto"/>
          <w:kern w:val="0"/>
          <w:sz w:val="24"/>
          <w:highlight w:val="none"/>
        </w:rPr>
      </w:pPr>
      <w:r>
        <w:rPr>
          <w:rFonts w:hint="eastAsia" w:ascii="宋体" w:hAnsi="宋体" w:cs="宋体"/>
          <w:color w:val="auto"/>
          <w:kern w:val="0"/>
          <w:sz w:val="24"/>
          <w:highlight w:val="none"/>
          <w:lang w:val="zh-CN"/>
        </w:rPr>
        <w:t>投标人</w:t>
      </w:r>
      <w:r>
        <w:rPr>
          <w:rFonts w:hint="eastAsia" w:ascii="宋体" w:hAnsi="宋体" w:cs="宋体"/>
          <w:color w:val="auto"/>
          <w:kern w:val="0"/>
          <w:sz w:val="24"/>
          <w:highlight w:val="none"/>
        </w:rPr>
        <w:t>名称</w:t>
      </w:r>
      <w:r>
        <w:rPr>
          <w:rFonts w:hint="eastAsia" w:ascii="宋体" w:hAnsi="宋体" w:cs="宋体"/>
          <w:color w:val="auto"/>
          <w:kern w:val="0"/>
          <w:sz w:val="24"/>
          <w:highlight w:val="none"/>
          <w:lang w:val="zh-CN"/>
        </w:rPr>
        <w:t>(盖公章)</w:t>
      </w:r>
      <w:r>
        <w:rPr>
          <w:rFonts w:hint="eastAsia" w:ascii="宋体" w:hAnsi="宋体" w:cs="宋体"/>
          <w:color w:val="auto"/>
          <w:kern w:val="0"/>
          <w:sz w:val="24"/>
          <w:highlight w:val="none"/>
        </w:rPr>
        <w:t>：</w:t>
      </w:r>
    </w:p>
    <w:p w14:paraId="1FD69EF6">
      <w:pPr>
        <w:ind w:firstLine="360"/>
        <w:contextualSpacing/>
        <w:jc w:val="right"/>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日期：  年  月   日</w:t>
      </w:r>
    </w:p>
    <w:p w14:paraId="13BDACF1">
      <w:pPr>
        <w:rPr>
          <w:color w:val="auto"/>
          <w:highlight w:val="none"/>
        </w:rPr>
      </w:pPr>
    </w:p>
    <w:p w14:paraId="4704DF48">
      <w:pPr>
        <w:ind w:firstLine="361"/>
        <w:jc w:val="center"/>
        <w:outlineLvl w:val="1"/>
        <w:rPr>
          <w:rFonts w:ascii="宋体" w:hAnsi="宋体" w:cs="宋体"/>
          <w:b/>
          <w:bCs/>
          <w:color w:val="auto"/>
          <w:sz w:val="28"/>
          <w:szCs w:val="28"/>
          <w:highlight w:val="none"/>
        </w:rPr>
      </w:pPr>
      <w:r>
        <w:rPr>
          <w:rFonts w:hint="eastAsia" w:ascii="宋体" w:hAnsi="宋体" w:cs="宋体"/>
          <w:b/>
          <w:bCs/>
          <w:color w:val="auto"/>
          <w:sz w:val="24"/>
          <w:highlight w:val="none"/>
        </w:rPr>
        <w:br w:type="page"/>
      </w:r>
      <w:bookmarkStart w:id="259" w:name="_Toc10710"/>
      <w:bookmarkStart w:id="260" w:name="_Toc27076"/>
      <w:bookmarkStart w:id="261" w:name="_Toc31296"/>
      <w:bookmarkStart w:id="262" w:name="_Toc17482"/>
      <w:bookmarkStart w:id="263" w:name="_Toc21638"/>
      <w:r>
        <w:rPr>
          <w:rFonts w:hint="eastAsia" w:ascii="宋体" w:hAnsi="宋体" w:cs="宋体"/>
          <w:b/>
          <w:bCs/>
          <w:color w:val="auto"/>
          <w:sz w:val="28"/>
          <w:szCs w:val="28"/>
          <w:highlight w:val="none"/>
        </w:rPr>
        <w:t>第五节 报价文件格式</w:t>
      </w:r>
      <w:bookmarkEnd w:id="259"/>
      <w:bookmarkEnd w:id="260"/>
      <w:bookmarkEnd w:id="261"/>
      <w:bookmarkEnd w:id="262"/>
      <w:bookmarkEnd w:id="263"/>
    </w:p>
    <w:p w14:paraId="7E2E93E9">
      <w:pPr>
        <w:snapToGrid w:val="0"/>
        <w:spacing w:beforeLines="50" w:after="50" w:line="400" w:lineRule="exact"/>
        <w:ind w:firstLine="360"/>
        <w:jc w:val="left"/>
        <w:rPr>
          <w:rFonts w:ascii="宋体" w:hAnsi="宋体" w:cs="宋体"/>
          <w:color w:val="auto"/>
          <w:sz w:val="24"/>
          <w:highlight w:val="none"/>
        </w:rPr>
      </w:pPr>
    </w:p>
    <w:p w14:paraId="4033C580">
      <w:pPr>
        <w:snapToGrid w:val="0"/>
        <w:spacing w:beforeLines="50" w:after="50" w:line="400" w:lineRule="exact"/>
        <w:ind w:firstLine="422"/>
        <w:jc w:val="left"/>
        <w:rPr>
          <w:rFonts w:ascii="宋体" w:hAnsi="宋体" w:cs="宋体"/>
          <w:b/>
          <w:bCs/>
          <w:color w:val="auto"/>
          <w:sz w:val="28"/>
          <w:szCs w:val="28"/>
          <w:highlight w:val="none"/>
        </w:rPr>
      </w:pPr>
      <w:r>
        <w:rPr>
          <w:rFonts w:hint="eastAsia" w:ascii="宋体" w:hAnsi="宋体" w:cs="宋体"/>
          <w:b/>
          <w:bCs/>
          <w:color w:val="auto"/>
          <w:sz w:val="28"/>
          <w:szCs w:val="28"/>
          <w:highlight w:val="none"/>
        </w:rPr>
        <w:t xml:space="preserve">1.报价文件封面的格式： </w:t>
      </w:r>
    </w:p>
    <w:p w14:paraId="78D2C6FB">
      <w:pPr>
        <w:snapToGrid w:val="0"/>
        <w:spacing w:beforeLines="50" w:after="50" w:line="400" w:lineRule="exact"/>
        <w:ind w:firstLine="422"/>
        <w:jc w:val="left"/>
        <w:rPr>
          <w:rFonts w:ascii="宋体" w:hAnsi="宋体" w:cs="宋体"/>
          <w:b/>
          <w:bCs/>
          <w:color w:val="auto"/>
          <w:sz w:val="28"/>
          <w:szCs w:val="28"/>
          <w:highlight w:val="none"/>
        </w:rPr>
      </w:pPr>
    </w:p>
    <w:p w14:paraId="5709D62F">
      <w:pPr>
        <w:snapToGrid w:val="0"/>
        <w:spacing w:beforeLines="50" w:after="50" w:line="400" w:lineRule="exact"/>
        <w:ind w:firstLine="360"/>
        <w:jc w:val="left"/>
        <w:rPr>
          <w:rFonts w:ascii="宋体" w:hAnsi="宋体" w:cs="宋体"/>
          <w:color w:val="auto"/>
          <w:sz w:val="24"/>
          <w:highlight w:val="none"/>
        </w:rPr>
      </w:pPr>
    </w:p>
    <w:p w14:paraId="318E2927">
      <w:pPr>
        <w:snapToGrid w:val="0"/>
        <w:spacing w:beforeLines="50" w:after="50" w:line="400" w:lineRule="exact"/>
        <w:ind w:firstLine="5040" w:firstLineChars="2400"/>
        <w:jc w:val="right"/>
        <w:rPr>
          <w:rFonts w:ascii="宋体" w:hAnsi="宋体" w:cs="宋体"/>
          <w:bCs/>
          <w:color w:val="auto"/>
          <w:sz w:val="32"/>
          <w:szCs w:val="20"/>
          <w:highlight w:val="none"/>
        </w:rPr>
      </w:pPr>
      <w:r>
        <w:rPr>
          <w:rFonts w:hint="eastAsia" w:ascii="宋体" w:hAnsi="宋体" w:cs="宋体"/>
          <w:bCs/>
          <w:color w:val="auto"/>
          <w:highlight w:val="none"/>
        </w:rPr>
        <w:t>电子投标文件</w:t>
      </w:r>
    </w:p>
    <w:p w14:paraId="160C6C42">
      <w:pPr>
        <w:snapToGrid w:val="0"/>
        <w:spacing w:beforeLines="50" w:after="50" w:line="400" w:lineRule="exact"/>
        <w:ind w:firstLine="360"/>
        <w:jc w:val="center"/>
        <w:rPr>
          <w:rFonts w:ascii="宋体" w:hAnsi="宋体" w:cs="宋体"/>
          <w:bCs/>
          <w:color w:val="auto"/>
          <w:sz w:val="24"/>
          <w:szCs w:val="20"/>
          <w:highlight w:val="none"/>
        </w:rPr>
      </w:pPr>
    </w:p>
    <w:p w14:paraId="724E7A84">
      <w:pPr>
        <w:snapToGrid w:val="0"/>
        <w:spacing w:beforeLines="50" w:after="50" w:line="400" w:lineRule="exact"/>
        <w:ind w:firstLine="482"/>
        <w:jc w:val="center"/>
        <w:rPr>
          <w:rFonts w:ascii="宋体" w:hAnsi="宋体" w:cs="宋体"/>
          <w:b/>
          <w:bCs/>
          <w:color w:val="auto"/>
          <w:sz w:val="32"/>
          <w:szCs w:val="32"/>
          <w:highlight w:val="none"/>
        </w:rPr>
      </w:pPr>
    </w:p>
    <w:p w14:paraId="1757023E">
      <w:pPr>
        <w:snapToGrid w:val="0"/>
        <w:spacing w:beforeLines="50" w:after="50" w:line="400" w:lineRule="exact"/>
        <w:ind w:firstLine="482"/>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报价文件</w:t>
      </w:r>
    </w:p>
    <w:p w14:paraId="2EEF0379">
      <w:pPr>
        <w:snapToGrid w:val="0"/>
        <w:spacing w:beforeLines="50" w:after="50" w:line="400" w:lineRule="exact"/>
        <w:ind w:firstLine="360"/>
        <w:rPr>
          <w:rFonts w:ascii="宋体" w:hAnsi="宋体" w:cs="宋体"/>
          <w:bCs/>
          <w:color w:val="auto"/>
          <w:sz w:val="24"/>
          <w:szCs w:val="20"/>
          <w:highlight w:val="none"/>
        </w:rPr>
      </w:pPr>
    </w:p>
    <w:p w14:paraId="260A7D24">
      <w:pPr>
        <w:snapToGrid w:val="0"/>
        <w:spacing w:beforeLines="50" w:after="50" w:line="400" w:lineRule="exact"/>
        <w:ind w:firstLine="360"/>
        <w:rPr>
          <w:rFonts w:ascii="宋体" w:hAnsi="宋体" w:cs="宋体"/>
          <w:bCs/>
          <w:color w:val="auto"/>
          <w:sz w:val="24"/>
          <w:szCs w:val="20"/>
          <w:highlight w:val="none"/>
        </w:rPr>
      </w:pPr>
    </w:p>
    <w:p w14:paraId="0D9CB223">
      <w:pPr>
        <w:snapToGrid w:val="0"/>
        <w:spacing w:beforeLines="50" w:after="50" w:line="400" w:lineRule="exact"/>
        <w:ind w:firstLine="360"/>
        <w:rPr>
          <w:rFonts w:ascii="宋体" w:hAnsi="宋体" w:cs="宋体"/>
          <w:bCs/>
          <w:color w:val="auto"/>
          <w:sz w:val="24"/>
          <w:szCs w:val="20"/>
          <w:highlight w:val="none"/>
        </w:rPr>
      </w:pPr>
    </w:p>
    <w:p w14:paraId="18BAFF82">
      <w:pPr>
        <w:snapToGrid w:val="0"/>
        <w:spacing w:beforeLines="50" w:after="50" w:line="400" w:lineRule="exact"/>
        <w:ind w:firstLine="360"/>
        <w:rPr>
          <w:rFonts w:ascii="宋体" w:hAnsi="宋体" w:cs="宋体"/>
          <w:bCs/>
          <w:color w:val="auto"/>
          <w:sz w:val="24"/>
          <w:szCs w:val="20"/>
          <w:highlight w:val="none"/>
        </w:rPr>
      </w:pPr>
    </w:p>
    <w:p w14:paraId="0A74E16B">
      <w:pPr>
        <w:snapToGrid w:val="0"/>
        <w:spacing w:beforeLines="50" w:after="50" w:line="400" w:lineRule="exact"/>
        <w:ind w:firstLine="360" w:firstLineChars="150"/>
        <w:rPr>
          <w:rFonts w:ascii="宋体" w:hAnsi="宋体" w:cs="宋体"/>
          <w:bCs/>
          <w:color w:val="auto"/>
          <w:sz w:val="24"/>
          <w:highlight w:val="none"/>
        </w:rPr>
      </w:pPr>
      <w:r>
        <w:rPr>
          <w:rFonts w:hint="eastAsia" w:ascii="宋体" w:hAnsi="宋体" w:cs="宋体"/>
          <w:bCs/>
          <w:color w:val="auto"/>
          <w:sz w:val="24"/>
          <w:highlight w:val="none"/>
        </w:rPr>
        <w:t xml:space="preserve">项目名称： </w:t>
      </w:r>
    </w:p>
    <w:p w14:paraId="6A3DF7C9">
      <w:pPr>
        <w:snapToGrid w:val="0"/>
        <w:spacing w:beforeLines="50" w:after="50" w:line="400" w:lineRule="exact"/>
        <w:ind w:firstLine="360" w:firstLineChars="150"/>
        <w:rPr>
          <w:rFonts w:ascii="宋体" w:hAnsi="宋体" w:cs="宋体"/>
          <w:bCs/>
          <w:color w:val="auto"/>
          <w:sz w:val="24"/>
          <w:highlight w:val="none"/>
        </w:rPr>
      </w:pPr>
    </w:p>
    <w:p w14:paraId="001E5F33">
      <w:pPr>
        <w:snapToGrid w:val="0"/>
        <w:spacing w:beforeLines="50" w:after="50" w:line="400" w:lineRule="exact"/>
        <w:ind w:firstLine="360" w:firstLineChars="150"/>
        <w:rPr>
          <w:rFonts w:ascii="宋体" w:hAnsi="宋体" w:cs="宋体"/>
          <w:bCs/>
          <w:color w:val="auto"/>
          <w:sz w:val="24"/>
          <w:highlight w:val="none"/>
        </w:rPr>
      </w:pPr>
      <w:r>
        <w:rPr>
          <w:rFonts w:hint="eastAsia" w:ascii="宋体" w:hAnsi="宋体" w:cs="宋体"/>
          <w:bCs/>
          <w:color w:val="auto"/>
          <w:sz w:val="24"/>
          <w:highlight w:val="none"/>
        </w:rPr>
        <w:t xml:space="preserve">项目编号： </w:t>
      </w:r>
    </w:p>
    <w:p w14:paraId="18DDFF53">
      <w:pPr>
        <w:snapToGrid w:val="0"/>
        <w:spacing w:beforeLines="50" w:after="50" w:line="400" w:lineRule="exact"/>
        <w:ind w:firstLine="360" w:firstLineChars="150"/>
        <w:rPr>
          <w:rFonts w:ascii="宋体" w:hAnsi="宋体" w:cs="宋体"/>
          <w:bCs/>
          <w:color w:val="auto"/>
          <w:sz w:val="24"/>
          <w:highlight w:val="none"/>
        </w:rPr>
      </w:pPr>
    </w:p>
    <w:p w14:paraId="44483AF2">
      <w:pPr>
        <w:snapToGrid w:val="0"/>
        <w:spacing w:beforeLines="50" w:after="50" w:line="400" w:lineRule="exact"/>
        <w:ind w:firstLine="360" w:firstLineChars="150"/>
        <w:rPr>
          <w:rFonts w:ascii="宋体" w:hAnsi="宋体" w:cs="宋体"/>
          <w:bCs/>
          <w:color w:val="auto"/>
          <w:sz w:val="24"/>
          <w:highlight w:val="none"/>
        </w:rPr>
      </w:pPr>
      <w:r>
        <w:rPr>
          <w:rFonts w:hint="eastAsia" w:ascii="宋体" w:hAnsi="宋体" w:cs="宋体"/>
          <w:bCs/>
          <w:color w:val="auto"/>
          <w:sz w:val="24"/>
          <w:highlight w:val="none"/>
        </w:rPr>
        <w:t>所投分标（如有则填写，无分标时填写“无”或者留空）：</w:t>
      </w:r>
    </w:p>
    <w:p w14:paraId="005C20FB">
      <w:pPr>
        <w:snapToGrid w:val="0"/>
        <w:spacing w:beforeLines="50" w:after="50" w:line="400" w:lineRule="exact"/>
        <w:ind w:firstLine="360" w:firstLineChars="150"/>
        <w:rPr>
          <w:rFonts w:ascii="宋体" w:hAnsi="宋体" w:cs="宋体"/>
          <w:bCs/>
          <w:color w:val="auto"/>
          <w:sz w:val="24"/>
          <w:highlight w:val="none"/>
        </w:rPr>
      </w:pPr>
    </w:p>
    <w:p w14:paraId="56DC7603">
      <w:pPr>
        <w:snapToGrid w:val="0"/>
        <w:spacing w:beforeLines="50" w:after="50" w:line="400" w:lineRule="exact"/>
        <w:ind w:firstLine="360" w:firstLineChars="150"/>
        <w:rPr>
          <w:rFonts w:ascii="宋体" w:hAnsi="宋体" w:cs="宋体"/>
          <w:bCs/>
          <w:color w:val="auto"/>
          <w:sz w:val="24"/>
          <w:highlight w:val="none"/>
        </w:rPr>
      </w:pPr>
      <w:r>
        <w:rPr>
          <w:rFonts w:hint="eastAsia" w:ascii="宋体" w:hAnsi="宋体" w:cs="宋体"/>
          <w:bCs/>
          <w:color w:val="auto"/>
          <w:sz w:val="24"/>
          <w:highlight w:val="none"/>
        </w:rPr>
        <w:t>投标人名称：</w:t>
      </w:r>
    </w:p>
    <w:p w14:paraId="26423ACE">
      <w:pPr>
        <w:snapToGrid w:val="0"/>
        <w:spacing w:beforeLines="50" w:after="50" w:line="400" w:lineRule="exact"/>
        <w:ind w:firstLine="360" w:firstLineChars="150"/>
        <w:rPr>
          <w:rFonts w:ascii="宋体" w:hAnsi="宋体" w:cs="宋体"/>
          <w:bCs/>
          <w:color w:val="auto"/>
          <w:sz w:val="24"/>
          <w:highlight w:val="none"/>
        </w:rPr>
      </w:pPr>
    </w:p>
    <w:p w14:paraId="70224FC5">
      <w:pPr>
        <w:snapToGrid w:val="0"/>
        <w:spacing w:beforeLines="50" w:after="50" w:line="400" w:lineRule="exact"/>
        <w:ind w:firstLine="360" w:firstLineChars="150"/>
        <w:rPr>
          <w:rFonts w:ascii="宋体" w:hAnsi="宋体" w:cs="宋体"/>
          <w:bCs/>
          <w:color w:val="auto"/>
          <w:sz w:val="24"/>
          <w:highlight w:val="none"/>
        </w:rPr>
      </w:pPr>
      <w:r>
        <w:rPr>
          <w:rFonts w:hint="eastAsia" w:ascii="宋体" w:hAnsi="宋体" w:cs="宋体"/>
          <w:bCs/>
          <w:color w:val="auto"/>
          <w:sz w:val="24"/>
          <w:highlight w:val="none"/>
        </w:rPr>
        <w:t>投标人地址：</w:t>
      </w:r>
    </w:p>
    <w:p w14:paraId="5B564B4A">
      <w:pPr>
        <w:snapToGrid w:val="0"/>
        <w:spacing w:before="50" w:after="50" w:line="400" w:lineRule="exact"/>
        <w:ind w:firstLine="960" w:firstLineChars="400"/>
        <w:rPr>
          <w:rFonts w:ascii="宋体" w:hAnsi="宋体" w:cs="宋体"/>
          <w:bCs/>
          <w:color w:val="auto"/>
          <w:sz w:val="24"/>
          <w:highlight w:val="none"/>
        </w:rPr>
      </w:pPr>
    </w:p>
    <w:p w14:paraId="62449659">
      <w:pPr>
        <w:snapToGrid w:val="0"/>
        <w:spacing w:beforeLines="50" w:after="50" w:line="400" w:lineRule="exact"/>
        <w:ind w:firstLine="360"/>
        <w:rPr>
          <w:rFonts w:ascii="宋体" w:hAnsi="宋体" w:cs="宋体"/>
          <w:color w:val="auto"/>
          <w:sz w:val="24"/>
          <w:highlight w:val="none"/>
        </w:rPr>
      </w:pPr>
      <w:r>
        <w:rPr>
          <w:rFonts w:hint="eastAsia" w:ascii="宋体" w:hAnsi="宋体" w:cs="宋体"/>
          <w:color w:val="auto"/>
          <w:sz w:val="24"/>
          <w:highlight w:val="none"/>
        </w:rPr>
        <w:t xml:space="preserve">                                      年   月   日</w:t>
      </w:r>
    </w:p>
    <w:p w14:paraId="07396567">
      <w:pPr>
        <w:snapToGrid w:val="0"/>
        <w:spacing w:beforeLines="50" w:after="50" w:line="360" w:lineRule="auto"/>
        <w:ind w:firstLine="422"/>
        <w:jc w:val="left"/>
        <w:rPr>
          <w:rFonts w:ascii="宋体" w:hAnsi="宋体" w:cs="宋体"/>
          <w:color w:val="auto"/>
          <w:sz w:val="28"/>
          <w:szCs w:val="28"/>
          <w:highlight w:val="none"/>
        </w:rPr>
      </w:pPr>
      <w:r>
        <w:rPr>
          <w:rFonts w:hint="eastAsia" w:ascii="宋体" w:hAnsi="宋体" w:cs="宋体"/>
          <w:b/>
          <w:color w:val="auto"/>
          <w:sz w:val="28"/>
          <w:szCs w:val="28"/>
          <w:highlight w:val="none"/>
        </w:rPr>
        <w:br w:type="page"/>
      </w:r>
      <w:r>
        <w:rPr>
          <w:rFonts w:hint="eastAsia" w:ascii="宋体" w:hAnsi="宋体" w:cs="宋体"/>
          <w:b/>
          <w:color w:val="auto"/>
          <w:sz w:val="28"/>
          <w:szCs w:val="28"/>
          <w:highlight w:val="none"/>
        </w:rPr>
        <w:t>2.</w:t>
      </w:r>
      <w:r>
        <w:rPr>
          <w:rFonts w:hint="eastAsia" w:ascii="宋体" w:hAnsi="宋体" w:cs="宋体"/>
          <w:b/>
          <w:bCs/>
          <w:color w:val="auto"/>
          <w:sz w:val="28"/>
          <w:szCs w:val="28"/>
          <w:highlight w:val="none"/>
        </w:rPr>
        <w:t>报价文件目录</w:t>
      </w:r>
    </w:p>
    <w:p w14:paraId="35E9F3B3">
      <w:pPr>
        <w:snapToGrid w:val="0"/>
        <w:spacing w:before="50" w:afterLines="50" w:line="360" w:lineRule="auto"/>
        <w:ind w:firstLine="420"/>
        <w:jc w:val="left"/>
        <w:rPr>
          <w:rFonts w:ascii="宋体" w:hAnsi="宋体" w:cs="宋体"/>
          <w:b/>
          <w:color w:val="auto"/>
          <w:sz w:val="28"/>
          <w:szCs w:val="28"/>
          <w:highlight w:val="none"/>
        </w:rPr>
      </w:pPr>
      <w:r>
        <w:rPr>
          <w:rFonts w:hint="eastAsia" w:ascii="宋体" w:hAnsi="宋体" w:cs="宋体"/>
          <w:color w:val="auto"/>
          <w:sz w:val="28"/>
          <w:szCs w:val="28"/>
          <w:highlight w:val="none"/>
        </w:rPr>
        <w:t>根据招标文件规定及投标人提供的材料自行编写目录</w:t>
      </w:r>
      <w:r>
        <w:rPr>
          <w:rFonts w:hint="eastAsia" w:ascii="宋体" w:hAnsi="宋体" w:cs="宋体"/>
          <w:color w:val="auto"/>
          <w:kern w:val="0"/>
          <w:sz w:val="28"/>
          <w:szCs w:val="28"/>
          <w:highlight w:val="none"/>
        </w:rPr>
        <w:t>（部分格式后附）</w:t>
      </w:r>
      <w:r>
        <w:rPr>
          <w:rFonts w:hint="eastAsia" w:ascii="宋体" w:hAnsi="宋体" w:cs="宋体"/>
          <w:color w:val="auto"/>
          <w:sz w:val="28"/>
          <w:szCs w:val="28"/>
          <w:highlight w:val="none"/>
        </w:rPr>
        <w:t>。</w:t>
      </w:r>
    </w:p>
    <w:p w14:paraId="09C5D426">
      <w:pPr>
        <w:spacing w:line="360" w:lineRule="auto"/>
        <w:ind w:firstLine="360"/>
        <w:rPr>
          <w:rFonts w:ascii="宋体" w:hAnsi="宋体" w:cs="宋体"/>
          <w:color w:val="auto"/>
          <w:sz w:val="24"/>
          <w:highlight w:val="none"/>
        </w:rPr>
      </w:pPr>
      <w:r>
        <w:rPr>
          <w:rFonts w:hint="eastAsia" w:ascii="宋体" w:hAnsi="宋体" w:cs="宋体"/>
          <w:color w:val="auto"/>
          <w:sz w:val="24"/>
          <w:highlight w:val="none"/>
        </w:rPr>
        <w:br w:type="page"/>
      </w:r>
      <w:r>
        <w:rPr>
          <w:rFonts w:hint="eastAsia" w:ascii="宋体" w:hAnsi="宋体" w:cs="宋体"/>
          <w:b/>
          <w:bCs/>
          <w:color w:val="auto"/>
          <w:sz w:val="28"/>
          <w:szCs w:val="28"/>
          <w:highlight w:val="none"/>
        </w:rPr>
        <w:t>3.投标函的格式：</w:t>
      </w:r>
    </w:p>
    <w:p w14:paraId="7328C7F9">
      <w:pPr>
        <w:spacing w:line="500" w:lineRule="exact"/>
        <w:ind w:firstLine="452"/>
        <w:jc w:val="center"/>
        <w:rPr>
          <w:rFonts w:ascii="宋体" w:hAnsi="宋体" w:cs="宋体"/>
          <w:b/>
          <w:bCs/>
          <w:color w:val="auto"/>
          <w:sz w:val="30"/>
          <w:szCs w:val="30"/>
          <w:highlight w:val="none"/>
        </w:rPr>
      </w:pPr>
      <w:r>
        <w:rPr>
          <w:rFonts w:hint="eastAsia" w:ascii="宋体" w:hAnsi="宋体" w:cs="宋体"/>
          <w:b/>
          <w:bCs/>
          <w:color w:val="auto"/>
          <w:sz w:val="30"/>
          <w:szCs w:val="30"/>
          <w:highlight w:val="none"/>
        </w:rPr>
        <w:t>投标函</w:t>
      </w:r>
    </w:p>
    <w:p w14:paraId="1D8C4B61">
      <w:pPr>
        <w:spacing w:line="360" w:lineRule="auto"/>
        <w:ind w:firstLine="420" w:firstLineChars="200"/>
        <w:rPr>
          <w:rFonts w:ascii="宋体" w:hAnsi="宋体" w:cs="宋体"/>
          <w:color w:val="auto"/>
          <w:szCs w:val="20"/>
          <w:highlight w:val="none"/>
        </w:rPr>
      </w:pPr>
    </w:p>
    <w:p w14:paraId="4FD805FF">
      <w:pPr>
        <w:spacing w:line="360" w:lineRule="auto"/>
        <w:ind w:firstLine="420" w:firstLineChars="200"/>
        <w:rPr>
          <w:rFonts w:ascii="宋体" w:hAnsi="宋体" w:cs="宋体"/>
          <w:color w:val="auto"/>
          <w:szCs w:val="20"/>
          <w:highlight w:val="none"/>
        </w:rPr>
      </w:pPr>
      <w:r>
        <w:rPr>
          <w:rFonts w:hint="eastAsia" w:ascii="宋体" w:hAnsi="宋体" w:cs="宋体"/>
          <w:color w:val="auto"/>
          <w:szCs w:val="20"/>
          <w:highlight w:val="none"/>
        </w:rPr>
        <w:t>致：</w:t>
      </w:r>
      <w:r>
        <w:rPr>
          <w:rFonts w:hint="eastAsia" w:ascii="宋体" w:hAnsi="宋体" w:cs="宋体"/>
          <w:color w:val="auto"/>
          <w:szCs w:val="20"/>
          <w:highlight w:val="none"/>
          <w:u w:val="single"/>
          <w:lang w:val="en-US" w:eastAsia="zh-CN"/>
        </w:rPr>
        <w:t xml:space="preserve">          </w:t>
      </w:r>
      <w:r>
        <w:rPr>
          <w:rFonts w:hint="eastAsia" w:ascii="宋体" w:hAnsi="宋体" w:cs="宋体"/>
          <w:color w:val="auto"/>
          <w:szCs w:val="20"/>
          <w:highlight w:val="none"/>
        </w:rPr>
        <w:t xml:space="preserve"> </w:t>
      </w:r>
    </w:p>
    <w:p w14:paraId="1BC873B8">
      <w:pPr>
        <w:spacing w:line="360" w:lineRule="auto"/>
        <w:ind w:firstLine="420" w:firstLineChars="200"/>
        <w:rPr>
          <w:rFonts w:ascii="宋体" w:hAnsi="宋体" w:cs="宋体"/>
          <w:color w:val="auto"/>
          <w:szCs w:val="20"/>
          <w:highlight w:val="none"/>
        </w:rPr>
      </w:pPr>
      <w:r>
        <w:rPr>
          <w:rFonts w:hint="eastAsia" w:ascii="宋体" w:hAnsi="宋体" w:cs="宋体"/>
          <w:color w:val="auto"/>
          <w:szCs w:val="20"/>
          <w:highlight w:val="none"/>
        </w:rPr>
        <w:t>我方已仔细阅读了贵方组织的</w:t>
      </w:r>
      <w:r>
        <w:rPr>
          <w:rFonts w:hint="eastAsia" w:ascii="宋体" w:hAnsi="宋体" w:cs="宋体"/>
          <w:color w:val="auto"/>
          <w:szCs w:val="20"/>
          <w:highlight w:val="none"/>
          <w:u w:val="single"/>
        </w:rPr>
        <w:t xml:space="preserve">  </w:t>
      </w:r>
      <w:r>
        <w:rPr>
          <w:rFonts w:hint="eastAsia" w:ascii="宋体" w:hAnsi="宋体" w:cs="宋体"/>
          <w:i/>
          <w:iCs/>
          <w:color w:val="auto"/>
          <w:szCs w:val="20"/>
          <w:highlight w:val="none"/>
          <w:u w:val="single"/>
        </w:rPr>
        <w:t>（项目名称）</w:t>
      </w:r>
      <w:r>
        <w:rPr>
          <w:rFonts w:hint="eastAsia" w:ascii="宋体" w:hAnsi="宋体" w:cs="宋体"/>
          <w:color w:val="auto"/>
          <w:szCs w:val="20"/>
          <w:highlight w:val="none"/>
          <w:u w:val="single"/>
        </w:rPr>
        <w:t xml:space="preserve">  </w:t>
      </w:r>
      <w:r>
        <w:rPr>
          <w:rFonts w:hint="eastAsia" w:ascii="宋体" w:hAnsi="宋体" w:cs="宋体"/>
          <w:color w:val="auto"/>
          <w:szCs w:val="20"/>
          <w:highlight w:val="none"/>
        </w:rPr>
        <w:t>项目（项目编号：</w:t>
      </w:r>
      <w:r>
        <w:rPr>
          <w:rFonts w:hint="eastAsia" w:ascii="宋体" w:hAnsi="宋体" w:cs="宋体"/>
          <w:color w:val="auto"/>
          <w:szCs w:val="20"/>
          <w:highlight w:val="none"/>
          <w:u w:val="single"/>
        </w:rPr>
        <w:t xml:space="preserve">        </w:t>
      </w:r>
      <w:r>
        <w:rPr>
          <w:rFonts w:hint="eastAsia" w:ascii="宋体" w:hAnsi="宋体" w:cs="宋体"/>
          <w:color w:val="auto"/>
          <w:szCs w:val="20"/>
          <w:highlight w:val="none"/>
        </w:rPr>
        <w:t>）的招标文件的全部内容，授权</w:t>
      </w:r>
      <w:r>
        <w:rPr>
          <w:rFonts w:hint="eastAsia" w:ascii="宋体" w:hAnsi="宋体" w:cs="宋体"/>
          <w:color w:val="auto"/>
          <w:szCs w:val="20"/>
          <w:highlight w:val="none"/>
          <w:u w:val="single"/>
        </w:rPr>
        <w:t xml:space="preserve">                      </w:t>
      </w:r>
      <w:r>
        <w:rPr>
          <w:rFonts w:hint="eastAsia" w:ascii="宋体" w:hAnsi="宋体" w:cs="宋体"/>
          <w:color w:val="auto"/>
          <w:szCs w:val="20"/>
          <w:highlight w:val="none"/>
        </w:rPr>
        <w:t>(全权代表姓名)</w:t>
      </w:r>
      <w:r>
        <w:rPr>
          <w:rFonts w:hint="eastAsia" w:ascii="宋体" w:hAnsi="宋体" w:cs="宋体"/>
          <w:color w:val="auto"/>
          <w:szCs w:val="20"/>
          <w:highlight w:val="none"/>
          <w:u w:val="single"/>
        </w:rPr>
        <w:t xml:space="preserve">          </w:t>
      </w:r>
      <w:r>
        <w:rPr>
          <w:rFonts w:hint="eastAsia" w:ascii="宋体" w:hAnsi="宋体" w:cs="宋体"/>
          <w:color w:val="auto"/>
          <w:szCs w:val="20"/>
          <w:highlight w:val="none"/>
        </w:rPr>
        <w:t xml:space="preserve"> (职务、职称)为全权代表，现正式递交下述文件参加贵方组织的本次政府采购活动： </w:t>
      </w:r>
    </w:p>
    <w:p w14:paraId="40738BC2">
      <w:pPr>
        <w:spacing w:line="360" w:lineRule="auto"/>
        <w:ind w:left="0" w:leftChars="0" w:firstLine="319" w:firstLineChars="152"/>
        <w:rPr>
          <w:rFonts w:ascii="宋体" w:hAnsi="宋体" w:cs="宋体"/>
          <w:color w:val="auto"/>
          <w:szCs w:val="20"/>
          <w:highlight w:val="none"/>
        </w:rPr>
      </w:pPr>
      <w:r>
        <w:rPr>
          <w:rFonts w:hint="eastAsia" w:ascii="宋体" w:hAnsi="宋体" w:cs="宋体"/>
          <w:color w:val="auto"/>
          <w:szCs w:val="20"/>
          <w:highlight w:val="none"/>
        </w:rPr>
        <w:t>一、报价文件电子版（包含按投标人须知前附表要求提交的全部文件）；</w:t>
      </w:r>
    </w:p>
    <w:p w14:paraId="1B3E6095">
      <w:pPr>
        <w:spacing w:line="360" w:lineRule="auto"/>
        <w:ind w:firstLine="315"/>
        <w:rPr>
          <w:rFonts w:ascii="宋体" w:hAnsi="宋体" w:cs="宋体"/>
          <w:color w:val="auto"/>
          <w:szCs w:val="20"/>
          <w:highlight w:val="none"/>
        </w:rPr>
      </w:pPr>
      <w:r>
        <w:rPr>
          <w:rFonts w:hint="eastAsia" w:ascii="宋体" w:hAnsi="宋体" w:cs="宋体"/>
          <w:color w:val="auto"/>
          <w:szCs w:val="20"/>
          <w:highlight w:val="none"/>
        </w:rPr>
        <w:t>二、资格文件电子版（包含按投标人须知前附表要求提交的全部文件）；</w:t>
      </w:r>
    </w:p>
    <w:p w14:paraId="69F127A9">
      <w:pPr>
        <w:spacing w:line="360" w:lineRule="auto"/>
        <w:ind w:firstLine="315"/>
        <w:rPr>
          <w:rFonts w:ascii="宋体" w:hAnsi="宋体" w:cs="宋体"/>
          <w:color w:val="auto"/>
          <w:szCs w:val="20"/>
          <w:highlight w:val="none"/>
        </w:rPr>
      </w:pPr>
      <w:r>
        <w:rPr>
          <w:rFonts w:hint="eastAsia" w:ascii="宋体" w:hAnsi="宋体" w:cs="宋体"/>
          <w:color w:val="auto"/>
          <w:szCs w:val="20"/>
          <w:highlight w:val="none"/>
        </w:rPr>
        <w:t>三、技术文件电子版（包含按投标人须知前附表要求提交的全部文件）；</w:t>
      </w:r>
    </w:p>
    <w:p w14:paraId="24D234D5">
      <w:pPr>
        <w:spacing w:line="360" w:lineRule="auto"/>
        <w:ind w:firstLine="315"/>
        <w:rPr>
          <w:rFonts w:ascii="宋体" w:hAnsi="宋体" w:cs="宋体"/>
          <w:color w:val="auto"/>
          <w:szCs w:val="20"/>
          <w:highlight w:val="none"/>
        </w:rPr>
      </w:pPr>
      <w:r>
        <w:rPr>
          <w:rFonts w:hint="eastAsia" w:ascii="宋体" w:hAnsi="宋体" w:cs="宋体"/>
          <w:color w:val="auto"/>
          <w:szCs w:val="20"/>
          <w:highlight w:val="none"/>
        </w:rPr>
        <w:t>四、商务文件电子版（包含按投标人须知前附表要求提交的全部文件）；</w:t>
      </w:r>
    </w:p>
    <w:p w14:paraId="28A0DC2F">
      <w:pPr>
        <w:spacing w:line="360" w:lineRule="auto"/>
        <w:ind w:firstLine="315"/>
        <w:rPr>
          <w:rFonts w:ascii="宋体" w:hAnsi="宋体" w:cs="宋体"/>
          <w:color w:val="auto"/>
          <w:szCs w:val="20"/>
          <w:highlight w:val="none"/>
        </w:rPr>
      </w:pPr>
      <w:r>
        <w:rPr>
          <w:rFonts w:hint="eastAsia" w:ascii="宋体" w:hAnsi="宋体" w:cs="宋体"/>
          <w:color w:val="auto"/>
          <w:szCs w:val="20"/>
          <w:highlight w:val="none"/>
        </w:rPr>
        <w:t>据此函，我方兹宣布：</w:t>
      </w:r>
    </w:p>
    <w:p w14:paraId="01CD58A7">
      <w:pPr>
        <w:spacing w:line="360" w:lineRule="auto"/>
        <w:ind w:firstLine="420" w:firstLineChars="200"/>
        <w:rPr>
          <w:rFonts w:ascii="宋体" w:hAnsi="宋体" w:cs="宋体"/>
          <w:color w:val="auto"/>
          <w:szCs w:val="20"/>
          <w:highlight w:val="none"/>
          <w:u w:val="single"/>
        </w:rPr>
      </w:pPr>
      <w:r>
        <w:rPr>
          <w:rFonts w:hint="eastAsia" w:ascii="宋体" w:hAnsi="宋体" w:cs="宋体"/>
          <w:color w:val="auto"/>
          <w:szCs w:val="20"/>
          <w:highlight w:val="none"/>
        </w:rPr>
        <w:t>1、我方愿意以投标时提供的开标一览表中的投标总</w:t>
      </w:r>
      <w:r>
        <w:rPr>
          <w:rFonts w:hint="eastAsia" w:ascii="宋体" w:hAnsi="宋体" w:cs="宋体"/>
          <w:color w:val="auto"/>
          <w:szCs w:val="22"/>
          <w:highlight w:val="none"/>
        </w:rPr>
        <w:t>报价，在承诺的交付时间内</w:t>
      </w:r>
      <w:r>
        <w:rPr>
          <w:rFonts w:hint="eastAsia" w:ascii="宋体" w:hAnsi="宋体" w:cs="宋体"/>
          <w:color w:val="auto"/>
          <w:szCs w:val="20"/>
          <w:highlight w:val="none"/>
        </w:rPr>
        <w:t>提供本项目招标文件“第二章  采购需求”相应的采购内容，具体详见开标一览表。</w:t>
      </w:r>
    </w:p>
    <w:p w14:paraId="447D105B">
      <w:pPr>
        <w:spacing w:line="360" w:lineRule="auto"/>
        <w:ind w:firstLine="420" w:firstLineChars="200"/>
        <w:rPr>
          <w:rFonts w:ascii="宋体" w:hAnsi="宋体" w:cs="宋体"/>
          <w:color w:val="auto"/>
          <w:szCs w:val="20"/>
          <w:highlight w:val="none"/>
          <w:u w:val="single"/>
        </w:rPr>
      </w:pPr>
      <w:r>
        <w:rPr>
          <w:rFonts w:hint="eastAsia" w:ascii="宋体" w:hAnsi="宋体" w:cs="宋体"/>
          <w:color w:val="auto"/>
          <w:szCs w:val="20"/>
          <w:highlight w:val="none"/>
        </w:rPr>
        <w:t>2、我方同意自本项目招标文件“第三章 投标人须知”第一节 投标人须知前附表 第21.1项规定的投标截止时间（开标时间）起遵循本投标函，并承诺在“投标人须知前附表”第17.2项规定的投标有效期内不修改、撤销投标文件。</w:t>
      </w:r>
    </w:p>
    <w:p w14:paraId="62E733B6">
      <w:pPr>
        <w:spacing w:line="360" w:lineRule="auto"/>
        <w:ind w:firstLine="420" w:firstLineChars="200"/>
        <w:rPr>
          <w:rFonts w:ascii="宋体" w:hAnsi="宋体" w:cs="宋体"/>
          <w:color w:val="auto"/>
          <w:szCs w:val="20"/>
          <w:highlight w:val="none"/>
          <w:u w:val="single"/>
        </w:rPr>
      </w:pPr>
      <w:r>
        <w:rPr>
          <w:rFonts w:hint="eastAsia" w:ascii="宋体" w:hAnsi="宋体" w:cs="宋体"/>
          <w:color w:val="auto"/>
          <w:szCs w:val="20"/>
          <w:highlight w:val="none"/>
        </w:rPr>
        <w:t>3、我方所递交的投标文件及有关资料都是内容完整、真实和准确的。</w:t>
      </w:r>
    </w:p>
    <w:p w14:paraId="02838983">
      <w:pPr>
        <w:spacing w:line="360" w:lineRule="auto"/>
        <w:ind w:left="0" w:leftChars="0" w:firstLine="420" w:firstLineChars="0"/>
        <w:rPr>
          <w:rFonts w:ascii="宋体" w:hAnsi="宋体" w:cs="宋体"/>
          <w:color w:val="auto"/>
          <w:szCs w:val="20"/>
          <w:highlight w:val="none"/>
        </w:rPr>
      </w:pPr>
      <w:r>
        <w:rPr>
          <w:rFonts w:hint="eastAsia" w:ascii="宋体" w:hAnsi="宋体" w:cs="宋体"/>
          <w:color w:val="auto"/>
          <w:szCs w:val="20"/>
          <w:highlight w:val="none"/>
        </w:rPr>
        <w:t>4、</w:t>
      </w:r>
      <w:r>
        <w:rPr>
          <w:rFonts w:hint="eastAsia" w:ascii="宋体" w:hAnsi="宋体" w:cs="宋体"/>
          <w:color w:val="auto"/>
          <w:szCs w:val="21"/>
          <w:highlight w:val="none"/>
        </w:rPr>
        <w:t>如本项目采购内容涉及须符合国家强制规定的，我方承诺我方本次投标（包括资格条件和所投产品）均符合国家有关强制规定。</w:t>
      </w:r>
    </w:p>
    <w:p w14:paraId="1984C97B">
      <w:pPr>
        <w:spacing w:line="360" w:lineRule="auto"/>
        <w:ind w:firstLine="420" w:firstLineChars="200"/>
        <w:rPr>
          <w:rFonts w:ascii="宋体" w:hAnsi="宋体" w:cs="宋体"/>
          <w:color w:val="auto"/>
          <w:szCs w:val="20"/>
          <w:highlight w:val="none"/>
        </w:rPr>
      </w:pPr>
      <w:r>
        <w:rPr>
          <w:rFonts w:hint="eastAsia" w:ascii="宋体" w:hAnsi="宋体" w:cs="宋体"/>
          <w:color w:val="auto"/>
          <w:szCs w:val="20"/>
          <w:highlight w:val="none"/>
        </w:rPr>
        <w:t>5、如我方中标，我方承诺在收到中标通知书后，在中标通知书规定的期限内，根据招标文件、我方的投标文件及有关澄清承诺书的要求按第五章“拟签订的合同文本”与采购人订立书面合同，并按照合同约定承担完成合同的责任和义务。</w:t>
      </w:r>
    </w:p>
    <w:p w14:paraId="07017AC1">
      <w:pPr>
        <w:spacing w:line="360" w:lineRule="auto"/>
        <w:ind w:firstLine="420" w:firstLineChars="200"/>
        <w:rPr>
          <w:rFonts w:ascii="宋体" w:hAnsi="宋体" w:cs="宋体"/>
          <w:color w:val="auto"/>
          <w:szCs w:val="20"/>
          <w:highlight w:val="none"/>
        </w:rPr>
      </w:pPr>
      <w:r>
        <w:rPr>
          <w:rFonts w:hint="eastAsia" w:ascii="宋体" w:hAnsi="宋体" w:cs="宋体"/>
          <w:color w:val="auto"/>
          <w:szCs w:val="20"/>
          <w:highlight w:val="none"/>
        </w:rPr>
        <w:t>6、我方已详细审核招标文件，我方知道必须放弃提出含糊不清或误解问题的权利。</w:t>
      </w:r>
    </w:p>
    <w:p w14:paraId="779A7DCC">
      <w:pPr>
        <w:spacing w:line="360" w:lineRule="auto"/>
        <w:ind w:firstLine="420" w:firstLineChars="200"/>
        <w:rPr>
          <w:rFonts w:ascii="宋体" w:hAnsi="宋体" w:cs="宋体"/>
          <w:color w:val="auto"/>
          <w:szCs w:val="20"/>
          <w:highlight w:val="none"/>
        </w:rPr>
      </w:pPr>
      <w:r>
        <w:rPr>
          <w:rFonts w:hint="eastAsia" w:ascii="宋体" w:hAnsi="宋体" w:cs="宋体"/>
          <w:color w:val="auto"/>
          <w:szCs w:val="20"/>
          <w:highlight w:val="none"/>
        </w:rPr>
        <w:t>7、我方同意应贵方要求提供与本投标有关的任何数据或资料。若贵方需要，我方愿意提供我方作出的一切承诺的证明材料。</w:t>
      </w:r>
    </w:p>
    <w:p w14:paraId="08CE60EF">
      <w:pPr>
        <w:spacing w:line="360" w:lineRule="auto"/>
        <w:ind w:firstLine="420" w:firstLineChars="200"/>
        <w:rPr>
          <w:rFonts w:ascii="宋体" w:hAnsi="宋体" w:cs="宋体"/>
          <w:color w:val="auto"/>
          <w:szCs w:val="20"/>
          <w:highlight w:val="none"/>
        </w:rPr>
      </w:pPr>
      <w:r>
        <w:rPr>
          <w:rFonts w:hint="eastAsia" w:ascii="宋体" w:hAnsi="宋体" w:cs="宋体"/>
          <w:color w:val="auto"/>
          <w:szCs w:val="20"/>
          <w:highlight w:val="none"/>
        </w:rPr>
        <w:t>8、我方完全理解贵方不一定接受投标报价最低的投标人为中标人的行为。</w:t>
      </w:r>
    </w:p>
    <w:p w14:paraId="09B944F3">
      <w:pPr>
        <w:spacing w:line="360" w:lineRule="auto"/>
        <w:ind w:firstLine="420" w:firstLineChars="200"/>
        <w:rPr>
          <w:rFonts w:ascii="宋体" w:hAnsi="宋体" w:cs="宋体"/>
          <w:color w:val="auto"/>
          <w:szCs w:val="20"/>
          <w:highlight w:val="none"/>
        </w:rPr>
      </w:pPr>
      <w:r>
        <w:rPr>
          <w:rFonts w:hint="eastAsia" w:ascii="宋体" w:hAnsi="宋体" w:cs="宋体"/>
          <w:color w:val="auto"/>
          <w:szCs w:val="20"/>
          <w:highlight w:val="none"/>
        </w:rPr>
        <w:t>9、我方将严格遵守《中华人民共和国政府采购法》第七十七条的规定，即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2CA43D2F">
      <w:pPr>
        <w:numPr>
          <w:ilvl w:val="0"/>
          <w:numId w:val="2"/>
        </w:numPr>
        <w:spacing w:line="360" w:lineRule="auto"/>
        <w:rPr>
          <w:rFonts w:ascii="宋体" w:hAnsi="宋体" w:cs="宋体"/>
          <w:color w:val="auto"/>
          <w:szCs w:val="20"/>
          <w:highlight w:val="none"/>
        </w:rPr>
      </w:pPr>
      <w:r>
        <w:rPr>
          <w:rFonts w:hint="eastAsia" w:ascii="宋体" w:hAnsi="宋体" w:cs="宋体"/>
          <w:color w:val="auto"/>
          <w:szCs w:val="20"/>
          <w:highlight w:val="none"/>
        </w:rPr>
        <w:t>提供虚假材料谋取中标、成交的；</w:t>
      </w:r>
    </w:p>
    <w:p w14:paraId="613E2FC0">
      <w:pPr>
        <w:numPr>
          <w:ilvl w:val="0"/>
          <w:numId w:val="2"/>
        </w:numPr>
        <w:spacing w:line="360" w:lineRule="auto"/>
        <w:rPr>
          <w:rFonts w:ascii="宋体" w:hAnsi="宋体" w:cs="宋体"/>
          <w:color w:val="auto"/>
          <w:szCs w:val="20"/>
          <w:highlight w:val="none"/>
        </w:rPr>
      </w:pPr>
      <w:r>
        <w:rPr>
          <w:rFonts w:hint="eastAsia" w:ascii="宋体" w:hAnsi="宋体" w:cs="宋体"/>
          <w:color w:val="auto"/>
          <w:szCs w:val="20"/>
          <w:highlight w:val="none"/>
        </w:rPr>
        <w:t>采取不正当手段诋毁、排挤其他供应商的；</w:t>
      </w:r>
    </w:p>
    <w:p w14:paraId="60BA6F8B">
      <w:pPr>
        <w:numPr>
          <w:ilvl w:val="0"/>
          <w:numId w:val="2"/>
        </w:numPr>
        <w:spacing w:line="360" w:lineRule="auto"/>
        <w:rPr>
          <w:rFonts w:ascii="宋体" w:hAnsi="宋体" w:cs="宋体"/>
          <w:color w:val="auto"/>
          <w:szCs w:val="20"/>
          <w:highlight w:val="none"/>
        </w:rPr>
      </w:pPr>
      <w:r>
        <w:rPr>
          <w:rFonts w:hint="eastAsia" w:ascii="宋体" w:hAnsi="宋体" w:cs="宋体"/>
          <w:color w:val="auto"/>
          <w:szCs w:val="20"/>
          <w:highlight w:val="none"/>
        </w:rPr>
        <w:t>与采购人、其他供应商或者采购代理机构恶意串通的；</w:t>
      </w:r>
    </w:p>
    <w:p w14:paraId="055758B7">
      <w:pPr>
        <w:numPr>
          <w:ilvl w:val="0"/>
          <w:numId w:val="2"/>
        </w:numPr>
        <w:spacing w:line="360" w:lineRule="auto"/>
        <w:rPr>
          <w:rFonts w:ascii="宋体" w:hAnsi="宋体" w:cs="宋体"/>
          <w:color w:val="auto"/>
          <w:szCs w:val="20"/>
          <w:highlight w:val="none"/>
        </w:rPr>
      </w:pPr>
      <w:r>
        <w:rPr>
          <w:rFonts w:hint="eastAsia" w:ascii="宋体" w:hAnsi="宋体" w:cs="宋体"/>
          <w:color w:val="auto"/>
          <w:szCs w:val="20"/>
          <w:highlight w:val="none"/>
        </w:rPr>
        <w:t>向采购人、采购代理机构行贿或者提供其他不正当利益的；</w:t>
      </w:r>
    </w:p>
    <w:p w14:paraId="42F09EC4">
      <w:pPr>
        <w:numPr>
          <w:ilvl w:val="0"/>
          <w:numId w:val="2"/>
        </w:numPr>
        <w:spacing w:line="360" w:lineRule="auto"/>
        <w:rPr>
          <w:rFonts w:ascii="宋体" w:hAnsi="宋体" w:cs="宋体"/>
          <w:color w:val="auto"/>
          <w:szCs w:val="20"/>
          <w:highlight w:val="none"/>
        </w:rPr>
      </w:pPr>
      <w:r>
        <w:rPr>
          <w:rFonts w:hint="eastAsia" w:ascii="宋体" w:hAnsi="宋体" w:cs="宋体"/>
          <w:color w:val="auto"/>
          <w:szCs w:val="20"/>
          <w:highlight w:val="none"/>
        </w:rPr>
        <w:t>在招标采购过程中与采购人进行协商谈判的；</w:t>
      </w:r>
    </w:p>
    <w:p w14:paraId="273C8E5F">
      <w:pPr>
        <w:numPr>
          <w:ilvl w:val="0"/>
          <w:numId w:val="2"/>
        </w:numPr>
        <w:spacing w:line="360" w:lineRule="auto"/>
        <w:rPr>
          <w:rFonts w:ascii="宋体" w:hAnsi="宋体" w:cs="宋体"/>
          <w:color w:val="auto"/>
          <w:szCs w:val="20"/>
          <w:highlight w:val="none"/>
        </w:rPr>
      </w:pPr>
      <w:r>
        <w:rPr>
          <w:rFonts w:hint="eastAsia" w:ascii="宋体" w:hAnsi="宋体" w:cs="宋体"/>
          <w:color w:val="auto"/>
          <w:szCs w:val="20"/>
          <w:highlight w:val="none"/>
        </w:rPr>
        <w:t>拒绝有关部门监督检查或提供虚假情况的。</w:t>
      </w:r>
    </w:p>
    <w:p w14:paraId="7FA4C62D">
      <w:pPr>
        <w:spacing w:line="360" w:lineRule="auto"/>
        <w:ind w:firstLine="315"/>
        <w:rPr>
          <w:rFonts w:ascii="宋体" w:hAnsi="宋体" w:cs="宋体"/>
          <w:color w:val="auto"/>
          <w:szCs w:val="20"/>
          <w:highlight w:val="none"/>
        </w:rPr>
      </w:pPr>
      <w:r>
        <w:rPr>
          <w:rFonts w:hint="eastAsia" w:ascii="宋体" w:hAnsi="宋体" w:cs="宋体"/>
          <w:color w:val="auto"/>
          <w:szCs w:val="20"/>
          <w:highlight w:val="none"/>
        </w:rPr>
        <w:t>10、以上事项如有虚假或者隐瞒，我方愿意承担一切后果，并不再寻求任何旨在减轻或者免除法律责任的辩解。</w:t>
      </w:r>
    </w:p>
    <w:p w14:paraId="4B5E4C08">
      <w:pPr>
        <w:spacing w:line="360" w:lineRule="auto"/>
        <w:ind w:firstLine="315"/>
        <w:rPr>
          <w:rFonts w:ascii="宋体" w:hAnsi="宋体" w:cs="宋体"/>
          <w:color w:val="auto"/>
          <w:szCs w:val="20"/>
          <w:highlight w:val="none"/>
        </w:rPr>
      </w:pPr>
      <w:r>
        <w:rPr>
          <w:rFonts w:hint="eastAsia" w:ascii="宋体" w:hAnsi="宋体" w:cs="宋体"/>
          <w:color w:val="auto"/>
          <w:szCs w:val="20"/>
          <w:highlight w:val="none"/>
        </w:rPr>
        <w:t>11、与本投标有关的一切正式往来信函请寄：</w:t>
      </w:r>
    </w:p>
    <w:p w14:paraId="031E4160">
      <w:pPr>
        <w:spacing w:line="360" w:lineRule="auto"/>
        <w:ind w:firstLine="315"/>
        <w:rPr>
          <w:rFonts w:ascii="宋体" w:hAnsi="宋体" w:cs="宋体"/>
          <w:color w:val="auto"/>
          <w:szCs w:val="20"/>
          <w:highlight w:val="none"/>
        </w:rPr>
      </w:pPr>
      <w:r>
        <w:rPr>
          <w:rFonts w:hint="eastAsia" w:ascii="宋体" w:hAnsi="宋体" w:cs="宋体"/>
          <w:color w:val="auto"/>
          <w:szCs w:val="20"/>
          <w:highlight w:val="none"/>
        </w:rPr>
        <w:t>地址：</w:t>
      </w:r>
      <w:r>
        <w:rPr>
          <w:rFonts w:hint="eastAsia" w:ascii="宋体" w:hAnsi="宋体" w:cs="宋体"/>
          <w:color w:val="auto"/>
          <w:szCs w:val="20"/>
          <w:highlight w:val="none"/>
          <w:u w:val="single"/>
        </w:rPr>
        <w:t xml:space="preserve">                                                        </w:t>
      </w:r>
      <w:r>
        <w:rPr>
          <w:rFonts w:hint="eastAsia" w:ascii="宋体" w:hAnsi="宋体" w:cs="宋体"/>
          <w:color w:val="auto"/>
          <w:szCs w:val="20"/>
          <w:highlight w:val="none"/>
        </w:rPr>
        <w:t xml:space="preserve"> </w:t>
      </w:r>
    </w:p>
    <w:p w14:paraId="55CFF2C4">
      <w:pPr>
        <w:spacing w:line="360" w:lineRule="auto"/>
        <w:ind w:firstLine="315"/>
        <w:rPr>
          <w:rFonts w:ascii="宋体" w:hAnsi="宋体" w:cs="宋体"/>
          <w:color w:val="auto"/>
          <w:szCs w:val="20"/>
          <w:highlight w:val="none"/>
          <w:u w:val="single"/>
        </w:rPr>
      </w:pPr>
      <w:r>
        <w:rPr>
          <w:rFonts w:hint="eastAsia" w:ascii="宋体" w:hAnsi="宋体" w:cs="宋体"/>
          <w:color w:val="auto"/>
          <w:szCs w:val="20"/>
          <w:highlight w:val="none"/>
        </w:rPr>
        <w:t>电话：</w:t>
      </w:r>
      <w:r>
        <w:rPr>
          <w:rFonts w:hint="eastAsia" w:ascii="宋体" w:hAnsi="宋体" w:cs="宋体"/>
          <w:color w:val="auto"/>
          <w:szCs w:val="20"/>
          <w:highlight w:val="none"/>
          <w:u w:val="single"/>
        </w:rPr>
        <w:t xml:space="preserve">                                      　　　　　　　　　</w:t>
      </w:r>
    </w:p>
    <w:p w14:paraId="2494B079">
      <w:pPr>
        <w:spacing w:line="360" w:lineRule="auto"/>
        <w:ind w:firstLine="315"/>
        <w:rPr>
          <w:rFonts w:ascii="宋体" w:hAnsi="宋体" w:cs="宋体"/>
          <w:color w:val="auto"/>
          <w:szCs w:val="20"/>
          <w:highlight w:val="none"/>
          <w:u w:val="single"/>
        </w:rPr>
      </w:pPr>
      <w:r>
        <w:rPr>
          <w:rFonts w:hint="eastAsia" w:ascii="宋体" w:hAnsi="宋体" w:cs="宋体"/>
          <w:color w:val="auto"/>
          <w:szCs w:val="20"/>
          <w:highlight w:val="none"/>
        </w:rPr>
        <w:t>传真：</w:t>
      </w:r>
      <w:r>
        <w:rPr>
          <w:rFonts w:hint="eastAsia" w:ascii="宋体" w:hAnsi="宋体" w:cs="宋体"/>
          <w:color w:val="auto"/>
          <w:szCs w:val="20"/>
          <w:highlight w:val="none"/>
          <w:u w:val="single"/>
        </w:rPr>
        <w:t>　　　　　　　　　　　　　　　　　　　　　　　　　　　　</w:t>
      </w:r>
    </w:p>
    <w:p w14:paraId="7CA9134C">
      <w:pPr>
        <w:spacing w:line="360" w:lineRule="auto"/>
        <w:ind w:firstLine="300"/>
        <w:rPr>
          <w:rFonts w:ascii="宋体" w:hAnsi="宋体" w:cs="宋体"/>
          <w:color w:val="auto"/>
          <w:highlight w:val="none"/>
          <w:u w:val="single"/>
        </w:rPr>
      </w:pPr>
      <w:r>
        <w:rPr>
          <w:rFonts w:hint="eastAsia" w:ascii="宋体" w:hAnsi="宋体" w:cs="宋体"/>
          <w:color w:val="auto"/>
          <w:kern w:val="0"/>
          <w:sz w:val="20"/>
          <w:szCs w:val="21"/>
          <w:highlight w:val="none"/>
        </w:rPr>
        <w:t>电子邮箱：</w:t>
      </w:r>
      <w:r>
        <w:rPr>
          <w:rFonts w:hint="eastAsia" w:ascii="宋体" w:hAnsi="宋体" w:cs="宋体"/>
          <w:color w:val="auto"/>
          <w:kern w:val="0"/>
          <w:sz w:val="20"/>
          <w:szCs w:val="21"/>
          <w:highlight w:val="none"/>
          <w:u w:val="single"/>
        </w:rPr>
        <w:t>　　　　　　　　　　　　　　　　　　　　　　　　　　　　</w:t>
      </w:r>
    </w:p>
    <w:p w14:paraId="2FF7E32F">
      <w:pPr>
        <w:spacing w:line="360" w:lineRule="auto"/>
        <w:ind w:firstLine="315"/>
        <w:rPr>
          <w:rFonts w:ascii="宋体" w:hAnsi="宋体" w:cs="宋体"/>
          <w:color w:val="auto"/>
          <w:szCs w:val="20"/>
          <w:highlight w:val="none"/>
          <w:u w:val="single"/>
        </w:rPr>
      </w:pPr>
      <w:r>
        <w:rPr>
          <w:rFonts w:hint="eastAsia" w:ascii="宋体" w:hAnsi="宋体" w:cs="宋体"/>
          <w:color w:val="auto"/>
          <w:szCs w:val="20"/>
          <w:highlight w:val="none"/>
        </w:rPr>
        <w:t>邮政编码：</w:t>
      </w:r>
      <w:r>
        <w:rPr>
          <w:rFonts w:hint="eastAsia" w:ascii="宋体" w:hAnsi="宋体" w:cs="宋体"/>
          <w:color w:val="auto"/>
          <w:szCs w:val="20"/>
          <w:highlight w:val="none"/>
          <w:u w:val="single"/>
        </w:rPr>
        <w:t xml:space="preserve">                                                    </w:t>
      </w:r>
    </w:p>
    <w:p w14:paraId="1BCB1A14">
      <w:pPr>
        <w:spacing w:line="360" w:lineRule="auto"/>
        <w:ind w:firstLine="315"/>
        <w:rPr>
          <w:rFonts w:ascii="宋体" w:hAnsi="宋体" w:cs="宋体"/>
          <w:color w:val="auto"/>
          <w:szCs w:val="20"/>
          <w:highlight w:val="none"/>
          <w:u w:val="single"/>
        </w:rPr>
      </w:pPr>
      <w:r>
        <w:rPr>
          <w:rFonts w:hint="eastAsia" w:ascii="宋体" w:hAnsi="宋体" w:cs="宋体"/>
          <w:color w:val="auto"/>
          <w:szCs w:val="20"/>
          <w:highlight w:val="none"/>
        </w:rPr>
        <w:t>开户名称：</w:t>
      </w:r>
      <w:r>
        <w:rPr>
          <w:rFonts w:hint="eastAsia" w:ascii="宋体" w:hAnsi="宋体" w:cs="宋体"/>
          <w:color w:val="auto"/>
          <w:szCs w:val="20"/>
          <w:highlight w:val="none"/>
          <w:u w:val="single"/>
        </w:rPr>
        <w:t xml:space="preserve">                                                    </w:t>
      </w:r>
    </w:p>
    <w:p w14:paraId="4C3F4E38">
      <w:pPr>
        <w:spacing w:line="360" w:lineRule="auto"/>
        <w:ind w:firstLine="315"/>
        <w:rPr>
          <w:rFonts w:ascii="宋体" w:hAnsi="宋体" w:cs="宋体"/>
          <w:color w:val="auto"/>
          <w:szCs w:val="20"/>
          <w:highlight w:val="none"/>
          <w:u w:val="single"/>
        </w:rPr>
      </w:pPr>
      <w:r>
        <w:rPr>
          <w:rFonts w:hint="eastAsia" w:ascii="宋体" w:hAnsi="宋体" w:cs="宋体"/>
          <w:color w:val="auto"/>
          <w:szCs w:val="20"/>
          <w:highlight w:val="none"/>
        </w:rPr>
        <w:t>开户银行：</w:t>
      </w:r>
      <w:r>
        <w:rPr>
          <w:rFonts w:hint="eastAsia" w:ascii="宋体" w:hAnsi="宋体" w:cs="宋体"/>
          <w:color w:val="auto"/>
          <w:szCs w:val="20"/>
          <w:highlight w:val="none"/>
          <w:u w:val="single"/>
        </w:rPr>
        <w:t xml:space="preserve">                                                    </w:t>
      </w:r>
    </w:p>
    <w:p w14:paraId="32EE9237">
      <w:pPr>
        <w:spacing w:line="360" w:lineRule="auto"/>
        <w:ind w:firstLine="315"/>
        <w:rPr>
          <w:rFonts w:ascii="宋体" w:hAnsi="宋体" w:cs="宋体"/>
          <w:color w:val="auto"/>
          <w:szCs w:val="20"/>
          <w:highlight w:val="none"/>
          <w:u w:val="single"/>
        </w:rPr>
      </w:pPr>
      <w:r>
        <w:rPr>
          <w:rFonts w:hint="eastAsia" w:ascii="宋体" w:hAnsi="宋体" w:cs="宋体"/>
          <w:color w:val="auto"/>
          <w:szCs w:val="20"/>
          <w:highlight w:val="none"/>
        </w:rPr>
        <w:t>银行账号：</w:t>
      </w:r>
      <w:r>
        <w:rPr>
          <w:rFonts w:hint="eastAsia" w:ascii="宋体" w:hAnsi="宋体" w:cs="宋体"/>
          <w:color w:val="auto"/>
          <w:szCs w:val="20"/>
          <w:highlight w:val="none"/>
          <w:u w:val="single"/>
        </w:rPr>
        <w:t xml:space="preserve">                                                    </w:t>
      </w:r>
    </w:p>
    <w:p w14:paraId="631EEAB5">
      <w:pPr>
        <w:snapToGrid w:val="0"/>
        <w:spacing w:line="360" w:lineRule="auto"/>
        <w:ind w:firstLine="5040" w:firstLineChars="2100"/>
        <w:rPr>
          <w:rFonts w:ascii="宋体" w:hAnsi="宋体" w:cs="宋体"/>
          <w:color w:val="auto"/>
          <w:kern w:val="0"/>
          <w:sz w:val="24"/>
          <w:highlight w:val="none"/>
          <w:lang w:val="zh-CN"/>
        </w:rPr>
      </w:pPr>
    </w:p>
    <w:p w14:paraId="0E28BEC4">
      <w:pPr>
        <w:snapToGrid w:val="0"/>
        <w:spacing w:line="360" w:lineRule="auto"/>
        <w:ind w:firstLine="5040" w:firstLineChars="2100"/>
        <w:rPr>
          <w:rFonts w:ascii="宋体" w:hAnsi="宋体" w:cs="宋体"/>
          <w:color w:val="auto"/>
          <w:kern w:val="0"/>
          <w:sz w:val="24"/>
          <w:highlight w:val="none"/>
          <w:lang w:val="zh-CN"/>
        </w:rPr>
      </w:pPr>
    </w:p>
    <w:p w14:paraId="4328BFF7">
      <w:pPr>
        <w:snapToGrid w:val="0"/>
        <w:spacing w:line="360" w:lineRule="auto"/>
        <w:ind w:firstLine="4410" w:firstLineChars="2100"/>
        <w:rPr>
          <w:rFonts w:ascii="宋体" w:hAnsi="宋体" w:cs="宋体"/>
          <w:color w:val="auto"/>
          <w:kern w:val="0"/>
          <w:szCs w:val="21"/>
          <w:highlight w:val="none"/>
        </w:rPr>
      </w:pPr>
      <w:r>
        <w:rPr>
          <w:rFonts w:hint="eastAsia" w:ascii="宋体" w:hAnsi="宋体" w:cs="宋体"/>
          <w:color w:val="auto"/>
          <w:kern w:val="0"/>
          <w:szCs w:val="21"/>
          <w:highlight w:val="none"/>
          <w:lang w:val="zh-CN"/>
        </w:rPr>
        <w:t>投标人名称(盖公章)：</w:t>
      </w:r>
    </w:p>
    <w:p w14:paraId="09D9F569">
      <w:pPr>
        <w:snapToGrid w:val="0"/>
        <w:spacing w:line="360" w:lineRule="auto"/>
        <w:ind w:firstLine="4515" w:firstLineChars="2150"/>
        <w:rPr>
          <w:rFonts w:ascii="宋体" w:hAnsi="宋体" w:cs="宋体"/>
          <w:color w:val="auto"/>
          <w:kern w:val="0"/>
          <w:sz w:val="24"/>
          <w:highlight w:val="none"/>
          <w:lang w:val="zh-CN"/>
        </w:rPr>
      </w:pPr>
      <w:r>
        <w:rPr>
          <w:rFonts w:hint="eastAsia" w:ascii="宋体" w:hAnsi="宋体" w:cs="宋体"/>
          <w:color w:val="auto"/>
          <w:kern w:val="0"/>
          <w:szCs w:val="21"/>
          <w:highlight w:val="none"/>
          <w:lang w:val="zh-CN"/>
        </w:rPr>
        <w:t>日期</w:t>
      </w:r>
      <w:r>
        <w:rPr>
          <w:rFonts w:hint="eastAsia" w:ascii="宋体" w:hAnsi="宋体" w:cs="宋体"/>
          <w:color w:val="auto"/>
          <w:kern w:val="0"/>
          <w:szCs w:val="21"/>
          <w:highlight w:val="none"/>
        </w:rPr>
        <w:t>：  年  月  日</w:t>
      </w:r>
    </w:p>
    <w:p w14:paraId="14CE1A22">
      <w:pPr>
        <w:spacing w:line="360" w:lineRule="auto"/>
        <w:ind w:firstLine="422"/>
        <w:jc w:val="left"/>
        <w:rPr>
          <w:rFonts w:ascii="宋体" w:hAnsi="宋体" w:cs="宋体"/>
          <w:b/>
          <w:color w:val="auto"/>
          <w:sz w:val="28"/>
          <w:szCs w:val="28"/>
          <w:highlight w:val="none"/>
        </w:rPr>
      </w:pPr>
      <w:r>
        <w:rPr>
          <w:rFonts w:hint="eastAsia" w:ascii="宋体" w:hAnsi="宋体" w:cs="宋体"/>
          <w:b/>
          <w:color w:val="auto"/>
          <w:sz w:val="28"/>
          <w:szCs w:val="28"/>
          <w:highlight w:val="none"/>
        </w:rPr>
        <w:br w:type="page"/>
      </w:r>
      <w:r>
        <w:rPr>
          <w:rFonts w:hint="eastAsia" w:ascii="宋体" w:hAnsi="宋体" w:cs="宋体"/>
          <w:b/>
          <w:color w:val="auto"/>
          <w:sz w:val="28"/>
          <w:szCs w:val="28"/>
          <w:highlight w:val="none"/>
        </w:rPr>
        <w:t>4. 开标一览表的格式：</w:t>
      </w:r>
    </w:p>
    <w:p w14:paraId="3A70CB26">
      <w:pPr>
        <w:spacing w:line="360" w:lineRule="auto"/>
        <w:ind w:firstLine="452"/>
        <w:jc w:val="center"/>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rPr>
        <w:t>开标一览表</w:t>
      </w:r>
      <w:r>
        <w:rPr>
          <w:rFonts w:hint="eastAsia" w:ascii="宋体" w:hAnsi="宋体" w:cs="宋体"/>
          <w:b/>
          <w:color w:val="auto"/>
          <w:sz w:val="30"/>
          <w:szCs w:val="30"/>
          <w:highlight w:val="none"/>
          <w:lang w:eastAsia="zh-CN"/>
        </w:rPr>
        <w:t>（</w:t>
      </w:r>
      <w:r>
        <w:rPr>
          <w:rFonts w:hint="eastAsia" w:ascii="宋体" w:hAnsi="宋体" w:cs="宋体"/>
          <w:b/>
          <w:color w:val="auto"/>
          <w:sz w:val="30"/>
          <w:szCs w:val="30"/>
          <w:highlight w:val="none"/>
          <w:lang w:val="en-US" w:eastAsia="zh-CN"/>
        </w:rPr>
        <w:t>分标2</w:t>
      </w:r>
      <w:r>
        <w:rPr>
          <w:rFonts w:hint="eastAsia" w:ascii="宋体" w:hAnsi="宋体" w:cs="宋体"/>
          <w:b/>
          <w:color w:val="auto"/>
          <w:sz w:val="30"/>
          <w:szCs w:val="30"/>
          <w:highlight w:val="none"/>
          <w:lang w:eastAsia="zh-CN"/>
        </w:rPr>
        <w:t>）</w:t>
      </w:r>
    </w:p>
    <w:p w14:paraId="5EC0D552">
      <w:pPr>
        <w:snapToGrid w:val="0"/>
        <w:spacing w:before="50" w:after="50" w:line="480" w:lineRule="auto"/>
        <w:rPr>
          <w:rFonts w:ascii="宋体" w:hAnsi="宋体" w:cs="宋体"/>
          <w:color w:val="auto"/>
          <w:szCs w:val="21"/>
          <w:highlight w:val="none"/>
        </w:rPr>
      </w:pPr>
      <w:r>
        <w:rPr>
          <w:rFonts w:hint="eastAsia" w:ascii="宋体" w:hAnsi="宋体" w:cs="宋体"/>
          <w:color w:val="auto"/>
          <w:szCs w:val="21"/>
          <w:highlight w:val="none"/>
        </w:rPr>
        <w:t>项目名称：</w:t>
      </w:r>
      <w:r>
        <w:rPr>
          <w:rFonts w:hint="eastAsia" w:ascii="宋体" w:hAnsi="宋体" w:cs="宋体"/>
          <w:bCs/>
          <w:color w:val="auto"/>
          <w:szCs w:val="21"/>
          <w:highlight w:val="none"/>
          <w:u w:val="single"/>
        </w:rPr>
        <w:t xml:space="preserve">                              </w:t>
      </w:r>
    </w:p>
    <w:p w14:paraId="74CB6490">
      <w:pPr>
        <w:snapToGrid w:val="0"/>
        <w:spacing w:before="50" w:after="50" w:line="480" w:lineRule="auto"/>
        <w:rPr>
          <w:rFonts w:ascii="宋体" w:hAnsi="宋体" w:cs="宋体"/>
          <w:color w:val="auto"/>
          <w:szCs w:val="21"/>
          <w:highlight w:val="none"/>
          <w:u w:val="single"/>
        </w:rPr>
      </w:pPr>
      <w:r>
        <w:rPr>
          <w:rFonts w:hint="eastAsia" w:ascii="宋体" w:hAnsi="宋体" w:cs="宋体"/>
          <w:color w:val="auto"/>
          <w:szCs w:val="21"/>
          <w:highlight w:val="none"/>
        </w:rPr>
        <w:t>项目编号：</w:t>
      </w:r>
      <w:r>
        <w:rPr>
          <w:rFonts w:hint="eastAsia" w:ascii="宋体" w:hAnsi="宋体" w:cs="宋体"/>
          <w:bCs/>
          <w:color w:val="auto"/>
          <w:szCs w:val="21"/>
          <w:highlight w:val="none"/>
          <w:u w:val="single"/>
        </w:rPr>
        <w:t xml:space="preserve">                              </w:t>
      </w:r>
    </w:p>
    <w:p w14:paraId="769E4315">
      <w:pPr>
        <w:spacing w:line="360" w:lineRule="auto"/>
        <w:rPr>
          <w:rFonts w:ascii="宋体" w:hAnsi="宋体" w:cs="宋体"/>
          <w:b/>
          <w:color w:val="auto"/>
          <w:sz w:val="32"/>
          <w:szCs w:val="20"/>
          <w:highlight w:val="none"/>
        </w:rPr>
      </w:pPr>
      <w:r>
        <w:rPr>
          <w:rFonts w:hint="eastAsia" w:ascii="宋体" w:hAnsi="宋体" w:cs="宋体"/>
          <w:color w:val="auto"/>
          <w:szCs w:val="21"/>
          <w:highlight w:val="none"/>
        </w:rPr>
        <w:t>所投分标（如有则填写，无分标时填写“无”或者留空）：</w:t>
      </w:r>
      <w:r>
        <w:rPr>
          <w:rFonts w:hint="eastAsia" w:ascii="宋体" w:hAnsi="宋体" w:cs="宋体"/>
          <w:color w:val="auto"/>
          <w:szCs w:val="21"/>
          <w:highlight w:val="none"/>
          <w:u w:val="single"/>
        </w:rPr>
        <w:t xml:space="preserve">      </w:t>
      </w:r>
    </w:p>
    <w:tbl>
      <w:tblPr>
        <w:tblStyle w:val="28"/>
        <w:tblW w:w="8909"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2"/>
        <w:gridCol w:w="1298"/>
        <w:gridCol w:w="1049"/>
        <w:gridCol w:w="1030"/>
        <w:gridCol w:w="571"/>
        <w:gridCol w:w="613"/>
        <w:gridCol w:w="1111"/>
        <w:gridCol w:w="1809"/>
        <w:gridCol w:w="946"/>
      </w:tblGrid>
      <w:tr w14:paraId="75802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23" w:hRule="atLeast"/>
        </w:trPr>
        <w:tc>
          <w:tcPr>
            <w:tcW w:w="482" w:type="dxa"/>
            <w:tcBorders>
              <w:top w:val="single" w:color="auto" w:sz="4" w:space="0"/>
              <w:left w:val="single" w:color="auto" w:sz="4" w:space="0"/>
              <w:bottom w:val="single" w:color="auto" w:sz="4" w:space="0"/>
              <w:right w:val="single" w:color="auto" w:sz="4" w:space="0"/>
            </w:tcBorders>
            <w:noWrap/>
            <w:vAlign w:val="center"/>
          </w:tcPr>
          <w:p w14:paraId="4DBABBA8">
            <w:pPr>
              <w:keepNext w:val="0"/>
              <w:keepLines w:val="0"/>
              <w:suppressLineNumbers w:val="0"/>
              <w:spacing w:before="0" w:beforeAutospacing="0" w:after="0" w:afterAutospacing="0"/>
              <w:ind w:left="0" w:right="0"/>
              <w:jc w:val="center"/>
              <w:rPr>
                <w:rFonts w:ascii="宋体" w:hAnsi="宋体" w:cs="宋体"/>
                <w:color w:val="auto"/>
                <w:szCs w:val="22"/>
                <w:highlight w:val="none"/>
              </w:rPr>
            </w:pPr>
            <w:r>
              <w:rPr>
                <w:rFonts w:hint="eastAsia" w:ascii="宋体" w:hAnsi="宋体" w:cs="宋体"/>
                <w:color w:val="auto"/>
                <w:szCs w:val="22"/>
                <w:highlight w:val="none"/>
              </w:rPr>
              <w:t>序号</w:t>
            </w:r>
          </w:p>
        </w:tc>
        <w:tc>
          <w:tcPr>
            <w:tcW w:w="1298" w:type="dxa"/>
            <w:tcBorders>
              <w:top w:val="single" w:color="auto" w:sz="4" w:space="0"/>
              <w:left w:val="single" w:color="auto" w:sz="4" w:space="0"/>
              <w:bottom w:val="single" w:color="auto" w:sz="4" w:space="0"/>
              <w:right w:val="single" w:color="auto" w:sz="4" w:space="0"/>
            </w:tcBorders>
            <w:noWrap/>
            <w:vAlign w:val="center"/>
          </w:tcPr>
          <w:p w14:paraId="782D9F60">
            <w:pPr>
              <w:keepNext w:val="0"/>
              <w:keepLines w:val="0"/>
              <w:suppressLineNumbers w:val="0"/>
              <w:spacing w:before="0" w:beforeAutospacing="0" w:after="0" w:afterAutospacing="0"/>
              <w:ind w:left="0" w:right="0"/>
              <w:jc w:val="center"/>
              <w:rPr>
                <w:rFonts w:ascii="宋体" w:hAnsi="宋体" w:cs="宋体"/>
                <w:color w:val="auto"/>
                <w:szCs w:val="22"/>
                <w:highlight w:val="none"/>
              </w:rPr>
            </w:pPr>
            <w:r>
              <w:rPr>
                <w:rFonts w:hint="eastAsia" w:ascii="宋体" w:hAnsi="宋体" w:cs="宋体"/>
                <w:color w:val="auto"/>
                <w:szCs w:val="22"/>
                <w:highlight w:val="none"/>
              </w:rPr>
              <w:t>标的名称</w:t>
            </w:r>
          </w:p>
        </w:tc>
        <w:tc>
          <w:tcPr>
            <w:tcW w:w="1049" w:type="dxa"/>
            <w:tcBorders>
              <w:top w:val="single" w:color="auto" w:sz="4" w:space="0"/>
              <w:left w:val="single" w:color="auto" w:sz="4" w:space="0"/>
              <w:bottom w:val="single" w:color="auto" w:sz="4" w:space="0"/>
              <w:right w:val="single" w:color="auto" w:sz="4" w:space="0"/>
            </w:tcBorders>
            <w:noWrap/>
            <w:vAlign w:val="center"/>
          </w:tcPr>
          <w:p w14:paraId="16E95D7C">
            <w:pPr>
              <w:keepNext w:val="0"/>
              <w:keepLines w:val="0"/>
              <w:suppressLineNumbers w:val="0"/>
              <w:spacing w:before="0" w:beforeAutospacing="0" w:after="0" w:afterAutospacing="0"/>
              <w:ind w:left="0" w:right="0"/>
              <w:jc w:val="center"/>
              <w:rPr>
                <w:rFonts w:ascii="宋体" w:hAnsi="宋体" w:cs="宋体"/>
                <w:color w:val="auto"/>
                <w:szCs w:val="22"/>
                <w:highlight w:val="none"/>
              </w:rPr>
            </w:pPr>
            <w:r>
              <w:rPr>
                <w:rFonts w:hint="eastAsia" w:ascii="宋体" w:hAnsi="宋体" w:cs="宋体"/>
                <w:color w:val="auto"/>
                <w:szCs w:val="22"/>
                <w:highlight w:val="none"/>
              </w:rPr>
              <w:t>规格型号</w:t>
            </w:r>
          </w:p>
        </w:tc>
        <w:tc>
          <w:tcPr>
            <w:tcW w:w="1030" w:type="dxa"/>
            <w:tcBorders>
              <w:top w:val="single" w:color="auto" w:sz="4" w:space="0"/>
              <w:left w:val="single" w:color="auto" w:sz="4" w:space="0"/>
              <w:bottom w:val="single" w:color="auto" w:sz="4" w:space="0"/>
              <w:right w:val="single" w:color="auto" w:sz="4" w:space="0"/>
            </w:tcBorders>
            <w:noWrap/>
            <w:vAlign w:val="center"/>
          </w:tcPr>
          <w:p w14:paraId="01A03709">
            <w:pPr>
              <w:keepNext w:val="0"/>
              <w:keepLines w:val="0"/>
              <w:suppressLineNumbers w:val="0"/>
              <w:spacing w:before="0" w:beforeAutospacing="0" w:after="0" w:afterAutospacing="0"/>
              <w:ind w:left="0" w:right="0"/>
              <w:jc w:val="center"/>
              <w:rPr>
                <w:rFonts w:ascii="宋体" w:hAnsi="宋体" w:cs="宋体"/>
                <w:color w:val="auto"/>
                <w:szCs w:val="22"/>
                <w:highlight w:val="none"/>
              </w:rPr>
            </w:pPr>
            <w:r>
              <w:rPr>
                <w:rFonts w:hint="eastAsia" w:ascii="宋体" w:hAnsi="宋体" w:cs="宋体"/>
                <w:color w:val="auto"/>
                <w:szCs w:val="22"/>
                <w:highlight w:val="none"/>
              </w:rPr>
              <w:t>品牌、国别</w:t>
            </w:r>
            <w:r>
              <w:rPr>
                <w:rFonts w:hint="eastAsia" w:ascii="宋体" w:hAnsi="宋体" w:cs="宋体"/>
                <w:color w:val="auto"/>
                <w:szCs w:val="22"/>
                <w:highlight w:val="none"/>
                <w:lang w:eastAsia="zh-CN"/>
              </w:rPr>
              <w:t>、</w:t>
            </w:r>
            <w:r>
              <w:rPr>
                <w:rFonts w:hint="eastAsia" w:ascii="宋体" w:hAnsi="宋体" w:cs="宋体"/>
                <w:color w:val="auto"/>
                <w:szCs w:val="22"/>
                <w:highlight w:val="none"/>
                <w:lang w:val="en-US" w:eastAsia="zh-CN"/>
              </w:rPr>
              <w:t>产地</w:t>
            </w:r>
            <w:r>
              <w:rPr>
                <w:rFonts w:hint="eastAsia" w:ascii="宋体" w:hAnsi="宋体" w:cs="宋体"/>
                <w:color w:val="auto"/>
                <w:szCs w:val="22"/>
                <w:highlight w:val="none"/>
              </w:rPr>
              <w:t>及制造商</w:t>
            </w:r>
          </w:p>
        </w:tc>
        <w:tc>
          <w:tcPr>
            <w:tcW w:w="571" w:type="dxa"/>
            <w:tcBorders>
              <w:top w:val="single" w:color="auto" w:sz="4" w:space="0"/>
              <w:left w:val="single" w:color="auto" w:sz="4" w:space="0"/>
              <w:bottom w:val="single" w:color="auto" w:sz="4" w:space="0"/>
              <w:right w:val="single" w:color="auto" w:sz="4" w:space="0"/>
            </w:tcBorders>
            <w:noWrap/>
            <w:vAlign w:val="center"/>
          </w:tcPr>
          <w:p w14:paraId="66869805">
            <w:pPr>
              <w:keepNext w:val="0"/>
              <w:keepLines w:val="0"/>
              <w:suppressLineNumbers w:val="0"/>
              <w:spacing w:before="0" w:beforeAutospacing="0" w:after="0" w:afterAutospacing="0"/>
              <w:ind w:left="0" w:right="0"/>
              <w:jc w:val="center"/>
              <w:rPr>
                <w:rFonts w:ascii="宋体" w:hAnsi="宋体" w:cs="宋体"/>
                <w:color w:val="auto"/>
                <w:szCs w:val="22"/>
                <w:highlight w:val="none"/>
              </w:rPr>
            </w:pPr>
            <w:r>
              <w:rPr>
                <w:rFonts w:hint="eastAsia" w:ascii="宋体" w:hAnsi="宋体" w:cs="宋体"/>
                <w:color w:val="auto"/>
                <w:szCs w:val="22"/>
                <w:highlight w:val="none"/>
              </w:rPr>
              <w:t>数量①</w:t>
            </w:r>
          </w:p>
        </w:tc>
        <w:tc>
          <w:tcPr>
            <w:tcW w:w="613" w:type="dxa"/>
            <w:tcBorders>
              <w:top w:val="single" w:color="auto" w:sz="4" w:space="0"/>
              <w:left w:val="single" w:color="auto" w:sz="4" w:space="0"/>
              <w:bottom w:val="single" w:color="auto" w:sz="4" w:space="0"/>
              <w:right w:val="single" w:color="auto" w:sz="4" w:space="0"/>
            </w:tcBorders>
            <w:noWrap/>
            <w:vAlign w:val="center"/>
          </w:tcPr>
          <w:p w14:paraId="4667FE88">
            <w:pPr>
              <w:keepNext w:val="0"/>
              <w:keepLines w:val="0"/>
              <w:suppressLineNumbers w:val="0"/>
              <w:spacing w:before="0" w:beforeAutospacing="0" w:after="0" w:afterAutospacing="0"/>
              <w:ind w:left="0" w:right="0"/>
              <w:jc w:val="center"/>
              <w:rPr>
                <w:rFonts w:ascii="宋体" w:hAnsi="宋体" w:cs="宋体"/>
                <w:color w:val="auto"/>
                <w:szCs w:val="22"/>
                <w:highlight w:val="none"/>
              </w:rPr>
            </w:pPr>
            <w:r>
              <w:rPr>
                <w:rFonts w:hint="eastAsia" w:ascii="宋体" w:hAnsi="宋体" w:cs="宋体"/>
                <w:color w:val="auto"/>
                <w:szCs w:val="22"/>
                <w:highlight w:val="none"/>
              </w:rPr>
              <w:t>单位</w:t>
            </w:r>
          </w:p>
        </w:tc>
        <w:tc>
          <w:tcPr>
            <w:tcW w:w="1111" w:type="dxa"/>
            <w:tcBorders>
              <w:top w:val="single" w:color="auto" w:sz="4" w:space="0"/>
              <w:left w:val="single" w:color="auto" w:sz="4" w:space="0"/>
              <w:bottom w:val="single" w:color="auto" w:sz="4" w:space="0"/>
              <w:right w:val="single" w:color="auto" w:sz="4" w:space="0"/>
            </w:tcBorders>
            <w:noWrap/>
            <w:vAlign w:val="center"/>
          </w:tcPr>
          <w:p w14:paraId="7669C831">
            <w:pPr>
              <w:keepNext w:val="0"/>
              <w:keepLines w:val="0"/>
              <w:suppressLineNumbers w:val="0"/>
              <w:spacing w:before="0" w:beforeAutospacing="0" w:after="0" w:afterAutospacing="0"/>
              <w:ind w:left="0" w:right="0"/>
              <w:jc w:val="center"/>
              <w:rPr>
                <w:rFonts w:ascii="宋体" w:hAnsi="宋体" w:cs="宋体"/>
                <w:color w:val="auto"/>
                <w:szCs w:val="22"/>
                <w:highlight w:val="none"/>
              </w:rPr>
            </w:pPr>
            <w:r>
              <w:rPr>
                <w:rFonts w:hint="eastAsia" w:ascii="宋体" w:hAnsi="宋体" w:cs="宋体"/>
                <w:color w:val="auto"/>
                <w:szCs w:val="22"/>
                <w:highlight w:val="none"/>
              </w:rPr>
              <w:t>单价(元)</w:t>
            </w:r>
          </w:p>
          <w:p w14:paraId="0B1F5EA2">
            <w:pPr>
              <w:keepNext w:val="0"/>
              <w:keepLines w:val="0"/>
              <w:suppressLineNumbers w:val="0"/>
              <w:spacing w:before="0" w:beforeAutospacing="0" w:after="0" w:afterAutospacing="0"/>
              <w:ind w:left="0" w:right="0"/>
              <w:jc w:val="center"/>
              <w:rPr>
                <w:rFonts w:ascii="宋体" w:hAnsi="宋体" w:cs="宋体"/>
                <w:color w:val="auto"/>
                <w:szCs w:val="22"/>
                <w:highlight w:val="none"/>
              </w:rPr>
            </w:pPr>
            <w:r>
              <w:rPr>
                <w:rFonts w:hint="eastAsia" w:ascii="宋体" w:hAnsi="宋体" w:cs="宋体"/>
                <w:color w:val="auto"/>
                <w:szCs w:val="22"/>
                <w:highlight w:val="none"/>
              </w:rPr>
              <w:t>②</w:t>
            </w:r>
          </w:p>
        </w:tc>
        <w:tc>
          <w:tcPr>
            <w:tcW w:w="1809" w:type="dxa"/>
            <w:tcBorders>
              <w:top w:val="single" w:color="auto" w:sz="4" w:space="0"/>
              <w:left w:val="single" w:color="auto" w:sz="4" w:space="0"/>
              <w:bottom w:val="single" w:color="auto" w:sz="4" w:space="0"/>
              <w:right w:val="single" w:color="auto" w:sz="4" w:space="0"/>
            </w:tcBorders>
            <w:noWrap/>
            <w:vAlign w:val="center"/>
          </w:tcPr>
          <w:p w14:paraId="68A07CB5">
            <w:pPr>
              <w:keepNext w:val="0"/>
              <w:keepLines w:val="0"/>
              <w:suppressLineNumbers w:val="0"/>
              <w:spacing w:before="0" w:beforeAutospacing="0" w:after="0" w:afterAutospacing="0"/>
              <w:ind w:left="0" w:right="0"/>
              <w:jc w:val="center"/>
              <w:rPr>
                <w:rFonts w:ascii="宋体" w:hAnsi="宋体" w:cs="宋体"/>
                <w:color w:val="auto"/>
                <w:szCs w:val="22"/>
                <w:highlight w:val="none"/>
              </w:rPr>
            </w:pPr>
            <w:r>
              <w:rPr>
                <w:rFonts w:hint="eastAsia" w:ascii="宋体" w:hAnsi="宋体" w:cs="宋体"/>
                <w:color w:val="auto"/>
                <w:szCs w:val="22"/>
                <w:highlight w:val="none"/>
              </w:rPr>
              <w:t>单项合计（元）</w:t>
            </w:r>
          </w:p>
          <w:p w14:paraId="09959E50">
            <w:pPr>
              <w:keepNext w:val="0"/>
              <w:keepLines w:val="0"/>
              <w:suppressLineNumbers w:val="0"/>
              <w:spacing w:before="0" w:beforeAutospacing="0" w:after="0" w:afterAutospacing="0"/>
              <w:ind w:left="0" w:right="0"/>
              <w:jc w:val="center"/>
              <w:rPr>
                <w:rFonts w:ascii="宋体" w:hAnsi="宋体" w:cs="宋体"/>
                <w:color w:val="auto"/>
                <w:szCs w:val="22"/>
                <w:highlight w:val="none"/>
              </w:rPr>
            </w:pPr>
            <w:r>
              <w:rPr>
                <w:rFonts w:hint="eastAsia" w:ascii="宋体" w:hAnsi="宋体" w:cs="宋体"/>
                <w:color w:val="auto"/>
                <w:szCs w:val="22"/>
                <w:highlight w:val="none"/>
              </w:rPr>
              <w:t>③＝①×②</w:t>
            </w:r>
          </w:p>
        </w:tc>
        <w:tc>
          <w:tcPr>
            <w:tcW w:w="946" w:type="dxa"/>
            <w:tcBorders>
              <w:top w:val="single" w:color="auto" w:sz="4" w:space="0"/>
              <w:left w:val="single" w:color="auto" w:sz="4" w:space="0"/>
              <w:bottom w:val="single" w:color="auto" w:sz="4" w:space="0"/>
              <w:right w:val="single" w:color="auto" w:sz="4" w:space="0"/>
            </w:tcBorders>
            <w:noWrap/>
            <w:vAlign w:val="center"/>
          </w:tcPr>
          <w:p w14:paraId="45D06213">
            <w:pPr>
              <w:keepNext w:val="0"/>
              <w:keepLines w:val="0"/>
              <w:suppressLineNumbers w:val="0"/>
              <w:spacing w:before="0" w:beforeAutospacing="0" w:after="0" w:afterAutospacing="0"/>
              <w:ind w:left="0" w:right="0"/>
              <w:jc w:val="center"/>
              <w:rPr>
                <w:rFonts w:hint="eastAsia" w:eastAsia="宋体"/>
                <w:color w:val="auto"/>
                <w:highlight w:val="none"/>
                <w:lang w:eastAsia="zh-CN"/>
              </w:rPr>
            </w:pPr>
            <w:r>
              <w:rPr>
                <w:rFonts w:hint="eastAsia"/>
                <w:color w:val="auto"/>
                <w:highlight w:val="none"/>
              </w:rPr>
              <w:t>备注</w:t>
            </w:r>
          </w:p>
        </w:tc>
      </w:tr>
      <w:tr w14:paraId="6B462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trPr>
        <w:tc>
          <w:tcPr>
            <w:tcW w:w="482" w:type="dxa"/>
            <w:tcBorders>
              <w:top w:val="single" w:color="auto" w:sz="4" w:space="0"/>
              <w:left w:val="single" w:color="auto" w:sz="4" w:space="0"/>
              <w:bottom w:val="single" w:color="auto" w:sz="4" w:space="0"/>
              <w:right w:val="single" w:color="auto" w:sz="4" w:space="0"/>
            </w:tcBorders>
            <w:noWrap/>
            <w:vAlign w:val="center"/>
          </w:tcPr>
          <w:p w14:paraId="342118AD">
            <w:pPr>
              <w:keepNext w:val="0"/>
              <w:keepLines w:val="0"/>
              <w:suppressLineNumbers w:val="0"/>
              <w:spacing w:before="0" w:beforeAutospacing="0" w:after="0" w:afterAutospacing="0"/>
              <w:ind w:left="0" w:right="0"/>
              <w:jc w:val="center"/>
              <w:rPr>
                <w:rFonts w:ascii="宋体" w:hAnsi="宋体" w:cs="宋体"/>
                <w:color w:val="auto"/>
                <w:szCs w:val="22"/>
                <w:highlight w:val="none"/>
              </w:rPr>
            </w:pPr>
            <w:r>
              <w:rPr>
                <w:rFonts w:hint="eastAsia" w:ascii="宋体" w:hAnsi="宋体" w:cs="宋体"/>
                <w:color w:val="auto"/>
                <w:szCs w:val="22"/>
                <w:highlight w:val="none"/>
              </w:rPr>
              <w:t>1</w:t>
            </w:r>
          </w:p>
        </w:tc>
        <w:tc>
          <w:tcPr>
            <w:tcW w:w="1298" w:type="dxa"/>
            <w:tcBorders>
              <w:top w:val="single" w:color="auto" w:sz="4" w:space="0"/>
              <w:left w:val="single" w:color="auto" w:sz="4" w:space="0"/>
              <w:bottom w:val="single" w:color="auto" w:sz="4" w:space="0"/>
              <w:right w:val="single" w:color="auto" w:sz="4" w:space="0"/>
            </w:tcBorders>
            <w:noWrap/>
            <w:vAlign w:val="center"/>
          </w:tcPr>
          <w:p w14:paraId="7048B421">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1049" w:type="dxa"/>
            <w:tcBorders>
              <w:top w:val="single" w:color="auto" w:sz="4" w:space="0"/>
              <w:left w:val="single" w:color="auto" w:sz="4" w:space="0"/>
              <w:bottom w:val="single" w:color="auto" w:sz="4" w:space="0"/>
              <w:right w:val="single" w:color="auto" w:sz="4" w:space="0"/>
            </w:tcBorders>
            <w:noWrap/>
            <w:vAlign w:val="center"/>
          </w:tcPr>
          <w:p w14:paraId="000D3479">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1030" w:type="dxa"/>
            <w:tcBorders>
              <w:top w:val="single" w:color="auto" w:sz="4" w:space="0"/>
              <w:left w:val="single" w:color="auto" w:sz="4" w:space="0"/>
              <w:bottom w:val="single" w:color="auto" w:sz="4" w:space="0"/>
              <w:right w:val="single" w:color="auto" w:sz="4" w:space="0"/>
            </w:tcBorders>
            <w:noWrap/>
            <w:vAlign w:val="center"/>
          </w:tcPr>
          <w:p w14:paraId="4A0396D5">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571" w:type="dxa"/>
            <w:tcBorders>
              <w:top w:val="single" w:color="auto" w:sz="4" w:space="0"/>
              <w:left w:val="single" w:color="auto" w:sz="4" w:space="0"/>
              <w:bottom w:val="single" w:color="auto" w:sz="4" w:space="0"/>
              <w:right w:val="single" w:color="auto" w:sz="4" w:space="0"/>
            </w:tcBorders>
            <w:noWrap/>
            <w:vAlign w:val="center"/>
          </w:tcPr>
          <w:p w14:paraId="5578F34B">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613" w:type="dxa"/>
            <w:tcBorders>
              <w:top w:val="single" w:color="auto" w:sz="4" w:space="0"/>
              <w:left w:val="single" w:color="auto" w:sz="4" w:space="0"/>
              <w:bottom w:val="single" w:color="auto" w:sz="4" w:space="0"/>
              <w:right w:val="single" w:color="auto" w:sz="4" w:space="0"/>
            </w:tcBorders>
            <w:noWrap/>
            <w:vAlign w:val="center"/>
          </w:tcPr>
          <w:p w14:paraId="6687869A">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1111" w:type="dxa"/>
            <w:tcBorders>
              <w:top w:val="single" w:color="auto" w:sz="4" w:space="0"/>
              <w:left w:val="single" w:color="auto" w:sz="4" w:space="0"/>
              <w:bottom w:val="single" w:color="auto" w:sz="4" w:space="0"/>
              <w:right w:val="single" w:color="auto" w:sz="4" w:space="0"/>
            </w:tcBorders>
            <w:noWrap/>
            <w:vAlign w:val="center"/>
          </w:tcPr>
          <w:p w14:paraId="1D5E3A9B">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1809" w:type="dxa"/>
            <w:tcBorders>
              <w:top w:val="single" w:color="auto" w:sz="4" w:space="0"/>
              <w:left w:val="single" w:color="auto" w:sz="4" w:space="0"/>
              <w:bottom w:val="single" w:color="auto" w:sz="4" w:space="0"/>
              <w:right w:val="single" w:color="auto" w:sz="4" w:space="0"/>
            </w:tcBorders>
            <w:noWrap/>
            <w:vAlign w:val="center"/>
          </w:tcPr>
          <w:p w14:paraId="68FCADA4">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946" w:type="dxa"/>
            <w:tcBorders>
              <w:top w:val="single" w:color="auto" w:sz="4" w:space="0"/>
              <w:left w:val="single" w:color="auto" w:sz="4" w:space="0"/>
              <w:bottom w:val="single" w:color="auto" w:sz="4" w:space="0"/>
              <w:right w:val="single" w:color="auto" w:sz="4" w:space="0"/>
            </w:tcBorders>
            <w:noWrap/>
          </w:tcPr>
          <w:p w14:paraId="1A457C38">
            <w:pPr>
              <w:keepNext w:val="0"/>
              <w:keepLines w:val="0"/>
              <w:suppressLineNumbers w:val="0"/>
              <w:spacing w:before="0" w:beforeAutospacing="0" w:after="0" w:afterAutospacing="0"/>
              <w:ind w:left="0" w:right="0"/>
              <w:rPr>
                <w:rFonts w:ascii="宋体" w:hAnsi="宋体" w:cs="宋体"/>
                <w:color w:val="auto"/>
                <w:szCs w:val="22"/>
                <w:highlight w:val="none"/>
              </w:rPr>
            </w:pPr>
          </w:p>
        </w:tc>
      </w:tr>
      <w:tr w14:paraId="6F5DE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trPr>
        <w:tc>
          <w:tcPr>
            <w:tcW w:w="482" w:type="dxa"/>
            <w:tcBorders>
              <w:top w:val="single" w:color="auto" w:sz="4" w:space="0"/>
              <w:left w:val="single" w:color="auto" w:sz="4" w:space="0"/>
              <w:bottom w:val="single" w:color="auto" w:sz="4" w:space="0"/>
              <w:right w:val="single" w:color="auto" w:sz="4" w:space="0"/>
            </w:tcBorders>
            <w:noWrap/>
            <w:vAlign w:val="center"/>
          </w:tcPr>
          <w:p w14:paraId="46D84B2D">
            <w:pPr>
              <w:keepNext w:val="0"/>
              <w:keepLines w:val="0"/>
              <w:suppressLineNumbers w:val="0"/>
              <w:spacing w:before="0" w:beforeAutospacing="0" w:after="0" w:afterAutospacing="0"/>
              <w:ind w:left="0" w:right="0"/>
              <w:jc w:val="center"/>
              <w:rPr>
                <w:rFonts w:ascii="宋体" w:hAnsi="宋体" w:cs="宋体"/>
                <w:color w:val="auto"/>
                <w:szCs w:val="22"/>
                <w:highlight w:val="none"/>
              </w:rPr>
            </w:pPr>
            <w:r>
              <w:rPr>
                <w:rFonts w:hint="eastAsia" w:ascii="宋体" w:hAnsi="宋体" w:cs="宋体"/>
                <w:color w:val="auto"/>
                <w:szCs w:val="22"/>
                <w:highlight w:val="none"/>
              </w:rPr>
              <w:t>2</w:t>
            </w:r>
          </w:p>
        </w:tc>
        <w:tc>
          <w:tcPr>
            <w:tcW w:w="1298" w:type="dxa"/>
            <w:tcBorders>
              <w:top w:val="single" w:color="auto" w:sz="4" w:space="0"/>
              <w:left w:val="single" w:color="auto" w:sz="4" w:space="0"/>
              <w:bottom w:val="single" w:color="auto" w:sz="4" w:space="0"/>
              <w:right w:val="single" w:color="auto" w:sz="4" w:space="0"/>
            </w:tcBorders>
            <w:noWrap/>
            <w:vAlign w:val="center"/>
          </w:tcPr>
          <w:p w14:paraId="3D204F5C">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1049" w:type="dxa"/>
            <w:tcBorders>
              <w:top w:val="single" w:color="auto" w:sz="4" w:space="0"/>
              <w:left w:val="single" w:color="auto" w:sz="4" w:space="0"/>
              <w:bottom w:val="single" w:color="auto" w:sz="4" w:space="0"/>
              <w:right w:val="single" w:color="auto" w:sz="4" w:space="0"/>
            </w:tcBorders>
            <w:noWrap/>
            <w:vAlign w:val="center"/>
          </w:tcPr>
          <w:p w14:paraId="5DA00F3F">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1030" w:type="dxa"/>
            <w:tcBorders>
              <w:top w:val="single" w:color="auto" w:sz="4" w:space="0"/>
              <w:left w:val="single" w:color="auto" w:sz="4" w:space="0"/>
              <w:bottom w:val="single" w:color="auto" w:sz="4" w:space="0"/>
              <w:right w:val="single" w:color="auto" w:sz="4" w:space="0"/>
            </w:tcBorders>
            <w:noWrap/>
            <w:vAlign w:val="center"/>
          </w:tcPr>
          <w:p w14:paraId="28903469">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571" w:type="dxa"/>
            <w:tcBorders>
              <w:top w:val="single" w:color="auto" w:sz="4" w:space="0"/>
              <w:left w:val="single" w:color="auto" w:sz="4" w:space="0"/>
              <w:bottom w:val="single" w:color="auto" w:sz="4" w:space="0"/>
              <w:right w:val="single" w:color="auto" w:sz="4" w:space="0"/>
            </w:tcBorders>
            <w:noWrap/>
            <w:vAlign w:val="center"/>
          </w:tcPr>
          <w:p w14:paraId="0150B84E">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613" w:type="dxa"/>
            <w:tcBorders>
              <w:top w:val="single" w:color="auto" w:sz="4" w:space="0"/>
              <w:left w:val="single" w:color="auto" w:sz="4" w:space="0"/>
              <w:bottom w:val="single" w:color="auto" w:sz="4" w:space="0"/>
              <w:right w:val="single" w:color="auto" w:sz="4" w:space="0"/>
            </w:tcBorders>
            <w:noWrap/>
            <w:vAlign w:val="center"/>
          </w:tcPr>
          <w:p w14:paraId="2B13559A">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1111" w:type="dxa"/>
            <w:tcBorders>
              <w:top w:val="single" w:color="auto" w:sz="4" w:space="0"/>
              <w:left w:val="single" w:color="auto" w:sz="4" w:space="0"/>
              <w:bottom w:val="single" w:color="auto" w:sz="4" w:space="0"/>
              <w:right w:val="single" w:color="auto" w:sz="4" w:space="0"/>
            </w:tcBorders>
            <w:noWrap/>
            <w:vAlign w:val="center"/>
          </w:tcPr>
          <w:p w14:paraId="0294BE9A">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1809" w:type="dxa"/>
            <w:tcBorders>
              <w:top w:val="single" w:color="auto" w:sz="4" w:space="0"/>
              <w:left w:val="single" w:color="auto" w:sz="4" w:space="0"/>
              <w:bottom w:val="single" w:color="auto" w:sz="4" w:space="0"/>
              <w:right w:val="single" w:color="auto" w:sz="4" w:space="0"/>
            </w:tcBorders>
            <w:noWrap/>
            <w:vAlign w:val="center"/>
          </w:tcPr>
          <w:p w14:paraId="06EE3145">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946" w:type="dxa"/>
            <w:tcBorders>
              <w:top w:val="single" w:color="auto" w:sz="4" w:space="0"/>
              <w:left w:val="single" w:color="auto" w:sz="4" w:space="0"/>
              <w:bottom w:val="single" w:color="auto" w:sz="4" w:space="0"/>
              <w:right w:val="single" w:color="auto" w:sz="4" w:space="0"/>
            </w:tcBorders>
            <w:noWrap/>
          </w:tcPr>
          <w:p w14:paraId="50E18C1D">
            <w:pPr>
              <w:keepNext w:val="0"/>
              <w:keepLines w:val="0"/>
              <w:suppressLineNumbers w:val="0"/>
              <w:spacing w:before="0" w:beforeAutospacing="0" w:after="0" w:afterAutospacing="0"/>
              <w:ind w:left="0" w:right="0"/>
              <w:rPr>
                <w:rFonts w:ascii="宋体" w:hAnsi="宋体" w:cs="宋体"/>
                <w:color w:val="auto"/>
                <w:szCs w:val="22"/>
                <w:highlight w:val="none"/>
              </w:rPr>
            </w:pPr>
          </w:p>
        </w:tc>
      </w:tr>
      <w:tr w14:paraId="56BD7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trPr>
        <w:tc>
          <w:tcPr>
            <w:tcW w:w="482" w:type="dxa"/>
            <w:tcBorders>
              <w:top w:val="single" w:color="auto" w:sz="4" w:space="0"/>
              <w:left w:val="single" w:color="auto" w:sz="4" w:space="0"/>
              <w:bottom w:val="single" w:color="auto" w:sz="4" w:space="0"/>
              <w:right w:val="single" w:color="auto" w:sz="4" w:space="0"/>
            </w:tcBorders>
            <w:noWrap/>
            <w:vAlign w:val="center"/>
          </w:tcPr>
          <w:p w14:paraId="30FF4670">
            <w:pPr>
              <w:keepNext w:val="0"/>
              <w:keepLines w:val="0"/>
              <w:suppressLineNumbers w:val="0"/>
              <w:spacing w:before="0" w:beforeAutospacing="0" w:after="0" w:afterAutospacing="0"/>
              <w:ind w:left="0" w:right="0"/>
              <w:jc w:val="center"/>
              <w:rPr>
                <w:rFonts w:hint="eastAsia" w:ascii="宋体" w:hAnsi="宋体" w:eastAsia="宋体" w:cs="宋体"/>
                <w:color w:val="auto"/>
                <w:szCs w:val="22"/>
                <w:highlight w:val="none"/>
                <w:lang w:val="en-US" w:eastAsia="zh-CN"/>
              </w:rPr>
            </w:pPr>
            <w:r>
              <w:rPr>
                <w:rFonts w:hint="eastAsia" w:ascii="宋体" w:hAnsi="宋体" w:cs="宋体"/>
                <w:color w:val="auto"/>
                <w:szCs w:val="22"/>
                <w:highlight w:val="none"/>
                <w:lang w:val="en-US" w:eastAsia="zh-CN"/>
              </w:rPr>
              <w:t>3</w:t>
            </w:r>
          </w:p>
        </w:tc>
        <w:tc>
          <w:tcPr>
            <w:tcW w:w="1298" w:type="dxa"/>
            <w:tcBorders>
              <w:top w:val="single" w:color="auto" w:sz="4" w:space="0"/>
              <w:left w:val="single" w:color="auto" w:sz="4" w:space="0"/>
              <w:bottom w:val="single" w:color="auto" w:sz="4" w:space="0"/>
              <w:right w:val="single" w:color="auto" w:sz="4" w:space="0"/>
            </w:tcBorders>
            <w:noWrap/>
            <w:vAlign w:val="center"/>
          </w:tcPr>
          <w:p w14:paraId="23A36AE2">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1049" w:type="dxa"/>
            <w:tcBorders>
              <w:top w:val="single" w:color="auto" w:sz="4" w:space="0"/>
              <w:left w:val="single" w:color="auto" w:sz="4" w:space="0"/>
              <w:bottom w:val="single" w:color="auto" w:sz="4" w:space="0"/>
              <w:right w:val="single" w:color="auto" w:sz="4" w:space="0"/>
            </w:tcBorders>
            <w:noWrap/>
            <w:vAlign w:val="center"/>
          </w:tcPr>
          <w:p w14:paraId="710B9F24">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1030" w:type="dxa"/>
            <w:tcBorders>
              <w:top w:val="single" w:color="auto" w:sz="4" w:space="0"/>
              <w:left w:val="single" w:color="auto" w:sz="4" w:space="0"/>
              <w:bottom w:val="single" w:color="auto" w:sz="4" w:space="0"/>
              <w:right w:val="single" w:color="auto" w:sz="4" w:space="0"/>
            </w:tcBorders>
            <w:noWrap/>
            <w:vAlign w:val="center"/>
          </w:tcPr>
          <w:p w14:paraId="6A7759D7">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571" w:type="dxa"/>
            <w:tcBorders>
              <w:top w:val="single" w:color="auto" w:sz="4" w:space="0"/>
              <w:left w:val="single" w:color="auto" w:sz="4" w:space="0"/>
              <w:bottom w:val="single" w:color="auto" w:sz="4" w:space="0"/>
              <w:right w:val="single" w:color="auto" w:sz="4" w:space="0"/>
            </w:tcBorders>
            <w:noWrap/>
            <w:vAlign w:val="center"/>
          </w:tcPr>
          <w:p w14:paraId="5BC611F7">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613" w:type="dxa"/>
            <w:tcBorders>
              <w:top w:val="single" w:color="auto" w:sz="4" w:space="0"/>
              <w:left w:val="single" w:color="auto" w:sz="4" w:space="0"/>
              <w:bottom w:val="single" w:color="auto" w:sz="4" w:space="0"/>
              <w:right w:val="single" w:color="auto" w:sz="4" w:space="0"/>
            </w:tcBorders>
            <w:noWrap/>
            <w:vAlign w:val="center"/>
          </w:tcPr>
          <w:p w14:paraId="0CD69C85">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1111" w:type="dxa"/>
            <w:tcBorders>
              <w:top w:val="single" w:color="auto" w:sz="4" w:space="0"/>
              <w:left w:val="single" w:color="auto" w:sz="4" w:space="0"/>
              <w:bottom w:val="single" w:color="auto" w:sz="4" w:space="0"/>
              <w:right w:val="single" w:color="auto" w:sz="4" w:space="0"/>
            </w:tcBorders>
            <w:noWrap/>
            <w:vAlign w:val="center"/>
          </w:tcPr>
          <w:p w14:paraId="0AFDF06D">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1809" w:type="dxa"/>
            <w:tcBorders>
              <w:top w:val="single" w:color="auto" w:sz="4" w:space="0"/>
              <w:left w:val="single" w:color="auto" w:sz="4" w:space="0"/>
              <w:bottom w:val="single" w:color="auto" w:sz="4" w:space="0"/>
              <w:right w:val="single" w:color="auto" w:sz="4" w:space="0"/>
            </w:tcBorders>
            <w:noWrap/>
            <w:vAlign w:val="center"/>
          </w:tcPr>
          <w:p w14:paraId="714A74B2">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946" w:type="dxa"/>
            <w:tcBorders>
              <w:top w:val="single" w:color="auto" w:sz="4" w:space="0"/>
              <w:left w:val="single" w:color="auto" w:sz="4" w:space="0"/>
              <w:bottom w:val="single" w:color="auto" w:sz="4" w:space="0"/>
              <w:right w:val="single" w:color="auto" w:sz="4" w:space="0"/>
            </w:tcBorders>
            <w:noWrap/>
          </w:tcPr>
          <w:p w14:paraId="276E7372">
            <w:pPr>
              <w:keepNext w:val="0"/>
              <w:keepLines w:val="0"/>
              <w:suppressLineNumbers w:val="0"/>
              <w:spacing w:before="0" w:beforeAutospacing="0" w:after="0" w:afterAutospacing="0"/>
              <w:ind w:left="0" w:right="0"/>
              <w:rPr>
                <w:rFonts w:ascii="宋体" w:hAnsi="宋体" w:cs="宋体"/>
                <w:color w:val="auto"/>
                <w:szCs w:val="22"/>
                <w:highlight w:val="none"/>
              </w:rPr>
            </w:pPr>
          </w:p>
        </w:tc>
      </w:tr>
      <w:tr w14:paraId="1AB43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trPr>
        <w:tc>
          <w:tcPr>
            <w:tcW w:w="482" w:type="dxa"/>
            <w:tcBorders>
              <w:top w:val="single" w:color="auto" w:sz="4" w:space="0"/>
              <w:left w:val="single" w:color="auto" w:sz="4" w:space="0"/>
              <w:bottom w:val="single" w:color="auto" w:sz="4" w:space="0"/>
              <w:right w:val="single" w:color="auto" w:sz="4" w:space="0"/>
            </w:tcBorders>
            <w:noWrap/>
            <w:vAlign w:val="center"/>
          </w:tcPr>
          <w:p w14:paraId="7BE468A7">
            <w:pPr>
              <w:keepNext w:val="0"/>
              <w:keepLines w:val="0"/>
              <w:suppressLineNumbers w:val="0"/>
              <w:spacing w:before="0" w:beforeAutospacing="0" w:after="0" w:afterAutospacing="0"/>
              <w:ind w:left="0" w:right="0"/>
              <w:jc w:val="center"/>
              <w:rPr>
                <w:rFonts w:hint="eastAsia" w:ascii="宋体" w:hAnsi="宋体" w:eastAsia="宋体" w:cs="宋体"/>
                <w:color w:val="auto"/>
                <w:szCs w:val="22"/>
                <w:highlight w:val="none"/>
                <w:lang w:val="en-US" w:eastAsia="zh-CN"/>
              </w:rPr>
            </w:pPr>
            <w:r>
              <w:rPr>
                <w:rFonts w:hint="eastAsia" w:ascii="宋体" w:hAnsi="宋体" w:cs="宋体"/>
                <w:color w:val="auto"/>
                <w:szCs w:val="22"/>
                <w:highlight w:val="none"/>
                <w:lang w:val="en-US" w:eastAsia="zh-CN"/>
              </w:rPr>
              <w:t>4</w:t>
            </w:r>
          </w:p>
        </w:tc>
        <w:tc>
          <w:tcPr>
            <w:tcW w:w="1298" w:type="dxa"/>
            <w:tcBorders>
              <w:top w:val="single" w:color="auto" w:sz="4" w:space="0"/>
              <w:left w:val="single" w:color="auto" w:sz="4" w:space="0"/>
              <w:bottom w:val="single" w:color="auto" w:sz="4" w:space="0"/>
              <w:right w:val="single" w:color="auto" w:sz="4" w:space="0"/>
            </w:tcBorders>
            <w:noWrap/>
            <w:vAlign w:val="center"/>
          </w:tcPr>
          <w:p w14:paraId="3FDE6BF4">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1049" w:type="dxa"/>
            <w:tcBorders>
              <w:top w:val="single" w:color="auto" w:sz="4" w:space="0"/>
              <w:left w:val="single" w:color="auto" w:sz="4" w:space="0"/>
              <w:bottom w:val="single" w:color="auto" w:sz="4" w:space="0"/>
              <w:right w:val="single" w:color="auto" w:sz="4" w:space="0"/>
            </w:tcBorders>
            <w:noWrap/>
            <w:vAlign w:val="center"/>
          </w:tcPr>
          <w:p w14:paraId="1BA7E2B5">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1030" w:type="dxa"/>
            <w:tcBorders>
              <w:top w:val="single" w:color="auto" w:sz="4" w:space="0"/>
              <w:left w:val="single" w:color="auto" w:sz="4" w:space="0"/>
              <w:bottom w:val="single" w:color="auto" w:sz="4" w:space="0"/>
              <w:right w:val="single" w:color="auto" w:sz="4" w:space="0"/>
            </w:tcBorders>
            <w:noWrap/>
            <w:vAlign w:val="center"/>
          </w:tcPr>
          <w:p w14:paraId="4E73CF73">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571" w:type="dxa"/>
            <w:tcBorders>
              <w:top w:val="single" w:color="auto" w:sz="4" w:space="0"/>
              <w:left w:val="single" w:color="auto" w:sz="4" w:space="0"/>
              <w:bottom w:val="single" w:color="auto" w:sz="4" w:space="0"/>
              <w:right w:val="single" w:color="auto" w:sz="4" w:space="0"/>
            </w:tcBorders>
            <w:noWrap/>
            <w:vAlign w:val="center"/>
          </w:tcPr>
          <w:p w14:paraId="30F3FAF6">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613" w:type="dxa"/>
            <w:tcBorders>
              <w:top w:val="single" w:color="auto" w:sz="4" w:space="0"/>
              <w:left w:val="single" w:color="auto" w:sz="4" w:space="0"/>
              <w:bottom w:val="single" w:color="auto" w:sz="4" w:space="0"/>
              <w:right w:val="single" w:color="auto" w:sz="4" w:space="0"/>
            </w:tcBorders>
            <w:noWrap/>
            <w:vAlign w:val="center"/>
          </w:tcPr>
          <w:p w14:paraId="759ACE8F">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1111" w:type="dxa"/>
            <w:tcBorders>
              <w:top w:val="single" w:color="auto" w:sz="4" w:space="0"/>
              <w:left w:val="single" w:color="auto" w:sz="4" w:space="0"/>
              <w:bottom w:val="single" w:color="auto" w:sz="4" w:space="0"/>
              <w:right w:val="single" w:color="auto" w:sz="4" w:space="0"/>
            </w:tcBorders>
            <w:noWrap/>
            <w:vAlign w:val="center"/>
          </w:tcPr>
          <w:p w14:paraId="7C6CAA88">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1809" w:type="dxa"/>
            <w:tcBorders>
              <w:top w:val="single" w:color="auto" w:sz="4" w:space="0"/>
              <w:left w:val="single" w:color="auto" w:sz="4" w:space="0"/>
              <w:bottom w:val="single" w:color="auto" w:sz="4" w:space="0"/>
              <w:right w:val="single" w:color="auto" w:sz="4" w:space="0"/>
            </w:tcBorders>
            <w:noWrap/>
            <w:vAlign w:val="center"/>
          </w:tcPr>
          <w:p w14:paraId="6E5256E1">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946" w:type="dxa"/>
            <w:tcBorders>
              <w:top w:val="single" w:color="auto" w:sz="4" w:space="0"/>
              <w:left w:val="single" w:color="auto" w:sz="4" w:space="0"/>
              <w:bottom w:val="single" w:color="auto" w:sz="4" w:space="0"/>
              <w:right w:val="single" w:color="auto" w:sz="4" w:space="0"/>
            </w:tcBorders>
            <w:noWrap/>
          </w:tcPr>
          <w:p w14:paraId="1A53DC2C">
            <w:pPr>
              <w:keepNext w:val="0"/>
              <w:keepLines w:val="0"/>
              <w:suppressLineNumbers w:val="0"/>
              <w:spacing w:before="0" w:beforeAutospacing="0" w:after="0" w:afterAutospacing="0"/>
              <w:ind w:left="0" w:right="0"/>
              <w:rPr>
                <w:rFonts w:ascii="宋体" w:hAnsi="宋体" w:cs="宋体"/>
                <w:color w:val="auto"/>
                <w:szCs w:val="22"/>
                <w:highlight w:val="none"/>
              </w:rPr>
            </w:pPr>
          </w:p>
        </w:tc>
      </w:tr>
      <w:tr w14:paraId="30C2F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trPr>
        <w:tc>
          <w:tcPr>
            <w:tcW w:w="482" w:type="dxa"/>
            <w:tcBorders>
              <w:top w:val="single" w:color="auto" w:sz="4" w:space="0"/>
              <w:left w:val="single" w:color="auto" w:sz="4" w:space="0"/>
              <w:bottom w:val="single" w:color="auto" w:sz="4" w:space="0"/>
              <w:right w:val="single" w:color="auto" w:sz="4" w:space="0"/>
            </w:tcBorders>
            <w:noWrap/>
            <w:vAlign w:val="center"/>
          </w:tcPr>
          <w:p w14:paraId="632DC23D">
            <w:pPr>
              <w:keepNext w:val="0"/>
              <w:keepLines w:val="0"/>
              <w:suppressLineNumbers w:val="0"/>
              <w:spacing w:before="0" w:beforeAutospacing="0" w:after="0" w:afterAutospacing="0"/>
              <w:ind w:left="0" w:right="0"/>
              <w:jc w:val="center"/>
              <w:rPr>
                <w:rFonts w:hint="eastAsia" w:ascii="宋体" w:hAnsi="宋体" w:eastAsia="宋体" w:cs="宋体"/>
                <w:color w:val="auto"/>
                <w:szCs w:val="22"/>
                <w:highlight w:val="none"/>
                <w:lang w:val="en-US" w:eastAsia="zh-CN"/>
              </w:rPr>
            </w:pPr>
            <w:r>
              <w:rPr>
                <w:rFonts w:hint="eastAsia" w:ascii="宋体" w:hAnsi="宋体" w:cs="宋体"/>
                <w:color w:val="auto"/>
                <w:szCs w:val="22"/>
                <w:highlight w:val="none"/>
                <w:lang w:val="en-US" w:eastAsia="zh-CN"/>
              </w:rPr>
              <w:t>5</w:t>
            </w:r>
          </w:p>
        </w:tc>
        <w:tc>
          <w:tcPr>
            <w:tcW w:w="1298" w:type="dxa"/>
            <w:tcBorders>
              <w:top w:val="single" w:color="auto" w:sz="4" w:space="0"/>
              <w:left w:val="single" w:color="auto" w:sz="4" w:space="0"/>
              <w:bottom w:val="single" w:color="auto" w:sz="4" w:space="0"/>
              <w:right w:val="single" w:color="auto" w:sz="4" w:space="0"/>
            </w:tcBorders>
            <w:noWrap/>
            <w:vAlign w:val="center"/>
          </w:tcPr>
          <w:p w14:paraId="3D4F488F">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1049" w:type="dxa"/>
            <w:tcBorders>
              <w:top w:val="single" w:color="auto" w:sz="4" w:space="0"/>
              <w:left w:val="single" w:color="auto" w:sz="4" w:space="0"/>
              <w:bottom w:val="single" w:color="auto" w:sz="4" w:space="0"/>
              <w:right w:val="single" w:color="auto" w:sz="4" w:space="0"/>
            </w:tcBorders>
            <w:noWrap/>
            <w:vAlign w:val="center"/>
          </w:tcPr>
          <w:p w14:paraId="228D3582">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1030" w:type="dxa"/>
            <w:tcBorders>
              <w:top w:val="single" w:color="auto" w:sz="4" w:space="0"/>
              <w:left w:val="single" w:color="auto" w:sz="4" w:space="0"/>
              <w:bottom w:val="single" w:color="auto" w:sz="4" w:space="0"/>
              <w:right w:val="single" w:color="auto" w:sz="4" w:space="0"/>
            </w:tcBorders>
            <w:noWrap/>
            <w:vAlign w:val="center"/>
          </w:tcPr>
          <w:p w14:paraId="25C81F05">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571" w:type="dxa"/>
            <w:tcBorders>
              <w:top w:val="single" w:color="auto" w:sz="4" w:space="0"/>
              <w:left w:val="single" w:color="auto" w:sz="4" w:space="0"/>
              <w:bottom w:val="single" w:color="auto" w:sz="4" w:space="0"/>
              <w:right w:val="single" w:color="auto" w:sz="4" w:space="0"/>
            </w:tcBorders>
            <w:noWrap/>
            <w:vAlign w:val="center"/>
          </w:tcPr>
          <w:p w14:paraId="3E974214">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613" w:type="dxa"/>
            <w:tcBorders>
              <w:top w:val="single" w:color="auto" w:sz="4" w:space="0"/>
              <w:left w:val="single" w:color="auto" w:sz="4" w:space="0"/>
              <w:bottom w:val="single" w:color="auto" w:sz="4" w:space="0"/>
              <w:right w:val="single" w:color="auto" w:sz="4" w:space="0"/>
            </w:tcBorders>
            <w:noWrap/>
            <w:vAlign w:val="center"/>
          </w:tcPr>
          <w:p w14:paraId="4DAA5941">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1111" w:type="dxa"/>
            <w:tcBorders>
              <w:top w:val="single" w:color="auto" w:sz="4" w:space="0"/>
              <w:left w:val="single" w:color="auto" w:sz="4" w:space="0"/>
              <w:bottom w:val="single" w:color="auto" w:sz="4" w:space="0"/>
              <w:right w:val="single" w:color="auto" w:sz="4" w:space="0"/>
            </w:tcBorders>
            <w:noWrap/>
            <w:vAlign w:val="center"/>
          </w:tcPr>
          <w:p w14:paraId="0EEB0D99">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1809" w:type="dxa"/>
            <w:tcBorders>
              <w:top w:val="single" w:color="auto" w:sz="4" w:space="0"/>
              <w:left w:val="single" w:color="auto" w:sz="4" w:space="0"/>
              <w:bottom w:val="single" w:color="auto" w:sz="4" w:space="0"/>
              <w:right w:val="single" w:color="auto" w:sz="4" w:space="0"/>
            </w:tcBorders>
            <w:noWrap/>
            <w:vAlign w:val="center"/>
          </w:tcPr>
          <w:p w14:paraId="4A9F90A1">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946" w:type="dxa"/>
            <w:tcBorders>
              <w:top w:val="single" w:color="auto" w:sz="4" w:space="0"/>
              <w:left w:val="single" w:color="auto" w:sz="4" w:space="0"/>
              <w:bottom w:val="single" w:color="auto" w:sz="4" w:space="0"/>
              <w:right w:val="single" w:color="auto" w:sz="4" w:space="0"/>
            </w:tcBorders>
            <w:noWrap/>
          </w:tcPr>
          <w:p w14:paraId="3ECE102D">
            <w:pPr>
              <w:keepNext w:val="0"/>
              <w:keepLines w:val="0"/>
              <w:suppressLineNumbers w:val="0"/>
              <w:spacing w:before="0" w:beforeAutospacing="0" w:after="0" w:afterAutospacing="0"/>
              <w:ind w:left="0" w:right="0"/>
              <w:rPr>
                <w:rFonts w:ascii="宋体" w:hAnsi="宋体" w:cs="宋体"/>
                <w:color w:val="auto"/>
                <w:szCs w:val="22"/>
                <w:highlight w:val="none"/>
              </w:rPr>
            </w:pPr>
          </w:p>
        </w:tc>
      </w:tr>
      <w:tr w14:paraId="6B965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trPr>
        <w:tc>
          <w:tcPr>
            <w:tcW w:w="482" w:type="dxa"/>
            <w:tcBorders>
              <w:top w:val="single" w:color="auto" w:sz="4" w:space="0"/>
              <w:left w:val="single" w:color="auto" w:sz="4" w:space="0"/>
              <w:bottom w:val="single" w:color="auto" w:sz="4" w:space="0"/>
              <w:right w:val="single" w:color="auto" w:sz="4" w:space="0"/>
            </w:tcBorders>
            <w:noWrap/>
            <w:vAlign w:val="center"/>
          </w:tcPr>
          <w:p w14:paraId="50893C11">
            <w:pPr>
              <w:keepNext w:val="0"/>
              <w:keepLines w:val="0"/>
              <w:suppressLineNumbers w:val="0"/>
              <w:spacing w:before="0" w:beforeAutospacing="0" w:after="0" w:afterAutospacing="0"/>
              <w:ind w:left="0" w:right="0"/>
              <w:jc w:val="center"/>
              <w:rPr>
                <w:rFonts w:hint="eastAsia" w:ascii="宋体" w:hAnsi="宋体" w:eastAsia="宋体" w:cs="宋体"/>
                <w:color w:val="auto"/>
                <w:szCs w:val="22"/>
                <w:highlight w:val="none"/>
                <w:lang w:val="en-US" w:eastAsia="zh-CN"/>
              </w:rPr>
            </w:pPr>
            <w:r>
              <w:rPr>
                <w:rFonts w:hint="eastAsia" w:ascii="宋体" w:hAnsi="宋体" w:cs="宋体"/>
                <w:color w:val="auto"/>
                <w:szCs w:val="22"/>
                <w:highlight w:val="none"/>
                <w:lang w:val="en-US" w:eastAsia="zh-CN"/>
              </w:rPr>
              <w:t>6</w:t>
            </w:r>
          </w:p>
        </w:tc>
        <w:tc>
          <w:tcPr>
            <w:tcW w:w="1298" w:type="dxa"/>
            <w:tcBorders>
              <w:top w:val="single" w:color="auto" w:sz="4" w:space="0"/>
              <w:left w:val="single" w:color="auto" w:sz="4" w:space="0"/>
              <w:bottom w:val="single" w:color="auto" w:sz="4" w:space="0"/>
              <w:right w:val="single" w:color="auto" w:sz="4" w:space="0"/>
            </w:tcBorders>
            <w:noWrap/>
            <w:vAlign w:val="center"/>
          </w:tcPr>
          <w:p w14:paraId="59EEE260">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1049" w:type="dxa"/>
            <w:tcBorders>
              <w:top w:val="single" w:color="auto" w:sz="4" w:space="0"/>
              <w:left w:val="single" w:color="auto" w:sz="4" w:space="0"/>
              <w:bottom w:val="single" w:color="auto" w:sz="4" w:space="0"/>
              <w:right w:val="single" w:color="auto" w:sz="4" w:space="0"/>
            </w:tcBorders>
            <w:noWrap/>
            <w:vAlign w:val="center"/>
          </w:tcPr>
          <w:p w14:paraId="40A62577">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1030" w:type="dxa"/>
            <w:tcBorders>
              <w:top w:val="single" w:color="auto" w:sz="4" w:space="0"/>
              <w:left w:val="single" w:color="auto" w:sz="4" w:space="0"/>
              <w:bottom w:val="single" w:color="auto" w:sz="4" w:space="0"/>
              <w:right w:val="single" w:color="auto" w:sz="4" w:space="0"/>
            </w:tcBorders>
            <w:noWrap/>
            <w:vAlign w:val="center"/>
          </w:tcPr>
          <w:p w14:paraId="72D80FF5">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571" w:type="dxa"/>
            <w:tcBorders>
              <w:top w:val="single" w:color="auto" w:sz="4" w:space="0"/>
              <w:left w:val="single" w:color="auto" w:sz="4" w:space="0"/>
              <w:bottom w:val="single" w:color="auto" w:sz="4" w:space="0"/>
              <w:right w:val="single" w:color="auto" w:sz="4" w:space="0"/>
            </w:tcBorders>
            <w:noWrap/>
            <w:vAlign w:val="center"/>
          </w:tcPr>
          <w:p w14:paraId="6DE225EB">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613" w:type="dxa"/>
            <w:tcBorders>
              <w:top w:val="single" w:color="auto" w:sz="4" w:space="0"/>
              <w:left w:val="single" w:color="auto" w:sz="4" w:space="0"/>
              <w:bottom w:val="single" w:color="auto" w:sz="4" w:space="0"/>
              <w:right w:val="single" w:color="auto" w:sz="4" w:space="0"/>
            </w:tcBorders>
            <w:noWrap/>
            <w:vAlign w:val="center"/>
          </w:tcPr>
          <w:p w14:paraId="3D4F1B5F">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1111" w:type="dxa"/>
            <w:tcBorders>
              <w:top w:val="single" w:color="auto" w:sz="4" w:space="0"/>
              <w:left w:val="single" w:color="auto" w:sz="4" w:space="0"/>
              <w:bottom w:val="single" w:color="auto" w:sz="4" w:space="0"/>
              <w:right w:val="single" w:color="auto" w:sz="4" w:space="0"/>
            </w:tcBorders>
            <w:noWrap/>
            <w:vAlign w:val="center"/>
          </w:tcPr>
          <w:p w14:paraId="331E6C07">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1809" w:type="dxa"/>
            <w:tcBorders>
              <w:top w:val="single" w:color="auto" w:sz="4" w:space="0"/>
              <w:left w:val="single" w:color="auto" w:sz="4" w:space="0"/>
              <w:bottom w:val="single" w:color="auto" w:sz="4" w:space="0"/>
              <w:right w:val="single" w:color="auto" w:sz="4" w:space="0"/>
            </w:tcBorders>
            <w:noWrap/>
            <w:vAlign w:val="center"/>
          </w:tcPr>
          <w:p w14:paraId="7B5653CD">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946" w:type="dxa"/>
            <w:tcBorders>
              <w:top w:val="single" w:color="auto" w:sz="4" w:space="0"/>
              <w:left w:val="single" w:color="auto" w:sz="4" w:space="0"/>
              <w:bottom w:val="single" w:color="auto" w:sz="4" w:space="0"/>
              <w:right w:val="single" w:color="auto" w:sz="4" w:space="0"/>
            </w:tcBorders>
            <w:noWrap/>
          </w:tcPr>
          <w:p w14:paraId="1ACFB406">
            <w:pPr>
              <w:keepNext w:val="0"/>
              <w:keepLines w:val="0"/>
              <w:suppressLineNumbers w:val="0"/>
              <w:spacing w:before="0" w:beforeAutospacing="0" w:after="0" w:afterAutospacing="0"/>
              <w:ind w:left="0" w:right="0"/>
              <w:rPr>
                <w:rFonts w:ascii="宋体" w:hAnsi="宋体" w:cs="宋体"/>
                <w:color w:val="auto"/>
                <w:szCs w:val="22"/>
                <w:highlight w:val="none"/>
              </w:rPr>
            </w:pPr>
          </w:p>
        </w:tc>
      </w:tr>
      <w:tr w14:paraId="47AD7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trPr>
        <w:tc>
          <w:tcPr>
            <w:tcW w:w="482" w:type="dxa"/>
            <w:tcBorders>
              <w:top w:val="single" w:color="auto" w:sz="4" w:space="0"/>
              <w:left w:val="single" w:color="auto" w:sz="4" w:space="0"/>
              <w:bottom w:val="single" w:color="auto" w:sz="4" w:space="0"/>
              <w:right w:val="single" w:color="auto" w:sz="4" w:space="0"/>
            </w:tcBorders>
            <w:noWrap/>
            <w:vAlign w:val="center"/>
          </w:tcPr>
          <w:p w14:paraId="45812A90">
            <w:pPr>
              <w:keepNext w:val="0"/>
              <w:keepLines w:val="0"/>
              <w:suppressLineNumbers w:val="0"/>
              <w:spacing w:before="0" w:beforeAutospacing="0" w:after="0" w:afterAutospacing="0"/>
              <w:ind w:left="0" w:right="0"/>
              <w:jc w:val="center"/>
              <w:rPr>
                <w:rFonts w:ascii="宋体" w:hAnsi="宋体" w:cs="宋体"/>
                <w:color w:val="auto"/>
                <w:szCs w:val="22"/>
                <w:highlight w:val="none"/>
              </w:rPr>
            </w:pPr>
            <w:r>
              <w:rPr>
                <w:rFonts w:hint="eastAsia" w:ascii="宋体" w:hAnsi="宋体" w:cs="宋体"/>
                <w:color w:val="auto"/>
                <w:szCs w:val="22"/>
                <w:highlight w:val="none"/>
              </w:rPr>
              <w:t>...</w:t>
            </w:r>
          </w:p>
        </w:tc>
        <w:tc>
          <w:tcPr>
            <w:tcW w:w="1298" w:type="dxa"/>
            <w:tcBorders>
              <w:top w:val="single" w:color="auto" w:sz="4" w:space="0"/>
              <w:left w:val="single" w:color="auto" w:sz="4" w:space="0"/>
              <w:bottom w:val="single" w:color="auto" w:sz="4" w:space="0"/>
              <w:right w:val="single" w:color="auto" w:sz="4" w:space="0"/>
            </w:tcBorders>
            <w:noWrap/>
            <w:vAlign w:val="center"/>
          </w:tcPr>
          <w:p w14:paraId="758FA838">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1049" w:type="dxa"/>
            <w:tcBorders>
              <w:top w:val="single" w:color="auto" w:sz="4" w:space="0"/>
              <w:left w:val="single" w:color="auto" w:sz="4" w:space="0"/>
              <w:bottom w:val="single" w:color="auto" w:sz="4" w:space="0"/>
              <w:right w:val="single" w:color="auto" w:sz="4" w:space="0"/>
            </w:tcBorders>
            <w:noWrap/>
            <w:vAlign w:val="center"/>
          </w:tcPr>
          <w:p w14:paraId="3F266D75">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1030" w:type="dxa"/>
            <w:tcBorders>
              <w:top w:val="single" w:color="auto" w:sz="4" w:space="0"/>
              <w:left w:val="single" w:color="auto" w:sz="4" w:space="0"/>
              <w:bottom w:val="single" w:color="auto" w:sz="4" w:space="0"/>
              <w:right w:val="single" w:color="auto" w:sz="4" w:space="0"/>
            </w:tcBorders>
            <w:noWrap/>
            <w:vAlign w:val="center"/>
          </w:tcPr>
          <w:p w14:paraId="264C85BF">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571" w:type="dxa"/>
            <w:tcBorders>
              <w:top w:val="single" w:color="auto" w:sz="4" w:space="0"/>
              <w:left w:val="single" w:color="auto" w:sz="4" w:space="0"/>
              <w:bottom w:val="single" w:color="auto" w:sz="4" w:space="0"/>
              <w:right w:val="single" w:color="auto" w:sz="4" w:space="0"/>
            </w:tcBorders>
            <w:noWrap/>
            <w:vAlign w:val="center"/>
          </w:tcPr>
          <w:p w14:paraId="4AB22EFF">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613" w:type="dxa"/>
            <w:tcBorders>
              <w:top w:val="single" w:color="auto" w:sz="4" w:space="0"/>
              <w:left w:val="single" w:color="auto" w:sz="4" w:space="0"/>
              <w:bottom w:val="single" w:color="auto" w:sz="4" w:space="0"/>
              <w:right w:val="single" w:color="auto" w:sz="4" w:space="0"/>
            </w:tcBorders>
            <w:noWrap/>
            <w:vAlign w:val="center"/>
          </w:tcPr>
          <w:p w14:paraId="2160483C">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1111" w:type="dxa"/>
            <w:tcBorders>
              <w:top w:val="single" w:color="auto" w:sz="4" w:space="0"/>
              <w:left w:val="single" w:color="auto" w:sz="4" w:space="0"/>
              <w:bottom w:val="single" w:color="auto" w:sz="4" w:space="0"/>
              <w:right w:val="single" w:color="auto" w:sz="4" w:space="0"/>
            </w:tcBorders>
            <w:noWrap/>
            <w:vAlign w:val="center"/>
          </w:tcPr>
          <w:p w14:paraId="560FD1F3">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1809" w:type="dxa"/>
            <w:tcBorders>
              <w:top w:val="single" w:color="auto" w:sz="4" w:space="0"/>
              <w:left w:val="single" w:color="auto" w:sz="4" w:space="0"/>
              <w:bottom w:val="single" w:color="auto" w:sz="4" w:space="0"/>
              <w:right w:val="single" w:color="auto" w:sz="4" w:space="0"/>
            </w:tcBorders>
            <w:noWrap/>
            <w:vAlign w:val="center"/>
          </w:tcPr>
          <w:p w14:paraId="0B0E90C4">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946" w:type="dxa"/>
            <w:tcBorders>
              <w:top w:val="single" w:color="auto" w:sz="4" w:space="0"/>
              <w:left w:val="single" w:color="auto" w:sz="4" w:space="0"/>
              <w:bottom w:val="single" w:color="auto" w:sz="4" w:space="0"/>
              <w:right w:val="single" w:color="auto" w:sz="4" w:space="0"/>
            </w:tcBorders>
            <w:noWrap/>
          </w:tcPr>
          <w:p w14:paraId="63A328DA">
            <w:pPr>
              <w:keepNext w:val="0"/>
              <w:keepLines w:val="0"/>
              <w:suppressLineNumbers w:val="0"/>
              <w:spacing w:before="0" w:beforeAutospacing="0" w:after="0" w:afterAutospacing="0"/>
              <w:ind w:left="0" w:right="0"/>
              <w:rPr>
                <w:rFonts w:ascii="宋体" w:hAnsi="宋体" w:cs="宋体"/>
                <w:color w:val="auto"/>
                <w:szCs w:val="22"/>
                <w:highlight w:val="none"/>
              </w:rPr>
            </w:pPr>
          </w:p>
        </w:tc>
      </w:tr>
      <w:tr w14:paraId="23E10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68" w:hRule="atLeast"/>
        </w:trPr>
        <w:tc>
          <w:tcPr>
            <w:tcW w:w="8909" w:type="dxa"/>
            <w:gridSpan w:val="9"/>
            <w:tcBorders>
              <w:top w:val="single" w:color="auto" w:sz="4" w:space="0"/>
              <w:left w:val="single" w:color="auto" w:sz="4" w:space="0"/>
              <w:bottom w:val="single" w:color="auto" w:sz="4" w:space="0"/>
              <w:right w:val="single" w:color="auto" w:sz="4" w:space="0"/>
            </w:tcBorders>
            <w:noWrap/>
            <w:vAlign w:val="center"/>
          </w:tcPr>
          <w:p w14:paraId="19F8B6EE">
            <w:pPr>
              <w:keepNext w:val="0"/>
              <w:keepLines w:val="0"/>
              <w:suppressLineNumbers w:val="0"/>
              <w:spacing w:before="0" w:beforeAutospacing="0" w:after="0" w:afterAutospacing="0" w:line="360" w:lineRule="auto"/>
              <w:ind w:left="0" w:right="0"/>
              <w:jc w:val="both"/>
              <w:rPr>
                <w:rFonts w:hint="default" w:ascii="宋体" w:hAnsi="宋体" w:eastAsia="宋体" w:cs="宋体"/>
                <w:color w:val="auto"/>
                <w:szCs w:val="22"/>
                <w:highlight w:val="none"/>
                <w:u w:val="single"/>
                <w:lang w:val="en-US" w:eastAsia="zh-CN"/>
              </w:rPr>
            </w:pPr>
            <w:r>
              <w:rPr>
                <w:rFonts w:hint="eastAsia" w:ascii="宋体" w:hAnsi="宋体" w:cs="宋体"/>
                <w:color w:val="auto"/>
                <w:szCs w:val="22"/>
                <w:highlight w:val="none"/>
              </w:rPr>
              <w:t>报价合计（包含税费等所有费用）：（大写）人民币</w:t>
            </w:r>
            <w:r>
              <w:rPr>
                <w:rFonts w:hint="eastAsia" w:ascii="宋体" w:hAnsi="宋体" w:cs="宋体"/>
                <w:color w:val="auto"/>
                <w:szCs w:val="22"/>
                <w:highlight w:val="none"/>
                <w:u w:val="single"/>
                <w:lang w:val="en-US" w:eastAsia="zh-CN"/>
              </w:rPr>
              <w:t xml:space="preserve">                 </w:t>
            </w:r>
            <w:r>
              <w:rPr>
                <w:rFonts w:hint="eastAsia" w:ascii="宋体" w:hAnsi="宋体" w:cs="宋体"/>
                <w:color w:val="auto"/>
                <w:szCs w:val="22"/>
                <w:highlight w:val="none"/>
              </w:rPr>
              <w:t xml:space="preserve"> （小写）¥ </w:t>
            </w:r>
            <w:r>
              <w:rPr>
                <w:rFonts w:hint="eastAsia" w:ascii="宋体" w:hAnsi="宋体" w:cs="宋体"/>
                <w:color w:val="auto"/>
                <w:szCs w:val="22"/>
                <w:highlight w:val="none"/>
                <w:u w:val="single"/>
                <w:lang w:val="en-US" w:eastAsia="zh-CN"/>
              </w:rPr>
              <w:t xml:space="preserve">              </w:t>
            </w:r>
            <w:r>
              <w:rPr>
                <w:rFonts w:hint="eastAsia" w:ascii="宋体" w:hAnsi="宋体" w:cs="宋体"/>
                <w:color w:val="auto"/>
                <w:szCs w:val="22"/>
                <w:highlight w:val="none"/>
                <w:u w:val="none"/>
                <w:lang w:val="en-US" w:eastAsia="zh-CN"/>
              </w:rPr>
              <w:t>；</w:t>
            </w:r>
          </w:p>
          <w:p w14:paraId="0163043C">
            <w:pPr>
              <w:keepNext w:val="0"/>
              <w:keepLines w:val="0"/>
              <w:suppressLineNumbers w:val="0"/>
              <w:spacing w:before="0" w:beforeAutospacing="0" w:after="0" w:afterAutospacing="0" w:line="360" w:lineRule="auto"/>
              <w:ind w:left="0" w:right="0"/>
              <w:jc w:val="both"/>
              <w:rPr>
                <w:rFonts w:hint="eastAsia" w:ascii="宋体" w:hAnsi="宋体" w:eastAsia="宋体" w:cs="宋体"/>
                <w:color w:val="auto"/>
                <w:szCs w:val="22"/>
                <w:highlight w:val="none"/>
                <w:lang w:eastAsia="zh-CN"/>
              </w:rPr>
            </w:pPr>
            <w:r>
              <w:rPr>
                <w:rFonts w:hint="eastAsia" w:ascii="宋体" w:hAnsi="宋体" w:cs="宋体"/>
                <w:color w:val="auto"/>
                <w:szCs w:val="21"/>
                <w:highlight w:val="none"/>
                <w:u w:val="single"/>
              </w:rPr>
              <w:t xml:space="preserve">投标货物中，属于优先采购节能产品总值为¥       （具体明细详见附表，附表格式自拟），占本投标报价的比例为    %。属于优先采购环境标志产品总值为¥       （具体明细详见附表，附表格式自拟），占本投标报价的比例为 </w:t>
            </w:r>
            <w:r>
              <w:rPr>
                <w:rFonts w:hint="eastAsia" w:ascii="宋体" w:hAnsi="宋体" w:cs="宋体"/>
                <w:color w:val="auto"/>
                <w:szCs w:val="21"/>
                <w:highlight w:val="none"/>
                <w:u w:val="single"/>
                <w:lang w:val="en-US" w:eastAsia="zh-CN"/>
              </w:rPr>
              <w:t xml:space="preserve">     %。属于本国产品</w:t>
            </w:r>
            <w:r>
              <w:rPr>
                <w:rFonts w:hint="eastAsia" w:ascii="宋体" w:hAnsi="宋体" w:cs="宋体"/>
                <w:color w:val="auto"/>
                <w:szCs w:val="21"/>
                <w:highlight w:val="none"/>
                <w:u w:val="single"/>
              </w:rPr>
              <w:t>总值为¥       （具体明细详见附表，附表格式自拟）</w:t>
            </w:r>
            <w:r>
              <w:rPr>
                <w:rFonts w:hint="eastAsia" w:ascii="宋体" w:hAnsi="宋体" w:cs="宋体"/>
                <w:color w:val="auto"/>
                <w:szCs w:val="21"/>
                <w:highlight w:val="none"/>
                <w:u w:val="single"/>
                <w:lang w:eastAsia="zh-CN"/>
              </w:rPr>
              <w:t>。</w:t>
            </w:r>
          </w:p>
        </w:tc>
      </w:tr>
      <w:tr w14:paraId="74D87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3" w:hRule="atLeast"/>
        </w:trPr>
        <w:tc>
          <w:tcPr>
            <w:tcW w:w="8909" w:type="dxa"/>
            <w:gridSpan w:val="9"/>
            <w:tcBorders>
              <w:top w:val="single" w:color="auto" w:sz="4" w:space="0"/>
              <w:left w:val="single" w:color="auto" w:sz="4" w:space="0"/>
              <w:bottom w:val="single" w:color="auto" w:sz="4" w:space="0"/>
              <w:right w:val="single" w:color="auto" w:sz="4" w:space="0"/>
            </w:tcBorders>
            <w:noWrap/>
            <w:vAlign w:val="center"/>
          </w:tcPr>
          <w:p w14:paraId="4082BB4C">
            <w:pPr>
              <w:keepNext w:val="0"/>
              <w:keepLines w:val="0"/>
              <w:suppressLineNumbers w:val="0"/>
              <w:spacing w:before="0" w:beforeAutospacing="0" w:after="0" w:afterAutospacing="0"/>
              <w:ind w:left="0" w:right="0"/>
              <w:rPr>
                <w:rFonts w:hint="default" w:ascii="宋体" w:hAnsi="宋体" w:eastAsia="宋体" w:cs="宋体"/>
                <w:color w:val="auto"/>
                <w:szCs w:val="22"/>
                <w:highlight w:val="none"/>
                <w:u w:val="single"/>
                <w:lang w:val="en-US" w:eastAsia="zh-CN"/>
              </w:rPr>
            </w:pPr>
            <w:r>
              <w:rPr>
                <w:rFonts w:hint="eastAsia" w:ascii="宋体" w:hAnsi="宋体" w:cs="宋体"/>
                <w:color w:val="auto"/>
                <w:szCs w:val="22"/>
                <w:highlight w:val="none"/>
              </w:rPr>
              <w:t>交货时间：</w:t>
            </w:r>
            <w:r>
              <w:rPr>
                <w:rFonts w:hint="eastAsia" w:ascii="宋体" w:hAnsi="宋体" w:cs="宋体"/>
                <w:color w:val="auto"/>
                <w:szCs w:val="22"/>
                <w:highlight w:val="none"/>
                <w:u w:val="single"/>
                <w:lang w:val="en-US" w:eastAsia="zh-CN"/>
              </w:rPr>
              <w:t xml:space="preserve">                          </w:t>
            </w:r>
          </w:p>
        </w:tc>
      </w:tr>
    </w:tbl>
    <w:p w14:paraId="643FDB83">
      <w:pPr>
        <w:snapToGrid w:val="0"/>
        <w:spacing w:before="50" w:after="50" w:line="360" w:lineRule="auto"/>
        <w:ind w:firstLine="420" w:firstLineChars="200"/>
        <w:jc w:val="left"/>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 xml:space="preserve">注： </w:t>
      </w:r>
    </w:p>
    <w:p w14:paraId="7F0CA81D">
      <w:pPr>
        <w:snapToGrid w:val="0"/>
        <w:spacing w:before="50" w:after="50" w:line="360" w:lineRule="auto"/>
        <w:ind w:firstLine="420" w:firstLineChars="200"/>
        <w:jc w:val="left"/>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1、 投标人需按本表格式填写，不得自行更改，也不得留空（备注除外），如有多分标，按分标分别提供开标一览表，必须加盖投标人有效公章，</w:t>
      </w:r>
      <w:r>
        <w:rPr>
          <w:rFonts w:hint="eastAsia" w:ascii="宋体" w:hAnsi="宋体" w:cs="宋体"/>
          <w:b/>
          <w:color w:val="auto"/>
          <w:kern w:val="0"/>
          <w:szCs w:val="21"/>
          <w:highlight w:val="none"/>
          <w:lang w:val="zh-CN"/>
        </w:rPr>
        <w:t>否则其投标作无效标处理。</w:t>
      </w:r>
    </w:p>
    <w:p w14:paraId="0B359525">
      <w:pPr>
        <w:snapToGrid w:val="0"/>
        <w:spacing w:before="50" w:after="50" w:line="360" w:lineRule="auto"/>
        <w:ind w:firstLine="420" w:firstLineChars="200"/>
        <w:jc w:val="left"/>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2、本表内容均不能涂改，</w:t>
      </w:r>
      <w:r>
        <w:rPr>
          <w:rFonts w:hint="eastAsia" w:ascii="宋体" w:hAnsi="宋体" w:cs="宋体"/>
          <w:b/>
          <w:color w:val="auto"/>
          <w:kern w:val="0"/>
          <w:szCs w:val="21"/>
          <w:highlight w:val="none"/>
          <w:lang w:val="zh-CN"/>
        </w:rPr>
        <w:t>否则其投标作无效标处理。</w:t>
      </w:r>
    </w:p>
    <w:p w14:paraId="75F9E7DF">
      <w:pPr>
        <w:snapToGrid w:val="0"/>
        <w:spacing w:before="50" w:after="50" w:line="360" w:lineRule="auto"/>
        <w:ind w:firstLine="420" w:firstLineChars="200"/>
        <w:jc w:val="left"/>
        <w:rPr>
          <w:rFonts w:ascii="宋体" w:hAnsi="宋体" w:cs="宋体"/>
          <w:b/>
          <w:color w:val="auto"/>
          <w:kern w:val="0"/>
          <w:szCs w:val="21"/>
          <w:highlight w:val="none"/>
          <w:lang w:val="zh-CN"/>
        </w:rPr>
      </w:pPr>
      <w:r>
        <w:rPr>
          <w:rFonts w:hint="eastAsia" w:ascii="宋体" w:hAnsi="宋体" w:cs="宋体"/>
          <w:color w:val="auto"/>
          <w:kern w:val="0"/>
          <w:szCs w:val="21"/>
          <w:highlight w:val="none"/>
          <w:lang w:val="zh-CN"/>
        </w:rPr>
        <w:t>3、如为联合体投标，“投标人名称”处必须列明联合体各方名称，并标注联合体牵头人名称，且盖章处须加盖联合体各方公章，</w:t>
      </w:r>
      <w:r>
        <w:rPr>
          <w:rFonts w:hint="eastAsia" w:ascii="宋体" w:hAnsi="宋体" w:cs="宋体"/>
          <w:b/>
          <w:color w:val="auto"/>
          <w:kern w:val="0"/>
          <w:szCs w:val="21"/>
          <w:highlight w:val="none"/>
          <w:lang w:val="zh-CN"/>
        </w:rPr>
        <w:t>否则其投标作无效标处理。</w:t>
      </w:r>
    </w:p>
    <w:p w14:paraId="51418C6B">
      <w:pPr>
        <w:snapToGrid w:val="0"/>
        <w:spacing w:line="360" w:lineRule="auto"/>
        <w:ind w:firstLine="420" w:firstLineChars="200"/>
        <w:jc w:val="left"/>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4、以上表格要求细分项目及报价，在“标的名称”一栏中，填写具体货物，在“规格型号”一栏中，填写具体货物规格和型号，如为定制产品写“定制”，</w:t>
      </w:r>
      <w:r>
        <w:rPr>
          <w:rFonts w:hint="eastAsia" w:ascii="宋体" w:hAnsi="宋体" w:cs="宋体"/>
          <w:b/>
          <w:color w:val="auto"/>
          <w:kern w:val="0"/>
          <w:szCs w:val="21"/>
          <w:highlight w:val="none"/>
          <w:lang w:val="zh-CN"/>
        </w:rPr>
        <w:t>否则其投标作无效标处理。</w:t>
      </w:r>
    </w:p>
    <w:p w14:paraId="2C4B0D2E">
      <w:pPr>
        <w:snapToGrid w:val="0"/>
        <w:spacing w:line="360" w:lineRule="auto"/>
        <w:ind w:firstLine="420" w:firstLineChars="200"/>
        <w:jc w:val="left"/>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5、特别提示：采购代理机构将对项目名称和项目编号，中标人名称、地址和中标金额，主要中标标的的名称、规格型号、数量、单价等予以公示。</w:t>
      </w:r>
    </w:p>
    <w:p w14:paraId="5A43339B">
      <w:pPr>
        <w:snapToGrid w:val="0"/>
        <w:spacing w:line="360" w:lineRule="auto"/>
        <w:ind w:firstLine="420" w:firstLineChars="200"/>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6、符合招标文件中列明的可享受中小企业扶持政策的投标人，请填写中小企业声明函。注：投标人提供的中小企业声明函内容不实的，属于提供虚假材料谋取中标、成交，依照《中华人民共和国政府采购法》等国家有关规定追究相应责任。</w:t>
      </w:r>
    </w:p>
    <w:p w14:paraId="26EEB92B">
      <w:pPr>
        <w:snapToGrid w:val="0"/>
        <w:spacing w:line="360" w:lineRule="auto"/>
        <w:ind w:firstLine="420" w:firstLineChars="200"/>
        <w:jc w:val="left"/>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7、</w:t>
      </w:r>
      <w:r>
        <w:rPr>
          <w:rFonts w:hint="eastAsia" w:ascii="宋体" w:hAnsi="宋体" w:cs="宋体"/>
          <w:color w:val="auto"/>
          <w:kern w:val="0"/>
          <w:szCs w:val="21"/>
          <w:highlight w:val="none"/>
          <w:lang w:val="zh-CN"/>
        </w:rPr>
        <w:t>符合招标文件中列明的可享受本国产品政策的投标人，请填写《关于符合本国产品标准的声明函》或财政部会同有关部门规定的有关证明文件。注：投标人提供的声明函或证明文件内容不实的，属于提供虚假材料谋取中标、成交，依照《中华人民共和国政府采购法》等国家有关规定追究相应责任。</w:t>
      </w:r>
    </w:p>
    <w:p w14:paraId="471D24E4">
      <w:pPr>
        <w:snapToGrid w:val="0"/>
        <w:spacing w:line="360" w:lineRule="auto"/>
        <w:ind w:firstLine="420" w:firstLineChars="200"/>
        <w:jc w:val="left"/>
        <w:rPr>
          <w:rFonts w:ascii="宋体" w:hAnsi="宋体" w:cs="宋体"/>
          <w:color w:val="auto"/>
          <w:kern w:val="0"/>
          <w:szCs w:val="21"/>
          <w:highlight w:val="none"/>
          <w:lang w:val="zh-CN"/>
        </w:rPr>
      </w:pPr>
    </w:p>
    <w:p w14:paraId="0D2655B4">
      <w:pPr>
        <w:snapToGrid w:val="0"/>
        <w:spacing w:line="360" w:lineRule="auto"/>
        <w:ind w:firstLine="5760" w:firstLineChars="2400"/>
        <w:rPr>
          <w:rFonts w:ascii="宋体" w:hAnsi="宋体" w:cs="宋体"/>
          <w:color w:val="auto"/>
          <w:kern w:val="0"/>
          <w:sz w:val="24"/>
          <w:highlight w:val="none"/>
        </w:rPr>
      </w:pPr>
      <w:r>
        <w:rPr>
          <w:rFonts w:hint="eastAsia" w:ascii="宋体" w:hAnsi="宋体" w:cs="宋体"/>
          <w:color w:val="auto"/>
          <w:kern w:val="0"/>
          <w:sz w:val="24"/>
          <w:highlight w:val="none"/>
          <w:lang w:val="zh-CN"/>
        </w:rPr>
        <w:t>投标人名称(盖公章)：</w:t>
      </w:r>
    </w:p>
    <w:p w14:paraId="4F2151AD">
      <w:pPr>
        <w:spacing w:line="360" w:lineRule="auto"/>
        <w:ind w:firstLine="360"/>
        <w:jc w:val="right"/>
        <w:rPr>
          <w:rFonts w:hint="eastAsia" w:ascii="宋体" w:hAnsi="宋体" w:cs="宋体"/>
          <w:color w:val="auto"/>
          <w:kern w:val="0"/>
          <w:sz w:val="24"/>
          <w:highlight w:val="none"/>
        </w:rPr>
      </w:pPr>
      <w:r>
        <w:rPr>
          <w:rFonts w:hint="eastAsia" w:ascii="宋体" w:hAnsi="宋体" w:cs="宋体"/>
          <w:color w:val="auto"/>
          <w:kern w:val="0"/>
          <w:sz w:val="24"/>
          <w:highlight w:val="none"/>
          <w:lang w:val="zh-CN"/>
        </w:rPr>
        <w:t>日期</w:t>
      </w:r>
      <w:r>
        <w:rPr>
          <w:rFonts w:hint="eastAsia" w:ascii="宋体" w:hAnsi="宋体" w:cs="宋体"/>
          <w:color w:val="auto"/>
          <w:kern w:val="0"/>
          <w:sz w:val="24"/>
          <w:highlight w:val="none"/>
        </w:rPr>
        <w:t>：  年  月  日</w:t>
      </w:r>
    </w:p>
    <w:p w14:paraId="06B4011B">
      <w:pPr>
        <w:spacing w:line="240" w:lineRule="auto"/>
        <w:ind w:firstLine="0"/>
        <w:jc w:val="left"/>
        <w:rPr>
          <w:rFonts w:hint="eastAsia" w:ascii="宋体" w:hAnsi="宋体" w:cs="宋体"/>
          <w:color w:val="auto"/>
          <w:kern w:val="0"/>
          <w:sz w:val="24"/>
          <w:highlight w:val="none"/>
        </w:rPr>
      </w:pPr>
      <w:r>
        <w:rPr>
          <w:rFonts w:hint="eastAsia" w:ascii="宋体" w:hAnsi="宋体" w:cs="宋体"/>
          <w:color w:val="auto"/>
          <w:kern w:val="0"/>
          <w:sz w:val="24"/>
          <w:highlight w:val="none"/>
        </w:rPr>
        <w:br w:type="page"/>
      </w:r>
    </w:p>
    <w:p w14:paraId="61C1BF5F">
      <w:pPr>
        <w:spacing w:line="360" w:lineRule="auto"/>
        <w:ind w:firstLine="452"/>
        <w:jc w:val="center"/>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rPr>
        <w:t>开标一览表</w:t>
      </w:r>
      <w:r>
        <w:rPr>
          <w:rFonts w:hint="eastAsia" w:ascii="宋体" w:hAnsi="宋体" w:cs="宋体"/>
          <w:b/>
          <w:color w:val="auto"/>
          <w:sz w:val="30"/>
          <w:szCs w:val="30"/>
          <w:highlight w:val="none"/>
          <w:lang w:eastAsia="zh-CN"/>
        </w:rPr>
        <w:t>（</w:t>
      </w:r>
      <w:r>
        <w:rPr>
          <w:rFonts w:hint="eastAsia" w:ascii="宋体" w:hAnsi="宋体" w:cs="宋体"/>
          <w:b/>
          <w:color w:val="auto"/>
          <w:sz w:val="30"/>
          <w:szCs w:val="30"/>
          <w:highlight w:val="none"/>
          <w:lang w:val="en-US" w:eastAsia="zh-CN"/>
        </w:rPr>
        <w:t>分标1、3、4、5、6</w:t>
      </w:r>
      <w:r>
        <w:rPr>
          <w:rFonts w:hint="eastAsia" w:ascii="宋体" w:hAnsi="宋体" w:cs="宋体"/>
          <w:b/>
          <w:color w:val="auto"/>
          <w:sz w:val="30"/>
          <w:szCs w:val="30"/>
          <w:highlight w:val="none"/>
          <w:lang w:eastAsia="zh-CN"/>
        </w:rPr>
        <w:t>）</w:t>
      </w:r>
    </w:p>
    <w:p w14:paraId="09D5EC98">
      <w:pPr>
        <w:snapToGrid w:val="0"/>
        <w:spacing w:before="50" w:after="50" w:line="480" w:lineRule="auto"/>
        <w:rPr>
          <w:rFonts w:ascii="宋体" w:hAnsi="宋体" w:cs="宋体"/>
          <w:color w:val="auto"/>
          <w:szCs w:val="21"/>
          <w:highlight w:val="none"/>
        </w:rPr>
      </w:pPr>
      <w:r>
        <w:rPr>
          <w:rFonts w:hint="eastAsia" w:ascii="宋体" w:hAnsi="宋体" w:cs="宋体"/>
          <w:color w:val="auto"/>
          <w:szCs w:val="21"/>
          <w:highlight w:val="none"/>
        </w:rPr>
        <w:t>项目名称：</w:t>
      </w:r>
      <w:r>
        <w:rPr>
          <w:rFonts w:hint="eastAsia" w:ascii="宋体" w:hAnsi="宋体" w:cs="宋体"/>
          <w:bCs/>
          <w:color w:val="auto"/>
          <w:szCs w:val="21"/>
          <w:highlight w:val="none"/>
          <w:u w:val="single"/>
        </w:rPr>
        <w:t xml:space="preserve">                              </w:t>
      </w:r>
    </w:p>
    <w:p w14:paraId="392E3F5A">
      <w:pPr>
        <w:snapToGrid w:val="0"/>
        <w:spacing w:before="50" w:after="50" w:line="480" w:lineRule="auto"/>
        <w:rPr>
          <w:rFonts w:ascii="宋体" w:hAnsi="宋体" w:cs="宋体"/>
          <w:color w:val="auto"/>
          <w:szCs w:val="21"/>
          <w:highlight w:val="none"/>
          <w:u w:val="single"/>
        </w:rPr>
      </w:pPr>
      <w:r>
        <w:rPr>
          <w:rFonts w:hint="eastAsia" w:ascii="宋体" w:hAnsi="宋体" w:cs="宋体"/>
          <w:color w:val="auto"/>
          <w:szCs w:val="21"/>
          <w:highlight w:val="none"/>
        </w:rPr>
        <w:t>项目编号：</w:t>
      </w:r>
      <w:r>
        <w:rPr>
          <w:rFonts w:hint="eastAsia" w:ascii="宋体" w:hAnsi="宋体" w:cs="宋体"/>
          <w:bCs/>
          <w:color w:val="auto"/>
          <w:szCs w:val="21"/>
          <w:highlight w:val="none"/>
          <w:u w:val="single"/>
        </w:rPr>
        <w:t xml:space="preserve">                              </w:t>
      </w:r>
    </w:p>
    <w:p w14:paraId="3BE43D1D">
      <w:pPr>
        <w:spacing w:line="360" w:lineRule="auto"/>
        <w:rPr>
          <w:rFonts w:ascii="宋体" w:hAnsi="宋体" w:cs="宋体"/>
          <w:b/>
          <w:color w:val="auto"/>
          <w:sz w:val="32"/>
          <w:szCs w:val="20"/>
          <w:highlight w:val="none"/>
        </w:rPr>
      </w:pPr>
      <w:r>
        <w:rPr>
          <w:rFonts w:hint="eastAsia" w:ascii="宋体" w:hAnsi="宋体" w:cs="宋体"/>
          <w:color w:val="auto"/>
          <w:szCs w:val="21"/>
          <w:highlight w:val="none"/>
        </w:rPr>
        <w:t>所投分标（如有则填写，无分标时填写“无”或者留空）：</w:t>
      </w:r>
      <w:r>
        <w:rPr>
          <w:rFonts w:hint="eastAsia" w:ascii="宋体" w:hAnsi="宋体" w:cs="宋体"/>
          <w:color w:val="auto"/>
          <w:szCs w:val="21"/>
          <w:highlight w:val="none"/>
          <w:u w:val="single"/>
        </w:rPr>
        <w:t xml:space="preserve">      </w:t>
      </w:r>
    </w:p>
    <w:tbl>
      <w:tblPr>
        <w:tblStyle w:val="28"/>
        <w:tblW w:w="8909"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2"/>
        <w:gridCol w:w="1298"/>
        <w:gridCol w:w="2079"/>
        <w:gridCol w:w="571"/>
        <w:gridCol w:w="613"/>
        <w:gridCol w:w="1111"/>
        <w:gridCol w:w="1809"/>
        <w:gridCol w:w="946"/>
      </w:tblGrid>
      <w:tr w14:paraId="7257F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23" w:hRule="atLeast"/>
        </w:trPr>
        <w:tc>
          <w:tcPr>
            <w:tcW w:w="482" w:type="dxa"/>
            <w:tcBorders>
              <w:top w:val="single" w:color="auto" w:sz="4" w:space="0"/>
              <w:left w:val="single" w:color="auto" w:sz="4" w:space="0"/>
              <w:bottom w:val="single" w:color="auto" w:sz="4" w:space="0"/>
              <w:right w:val="single" w:color="auto" w:sz="4" w:space="0"/>
            </w:tcBorders>
            <w:noWrap/>
            <w:vAlign w:val="center"/>
          </w:tcPr>
          <w:p w14:paraId="78CE69C8">
            <w:pPr>
              <w:keepNext w:val="0"/>
              <w:keepLines w:val="0"/>
              <w:suppressLineNumbers w:val="0"/>
              <w:spacing w:before="0" w:beforeAutospacing="0" w:after="0" w:afterAutospacing="0"/>
              <w:ind w:left="0" w:right="0"/>
              <w:jc w:val="center"/>
              <w:rPr>
                <w:rFonts w:ascii="宋体" w:hAnsi="宋体" w:cs="宋体"/>
                <w:color w:val="auto"/>
                <w:szCs w:val="22"/>
                <w:highlight w:val="none"/>
              </w:rPr>
            </w:pPr>
            <w:r>
              <w:rPr>
                <w:rFonts w:hint="eastAsia" w:ascii="宋体" w:hAnsi="宋体" w:cs="宋体"/>
                <w:color w:val="auto"/>
                <w:szCs w:val="22"/>
                <w:highlight w:val="none"/>
              </w:rPr>
              <w:t>序号</w:t>
            </w:r>
          </w:p>
        </w:tc>
        <w:tc>
          <w:tcPr>
            <w:tcW w:w="1298" w:type="dxa"/>
            <w:tcBorders>
              <w:top w:val="single" w:color="auto" w:sz="4" w:space="0"/>
              <w:left w:val="single" w:color="auto" w:sz="4" w:space="0"/>
              <w:bottom w:val="single" w:color="auto" w:sz="4" w:space="0"/>
              <w:right w:val="single" w:color="auto" w:sz="4" w:space="0"/>
            </w:tcBorders>
            <w:noWrap/>
            <w:vAlign w:val="center"/>
          </w:tcPr>
          <w:p w14:paraId="6DD98ED2">
            <w:pPr>
              <w:keepNext w:val="0"/>
              <w:keepLines w:val="0"/>
              <w:suppressLineNumbers w:val="0"/>
              <w:spacing w:before="0" w:beforeAutospacing="0" w:after="0" w:afterAutospacing="0"/>
              <w:ind w:left="0" w:right="0"/>
              <w:jc w:val="center"/>
              <w:rPr>
                <w:rFonts w:ascii="宋体" w:hAnsi="宋体" w:cs="宋体"/>
                <w:color w:val="auto"/>
                <w:szCs w:val="22"/>
                <w:highlight w:val="none"/>
              </w:rPr>
            </w:pPr>
            <w:r>
              <w:rPr>
                <w:rFonts w:hint="eastAsia" w:ascii="宋体" w:hAnsi="宋体" w:cs="宋体"/>
                <w:color w:val="auto"/>
                <w:szCs w:val="22"/>
                <w:highlight w:val="none"/>
              </w:rPr>
              <w:t>标的名称</w:t>
            </w:r>
          </w:p>
        </w:tc>
        <w:tc>
          <w:tcPr>
            <w:tcW w:w="2079" w:type="dxa"/>
            <w:tcBorders>
              <w:top w:val="single" w:color="auto" w:sz="4" w:space="0"/>
              <w:left w:val="single" w:color="auto" w:sz="4" w:space="0"/>
              <w:bottom w:val="single" w:color="auto" w:sz="4" w:space="0"/>
              <w:right w:val="single" w:color="auto" w:sz="4" w:space="0"/>
            </w:tcBorders>
            <w:noWrap/>
            <w:vAlign w:val="center"/>
          </w:tcPr>
          <w:p w14:paraId="7FA95450">
            <w:pPr>
              <w:keepNext w:val="0"/>
              <w:keepLines w:val="0"/>
              <w:suppressLineNumbers w:val="0"/>
              <w:spacing w:before="0" w:beforeAutospacing="0" w:after="0" w:afterAutospacing="0"/>
              <w:ind w:left="0" w:right="0"/>
              <w:jc w:val="center"/>
              <w:rPr>
                <w:rFonts w:ascii="宋体" w:hAnsi="宋体" w:cs="宋体"/>
                <w:color w:val="auto"/>
                <w:szCs w:val="22"/>
                <w:highlight w:val="none"/>
              </w:rPr>
            </w:pPr>
            <w:r>
              <w:rPr>
                <w:rFonts w:hint="eastAsia" w:ascii="宋体" w:hAnsi="宋体" w:cs="宋体"/>
                <w:color w:val="auto"/>
                <w:szCs w:val="22"/>
                <w:highlight w:val="none"/>
                <w:lang w:val="en-US" w:eastAsia="zh-CN"/>
              </w:rPr>
              <w:t>技术要求</w:t>
            </w:r>
          </w:p>
        </w:tc>
        <w:tc>
          <w:tcPr>
            <w:tcW w:w="571" w:type="dxa"/>
            <w:tcBorders>
              <w:top w:val="single" w:color="auto" w:sz="4" w:space="0"/>
              <w:left w:val="single" w:color="auto" w:sz="4" w:space="0"/>
              <w:bottom w:val="single" w:color="auto" w:sz="4" w:space="0"/>
              <w:right w:val="single" w:color="auto" w:sz="4" w:space="0"/>
            </w:tcBorders>
            <w:noWrap/>
            <w:vAlign w:val="center"/>
          </w:tcPr>
          <w:p w14:paraId="72B28598">
            <w:pPr>
              <w:keepNext w:val="0"/>
              <w:keepLines w:val="0"/>
              <w:suppressLineNumbers w:val="0"/>
              <w:spacing w:before="0" w:beforeAutospacing="0" w:after="0" w:afterAutospacing="0"/>
              <w:ind w:left="0" w:right="0"/>
              <w:jc w:val="center"/>
              <w:rPr>
                <w:rFonts w:ascii="宋体" w:hAnsi="宋体" w:cs="宋体"/>
                <w:color w:val="auto"/>
                <w:szCs w:val="22"/>
                <w:highlight w:val="none"/>
              </w:rPr>
            </w:pPr>
            <w:r>
              <w:rPr>
                <w:rFonts w:hint="eastAsia" w:ascii="宋体" w:hAnsi="宋体" w:cs="宋体"/>
                <w:color w:val="auto"/>
                <w:szCs w:val="22"/>
                <w:highlight w:val="none"/>
              </w:rPr>
              <w:t>数量①</w:t>
            </w:r>
          </w:p>
        </w:tc>
        <w:tc>
          <w:tcPr>
            <w:tcW w:w="613" w:type="dxa"/>
            <w:tcBorders>
              <w:top w:val="single" w:color="auto" w:sz="4" w:space="0"/>
              <w:left w:val="single" w:color="auto" w:sz="4" w:space="0"/>
              <w:bottom w:val="single" w:color="auto" w:sz="4" w:space="0"/>
              <w:right w:val="single" w:color="auto" w:sz="4" w:space="0"/>
            </w:tcBorders>
            <w:noWrap/>
            <w:vAlign w:val="center"/>
          </w:tcPr>
          <w:p w14:paraId="49EFDFEA">
            <w:pPr>
              <w:keepNext w:val="0"/>
              <w:keepLines w:val="0"/>
              <w:suppressLineNumbers w:val="0"/>
              <w:spacing w:before="0" w:beforeAutospacing="0" w:after="0" w:afterAutospacing="0"/>
              <w:ind w:left="0" w:right="0"/>
              <w:jc w:val="center"/>
              <w:rPr>
                <w:rFonts w:ascii="宋体" w:hAnsi="宋体" w:cs="宋体"/>
                <w:color w:val="auto"/>
                <w:szCs w:val="22"/>
                <w:highlight w:val="none"/>
              </w:rPr>
            </w:pPr>
            <w:r>
              <w:rPr>
                <w:rFonts w:hint="eastAsia" w:ascii="宋体" w:hAnsi="宋体" w:cs="宋体"/>
                <w:color w:val="auto"/>
                <w:szCs w:val="22"/>
                <w:highlight w:val="none"/>
              </w:rPr>
              <w:t>单位</w:t>
            </w:r>
          </w:p>
        </w:tc>
        <w:tc>
          <w:tcPr>
            <w:tcW w:w="1111" w:type="dxa"/>
            <w:tcBorders>
              <w:top w:val="single" w:color="auto" w:sz="4" w:space="0"/>
              <w:left w:val="single" w:color="auto" w:sz="4" w:space="0"/>
              <w:bottom w:val="single" w:color="auto" w:sz="4" w:space="0"/>
              <w:right w:val="single" w:color="auto" w:sz="4" w:space="0"/>
            </w:tcBorders>
            <w:noWrap/>
            <w:vAlign w:val="center"/>
          </w:tcPr>
          <w:p w14:paraId="07F5337D">
            <w:pPr>
              <w:keepNext w:val="0"/>
              <w:keepLines w:val="0"/>
              <w:suppressLineNumbers w:val="0"/>
              <w:spacing w:before="0" w:beforeAutospacing="0" w:after="0" w:afterAutospacing="0"/>
              <w:ind w:left="0" w:right="0"/>
              <w:jc w:val="center"/>
              <w:rPr>
                <w:rFonts w:ascii="宋体" w:hAnsi="宋体" w:cs="宋体"/>
                <w:color w:val="auto"/>
                <w:szCs w:val="22"/>
                <w:highlight w:val="none"/>
              </w:rPr>
            </w:pPr>
            <w:r>
              <w:rPr>
                <w:rFonts w:hint="eastAsia" w:ascii="宋体" w:hAnsi="宋体" w:cs="宋体"/>
                <w:color w:val="auto"/>
                <w:szCs w:val="22"/>
                <w:highlight w:val="none"/>
              </w:rPr>
              <w:t>单价(元)</w:t>
            </w:r>
          </w:p>
          <w:p w14:paraId="7155835E">
            <w:pPr>
              <w:keepNext w:val="0"/>
              <w:keepLines w:val="0"/>
              <w:suppressLineNumbers w:val="0"/>
              <w:spacing w:before="0" w:beforeAutospacing="0" w:after="0" w:afterAutospacing="0"/>
              <w:ind w:left="0" w:right="0"/>
              <w:jc w:val="center"/>
              <w:rPr>
                <w:rFonts w:ascii="宋体" w:hAnsi="宋体" w:cs="宋体"/>
                <w:color w:val="auto"/>
                <w:szCs w:val="22"/>
                <w:highlight w:val="none"/>
              </w:rPr>
            </w:pPr>
            <w:r>
              <w:rPr>
                <w:rFonts w:hint="eastAsia" w:ascii="宋体" w:hAnsi="宋体" w:cs="宋体"/>
                <w:color w:val="auto"/>
                <w:szCs w:val="22"/>
                <w:highlight w:val="none"/>
              </w:rPr>
              <w:t>②</w:t>
            </w:r>
          </w:p>
        </w:tc>
        <w:tc>
          <w:tcPr>
            <w:tcW w:w="1809" w:type="dxa"/>
            <w:tcBorders>
              <w:top w:val="single" w:color="auto" w:sz="4" w:space="0"/>
              <w:left w:val="single" w:color="auto" w:sz="4" w:space="0"/>
              <w:bottom w:val="single" w:color="auto" w:sz="4" w:space="0"/>
              <w:right w:val="single" w:color="auto" w:sz="4" w:space="0"/>
            </w:tcBorders>
            <w:noWrap/>
            <w:vAlign w:val="center"/>
          </w:tcPr>
          <w:p w14:paraId="46EA0747">
            <w:pPr>
              <w:keepNext w:val="0"/>
              <w:keepLines w:val="0"/>
              <w:suppressLineNumbers w:val="0"/>
              <w:spacing w:before="0" w:beforeAutospacing="0" w:after="0" w:afterAutospacing="0"/>
              <w:ind w:left="0" w:right="0"/>
              <w:jc w:val="center"/>
              <w:rPr>
                <w:rFonts w:ascii="宋体" w:hAnsi="宋体" w:cs="宋体"/>
                <w:color w:val="auto"/>
                <w:szCs w:val="22"/>
                <w:highlight w:val="none"/>
              </w:rPr>
            </w:pPr>
            <w:r>
              <w:rPr>
                <w:rFonts w:hint="eastAsia" w:ascii="宋体" w:hAnsi="宋体" w:cs="宋体"/>
                <w:color w:val="auto"/>
                <w:szCs w:val="22"/>
                <w:highlight w:val="none"/>
              </w:rPr>
              <w:t>单项合计（元）</w:t>
            </w:r>
          </w:p>
          <w:p w14:paraId="28E0AEBD">
            <w:pPr>
              <w:keepNext w:val="0"/>
              <w:keepLines w:val="0"/>
              <w:suppressLineNumbers w:val="0"/>
              <w:spacing w:before="0" w:beforeAutospacing="0" w:after="0" w:afterAutospacing="0"/>
              <w:ind w:left="0" w:right="0"/>
              <w:jc w:val="center"/>
              <w:rPr>
                <w:rFonts w:ascii="宋体" w:hAnsi="宋体" w:cs="宋体"/>
                <w:color w:val="auto"/>
                <w:szCs w:val="22"/>
                <w:highlight w:val="none"/>
              </w:rPr>
            </w:pPr>
            <w:r>
              <w:rPr>
                <w:rFonts w:hint="eastAsia" w:ascii="宋体" w:hAnsi="宋体" w:cs="宋体"/>
                <w:color w:val="auto"/>
                <w:szCs w:val="22"/>
                <w:highlight w:val="none"/>
              </w:rPr>
              <w:t>③＝①×②</w:t>
            </w:r>
          </w:p>
        </w:tc>
        <w:tc>
          <w:tcPr>
            <w:tcW w:w="946" w:type="dxa"/>
            <w:tcBorders>
              <w:top w:val="single" w:color="auto" w:sz="4" w:space="0"/>
              <w:left w:val="single" w:color="auto" w:sz="4" w:space="0"/>
              <w:bottom w:val="single" w:color="auto" w:sz="4" w:space="0"/>
              <w:right w:val="single" w:color="auto" w:sz="4" w:space="0"/>
            </w:tcBorders>
            <w:noWrap/>
            <w:vAlign w:val="center"/>
          </w:tcPr>
          <w:p w14:paraId="30A06BEA">
            <w:pPr>
              <w:keepNext w:val="0"/>
              <w:keepLines w:val="0"/>
              <w:suppressLineNumbers w:val="0"/>
              <w:spacing w:before="0" w:beforeAutospacing="0" w:after="0" w:afterAutospacing="0"/>
              <w:ind w:left="0" w:right="0"/>
              <w:jc w:val="center"/>
              <w:rPr>
                <w:rFonts w:hint="eastAsia" w:eastAsia="宋体"/>
                <w:color w:val="auto"/>
                <w:highlight w:val="none"/>
                <w:lang w:eastAsia="zh-CN"/>
              </w:rPr>
            </w:pPr>
            <w:r>
              <w:rPr>
                <w:rFonts w:hint="eastAsia"/>
                <w:color w:val="auto"/>
                <w:highlight w:val="none"/>
              </w:rPr>
              <w:t>备注</w:t>
            </w:r>
          </w:p>
        </w:tc>
      </w:tr>
      <w:tr w14:paraId="4E2E3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trPr>
        <w:tc>
          <w:tcPr>
            <w:tcW w:w="482" w:type="dxa"/>
            <w:tcBorders>
              <w:top w:val="single" w:color="auto" w:sz="4" w:space="0"/>
              <w:left w:val="single" w:color="auto" w:sz="4" w:space="0"/>
              <w:bottom w:val="single" w:color="auto" w:sz="4" w:space="0"/>
              <w:right w:val="single" w:color="auto" w:sz="4" w:space="0"/>
            </w:tcBorders>
            <w:noWrap/>
            <w:vAlign w:val="center"/>
          </w:tcPr>
          <w:p w14:paraId="7227ED8B">
            <w:pPr>
              <w:keepNext w:val="0"/>
              <w:keepLines w:val="0"/>
              <w:suppressLineNumbers w:val="0"/>
              <w:spacing w:before="0" w:beforeAutospacing="0" w:after="0" w:afterAutospacing="0"/>
              <w:ind w:left="0" w:right="0"/>
              <w:jc w:val="center"/>
              <w:rPr>
                <w:rFonts w:ascii="宋体" w:hAnsi="宋体" w:cs="宋体"/>
                <w:color w:val="auto"/>
                <w:szCs w:val="22"/>
                <w:highlight w:val="none"/>
              </w:rPr>
            </w:pPr>
            <w:r>
              <w:rPr>
                <w:rFonts w:hint="eastAsia" w:ascii="宋体" w:hAnsi="宋体" w:cs="宋体"/>
                <w:color w:val="auto"/>
                <w:szCs w:val="22"/>
                <w:highlight w:val="none"/>
              </w:rPr>
              <w:t>1</w:t>
            </w:r>
          </w:p>
        </w:tc>
        <w:tc>
          <w:tcPr>
            <w:tcW w:w="1298" w:type="dxa"/>
            <w:tcBorders>
              <w:top w:val="single" w:color="auto" w:sz="4" w:space="0"/>
              <w:left w:val="single" w:color="auto" w:sz="4" w:space="0"/>
              <w:bottom w:val="single" w:color="auto" w:sz="4" w:space="0"/>
              <w:right w:val="single" w:color="auto" w:sz="4" w:space="0"/>
            </w:tcBorders>
            <w:noWrap/>
            <w:vAlign w:val="center"/>
          </w:tcPr>
          <w:p w14:paraId="2BA2A0E8">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2079" w:type="dxa"/>
            <w:tcBorders>
              <w:top w:val="single" w:color="auto" w:sz="4" w:space="0"/>
              <w:left w:val="single" w:color="auto" w:sz="4" w:space="0"/>
              <w:bottom w:val="single" w:color="auto" w:sz="4" w:space="0"/>
              <w:right w:val="single" w:color="auto" w:sz="4" w:space="0"/>
            </w:tcBorders>
            <w:noWrap/>
            <w:vAlign w:val="center"/>
          </w:tcPr>
          <w:p w14:paraId="1097E765">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571" w:type="dxa"/>
            <w:tcBorders>
              <w:top w:val="single" w:color="auto" w:sz="4" w:space="0"/>
              <w:left w:val="single" w:color="auto" w:sz="4" w:space="0"/>
              <w:bottom w:val="single" w:color="auto" w:sz="4" w:space="0"/>
              <w:right w:val="single" w:color="auto" w:sz="4" w:space="0"/>
            </w:tcBorders>
            <w:noWrap/>
            <w:vAlign w:val="center"/>
          </w:tcPr>
          <w:p w14:paraId="0678FBAE">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613" w:type="dxa"/>
            <w:tcBorders>
              <w:top w:val="single" w:color="auto" w:sz="4" w:space="0"/>
              <w:left w:val="single" w:color="auto" w:sz="4" w:space="0"/>
              <w:bottom w:val="single" w:color="auto" w:sz="4" w:space="0"/>
              <w:right w:val="single" w:color="auto" w:sz="4" w:space="0"/>
            </w:tcBorders>
            <w:noWrap/>
            <w:vAlign w:val="center"/>
          </w:tcPr>
          <w:p w14:paraId="59641DC0">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1111" w:type="dxa"/>
            <w:tcBorders>
              <w:top w:val="single" w:color="auto" w:sz="4" w:space="0"/>
              <w:left w:val="single" w:color="auto" w:sz="4" w:space="0"/>
              <w:bottom w:val="single" w:color="auto" w:sz="4" w:space="0"/>
              <w:right w:val="single" w:color="auto" w:sz="4" w:space="0"/>
            </w:tcBorders>
            <w:noWrap/>
            <w:vAlign w:val="center"/>
          </w:tcPr>
          <w:p w14:paraId="02F39686">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1809" w:type="dxa"/>
            <w:tcBorders>
              <w:top w:val="single" w:color="auto" w:sz="4" w:space="0"/>
              <w:left w:val="single" w:color="auto" w:sz="4" w:space="0"/>
              <w:bottom w:val="single" w:color="auto" w:sz="4" w:space="0"/>
              <w:right w:val="single" w:color="auto" w:sz="4" w:space="0"/>
            </w:tcBorders>
            <w:noWrap/>
            <w:vAlign w:val="center"/>
          </w:tcPr>
          <w:p w14:paraId="48711872">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946" w:type="dxa"/>
            <w:tcBorders>
              <w:top w:val="single" w:color="auto" w:sz="4" w:space="0"/>
              <w:left w:val="single" w:color="auto" w:sz="4" w:space="0"/>
              <w:bottom w:val="single" w:color="auto" w:sz="4" w:space="0"/>
              <w:right w:val="single" w:color="auto" w:sz="4" w:space="0"/>
            </w:tcBorders>
            <w:noWrap/>
          </w:tcPr>
          <w:p w14:paraId="06C7525F">
            <w:pPr>
              <w:keepNext w:val="0"/>
              <w:keepLines w:val="0"/>
              <w:suppressLineNumbers w:val="0"/>
              <w:spacing w:before="0" w:beforeAutospacing="0" w:after="0" w:afterAutospacing="0"/>
              <w:ind w:left="0" w:right="0"/>
              <w:rPr>
                <w:rFonts w:ascii="宋体" w:hAnsi="宋体" w:cs="宋体"/>
                <w:color w:val="auto"/>
                <w:szCs w:val="22"/>
                <w:highlight w:val="none"/>
              </w:rPr>
            </w:pPr>
          </w:p>
        </w:tc>
      </w:tr>
      <w:tr w14:paraId="5B5CF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trPr>
        <w:tc>
          <w:tcPr>
            <w:tcW w:w="482" w:type="dxa"/>
            <w:tcBorders>
              <w:top w:val="single" w:color="auto" w:sz="4" w:space="0"/>
              <w:left w:val="single" w:color="auto" w:sz="4" w:space="0"/>
              <w:bottom w:val="single" w:color="auto" w:sz="4" w:space="0"/>
              <w:right w:val="single" w:color="auto" w:sz="4" w:space="0"/>
            </w:tcBorders>
            <w:noWrap/>
            <w:vAlign w:val="center"/>
          </w:tcPr>
          <w:p w14:paraId="39374014">
            <w:pPr>
              <w:keepNext w:val="0"/>
              <w:keepLines w:val="0"/>
              <w:suppressLineNumbers w:val="0"/>
              <w:spacing w:before="0" w:beforeAutospacing="0" w:after="0" w:afterAutospacing="0"/>
              <w:ind w:left="0" w:right="0"/>
              <w:jc w:val="center"/>
              <w:rPr>
                <w:rFonts w:ascii="宋体" w:hAnsi="宋体" w:cs="宋体"/>
                <w:color w:val="auto"/>
                <w:szCs w:val="22"/>
                <w:highlight w:val="none"/>
              </w:rPr>
            </w:pPr>
            <w:r>
              <w:rPr>
                <w:rFonts w:hint="eastAsia" w:ascii="宋体" w:hAnsi="宋体" w:cs="宋体"/>
                <w:color w:val="auto"/>
                <w:szCs w:val="22"/>
                <w:highlight w:val="none"/>
              </w:rPr>
              <w:t>2</w:t>
            </w:r>
          </w:p>
        </w:tc>
        <w:tc>
          <w:tcPr>
            <w:tcW w:w="1298" w:type="dxa"/>
            <w:tcBorders>
              <w:top w:val="single" w:color="auto" w:sz="4" w:space="0"/>
              <w:left w:val="single" w:color="auto" w:sz="4" w:space="0"/>
              <w:bottom w:val="single" w:color="auto" w:sz="4" w:space="0"/>
              <w:right w:val="single" w:color="auto" w:sz="4" w:space="0"/>
            </w:tcBorders>
            <w:noWrap/>
            <w:vAlign w:val="center"/>
          </w:tcPr>
          <w:p w14:paraId="08C44513">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2079" w:type="dxa"/>
            <w:tcBorders>
              <w:top w:val="single" w:color="auto" w:sz="4" w:space="0"/>
              <w:left w:val="single" w:color="auto" w:sz="4" w:space="0"/>
              <w:bottom w:val="single" w:color="auto" w:sz="4" w:space="0"/>
              <w:right w:val="single" w:color="auto" w:sz="4" w:space="0"/>
            </w:tcBorders>
            <w:noWrap/>
            <w:vAlign w:val="center"/>
          </w:tcPr>
          <w:p w14:paraId="76A45C89">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571" w:type="dxa"/>
            <w:tcBorders>
              <w:top w:val="single" w:color="auto" w:sz="4" w:space="0"/>
              <w:left w:val="single" w:color="auto" w:sz="4" w:space="0"/>
              <w:bottom w:val="single" w:color="auto" w:sz="4" w:space="0"/>
              <w:right w:val="single" w:color="auto" w:sz="4" w:space="0"/>
            </w:tcBorders>
            <w:noWrap/>
            <w:vAlign w:val="center"/>
          </w:tcPr>
          <w:p w14:paraId="699B5BF8">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613" w:type="dxa"/>
            <w:tcBorders>
              <w:top w:val="single" w:color="auto" w:sz="4" w:space="0"/>
              <w:left w:val="single" w:color="auto" w:sz="4" w:space="0"/>
              <w:bottom w:val="single" w:color="auto" w:sz="4" w:space="0"/>
              <w:right w:val="single" w:color="auto" w:sz="4" w:space="0"/>
            </w:tcBorders>
            <w:noWrap/>
            <w:vAlign w:val="center"/>
          </w:tcPr>
          <w:p w14:paraId="7242CDC9">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1111" w:type="dxa"/>
            <w:tcBorders>
              <w:top w:val="single" w:color="auto" w:sz="4" w:space="0"/>
              <w:left w:val="single" w:color="auto" w:sz="4" w:space="0"/>
              <w:bottom w:val="single" w:color="auto" w:sz="4" w:space="0"/>
              <w:right w:val="single" w:color="auto" w:sz="4" w:space="0"/>
            </w:tcBorders>
            <w:noWrap/>
            <w:vAlign w:val="center"/>
          </w:tcPr>
          <w:p w14:paraId="18469DD2">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1809" w:type="dxa"/>
            <w:tcBorders>
              <w:top w:val="single" w:color="auto" w:sz="4" w:space="0"/>
              <w:left w:val="single" w:color="auto" w:sz="4" w:space="0"/>
              <w:bottom w:val="single" w:color="auto" w:sz="4" w:space="0"/>
              <w:right w:val="single" w:color="auto" w:sz="4" w:space="0"/>
            </w:tcBorders>
            <w:noWrap/>
            <w:vAlign w:val="center"/>
          </w:tcPr>
          <w:p w14:paraId="5D76E405">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946" w:type="dxa"/>
            <w:tcBorders>
              <w:top w:val="single" w:color="auto" w:sz="4" w:space="0"/>
              <w:left w:val="single" w:color="auto" w:sz="4" w:space="0"/>
              <w:bottom w:val="single" w:color="auto" w:sz="4" w:space="0"/>
              <w:right w:val="single" w:color="auto" w:sz="4" w:space="0"/>
            </w:tcBorders>
            <w:noWrap/>
          </w:tcPr>
          <w:p w14:paraId="1AC21AED">
            <w:pPr>
              <w:keepNext w:val="0"/>
              <w:keepLines w:val="0"/>
              <w:suppressLineNumbers w:val="0"/>
              <w:spacing w:before="0" w:beforeAutospacing="0" w:after="0" w:afterAutospacing="0"/>
              <w:ind w:left="0" w:right="0"/>
              <w:rPr>
                <w:rFonts w:ascii="宋体" w:hAnsi="宋体" w:cs="宋体"/>
                <w:color w:val="auto"/>
                <w:szCs w:val="22"/>
                <w:highlight w:val="none"/>
              </w:rPr>
            </w:pPr>
          </w:p>
        </w:tc>
      </w:tr>
      <w:tr w14:paraId="2EEE9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trPr>
        <w:tc>
          <w:tcPr>
            <w:tcW w:w="482" w:type="dxa"/>
            <w:tcBorders>
              <w:top w:val="single" w:color="auto" w:sz="4" w:space="0"/>
              <w:left w:val="single" w:color="auto" w:sz="4" w:space="0"/>
              <w:bottom w:val="single" w:color="auto" w:sz="4" w:space="0"/>
              <w:right w:val="single" w:color="auto" w:sz="4" w:space="0"/>
            </w:tcBorders>
            <w:noWrap/>
            <w:vAlign w:val="center"/>
          </w:tcPr>
          <w:p w14:paraId="39A84B31">
            <w:pPr>
              <w:keepNext w:val="0"/>
              <w:keepLines w:val="0"/>
              <w:suppressLineNumbers w:val="0"/>
              <w:spacing w:before="0" w:beforeAutospacing="0" w:after="0" w:afterAutospacing="0"/>
              <w:ind w:left="0" w:right="0"/>
              <w:jc w:val="center"/>
              <w:rPr>
                <w:rFonts w:hint="eastAsia" w:ascii="宋体" w:hAnsi="宋体" w:eastAsia="宋体" w:cs="宋体"/>
                <w:color w:val="auto"/>
                <w:szCs w:val="22"/>
                <w:highlight w:val="none"/>
                <w:lang w:val="en-US" w:eastAsia="zh-CN"/>
              </w:rPr>
            </w:pPr>
            <w:r>
              <w:rPr>
                <w:rFonts w:hint="eastAsia" w:ascii="宋体" w:hAnsi="宋体" w:cs="宋体"/>
                <w:color w:val="auto"/>
                <w:szCs w:val="22"/>
                <w:highlight w:val="none"/>
                <w:lang w:val="en-US" w:eastAsia="zh-CN"/>
              </w:rPr>
              <w:t>3</w:t>
            </w:r>
          </w:p>
        </w:tc>
        <w:tc>
          <w:tcPr>
            <w:tcW w:w="1298" w:type="dxa"/>
            <w:tcBorders>
              <w:top w:val="single" w:color="auto" w:sz="4" w:space="0"/>
              <w:left w:val="single" w:color="auto" w:sz="4" w:space="0"/>
              <w:bottom w:val="single" w:color="auto" w:sz="4" w:space="0"/>
              <w:right w:val="single" w:color="auto" w:sz="4" w:space="0"/>
            </w:tcBorders>
            <w:noWrap/>
            <w:vAlign w:val="center"/>
          </w:tcPr>
          <w:p w14:paraId="353F3F56">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2079" w:type="dxa"/>
            <w:tcBorders>
              <w:top w:val="single" w:color="auto" w:sz="4" w:space="0"/>
              <w:left w:val="single" w:color="auto" w:sz="4" w:space="0"/>
              <w:bottom w:val="single" w:color="auto" w:sz="4" w:space="0"/>
              <w:right w:val="single" w:color="auto" w:sz="4" w:space="0"/>
            </w:tcBorders>
            <w:noWrap/>
            <w:vAlign w:val="center"/>
          </w:tcPr>
          <w:p w14:paraId="08685221">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571" w:type="dxa"/>
            <w:tcBorders>
              <w:top w:val="single" w:color="auto" w:sz="4" w:space="0"/>
              <w:left w:val="single" w:color="auto" w:sz="4" w:space="0"/>
              <w:bottom w:val="single" w:color="auto" w:sz="4" w:space="0"/>
              <w:right w:val="single" w:color="auto" w:sz="4" w:space="0"/>
            </w:tcBorders>
            <w:noWrap/>
            <w:vAlign w:val="center"/>
          </w:tcPr>
          <w:p w14:paraId="2CED6176">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613" w:type="dxa"/>
            <w:tcBorders>
              <w:top w:val="single" w:color="auto" w:sz="4" w:space="0"/>
              <w:left w:val="single" w:color="auto" w:sz="4" w:space="0"/>
              <w:bottom w:val="single" w:color="auto" w:sz="4" w:space="0"/>
              <w:right w:val="single" w:color="auto" w:sz="4" w:space="0"/>
            </w:tcBorders>
            <w:noWrap/>
            <w:vAlign w:val="center"/>
          </w:tcPr>
          <w:p w14:paraId="30367631">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1111" w:type="dxa"/>
            <w:tcBorders>
              <w:top w:val="single" w:color="auto" w:sz="4" w:space="0"/>
              <w:left w:val="single" w:color="auto" w:sz="4" w:space="0"/>
              <w:bottom w:val="single" w:color="auto" w:sz="4" w:space="0"/>
              <w:right w:val="single" w:color="auto" w:sz="4" w:space="0"/>
            </w:tcBorders>
            <w:noWrap/>
            <w:vAlign w:val="center"/>
          </w:tcPr>
          <w:p w14:paraId="63CE56F2">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1809" w:type="dxa"/>
            <w:tcBorders>
              <w:top w:val="single" w:color="auto" w:sz="4" w:space="0"/>
              <w:left w:val="single" w:color="auto" w:sz="4" w:space="0"/>
              <w:bottom w:val="single" w:color="auto" w:sz="4" w:space="0"/>
              <w:right w:val="single" w:color="auto" w:sz="4" w:space="0"/>
            </w:tcBorders>
            <w:noWrap/>
            <w:vAlign w:val="center"/>
          </w:tcPr>
          <w:p w14:paraId="505161D4">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946" w:type="dxa"/>
            <w:tcBorders>
              <w:top w:val="single" w:color="auto" w:sz="4" w:space="0"/>
              <w:left w:val="single" w:color="auto" w:sz="4" w:space="0"/>
              <w:bottom w:val="single" w:color="auto" w:sz="4" w:space="0"/>
              <w:right w:val="single" w:color="auto" w:sz="4" w:space="0"/>
            </w:tcBorders>
            <w:noWrap/>
          </w:tcPr>
          <w:p w14:paraId="13033C4A">
            <w:pPr>
              <w:keepNext w:val="0"/>
              <w:keepLines w:val="0"/>
              <w:suppressLineNumbers w:val="0"/>
              <w:spacing w:before="0" w:beforeAutospacing="0" w:after="0" w:afterAutospacing="0"/>
              <w:ind w:left="0" w:right="0"/>
              <w:rPr>
                <w:rFonts w:ascii="宋体" w:hAnsi="宋体" w:cs="宋体"/>
                <w:color w:val="auto"/>
                <w:szCs w:val="22"/>
                <w:highlight w:val="none"/>
              </w:rPr>
            </w:pPr>
          </w:p>
        </w:tc>
      </w:tr>
      <w:tr w14:paraId="55CB9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trPr>
        <w:tc>
          <w:tcPr>
            <w:tcW w:w="482" w:type="dxa"/>
            <w:tcBorders>
              <w:top w:val="single" w:color="auto" w:sz="4" w:space="0"/>
              <w:left w:val="single" w:color="auto" w:sz="4" w:space="0"/>
              <w:bottom w:val="single" w:color="auto" w:sz="4" w:space="0"/>
              <w:right w:val="single" w:color="auto" w:sz="4" w:space="0"/>
            </w:tcBorders>
            <w:noWrap/>
            <w:vAlign w:val="center"/>
          </w:tcPr>
          <w:p w14:paraId="04959E1E">
            <w:pPr>
              <w:keepNext w:val="0"/>
              <w:keepLines w:val="0"/>
              <w:suppressLineNumbers w:val="0"/>
              <w:spacing w:before="0" w:beforeAutospacing="0" w:after="0" w:afterAutospacing="0"/>
              <w:ind w:left="0" w:right="0"/>
              <w:jc w:val="center"/>
              <w:rPr>
                <w:rFonts w:hint="eastAsia" w:ascii="宋体" w:hAnsi="宋体" w:eastAsia="宋体" w:cs="宋体"/>
                <w:color w:val="auto"/>
                <w:szCs w:val="22"/>
                <w:highlight w:val="none"/>
                <w:lang w:val="en-US" w:eastAsia="zh-CN"/>
              </w:rPr>
            </w:pPr>
            <w:r>
              <w:rPr>
                <w:rFonts w:hint="eastAsia" w:ascii="宋体" w:hAnsi="宋体" w:cs="宋体"/>
                <w:color w:val="auto"/>
                <w:szCs w:val="22"/>
                <w:highlight w:val="none"/>
                <w:lang w:val="en-US" w:eastAsia="zh-CN"/>
              </w:rPr>
              <w:t>4</w:t>
            </w:r>
          </w:p>
        </w:tc>
        <w:tc>
          <w:tcPr>
            <w:tcW w:w="1298" w:type="dxa"/>
            <w:tcBorders>
              <w:top w:val="single" w:color="auto" w:sz="4" w:space="0"/>
              <w:left w:val="single" w:color="auto" w:sz="4" w:space="0"/>
              <w:bottom w:val="single" w:color="auto" w:sz="4" w:space="0"/>
              <w:right w:val="single" w:color="auto" w:sz="4" w:space="0"/>
            </w:tcBorders>
            <w:noWrap/>
            <w:vAlign w:val="center"/>
          </w:tcPr>
          <w:p w14:paraId="0EF90BD0">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2079" w:type="dxa"/>
            <w:tcBorders>
              <w:top w:val="single" w:color="auto" w:sz="4" w:space="0"/>
              <w:left w:val="single" w:color="auto" w:sz="4" w:space="0"/>
              <w:bottom w:val="single" w:color="auto" w:sz="4" w:space="0"/>
              <w:right w:val="single" w:color="auto" w:sz="4" w:space="0"/>
            </w:tcBorders>
            <w:noWrap/>
            <w:vAlign w:val="center"/>
          </w:tcPr>
          <w:p w14:paraId="3BEBDD19">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571" w:type="dxa"/>
            <w:tcBorders>
              <w:top w:val="single" w:color="auto" w:sz="4" w:space="0"/>
              <w:left w:val="single" w:color="auto" w:sz="4" w:space="0"/>
              <w:bottom w:val="single" w:color="auto" w:sz="4" w:space="0"/>
              <w:right w:val="single" w:color="auto" w:sz="4" w:space="0"/>
            </w:tcBorders>
            <w:noWrap/>
            <w:vAlign w:val="center"/>
          </w:tcPr>
          <w:p w14:paraId="23100D48">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613" w:type="dxa"/>
            <w:tcBorders>
              <w:top w:val="single" w:color="auto" w:sz="4" w:space="0"/>
              <w:left w:val="single" w:color="auto" w:sz="4" w:space="0"/>
              <w:bottom w:val="single" w:color="auto" w:sz="4" w:space="0"/>
              <w:right w:val="single" w:color="auto" w:sz="4" w:space="0"/>
            </w:tcBorders>
            <w:noWrap/>
            <w:vAlign w:val="center"/>
          </w:tcPr>
          <w:p w14:paraId="68D2B8EE">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1111" w:type="dxa"/>
            <w:tcBorders>
              <w:top w:val="single" w:color="auto" w:sz="4" w:space="0"/>
              <w:left w:val="single" w:color="auto" w:sz="4" w:space="0"/>
              <w:bottom w:val="single" w:color="auto" w:sz="4" w:space="0"/>
              <w:right w:val="single" w:color="auto" w:sz="4" w:space="0"/>
            </w:tcBorders>
            <w:noWrap/>
            <w:vAlign w:val="center"/>
          </w:tcPr>
          <w:p w14:paraId="519B4DDD">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1809" w:type="dxa"/>
            <w:tcBorders>
              <w:top w:val="single" w:color="auto" w:sz="4" w:space="0"/>
              <w:left w:val="single" w:color="auto" w:sz="4" w:space="0"/>
              <w:bottom w:val="single" w:color="auto" w:sz="4" w:space="0"/>
              <w:right w:val="single" w:color="auto" w:sz="4" w:space="0"/>
            </w:tcBorders>
            <w:noWrap/>
            <w:vAlign w:val="center"/>
          </w:tcPr>
          <w:p w14:paraId="760C33B7">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946" w:type="dxa"/>
            <w:tcBorders>
              <w:top w:val="single" w:color="auto" w:sz="4" w:space="0"/>
              <w:left w:val="single" w:color="auto" w:sz="4" w:space="0"/>
              <w:bottom w:val="single" w:color="auto" w:sz="4" w:space="0"/>
              <w:right w:val="single" w:color="auto" w:sz="4" w:space="0"/>
            </w:tcBorders>
            <w:noWrap/>
          </w:tcPr>
          <w:p w14:paraId="5799CBEC">
            <w:pPr>
              <w:keepNext w:val="0"/>
              <w:keepLines w:val="0"/>
              <w:suppressLineNumbers w:val="0"/>
              <w:spacing w:before="0" w:beforeAutospacing="0" w:after="0" w:afterAutospacing="0"/>
              <w:ind w:left="0" w:right="0"/>
              <w:rPr>
                <w:rFonts w:ascii="宋体" w:hAnsi="宋体" w:cs="宋体"/>
                <w:color w:val="auto"/>
                <w:szCs w:val="22"/>
                <w:highlight w:val="none"/>
              </w:rPr>
            </w:pPr>
          </w:p>
        </w:tc>
      </w:tr>
      <w:tr w14:paraId="4D82C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trPr>
        <w:tc>
          <w:tcPr>
            <w:tcW w:w="482" w:type="dxa"/>
            <w:tcBorders>
              <w:top w:val="single" w:color="auto" w:sz="4" w:space="0"/>
              <w:left w:val="single" w:color="auto" w:sz="4" w:space="0"/>
              <w:bottom w:val="single" w:color="auto" w:sz="4" w:space="0"/>
              <w:right w:val="single" w:color="auto" w:sz="4" w:space="0"/>
            </w:tcBorders>
            <w:noWrap/>
            <w:vAlign w:val="center"/>
          </w:tcPr>
          <w:p w14:paraId="64646717">
            <w:pPr>
              <w:keepNext w:val="0"/>
              <w:keepLines w:val="0"/>
              <w:suppressLineNumbers w:val="0"/>
              <w:spacing w:before="0" w:beforeAutospacing="0" w:after="0" w:afterAutospacing="0"/>
              <w:ind w:left="0" w:right="0"/>
              <w:jc w:val="center"/>
              <w:rPr>
                <w:rFonts w:hint="eastAsia" w:ascii="宋体" w:hAnsi="宋体" w:eastAsia="宋体" w:cs="宋体"/>
                <w:color w:val="auto"/>
                <w:szCs w:val="22"/>
                <w:highlight w:val="none"/>
                <w:lang w:val="en-US" w:eastAsia="zh-CN"/>
              </w:rPr>
            </w:pPr>
            <w:r>
              <w:rPr>
                <w:rFonts w:hint="eastAsia" w:ascii="宋体" w:hAnsi="宋体" w:cs="宋体"/>
                <w:color w:val="auto"/>
                <w:szCs w:val="22"/>
                <w:highlight w:val="none"/>
                <w:lang w:val="en-US" w:eastAsia="zh-CN"/>
              </w:rPr>
              <w:t>5</w:t>
            </w:r>
          </w:p>
        </w:tc>
        <w:tc>
          <w:tcPr>
            <w:tcW w:w="1298" w:type="dxa"/>
            <w:tcBorders>
              <w:top w:val="single" w:color="auto" w:sz="4" w:space="0"/>
              <w:left w:val="single" w:color="auto" w:sz="4" w:space="0"/>
              <w:bottom w:val="single" w:color="auto" w:sz="4" w:space="0"/>
              <w:right w:val="single" w:color="auto" w:sz="4" w:space="0"/>
            </w:tcBorders>
            <w:noWrap/>
            <w:vAlign w:val="center"/>
          </w:tcPr>
          <w:p w14:paraId="763F1C6E">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2079" w:type="dxa"/>
            <w:tcBorders>
              <w:top w:val="single" w:color="auto" w:sz="4" w:space="0"/>
              <w:left w:val="single" w:color="auto" w:sz="4" w:space="0"/>
              <w:bottom w:val="single" w:color="auto" w:sz="4" w:space="0"/>
              <w:right w:val="single" w:color="auto" w:sz="4" w:space="0"/>
            </w:tcBorders>
            <w:noWrap/>
            <w:vAlign w:val="center"/>
          </w:tcPr>
          <w:p w14:paraId="57887A83">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571" w:type="dxa"/>
            <w:tcBorders>
              <w:top w:val="single" w:color="auto" w:sz="4" w:space="0"/>
              <w:left w:val="single" w:color="auto" w:sz="4" w:space="0"/>
              <w:bottom w:val="single" w:color="auto" w:sz="4" w:space="0"/>
              <w:right w:val="single" w:color="auto" w:sz="4" w:space="0"/>
            </w:tcBorders>
            <w:noWrap/>
            <w:vAlign w:val="center"/>
          </w:tcPr>
          <w:p w14:paraId="335DDB00">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613" w:type="dxa"/>
            <w:tcBorders>
              <w:top w:val="single" w:color="auto" w:sz="4" w:space="0"/>
              <w:left w:val="single" w:color="auto" w:sz="4" w:space="0"/>
              <w:bottom w:val="single" w:color="auto" w:sz="4" w:space="0"/>
              <w:right w:val="single" w:color="auto" w:sz="4" w:space="0"/>
            </w:tcBorders>
            <w:noWrap/>
            <w:vAlign w:val="center"/>
          </w:tcPr>
          <w:p w14:paraId="0EAE55A1">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1111" w:type="dxa"/>
            <w:tcBorders>
              <w:top w:val="single" w:color="auto" w:sz="4" w:space="0"/>
              <w:left w:val="single" w:color="auto" w:sz="4" w:space="0"/>
              <w:bottom w:val="single" w:color="auto" w:sz="4" w:space="0"/>
              <w:right w:val="single" w:color="auto" w:sz="4" w:space="0"/>
            </w:tcBorders>
            <w:noWrap/>
            <w:vAlign w:val="center"/>
          </w:tcPr>
          <w:p w14:paraId="774D7B4C">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1809" w:type="dxa"/>
            <w:tcBorders>
              <w:top w:val="single" w:color="auto" w:sz="4" w:space="0"/>
              <w:left w:val="single" w:color="auto" w:sz="4" w:space="0"/>
              <w:bottom w:val="single" w:color="auto" w:sz="4" w:space="0"/>
              <w:right w:val="single" w:color="auto" w:sz="4" w:space="0"/>
            </w:tcBorders>
            <w:noWrap/>
            <w:vAlign w:val="center"/>
          </w:tcPr>
          <w:p w14:paraId="575FE641">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946" w:type="dxa"/>
            <w:tcBorders>
              <w:top w:val="single" w:color="auto" w:sz="4" w:space="0"/>
              <w:left w:val="single" w:color="auto" w:sz="4" w:space="0"/>
              <w:bottom w:val="single" w:color="auto" w:sz="4" w:space="0"/>
              <w:right w:val="single" w:color="auto" w:sz="4" w:space="0"/>
            </w:tcBorders>
            <w:noWrap/>
          </w:tcPr>
          <w:p w14:paraId="1716A4D6">
            <w:pPr>
              <w:keepNext w:val="0"/>
              <w:keepLines w:val="0"/>
              <w:suppressLineNumbers w:val="0"/>
              <w:spacing w:before="0" w:beforeAutospacing="0" w:after="0" w:afterAutospacing="0"/>
              <w:ind w:left="0" w:right="0"/>
              <w:rPr>
                <w:rFonts w:ascii="宋体" w:hAnsi="宋体" w:cs="宋体"/>
                <w:color w:val="auto"/>
                <w:szCs w:val="22"/>
                <w:highlight w:val="none"/>
              </w:rPr>
            </w:pPr>
          </w:p>
        </w:tc>
      </w:tr>
      <w:tr w14:paraId="03D6F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trPr>
        <w:tc>
          <w:tcPr>
            <w:tcW w:w="482" w:type="dxa"/>
            <w:tcBorders>
              <w:top w:val="single" w:color="auto" w:sz="4" w:space="0"/>
              <w:left w:val="single" w:color="auto" w:sz="4" w:space="0"/>
              <w:bottom w:val="single" w:color="auto" w:sz="4" w:space="0"/>
              <w:right w:val="single" w:color="auto" w:sz="4" w:space="0"/>
            </w:tcBorders>
            <w:noWrap/>
            <w:vAlign w:val="center"/>
          </w:tcPr>
          <w:p w14:paraId="2579F47D">
            <w:pPr>
              <w:keepNext w:val="0"/>
              <w:keepLines w:val="0"/>
              <w:suppressLineNumbers w:val="0"/>
              <w:spacing w:before="0" w:beforeAutospacing="0" w:after="0" w:afterAutospacing="0"/>
              <w:ind w:left="0" w:right="0"/>
              <w:jc w:val="center"/>
              <w:rPr>
                <w:rFonts w:hint="eastAsia" w:ascii="宋体" w:hAnsi="宋体" w:eastAsia="宋体" w:cs="宋体"/>
                <w:color w:val="auto"/>
                <w:szCs w:val="22"/>
                <w:highlight w:val="none"/>
                <w:lang w:val="en-US" w:eastAsia="zh-CN"/>
              </w:rPr>
            </w:pPr>
            <w:r>
              <w:rPr>
                <w:rFonts w:hint="eastAsia" w:ascii="宋体" w:hAnsi="宋体" w:cs="宋体"/>
                <w:color w:val="auto"/>
                <w:szCs w:val="22"/>
                <w:highlight w:val="none"/>
                <w:lang w:val="en-US" w:eastAsia="zh-CN"/>
              </w:rPr>
              <w:t>6</w:t>
            </w:r>
          </w:p>
        </w:tc>
        <w:tc>
          <w:tcPr>
            <w:tcW w:w="1298" w:type="dxa"/>
            <w:tcBorders>
              <w:top w:val="single" w:color="auto" w:sz="4" w:space="0"/>
              <w:left w:val="single" w:color="auto" w:sz="4" w:space="0"/>
              <w:bottom w:val="single" w:color="auto" w:sz="4" w:space="0"/>
              <w:right w:val="single" w:color="auto" w:sz="4" w:space="0"/>
            </w:tcBorders>
            <w:noWrap/>
            <w:vAlign w:val="center"/>
          </w:tcPr>
          <w:p w14:paraId="1FB7E9CB">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2079" w:type="dxa"/>
            <w:tcBorders>
              <w:top w:val="single" w:color="auto" w:sz="4" w:space="0"/>
              <w:left w:val="single" w:color="auto" w:sz="4" w:space="0"/>
              <w:bottom w:val="single" w:color="auto" w:sz="4" w:space="0"/>
              <w:right w:val="single" w:color="auto" w:sz="4" w:space="0"/>
            </w:tcBorders>
            <w:noWrap/>
            <w:vAlign w:val="center"/>
          </w:tcPr>
          <w:p w14:paraId="04659122">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571" w:type="dxa"/>
            <w:tcBorders>
              <w:top w:val="single" w:color="auto" w:sz="4" w:space="0"/>
              <w:left w:val="single" w:color="auto" w:sz="4" w:space="0"/>
              <w:bottom w:val="single" w:color="auto" w:sz="4" w:space="0"/>
              <w:right w:val="single" w:color="auto" w:sz="4" w:space="0"/>
            </w:tcBorders>
            <w:noWrap/>
            <w:vAlign w:val="center"/>
          </w:tcPr>
          <w:p w14:paraId="1D90FBD6">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613" w:type="dxa"/>
            <w:tcBorders>
              <w:top w:val="single" w:color="auto" w:sz="4" w:space="0"/>
              <w:left w:val="single" w:color="auto" w:sz="4" w:space="0"/>
              <w:bottom w:val="single" w:color="auto" w:sz="4" w:space="0"/>
              <w:right w:val="single" w:color="auto" w:sz="4" w:space="0"/>
            </w:tcBorders>
            <w:noWrap/>
            <w:vAlign w:val="center"/>
          </w:tcPr>
          <w:p w14:paraId="2E5CC560">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1111" w:type="dxa"/>
            <w:tcBorders>
              <w:top w:val="single" w:color="auto" w:sz="4" w:space="0"/>
              <w:left w:val="single" w:color="auto" w:sz="4" w:space="0"/>
              <w:bottom w:val="single" w:color="auto" w:sz="4" w:space="0"/>
              <w:right w:val="single" w:color="auto" w:sz="4" w:space="0"/>
            </w:tcBorders>
            <w:noWrap/>
            <w:vAlign w:val="center"/>
          </w:tcPr>
          <w:p w14:paraId="32779A5E">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1809" w:type="dxa"/>
            <w:tcBorders>
              <w:top w:val="single" w:color="auto" w:sz="4" w:space="0"/>
              <w:left w:val="single" w:color="auto" w:sz="4" w:space="0"/>
              <w:bottom w:val="single" w:color="auto" w:sz="4" w:space="0"/>
              <w:right w:val="single" w:color="auto" w:sz="4" w:space="0"/>
            </w:tcBorders>
            <w:noWrap/>
            <w:vAlign w:val="center"/>
          </w:tcPr>
          <w:p w14:paraId="19386A48">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946" w:type="dxa"/>
            <w:tcBorders>
              <w:top w:val="single" w:color="auto" w:sz="4" w:space="0"/>
              <w:left w:val="single" w:color="auto" w:sz="4" w:space="0"/>
              <w:bottom w:val="single" w:color="auto" w:sz="4" w:space="0"/>
              <w:right w:val="single" w:color="auto" w:sz="4" w:space="0"/>
            </w:tcBorders>
            <w:noWrap/>
          </w:tcPr>
          <w:p w14:paraId="19A949FA">
            <w:pPr>
              <w:keepNext w:val="0"/>
              <w:keepLines w:val="0"/>
              <w:suppressLineNumbers w:val="0"/>
              <w:spacing w:before="0" w:beforeAutospacing="0" w:after="0" w:afterAutospacing="0"/>
              <w:ind w:left="0" w:right="0"/>
              <w:rPr>
                <w:rFonts w:ascii="宋体" w:hAnsi="宋体" w:cs="宋体"/>
                <w:color w:val="auto"/>
                <w:szCs w:val="22"/>
                <w:highlight w:val="none"/>
              </w:rPr>
            </w:pPr>
          </w:p>
        </w:tc>
      </w:tr>
      <w:tr w14:paraId="67407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trPr>
        <w:tc>
          <w:tcPr>
            <w:tcW w:w="482" w:type="dxa"/>
            <w:tcBorders>
              <w:top w:val="single" w:color="auto" w:sz="4" w:space="0"/>
              <w:left w:val="single" w:color="auto" w:sz="4" w:space="0"/>
              <w:bottom w:val="single" w:color="auto" w:sz="4" w:space="0"/>
              <w:right w:val="single" w:color="auto" w:sz="4" w:space="0"/>
            </w:tcBorders>
            <w:noWrap/>
            <w:vAlign w:val="center"/>
          </w:tcPr>
          <w:p w14:paraId="7B7745ED">
            <w:pPr>
              <w:keepNext w:val="0"/>
              <w:keepLines w:val="0"/>
              <w:suppressLineNumbers w:val="0"/>
              <w:spacing w:before="0" w:beforeAutospacing="0" w:after="0" w:afterAutospacing="0"/>
              <w:ind w:left="0" w:right="0"/>
              <w:jc w:val="center"/>
              <w:rPr>
                <w:rFonts w:ascii="宋体" w:hAnsi="宋体" w:cs="宋体"/>
                <w:color w:val="auto"/>
                <w:szCs w:val="22"/>
                <w:highlight w:val="none"/>
              </w:rPr>
            </w:pPr>
            <w:r>
              <w:rPr>
                <w:rFonts w:hint="eastAsia" w:ascii="宋体" w:hAnsi="宋体" w:cs="宋体"/>
                <w:color w:val="auto"/>
                <w:szCs w:val="22"/>
                <w:highlight w:val="none"/>
              </w:rPr>
              <w:t>...</w:t>
            </w:r>
          </w:p>
        </w:tc>
        <w:tc>
          <w:tcPr>
            <w:tcW w:w="1298" w:type="dxa"/>
            <w:tcBorders>
              <w:top w:val="single" w:color="auto" w:sz="4" w:space="0"/>
              <w:left w:val="single" w:color="auto" w:sz="4" w:space="0"/>
              <w:bottom w:val="single" w:color="auto" w:sz="4" w:space="0"/>
              <w:right w:val="single" w:color="auto" w:sz="4" w:space="0"/>
            </w:tcBorders>
            <w:noWrap/>
            <w:vAlign w:val="center"/>
          </w:tcPr>
          <w:p w14:paraId="3508EF66">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2079" w:type="dxa"/>
            <w:tcBorders>
              <w:top w:val="single" w:color="auto" w:sz="4" w:space="0"/>
              <w:left w:val="single" w:color="auto" w:sz="4" w:space="0"/>
              <w:bottom w:val="single" w:color="auto" w:sz="4" w:space="0"/>
              <w:right w:val="single" w:color="auto" w:sz="4" w:space="0"/>
            </w:tcBorders>
            <w:noWrap/>
            <w:vAlign w:val="center"/>
          </w:tcPr>
          <w:p w14:paraId="3C83AFBC">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571" w:type="dxa"/>
            <w:tcBorders>
              <w:top w:val="single" w:color="auto" w:sz="4" w:space="0"/>
              <w:left w:val="single" w:color="auto" w:sz="4" w:space="0"/>
              <w:bottom w:val="single" w:color="auto" w:sz="4" w:space="0"/>
              <w:right w:val="single" w:color="auto" w:sz="4" w:space="0"/>
            </w:tcBorders>
            <w:noWrap/>
            <w:vAlign w:val="center"/>
          </w:tcPr>
          <w:p w14:paraId="7E9A2A93">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613" w:type="dxa"/>
            <w:tcBorders>
              <w:top w:val="single" w:color="auto" w:sz="4" w:space="0"/>
              <w:left w:val="single" w:color="auto" w:sz="4" w:space="0"/>
              <w:bottom w:val="single" w:color="auto" w:sz="4" w:space="0"/>
              <w:right w:val="single" w:color="auto" w:sz="4" w:space="0"/>
            </w:tcBorders>
            <w:noWrap/>
            <w:vAlign w:val="center"/>
          </w:tcPr>
          <w:p w14:paraId="2F515D17">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1111" w:type="dxa"/>
            <w:tcBorders>
              <w:top w:val="single" w:color="auto" w:sz="4" w:space="0"/>
              <w:left w:val="single" w:color="auto" w:sz="4" w:space="0"/>
              <w:bottom w:val="single" w:color="auto" w:sz="4" w:space="0"/>
              <w:right w:val="single" w:color="auto" w:sz="4" w:space="0"/>
            </w:tcBorders>
            <w:noWrap/>
            <w:vAlign w:val="center"/>
          </w:tcPr>
          <w:p w14:paraId="27B16E16">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1809" w:type="dxa"/>
            <w:tcBorders>
              <w:top w:val="single" w:color="auto" w:sz="4" w:space="0"/>
              <w:left w:val="single" w:color="auto" w:sz="4" w:space="0"/>
              <w:bottom w:val="single" w:color="auto" w:sz="4" w:space="0"/>
              <w:right w:val="single" w:color="auto" w:sz="4" w:space="0"/>
            </w:tcBorders>
            <w:noWrap/>
            <w:vAlign w:val="center"/>
          </w:tcPr>
          <w:p w14:paraId="68F762AA">
            <w:pPr>
              <w:keepNext w:val="0"/>
              <w:keepLines w:val="0"/>
              <w:suppressLineNumbers w:val="0"/>
              <w:spacing w:before="0" w:beforeAutospacing="0" w:after="0" w:afterAutospacing="0"/>
              <w:ind w:left="0" w:right="0"/>
              <w:rPr>
                <w:rFonts w:ascii="宋体" w:hAnsi="宋体" w:cs="宋体"/>
                <w:color w:val="auto"/>
                <w:szCs w:val="22"/>
                <w:highlight w:val="none"/>
              </w:rPr>
            </w:pPr>
          </w:p>
        </w:tc>
        <w:tc>
          <w:tcPr>
            <w:tcW w:w="946" w:type="dxa"/>
            <w:tcBorders>
              <w:top w:val="single" w:color="auto" w:sz="4" w:space="0"/>
              <w:left w:val="single" w:color="auto" w:sz="4" w:space="0"/>
              <w:bottom w:val="single" w:color="auto" w:sz="4" w:space="0"/>
              <w:right w:val="single" w:color="auto" w:sz="4" w:space="0"/>
            </w:tcBorders>
            <w:noWrap/>
          </w:tcPr>
          <w:p w14:paraId="3334817E">
            <w:pPr>
              <w:keepNext w:val="0"/>
              <w:keepLines w:val="0"/>
              <w:suppressLineNumbers w:val="0"/>
              <w:spacing w:before="0" w:beforeAutospacing="0" w:after="0" w:afterAutospacing="0"/>
              <w:ind w:left="0" w:right="0"/>
              <w:rPr>
                <w:rFonts w:ascii="宋体" w:hAnsi="宋体" w:cs="宋体"/>
                <w:color w:val="auto"/>
                <w:szCs w:val="22"/>
                <w:highlight w:val="none"/>
              </w:rPr>
            </w:pPr>
          </w:p>
        </w:tc>
      </w:tr>
      <w:tr w14:paraId="018C8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0" w:hRule="atLeast"/>
        </w:trPr>
        <w:tc>
          <w:tcPr>
            <w:tcW w:w="8909" w:type="dxa"/>
            <w:gridSpan w:val="8"/>
            <w:tcBorders>
              <w:top w:val="single" w:color="auto" w:sz="4" w:space="0"/>
              <w:left w:val="single" w:color="auto" w:sz="4" w:space="0"/>
              <w:bottom w:val="single" w:color="auto" w:sz="4" w:space="0"/>
              <w:right w:val="single" w:color="auto" w:sz="4" w:space="0"/>
            </w:tcBorders>
            <w:noWrap/>
            <w:vAlign w:val="center"/>
          </w:tcPr>
          <w:p w14:paraId="72551F8D">
            <w:pPr>
              <w:keepNext w:val="0"/>
              <w:keepLines w:val="0"/>
              <w:suppressLineNumbers w:val="0"/>
              <w:spacing w:before="0" w:beforeAutospacing="0" w:after="0" w:afterAutospacing="0" w:line="360" w:lineRule="auto"/>
              <w:ind w:left="0" w:right="0"/>
              <w:jc w:val="both"/>
              <w:rPr>
                <w:rFonts w:hint="eastAsia" w:ascii="宋体" w:hAnsi="宋体" w:eastAsia="宋体" w:cs="宋体"/>
                <w:color w:val="auto"/>
                <w:szCs w:val="22"/>
                <w:highlight w:val="none"/>
                <w:lang w:eastAsia="zh-CN"/>
              </w:rPr>
            </w:pPr>
            <w:r>
              <w:rPr>
                <w:rFonts w:hint="eastAsia" w:ascii="宋体" w:hAnsi="宋体" w:cs="宋体"/>
                <w:color w:val="auto"/>
                <w:szCs w:val="22"/>
                <w:highlight w:val="none"/>
              </w:rPr>
              <w:t>报价合计（包含税费等所有费用）：（大写）人民币</w:t>
            </w:r>
            <w:r>
              <w:rPr>
                <w:rFonts w:hint="eastAsia" w:ascii="宋体" w:hAnsi="宋体" w:cs="宋体"/>
                <w:color w:val="auto"/>
                <w:szCs w:val="22"/>
                <w:highlight w:val="none"/>
                <w:u w:val="single"/>
                <w:lang w:val="en-US" w:eastAsia="zh-CN"/>
              </w:rPr>
              <w:t xml:space="preserve">               </w:t>
            </w:r>
            <w:r>
              <w:rPr>
                <w:rFonts w:hint="eastAsia" w:ascii="宋体" w:hAnsi="宋体" w:cs="宋体"/>
                <w:color w:val="auto"/>
                <w:szCs w:val="22"/>
                <w:highlight w:val="none"/>
              </w:rPr>
              <w:t xml:space="preserve"> （小写）¥ </w:t>
            </w:r>
            <w:r>
              <w:rPr>
                <w:rFonts w:hint="eastAsia" w:ascii="宋体" w:hAnsi="宋体" w:cs="宋体"/>
                <w:color w:val="auto"/>
                <w:szCs w:val="22"/>
                <w:highlight w:val="none"/>
                <w:u w:val="single"/>
                <w:lang w:val="en-US" w:eastAsia="zh-CN"/>
              </w:rPr>
              <w:t xml:space="preserve">              </w:t>
            </w:r>
          </w:p>
        </w:tc>
      </w:tr>
      <w:tr w14:paraId="32D10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3" w:hRule="atLeast"/>
        </w:trPr>
        <w:tc>
          <w:tcPr>
            <w:tcW w:w="8909" w:type="dxa"/>
            <w:gridSpan w:val="8"/>
            <w:tcBorders>
              <w:top w:val="single" w:color="auto" w:sz="4" w:space="0"/>
              <w:left w:val="single" w:color="auto" w:sz="4" w:space="0"/>
              <w:bottom w:val="single" w:color="auto" w:sz="4" w:space="0"/>
              <w:right w:val="single" w:color="auto" w:sz="4" w:space="0"/>
            </w:tcBorders>
            <w:noWrap/>
            <w:vAlign w:val="center"/>
          </w:tcPr>
          <w:p w14:paraId="6B186476">
            <w:pPr>
              <w:keepNext w:val="0"/>
              <w:keepLines w:val="0"/>
              <w:suppressLineNumbers w:val="0"/>
              <w:spacing w:before="0" w:beforeAutospacing="0" w:after="0" w:afterAutospacing="0"/>
              <w:ind w:left="0" w:right="0"/>
              <w:rPr>
                <w:rFonts w:hint="default" w:ascii="宋体" w:hAnsi="宋体" w:eastAsia="宋体" w:cs="宋体"/>
                <w:color w:val="auto"/>
                <w:szCs w:val="22"/>
                <w:highlight w:val="none"/>
                <w:u w:val="single"/>
                <w:lang w:val="en-US" w:eastAsia="zh-CN"/>
              </w:rPr>
            </w:pPr>
            <w:r>
              <w:rPr>
                <w:rFonts w:hint="eastAsia" w:ascii="宋体" w:hAnsi="宋体" w:cs="宋体"/>
                <w:color w:val="auto"/>
                <w:szCs w:val="22"/>
                <w:highlight w:val="none"/>
              </w:rPr>
              <w:t>交</w:t>
            </w:r>
            <w:r>
              <w:rPr>
                <w:rFonts w:hint="eastAsia" w:ascii="宋体" w:hAnsi="宋体" w:cs="宋体"/>
                <w:color w:val="auto"/>
                <w:szCs w:val="22"/>
                <w:highlight w:val="none"/>
                <w:lang w:val="en-US" w:eastAsia="zh-CN"/>
              </w:rPr>
              <w:t>付</w:t>
            </w:r>
            <w:r>
              <w:rPr>
                <w:rFonts w:hint="eastAsia" w:ascii="宋体" w:hAnsi="宋体" w:cs="宋体"/>
                <w:color w:val="auto"/>
                <w:szCs w:val="22"/>
                <w:highlight w:val="none"/>
              </w:rPr>
              <w:t>时间：</w:t>
            </w:r>
            <w:r>
              <w:rPr>
                <w:rFonts w:hint="eastAsia" w:ascii="宋体" w:hAnsi="宋体" w:cs="宋体"/>
                <w:color w:val="auto"/>
                <w:szCs w:val="22"/>
                <w:highlight w:val="none"/>
                <w:u w:val="single"/>
                <w:lang w:val="en-US" w:eastAsia="zh-CN"/>
              </w:rPr>
              <w:t xml:space="preserve">                          </w:t>
            </w:r>
          </w:p>
        </w:tc>
      </w:tr>
    </w:tbl>
    <w:p w14:paraId="0C67AF01">
      <w:pPr>
        <w:snapToGrid w:val="0"/>
        <w:spacing w:before="50" w:after="50" w:line="360" w:lineRule="auto"/>
        <w:ind w:firstLine="420" w:firstLineChars="200"/>
        <w:jc w:val="left"/>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 xml:space="preserve">注： </w:t>
      </w:r>
    </w:p>
    <w:p w14:paraId="7625AAC9">
      <w:pPr>
        <w:snapToGrid w:val="0"/>
        <w:spacing w:before="50" w:after="50" w:line="360" w:lineRule="auto"/>
        <w:ind w:firstLine="420" w:firstLineChars="200"/>
        <w:jc w:val="left"/>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1、 投标人需按本表格式填写，不得自行更改，也不得留空（备注除外），如有多分标，按分标分别提供开标一览表，必须加盖投标人有效公章，</w:t>
      </w:r>
      <w:r>
        <w:rPr>
          <w:rFonts w:hint="eastAsia" w:ascii="宋体" w:hAnsi="宋体" w:cs="宋体"/>
          <w:b/>
          <w:color w:val="auto"/>
          <w:kern w:val="0"/>
          <w:szCs w:val="21"/>
          <w:highlight w:val="none"/>
          <w:lang w:val="zh-CN"/>
        </w:rPr>
        <w:t>否则其投标作无效标处理。</w:t>
      </w:r>
    </w:p>
    <w:p w14:paraId="17099073">
      <w:pPr>
        <w:snapToGrid w:val="0"/>
        <w:spacing w:before="50" w:after="50" w:line="360" w:lineRule="auto"/>
        <w:ind w:firstLine="420" w:firstLineChars="200"/>
        <w:jc w:val="left"/>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2、本表内容均不能涂改，</w:t>
      </w:r>
      <w:r>
        <w:rPr>
          <w:rFonts w:hint="eastAsia" w:ascii="宋体" w:hAnsi="宋体" w:cs="宋体"/>
          <w:b/>
          <w:color w:val="auto"/>
          <w:kern w:val="0"/>
          <w:szCs w:val="21"/>
          <w:highlight w:val="none"/>
          <w:lang w:val="zh-CN"/>
        </w:rPr>
        <w:t>否则其投标作无效标处理。</w:t>
      </w:r>
    </w:p>
    <w:p w14:paraId="421BF8FD">
      <w:pPr>
        <w:snapToGrid w:val="0"/>
        <w:spacing w:before="50" w:after="50" w:line="360" w:lineRule="auto"/>
        <w:ind w:firstLine="420" w:firstLineChars="200"/>
        <w:jc w:val="left"/>
        <w:rPr>
          <w:rFonts w:ascii="宋体" w:hAnsi="宋体" w:cs="宋体"/>
          <w:b/>
          <w:color w:val="auto"/>
          <w:kern w:val="0"/>
          <w:szCs w:val="21"/>
          <w:highlight w:val="none"/>
          <w:lang w:val="zh-CN"/>
        </w:rPr>
      </w:pPr>
      <w:r>
        <w:rPr>
          <w:rFonts w:hint="eastAsia" w:ascii="宋体" w:hAnsi="宋体" w:cs="宋体"/>
          <w:color w:val="auto"/>
          <w:kern w:val="0"/>
          <w:szCs w:val="21"/>
          <w:highlight w:val="none"/>
          <w:lang w:val="zh-CN"/>
        </w:rPr>
        <w:t>3、如为联合体投标，“投标人名称”处必须列明联合体各方名称，并标注联合体牵头人名称，且盖章处须加盖联合体各方公章，</w:t>
      </w:r>
      <w:r>
        <w:rPr>
          <w:rFonts w:hint="eastAsia" w:ascii="宋体" w:hAnsi="宋体" w:cs="宋体"/>
          <w:b/>
          <w:color w:val="auto"/>
          <w:kern w:val="0"/>
          <w:szCs w:val="21"/>
          <w:highlight w:val="none"/>
          <w:lang w:val="zh-CN"/>
        </w:rPr>
        <w:t>否则其投标作无效标处理。</w:t>
      </w:r>
    </w:p>
    <w:p w14:paraId="4D4E65C7">
      <w:pPr>
        <w:snapToGrid w:val="0"/>
        <w:spacing w:line="360" w:lineRule="auto"/>
        <w:ind w:firstLine="420" w:firstLineChars="200"/>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en-US" w:eastAsia="zh-CN"/>
        </w:rPr>
        <w:t>4</w:t>
      </w:r>
      <w:r>
        <w:rPr>
          <w:rFonts w:hint="eastAsia" w:ascii="宋体" w:hAnsi="宋体" w:cs="宋体"/>
          <w:color w:val="auto"/>
          <w:kern w:val="0"/>
          <w:szCs w:val="21"/>
          <w:highlight w:val="none"/>
          <w:lang w:val="zh-CN"/>
        </w:rPr>
        <w:t>、符合招标文件中列明的可享受中小企业扶持政策的投标人，请填写中小企业声明函。注：投标人提供的中小企业声明函内容不实的，属于提供虚假材料谋取中标、成交，依照《中华人民共和国政府采购法》等国家有关规定追究相应责任。</w:t>
      </w:r>
    </w:p>
    <w:p w14:paraId="3A67388F">
      <w:pPr>
        <w:snapToGrid w:val="0"/>
        <w:spacing w:line="360" w:lineRule="auto"/>
        <w:ind w:firstLine="420" w:firstLineChars="200"/>
        <w:jc w:val="left"/>
        <w:rPr>
          <w:rFonts w:ascii="宋体" w:hAnsi="宋体" w:cs="宋体"/>
          <w:color w:val="auto"/>
          <w:kern w:val="0"/>
          <w:szCs w:val="21"/>
          <w:highlight w:val="none"/>
          <w:lang w:val="zh-CN"/>
        </w:rPr>
      </w:pPr>
    </w:p>
    <w:p w14:paraId="198A4FAF">
      <w:pPr>
        <w:snapToGrid w:val="0"/>
        <w:spacing w:line="360" w:lineRule="auto"/>
        <w:ind w:firstLine="5760" w:firstLineChars="2400"/>
        <w:rPr>
          <w:rFonts w:ascii="宋体" w:hAnsi="宋体" w:cs="宋体"/>
          <w:color w:val="auto"/>
          <w:kern w:val="0"/>
          <w:sz w:val="24"/>
          <w:highlight w:val="none"/>
        </w:rPr>
      </w:pPr>
      <w:r>
        <w:rPr>
          <w:rFonts w:hint="eastAsia" w:ascii="宋体" w:hAnsi="宋体" w:cs="宋体"/>
          <w:color w:val="auto"/>
          <w:kern w:val="0"/>
          <w:sz w:val="24"/>
          <w:highlight w:val="none"/>
          <w:lang w:val="zh-CN"/>
        </w:rPr>
        <w:t>投标人名称(盖公章)：</w:t>
      </w:r>
    </w:p>
    <w:p w14:paraId="62DAB48C">
      <w:pPr>
        <w:spacing w:line="360" w:lineRule="auto"/>
        <w:ind w:firstLine="360"/>
        <w:jc w:val="right"/>
        <w:rPr>
          <w:rFonts w:ascii="宋体" w:hAnsi="宋体" w:cs="宋体"/>
          <w:color w:val="auto"/>
          <w:kern w:val="0"/>
          <w:sz w:val="24"/>
          <w:highlight w:val="none"/>
        </w:rPr>
      </w:pPr>
      <w:r>
        <w:rPr>
          <w:rFonts w:hint="eastAsia" w:ascii="宋体" w:hAnsi="宋体" w:cs="宋体"/>
          <w:color w:val="auto"/>
          <w:kern w:val="0"/>
          <w:sz w:val="24"/>
          <w:highlight w:val="none"/>
          <w:lang w:val="zh-CN"/>
        </w:rPr>
        <w:t>日期</w:t>
      </w:r>
      <w:r>
        <w:rPr>
          <w:rFonts w:hint="eastAsia" w:ascii="宋体" w:hAnsi="宋体" w:cs="宋体"/>
          <w:color w:val="auto"/>
          <w:kern w:val="0"/>
          <w:sz w:val="24"/>
          <w:highlight w:val="none"/>
        </w:rPr>
        <w:t>：  年  月  日</w:t>
      </w:r>
    </w:p>
    <w:p w14:paraId="1C38ADCE">
      <w:pPr>
        <w:ind w:firstLine="360"/>
        <w:rPr>
          <w:rFonts w:hint="eastAsia" w:ascii="宋体" w:hAnsi="宋体" w:cs="宋体"/>
          <w:b/>
          <w:bCs/>
          <w:color w:val="auto"/>
          <w:sz w:val="28"/>
          <w:szCs w:val="28"/>
          <w:highlight w:val="none"/>
        </w:rPr>
      </w:pPr>
      <w:bookmarkStart w:id="264" w:name="_Toc12749"/>
      <w:bookmarkStart w:id="265" w:name="_Toc19686840"/>
      <w:bookmarkStart w:id="266" w:name="_Toc24690"/>
      <w:bookmarkStart w:id="267" w:name="_Toc19036"/>
      <w:bookmarkStart w:id="268" w:name="_Toc26722"/>
      <w:bookmarkStart w:id="269" w:name="_Toc8131"/>
    </w:p>
    <w:p w14:paraId="47FCC2A3">
      <w:pPr>
        <w:ind w:firstLine="360"/>
        <w:rPr>
          <w:rFonts w:ascii="宋体" w:hAnsi="宋体" w:cs="宋体"/>
          <w:b/>
          <w:bCs/>
          <w:color w:val="auto"/>
          <w:sz w:val="28"/>
          <w:szCs w:val="28"/>
          <w:highlight w:val="none"/>
        </w:rPr>
      </w:pPr>
      <w:r>
        <w:rPr>
          <w:rFonts w:hint="eastAsia" w:ascii="宋体" w:hAnsi="宋体" w:cs="宋体"/>
          <w:b/>
          <w:bCs/>
          <w:color w:val="auto"/>
          <w:sz w:val="28"/>
          <w:szCs w:val="28"/>
          <w:highlight w:val="none"/>
        </w:rPr>
        <w:t>第六节 其他文书、文件格式</w:t>
      </w:r>
      <w:bookmarkEnd w:id="264"/>
      <w:bookmarkEnd w:id="265"/>
      <w:bookmarkEnd w:id="266"/>
      <w:bookmarkEnd w:id="267"/>
      <w:bookmarkEnd w:id="268"/>
      <w:bookmarkEnd w:id="269"/>
    </w:p>
    <w:p w14:paraId="3B20080A">
      <w:pPr>
        <w:ind w:firstLine="422"/>
        <w:jc w:val="left"/>
        <w:rPr>
          <w:rFonts w:ascii="宋体" w:hAnsi="宋体" w:cs="宋体"/>
          <w:b/>
          <w:color w:val="auto"/>
          <w:sz w:val="28"/>
          <w:szCs w:val="28"/>
          <w:highlight w:val="none"/>
        </w:rPr>
      </w:pPr>
    </w:p>
    <w:p w14:paraId="329E6FF2">
      <w:pPr>
        <w:ind w:firstLine="422"/>
        <w:jc w:val="left"/>
        <w:rPr>
          <w:rFonts w:ascii="宋体" w:hAnsi="宋体" w:cs="宋体"/>
          <w:b/>
          <w:color w:val="auto"/>
          <w:sz w:val="28"/>
          <w:szCs w:val="28"/>
          <w:highlight w:val="none"/>
        </w:rPr>
      </w:pPr>
      <w:r>
        <w:rPr>
          <w:rFonts w:hint="eastAsia" w:ascii="宋体" w:hAnsi="宋体" w:cs="宋体"/>
          <w:b/>
          <w:color w:val="auto"/>
          <w:sz w:val="28"/>
          <w:szCs w:val="28"/>
          <w:highlight w:val="none"/>
        </w:rPr>
        <w:t>1.中小企业声明函的格式：</w:t>
      </w:r>
    </w:p>
    <w:p w14:paraId="40BC87BE">
      <w:pPr>
        <w:ind w:firstLine="452"/>
        <w:rPr>
          <w:rFonts w:ascii="宋体" w:hAnsi="宋体" w:cs="宋体"/>
          <w:b/>
          <w:color w:val="auto"/>
          <w:sz w:val="30"/>
          <w:szCs w:val="30"/>
          <w:highlight w:val="none"/>
        </w:rPr>
      </w:pPr>
    </w:p>
    <w:p w14:paraId="085415C7">
      <w:pPr>
        <w:ind w:firstLine="452"/>
        <w:jc w:val="center"/>
        <w:rPr>
          <w:rFonts w:hint="eastAsia" w:eastAsia="宋体"/>
          <w:b/>
          <w:color w:val="auto"/>
          <w:sz w:val="30"/>
          <w:szCs w:val="30"/>
          <w:highlight w:val="none"/>
          <w:lang w:eastAsia="zh-CN"/>
        </w:rPr>
      </w:pPr>
      <w:r>
        <w:rPr>
          <w:rFonts w:hint="eastAsia"/>
          <w:b/>
          <w:color w:val="auto"/>
          <w:sz w:val="30"/>
          <w:szCs w:val="30"/>
          <w:highlight w:val="none"/>
        </w:rPr>
        <w:t>中小企业声明函</w:t>
      </w:r>
      <w:r>
        <w:rPr>
          <w:rFonts w:hint="eastAsia"/>
          <w:b/>
          <w:color w:val="auto"/>
          <w:sz w:val="30"/>
          <w:szCs w:val="30"/>
          <w:highlight w:val="none"/>
          <w:lang w:eastAsia="zh-CN"/>
        </w:rPr>
        <w:t>（</w:t>
      </w:r>
      <w:r>
        <w:rPr>
          <w:rFonts w:hint="eastAsia"/>
          <w:b/>
          <w:color w:val="auto"/>
          <w:sz w:val="30"/>
          <w:szCs w:val="30"/>
          <w:highlight w:val="none"/>
          <w:lang w:val="en-US" w:eastAsia="zh-CN"/>
        </w:rPr>
        <w:t>货物，分标2适用</w:t>
      </w:r>
      <w:r>
        <w:rPr>
          <w:rFonts w:hint="eastAsia"/>
          <w:b/>
          <w:color w:val="auto"/>
          <w:sz w:val="30"/>
          <w:szCs w:val="30"/>
          <w:highlight w:val="none"/>
          <w:lang w:eastAsia="zh-CN"/>
        </w:rPr>
        <w:t>）</w:t>
      </w:r>
    </w:p>
    <w:p w14:paraId="2D9D72DE">
      <w:pPr>
        <w:ind w:firstLine="404" w:firstLineChars="200"/>
        <w:rPr>
          <w:rFonts w:hAnsi="宋体"/>
          <w:color w:val="auto"/>
          <w:spacing w:val="-4"/>
          <w:szCs w:val="21"/>
          <w:highlight w:val="none"/>
        </w:rPr>
      </w:pPr>
    </w:p>
    <w:p w14:paraId="4C1168EB">
      <w:pPr>
        <w:spacing w:line="360" w:lineRule="exact"/>
        <w:ind w:firstLine="404" w:firstLineChars="200"/>
        <w:rPr>
          <w:rFonts w:ascii="宋体" w:hAnsi="宋体" w:cs="宋体"/>
          <w:color w:val="auto"/>
          <w:spacing w:val="-4"/>
          <w:szCs w:val="21"/>
          <w:highlight w:val="none"/>
        </w:rPr>
      </w:pPr>
    </w:p>
    <w:p w14:paraId="6D3F33D0">
      <w:pPr>
        <w:spacing w:after="120" w:line="360" w:lineRule="exact"/>
        <w:ind w:left="0" w:leftChars="0" w:right="142" w:firstLine="420" w:firstLineChars="200"/>
        <w:contextualSpacing/>
        <w:rPr>
          <w:rFonts w:ascii="宋体" w:hAnsi="宋体" w:cs="宋体"/>
          <w:color w:val="auto"/>
          <w:kern w:val="24"/>
          <w:sz w:val="21"/>
          <w:szCs w:val="21"/>
          <w:highlight w:val="none"/>
        </w:rPr>
      </w:pPr>
      <w:r>
        <w:rPr>
          <w:rFonts w:hint="eastAsia" w:ascii="宋体" w:hAnsi="宋体" w:cs="宋体"/>
          <w:color w:val="auto"/>
          <w:kern w:val="24"/>
          <w:sz w:val="21"/>
          <w:szCs w:val="21"/>
          <w:highlight w:val="none"/>
        </w:rPr>
        <w:t>本公司（联合体）郑重声明，根据《政府采购促进中小企业发展管理办法》（财库﹝2020﹞46号）的规定，本公司（联合体）参加</w:t>
      </w:r>
      <w:r>
        <w:rPr>
          <w:rFonts w:hint="eastAsia" w:ascii="宋体" w:hAnsi="宋体" w:cs="宋体"/>
          <w:i/>
          <w:iCs/>
          <w:color w:val="auto"/>
          <w:kern w:val="24"/>
          <w:sz w:val="21"/>
          <w:szCs w:val="21"/>
          <w:highlight w:val="none"/>
          <w:u w:val="single"/>
        </w:rPr>
        <w:t>（单位名称）</w:t>
      </w:r>
      <w:r>
        <w:rPr>
          <w:rFonts w:hint="eastAsia" w:ascii="宋体" w:hAnsi="宋体" w:cs="宋体"/>
          <w:color w:val="auto"/>
          <w:kern w:val="24"/>
          <w:sz w:val="21"/>
          <w:szCs w:val="21"/>
          <w:highlight w:val="none"/>
        </w:rPr>
        <w:t>的</w:t>
      </w:r>
      <w:r>
        <w:rPr>
          <w:rFonts w:hint="eastAsia" w:ascii="宋体" w:hAnsi="宋体" w:cs="宋体"/>
          <w:i/>
          <w:iCs/>
          <w:color w:val="auto"/>
          <w:kern w:val="24"/>
          <w:sz w:val="21"/>
          <w:szCs w:val="21"/>
          <w:highlight w:val="none"/>
          <w:u w:val="single"/>
        </w:rPr>
        <w:t>（项目名称）</w:t>
      </w:r>
      <w:r>
        <w:rPr>
          <w:rFonts w:hint="eastAsia" w:ascii="宋体" w:hAnsi="宋体" w:cs="宋体"/>
          <w:color w:val="auto"/>
          <w:kern w:val="24"/>
          <w:sz w:val="21"/>
          <w:szCs w:val="21"/>
          <w:highlight w:val="none"/>
        </w:rPr>
        <w:t>采购活动，提供的货物全部由符合政策要求的中小企业制造。相关企业（含联合体中的中小企业、签订分包意向协议的中小企业）的具体情况如下：</w:t>
      </w:r>
    </w:p>
    <w:p w14:paraId="32DE430B">
      <w:pPr>
        <w:tabs>
          <w:tab w:val="left" w:pos="1384"/>
          <w:tab w:val="left" w:pos="4562"/>
          <w:tab w:val="left" w:pos="6803"/>
        </w:tabs>
        <w:spacing w:line="360" w:lineRule="exact"/>
        <w:ind w:left="0" w:leftChars="0" w:right="-58" w:firstLine="420" w:firstLineChars="200"/>
        <w:contextualSpacing/>
        <w:rPr>
          <w:rFonts w:ascii="宋体" w:hAnsi="宋体" w:cs="宋体"/>
          <w:color w:val="auto"/>
          <w:kern w:val="24"/>
          <w:sz w:val="21"/>
          <w:szCs w:val="21"/>
          <w:highlight w:val="none"/>
        </w:rPr>
      </w:pPr>
      <w:r>
        <w:rPr>
          <w:rFonts w:hint="eastAsia" w:ascii="宋体" w:hAnsi="宋体" w:cs="宋体"/>
          <w:color w:val="auto"/>
          <w:kern w:val="24"/>
          <w:sz w:val="21"/>
          <w:szCs w:val="21"/>
          <w:highlight w:val="none"/>
        </w:rPr>
        <w:t>1.</w:t>
      </w:r>
      <w:r>
        <w:rPr>
          <w:rFonts w:hint="eastAsia" w:ascii="宋体" w:hAnsi="宋体" w:cs="宋体"/>
          <w:i/>
          <w:iCs/>
          <w:color w:val="auto"/>
          <w:kern w:val="24"/>
          <w:sz w:val="21"/>
          <w:szCs w:val="21"/>
          <w:highlight w:val="none"/>
          <w:u w:val="single"/>
        </w:rPr>
        <w:t>（标的名称）</w:t>
      </w:r>
      <w:r>
        <w:rPr>
          <w:rFonts w:hint="eastAsia" w:ascii="宋体" w:hAnsi="宋体" w:cs="宋体"/>
          <w:color w:val="auto"/>
          <w:kern w:val="24"/>
          <w:sz w:val="21"/>
          <w:szCs w:val="21"/>
          <w:highlight w:val="none"/>
        </w:rPr>
        <w:t>，属于</w:t>
      </w:r>
      <w:r>
        <w:rPr>
          <w:rFonts w:hint="eastAsia" w:ascii="宋体" w:hAnsi="宋体" w:cs="宋体"/>
          <w:i/>
          <w:iCs/>
          <w:color w:val="auto"/>
          <w:kern w:val="24"/>
          <w:sz w:val="21"/>
          <w:szCs w:val="21"/>
          <w:highlight w:val="none"/>
          <w:u w:val="single"/>
        </w:rPr>
        <w:t>（采购文件中明确的所属行业）行业</w:t>
      </w:r>
      <w:r>
        <w:rPr>
          <w:rFonts w:hint="eastAsia" w:ascii="宋体" w:hAnsi="宋体" w:cs="宋体"/>
          <w:color w:val="auto"/>
          <w:kern w:val="24"/>
          <w:sz w:val="21"/>
          <w:szCs w:val="21"/>
          <w:highlight w:val="none"/>
        </w:rPr>
        <w:t>；制造商为</w:t>
      </w:r>
      <w:r>
        <w:rPr>
          <w:rFonts w:hint="eastAsia" w:ascii="宋体" w:hAnsi="宋体" w:cs="宋体"/>
          <w:i/>
          <w:iCs/>
          <w:color w:val="auto"/>
          <w:kern w:val="24"/>
          <w:sz w:val="21"/>
          <w:szCs w:val="21"/>
          <w:highlight w:val="none"/>
          <w:u w:val="single"/>
        </w:rPr>
        <w:t>（企业名称）</w:t>
      </w:r>
      <w:r>
        <w:rPr>
          <w:rFonts w:hint="eastAsia" w:ascii="宋体" w:hAnsi="宋体" w:cs="宋体"/>
          <w:color w:val="auto"/>
          <w:kern w:val="24"/>
          <w:sz w:val="21"/>
          <w:szCs w:val="21"/>
          <w:highlight w:val="none"/>
        </w:rPr>
        <w:t>，从业人员</w:t>
      </w:r>
      <w:r>
        <w:rPr>
          <w:rFonts w:hint="eastAsia" w:ascii="宋体" w:hAnsi="宋体" w:cs="宋体"/>
          <w:color w:val="auto"/>
          <w:kern w:val="24"/>
          <w:sz w:val="21"/>
          <w:szCs w:val="21"/>
          <w:highlight w:val="none"/>
          <w:u w:val="single"/>
        </w:rPr>
        <w:t xml:space="preserve">      </w:t>
      </w:r>
      <w:r>
        <w:rPr>
          <w:rFonts w:hint="eastAsia" w:ascii="宋体" w:hAnsi="宋体" w:cs="宋体"/>
          <w:color w:val="auto"/>
          <w:kern w:val="24"/>
          <w:sz w:val="21"/>
          <w:szCs w:val="21"/>
          <w:highlight w:val="none"/>
        </w:rPr>
        <w:t>人，营业收入为</w:t>
      </w:r>
      <w:r>
        <w:rPr>
          <w:rFonts w:hint="eastAsia" w:ascii="宋体" w:hAnsi="宋体" w:cs="宋体"/>
          <w:color w:val="auto"/>
          <w:kern w:val="24"/>
          <w:sz w:val="21"/>
          <w:szCs w:val="21"/>
          <w:highlight w:val="none"/>
          <w:u w:val="single"/>
        </w:rPr>
        <w:t xml:space="preserve">      </w:t>
      </w:r>
      <w:r>
        <w:rPr>
          <w:rFonts w:hint="eastAsia" w:ascii="宋体" w:hAnsi="宋体" w:cs="宋体"/>
          <w:color w:val="auto"/>
          <w:kern w:val="24"/>
          <w:sz w:val="21"/>
          <w:szCs w:val="21"/>
          <w:highlight w:val="none"/>
        </w:rPr>
        <w:t>万元，资产总额为</w:t>
      </w:r>
      <w:r>
        <w:rPr>
          <w:rFonts w:hint="eastAsia" w:ascii="宋体" w:hAnsi="宋体" w:cs="宋体"/>
          <w:color w:val="auto"/>
          <w:kern w:val="24"/>
          <w:sz w:val="21"/>
          <w:szCs w:val="21"/>
          <w:highlight w:val="none"/>
          <w:u w:val="single"/>
        </w:rPr>
        <w:t xml:space="preserve">      </w:t>
      </w:r>
      <w:r>
        <w:rPr>
          <w:rFonts w:hint="eastAsia" w:ascii="宋体" w:hAnsi="宋体" w:cs="宋体"/>
          <w:color w:val="auto"/>
          <w:kern w:val="24"/>
          <w:sz w:val="21"/>
          <w:szCs w:val="21"/>
          <w:highlight w:val="none"/>
        </w:rPr>
        <w:t>万元，属于</w:t>
      </w:r>
      <w:r>
        <w:rPr>
          <w:rFonts w:hint="eastAsia" w:ascii="宋体" w:hAnsi="宋体" w:cs="宋体"/>
          <w:i/>
          <w:iCs/>
          <w:color w:val="auto"/>
          <w:kern w:val="24"/>
          <w:sz w:val="21"/>
          <w:szCs w:val="21"/>
          <w:highlight w:val="none"/>
          <w:u w:val="single"/>
        </w:rPr>
        <w:t>（中型企业、小型企业、微型企业）</w:t>
      </w:r>
      <w:r>
        <w:rPr>
          <w:rFonts w:hint="eastAsia" w:ascii="宋体" w:hAnsi="宋体" w:cs="宋体"/>
          <w:color w:val="auto"/>
          <w:kern w:val="24"/>
          <w:sz w:val="21"/>
          <w:szCs w:val="21"/>
          <w:highlight w:val="none"/>
        </w:rPr>
        <w:t>；</w:t>
      </w:r>
    </w:p>
    <w:p w14:paraId="6C57B18A">
      <w:pPr>
        <w:tabs>
          <w:tab w:val="left" w:pos="1065"/>
          <w:tab w:val="left" w:pos="6477"/>
        </w:tabs>
        <w:spacing w:line="360" w:lineRule="exact"/>
        <w:ind w:left="0" w:leftChars="0" w:right="-58" w:firstLine="420" w:firstLineChars="200"/>
        <w:contextualSpacing/>
        <w:rPr>
          <w:rFonts w:ascii="宋体" w:hAnsi="宋体" w:cs="宋体"/>
          <w:color w:val="auto"/>
          <w:kern w:val="24"/>
          <w:sz w:val="21"/>
          <w:szCs w:val="21"/>
          <w:highlight w:val="none"/>
        </w:rPr>
      </w:pPr>
      <w:r>
        <w:rPr>
          <w:rFonts w:hint="eastAsia" w:ascii="宋体" w:hAnsi="宋体" w:cs="宋体"/>
          <w:color w:val="auto"/>
          <w:kern w:val="24"/>
          <w:sz w:val="21"/>
          <w:szCs w:val="21"/>
          <w:highlight w:val="none"/>
        </w:rPr>
        <w:t>2.</w:t>
      </w:r>
      <w:r>
        <w:rPr>
          <w:rFonts w:hint="eastAsia" w:ascii="宋体" w:hAnsi="宋体" w:cs="宋体"/>
          <w:i/>
          <w:iCs/>
          <w:color w:val="auto"/>
          <w:kern w:val="24"/>
          <w:sz w:val="21"/>
          <w:szCs w:val="21"/>
          <w:highlight w:val="none"/>
          <w:u w:val="single"/>
        </w:rPr>
        <w:t>（标的名称）</w:t>
      </w:r>
      <w:r>
        <w:rPr>
          <w:rFonts w:hint="eastAsia" w:ascii="宋体" w:hAnsi="宋体" w:cs="宋体"/>
          <w:color w:val="auto"/>
          <w:kern w:val="24"/>
          <w:sz w:val="21"/>
          <w:szCs w:val="21"/>
          <w:highlight w:val="none"/>
        </w:rPr>
        <w:t>，属于</w:t>
      </w:r>
      <w:r>
        <w:rPr>
          <w:rFonts w:hint="eastAsia" w:ascii="宋体" w:hAnsi="宋体" w:cs="宋体"/>
          <w:i/>
          <w:iCs/>
          <w:color w:val="auto"/>
          <w:kern w:val="24"/>
          <w:sz w:val="21"/>
          <w:szCs w:val="21"/>
          <w:highlight w:val="none"/>
          <w:u w:val="single"/>
        </w:rPr>
        <w:t>（采购文件中明确的所属行业）行业</w:t>
      </w:r>
      <w:r>
        <w:rPr>
          <w:rFonts w:hint="eastAsia" w:ascii="宋体" w:hAnsi="宋体" w:cs="宋体"/>
          <w:color w:val="auto"/>
          <w:kern w:val="24"/>
          <w:sz w:val="21"/>
          <w:szCs w:val="21"/>
          <w:highlight w:val="none"/>
        </w:rPr>
        <w:t>；制造商为</w:t>
      </w:r>
      <w:r>
        <w:rPr>
          <w:rFonts w:hint="eastAsia" w:ascii="宋体" w:hAnsi="宋体" w:cs="宋体"/>
          <w:i/>
          <w:iCs/>
          <w:color w:val="auto"/>
          <w:kern w:val="24"/>
          <w:sz w:val="21"/>
          <w:szCs w:val="21"/>
          <w:highlight w:val="none"/>
          <w:u w:val="single"/>
        </w:rPr>
        <w:t>（企业名称）</w:t>
      </w:r>
      <w:r>
        <w:rPr>
          <w:rFonts w:hint="eastAsia" w:ascii="宋体" w:hAnsi="宋体" w:cs="宋体"/>
          <w:color w:val="auto"/>
          <w:kern w:val="24"/>
          <w:sz w:val="21"/>
          <w:szCs w:val="21"/>
          <w:highlight w:val="none"/>
        </w:rPr>
        <w:t>，从业人员</w:t>
      </w:r>
      <w:r>
        <w:rPr>
          <w:rFonts w:hint="eastAsia" w:ascii="宋体" w:hAnsi="宋体" w:cs="宋体"/>
          <w:color w:val="auto"/>
          <w:kern w:val="24"/>
          <w:sz w:val="21"/>
          <w:szCs w:val="21"/>
          <w:highlight w:val="none"/>
          <w:u w:val="single"/>
        </w:rPr>
        <w:t xml:space="preserve">      </w:t>
      </w:r>
      <w:r>
        <w:rPr>
          <w:rFonts w:hint="eastAsia" w:ascii="宋体" w:hAnsi="宋体" w:cs="宋体"/>
          <w:color w:val="auto"/>
          <w:kern w:val="24"/>
          <w:sz w:val="21"/>
          <w:szCs w:val="21"/>
          <w:highlight w:val="none"/>
        </w:rPr>
        <w:t>人，营业收入为</w:t>
      </w:r>
      <w:r>
        <w:rPr>
          <w:rFonts w:hint="eastAsia" w:ascii="宋体" w:hAnsi="宋体" w:cs="宋体"/>
          <w:color w:val="auto"/>
          <w:kern w:val="24"/>
          <w:sz w:val="21"/>
          <w:szCs w:val="21"/>
          <w:highlight w:val="none"/>
          <w:u w:val="single"/>
        </w:rPr>
        <w:t xml:space="preserve">      </w:t>
      </w:r>
      <w:r>
        <w:rPr>
          <w:rFonts w:hint="eastAsia" w:ascii="宋体" w:hAnsi="宋体" w:cs="宋体"/>
          <w:color w:val="auto"/>
          <w:kern w:val="24"/>
          <w:sz w:val="21"/>
          <w:szCs w:val="21"/>
          <w:highlight w:val="none"/>
        </w:rPr>
        <w:t>万元，资产总额为</w:t>
      </w:r>
      <w:r>
        <w:rPr>
          <w:rFonts w:hint="eastAsia" w:ascii="宋体" w:hAnsi="宋体" w:cs="宋体"/>
          <w:color w:val="auto"/>
          <w:kern w:val="24"/>
          <w:sz w:val="21"/>
          <w:szCs w:val="21"/>
          <w:highlight w:val="none"/>
          <w:u w:val="single"/>
        </w:rPr>
        <w:t xml:space="preserve">      </w:t>
      </w:r>
      <w:r>
        <w:rPr>
          <w:rFonts w:hint="eastAsia" w:ascii="宋体" w:hAnsi="宋体" w:cs="宋体"/>
          <w:color w:val="auto"/>
          <w:kern w:val="24"/>
          <w:sz w:val="21"/>
          <w:szCs w:val="21"/>
          <w:highlight w:val="none"/>
        </w:rPr>
        <w:t>万元，属于</w:t>
      </w:r>
      <w:r>
        <w:rPr>
          <w:rFonts w:hint="eastAsia" w:ascii="宋体" w:hAnsi="宋体" w:cs="宋体"/>
          <w:i/>
          <w:iCs/>
          <w:color w:val="auto"/>
          <w:kern w:val="24"/>
          <w:sz w:val="21"/>
          <w:szCs w:val="21"/>
          <w:highlight w:val="none"/>
          <w:u w:val="single"/>
        </w:rPr>
        <w:t>（中型企业、小型企业、微型企业）</w:t>
      </w:r>
      <w:r>
        <w:rPr>
          <w:rFonts w:hint="eastAsia" w:ascii="宋体" w:hAnsi="宋体" w:cs="宋体"/>
          <w:color w:val="auto"/>
          <w:kern w:val="24"/>
          <w:sz w:val="21"/>
          <w:szCs w:val="21"/>
          <w:highlight w:val="none"/>
        </w:rPr>
        <w:t>；</w:t>
      </w:r>
    </w:p>
    <w:p w14:paraId="32C7A6A9">
      <w:pPr>
        <w:spacing w:after="120" w:line="360" w:lineRule="exact"/>
        <w:ind w:left="0" w:leftChars="0" w:right="142" w:firstLine="420" w:firstLineChars="200"/>
        <w:contextualSpacing/>
        <w:rPr>
          <w:rFonts w:hint="default" w:ascii="宋体" w:hAnsi="宋体" w:eastAsia="宋体" w:cs="宋体"/>
          <w:color w:val="auto"/>
          <w:kern w:val="24"/>
          <w:sz w:val="21"/>
          <w:szCs w:val="21"/>
          <w:highlight w:val="none"/>
          <w:lang w:val="en-US" w:eastAsia="zh-CN"/>
        </w:rPr>
      </w:pPr>
      <w:r>
        <w:rPr>
          <w:rFonts w:hint="eastAsia" w:ascii="宋体" w:hAnsi="宋体" w:cs="宋体"/>
          <w:color w:val="auto"/>
          <w:kern w:val="24"/>
          <w:sz w:val="21"/>
          <w:szCs w:val="21"/>
          <w:highlight w:val="none"/>
          <w:lang w:val="en-US" w:eastAsia="zh-CN"/>
        </w:rPr>
        <w:t>3.</w:t>
      </w:r>
      <w:r>
        <w:rPr>
          <w:rFonts w:hint="eastAsia" w:ascii="宋体" w:hAnsi="宋体" w:cs="宋体"/>
          <w:i/>
          <w:iCs/>
          <w:color w:val="auto"/>
          <w:kern w:val="24"/>
          <w:sz w:val="21"/>
          <w:szCs w:val="21"/>
          <w:highlight w:val="none"/>
          <w:u w:val="single"/>
        </w:rPr>
        <w:t>（标的名称）</w:t>
      </w:r>
      <w:r>
        <w:rPr>
          <w:rFonts w:hint="eastAsia" w:ascii="宋体" w:hAnsi="宋体" w:cs="宋体"/>
          <w:color w:val="auto"/>
          <w:kern w:val="24"/>
          <w:sz w:val="21"/>
          <w:szCs w:val="21"/>
          <w:highlight w:val="none"/>
        </w:rPr>
        <w:t>，属于</w:t>
      </w:r>
      <w:r>
        <w:rPr>
          <w:rFonts w:hint="eastAsia" w:ascii="宋体" w:hAnsi="宋体" w:cs="宋体"/>
          <w:i/>
          <w:iCs/>
          <w:color w:val="auto"/>
          <w:kern w:val="24"/>
          <w:sz w:val="21"/>
          <w:szCs w:val="21"/>
          <w:highlight w:val="none"/>
          <w:u w:val="single"/>
        </w:rPr>
        <w:t>（采购文件中明确的所属行业）行业</w:t>
      </w:r>
      <w:r>
        <w:rPr>
          <w:rFonts w:hint="eastAsia" w:ascii="宋体" w:hAnsi="宋体" w:cs="宋体"/>
          <w:color w:val="auto"/>
          <w:kern w:val="24"/>
          <w:sz w:val="21"/>
          <w:szCs w:val="21"/>
          <w:highlight w:val="none"/>
        </w:rPr>
        <w:t>；制造商为</w:t>
      </w:r>
      <w:r>
        <w:rPr>
          <w:rFonts w:hint="eastAsia" w:ascii="宋体" w:hAnsi="宋体" w:cs="宋体"/>
          <w:i/>
          <w:iCs/>
          <w:color w:val="auto"/>
          <w:kern w:val="24"/>
          <w:sz w:val="21"/>
          <w:szCs w:val="21"/>
          <w:highlight w:val="none"/>
          <w:u w:val="single"/>
        </w:rPr>
        <w:t>（企业名称）</w:t>
      </w:r>
      <w:r>
        <w:rPr>
          <w:rFonts w:hint="eastAsia" w:ascii="宋体" w:hAnsi="宋体" w:cs="宋体"/>
          <w:color w:val="auto"/>
          <w:kern w:val="24"/>
          <w:sz w:val="21"/>
          <w:szCs w:val="21"/>
          <w:highlight w:val="none"/>
        </w:rPr>
        <w:t>，从业人员</w:t>
      </w:r>
      <w:r>
        <w:rPr>
          <w:rFonts w:hint="eastAsia" w:ascii="宋体" w:hAnsi="宋体" w:cs="宋体"/>
          <w:color w:val="auto"/>
          <w:kern w:val="24"/>
          <w:sz w:val="21"/>
          <w:szCs w:val="21"/>
          <w:highlight w:val="none"/>
          <w:u w:val="single"/>
        </w:rPr>
        <w:t xml:space="preserve">      </w:t>
      </w:r>
      <w:r>
        <w:rPr>
          <w:rFonts w:hint="eastAsia" w:ascii="宋体" w:hAnsi="宋体" w:cs="宋体"/>
          <w:color w:val="auto"/>
          <w:kern w:val="24"/>
          <w:sz w:val="21"/>
          <w:szCs w:val="21"/>
          <w:highlight w:val="none"/>
        </w:rPr>
        <w:t>人，营业收入为</w:t>
      </w:r>
      <w:r>
        <w:rPr>
          <w:rFonts w:hint="eastAsia" w:ascii="宋体" w:hAnsi="宋体" w:cs="宋体"/>
          <w:color w:val="auto"/>
          <w:kern w:val="24"/>
          <w:sz w:val="21"/>
          <w:szCs w:val="21"/>
          <w:highlight w:val="none"/>
          <w:u w:val="single"/>
        </w:rPr>
        <w:t xml:space="preserve">      </w:t>
      </w:r>
      <w:r>
        <w:rPr>
          <w:rFonts w:hint="eastAsia" w:ascii="宋体" w:hAnsi="宋体" w:cs="宋体"/>
          <w:color w:val="auto"/>
          <w:kern w:val="24"/>
          <w:sz w:val="21"/>
          <w:szCs w:val="21"/>
          <w:highlight w:val="none"/>
        </w:rPr>
        <w:t>万元，资产总额为</w:t>
      </w:r>
      <w:r>
        <w:rPr>
          <w:rFonts w:hint="eastAsia" w:ascii="宋体" w:hAnsi="宋体" w:cs="宋体"/>
          <w:color w:val="auto"/>
          <w:kern w:val="24"/>
          <w:sz w:val="21"/>
          <w:szCs w:val="21"/>
          <w:highlight w:val="none"/>
          <w:u w:val="single"/>
        </w:rPr>
        <w:t xml:space="preserve">      </w:t>
      </w:r>
      <w:r>
        <w:rPr>
          <w:rFonts w:hint="eastAsia" w:ascii="宋体" w:hAnsi="宋体" w:cs="宋体"/>
          <w:color w:val="auto"/>
          <w:kern w:val="24"/>
          <w:sz w:val="21"/>
          <w:szCs w:val="21"/>
          <w:highlight w:val="none"/>
        </w:rPr>
        <w:t>万元，属于</w:t>
      </w:r>
      <w:r>
        <w:rPr>
          <w:rFonts w:hint="eastAsia" w:ascii="宋体" w:hAnsi="宋体" w:cs="宋体"/>
          <w:i/>
          <w:iCs/>
          <w:color w:val="auto"/>
          <w:kern w:val="24"/>
          <w:sz w:val="21"/>
          <w:szCs w:val="21"/>
          <w:highlight w:val="none"/>
          <w:u w:val="single"/>
        </w:rPr>
        <w:t>（中型企业、小型企业、微型企业）</w:t>
      </w:r>
      <w:r>
        <w:rPr>
          <w:rFonts w:hint="eastAsia" w:ascii="宋体" w:hAnsi="宋体" w:cs="宋体"/>
          <w:color w:val="auto"/>
          <w:kern w:val="24"/>
          <w:sz w:val="21"/>
          <w:szCs w:val="21"/>
          <w:highlight w:val="none"/>
        </w:rPr>
        <w:t>；</w:t>
      </w:r>
    </w:p>
    <w:p w14:paraId="5C0468C4">
      <w:pPr>
        <w:spacing w:after="120" w:line="360" w:lineRule="exact"/>
        <w:ind w:left="0" w:leftChars="0" w:right="142" w:firstLine="420" w:firstLineChars="200"/>
        <w:contextualSpacing/>
        <w:rPr>
          <w:rFonts w:ascii="宋体" w:hAnsi="宋体" w:cs="宋体"/>
          <w:color w:val="auto"/>
          <w:kern w:val="24"/>
          <w:sz w:val="21"/>
          <w:szCs w:val="21"/>
          <w:highlight w:val="none"/>
        </w:rPr>
      </w:pPr>
      <w:r>
        <w:rPr>
          <w:rFonts w:hint="eastAsia" w:ascii="宋体" w:hAnsi="宋体" w:cs="宋体"/>
          <w:color w:val="auto"/>
          <w:kern w:val="24"/>
          <w:sz w:val="21"/>
          <w:szCs w:val="21"/>
          <w:highlight w:val="none"/>
        </w:rPr>
        <w:t xml:space="preserve">…… </w:t>
      </w:r>
    </w:p>
    <w:p w14:paraId="02FADE07">
      <w:pPr>
        <w:spacing w:after="120" w:line="360" w:lineRule="exact"/>
        <w:ind w:left="0" w:leftChars="0" w:right="142" w:firstLine="420" w:firstLineChars="200"/>
        <w:contextualSpacing/>
        <w:rPr>
          <w:rFonts w:ascii="宋体" w:hAnsi="宋体" w:cs="宋体"/>
          <w:color w:val="auto"/>
          <w:kern w:val="24"/>
          <w:sz w:val="21"/>
          <w:szCs w:val="21"/>
          <w:highlight w:val="none"/>
        </w:rPr>
      </w:pPr>
      <w:r>
        <w:rPr>
          <w:rFonts w:hint="eastAsia" w:ascii="宋体" w:hAnsi="宋体" w:cs="宋体"/>
          <w:color w:val="auto"/>
          <w:kern w:val="24"/>
          <w:sz w:val="21"/>
          <w:szCs w:val="21"/>
          <w:highlight w:val="none"/>
        </w:rPr>
        <w:t>以上企业，不属于大企业的分支机构，不存在控股股东为大企业的情形，也不存在与大企业的负责人为同一人的情形。</w:t>
      </w:r>
    </w:p>
    <w:p w14:paraId="34BBA555">
      <w:pPr>
        <w:spacing w:after="120" w:line="360" w:lineRule="exact"/>
        <w:ind w:left="0" w:leftChars="0" w:right="142" w:firstLine="420" w:firstLineChars="200"/>
        <w:contextualSpacing/>
        <w:rPr>
          <w:rFonts w:ascii="宋体" w:hAnsi="宋体" w:cs="宋体"/>
          <w:color w:val="auto"/>
          <w:kern w:val="24"/>
          <w:sz w:val="21"/>
          <w:szCs w:val="21"/>
          <w:highlight w:val="none"/>
        </w:rPr>
      </w:pPr>
      <w:r>
        <w:rPr>
          <w:rFonts w:hint="eastAsia" w:ascii="宋体" w:hAnsi="宋体" w:cs="宋体"/>
          <w:color w:val="auto"/>
          <w:kern w:val="24"/>
          <w:sz w:val="21"/>
          <w:szCs w:val="21"/>
          <w:highlight w:val="none"/>
        </w:rPr>
        <w:t>本企业对上述声明内容的真实性负责。如有虚假，将依法承担相应责任。</w:t>
      </w:r>
    </w:p>
    <w:p w14:paraId="47490899">
      <w:pPr>
        <w:spacing w:line="360" w:lineRule="auto"/>
        <w:ind w:left="0" w:leftChars="0" w:firstLine="420" w:firstLineChars="200"/>
        <w:rPr>
          <w:rFonts w:ascii="宋体" w:hAnsi="宋体" w:cs="宋体"/>
          <w:color w:val="auto"/>
          <w:sz w:val="21"/>
          <w:szCs w:val="21"/>
          <w:highlight w:val="none"/>
        </w:rPr>
      </w:pPr>
    </w:p>
    <w:p w14:paraId="0D89E74A">
      <w:pPr>
        <w:spacing w:line="360" w:lineRule="auto"/>
        <w:ind w:left="0" w:leftChars="0" w:firstLine="420" w:firstLineChars="200"/>
        <w:rPr>
          <w:rFonts w:ascii="宋体" w:hAnsi="宋体" w:cs="宋体"/>
          <w:color w:val="auto"/>
          <w:sz w:val="21"/>
          <w:szCs w:val="21"/>
          <w:highlight w:val="none"/>
        </w:rPr>
      </w:pPr>
    </w:p>
    <w:p w14:paraId="6AAD52F7">
      <w:pPr>
        <w:snapToGrid w:val="0"/>
        <w:spacing w:line="360" w:lineRule="auto"/>
        <w:ind w:left="0" w:leftChars="0" w:firstLine="420" w:firstLineChars="200"/>
        <w:rPr>
          <w:rFonts w:ascii="宋体" w:hAnsi="宋体" w:cs="宋体"/>
          <w:color w:val="auto"/>
          <w:kern w:val="0"/>
          <w:sz w:val="21"/>
          <w:szCs w:val="21"/>
          <w:highlight w:val="none"/>
        </w:rPr>
      </w:pPr>
      <w:r>
        <w:rPr>
          <w:rFonts w:hint="eastAsia" w:ascii="宋体" w:hAnsi="宋体" w:cs="宋体"/>
          <w:color w:val="auto"/>
          <w:kern w:val="0"/>
          <w:sz w:val="21"/>
          <w:szCs w:val="21"/>
          <w:highlight w:val="none"/>
          <w:lang w:val="zh-CN"/>
        </w:rPr>
        <w:t>投标人名称(盖公章)：</w:t>
      </w:r>
    </w:p>
    <w:p w14:paraId="1B9039B9">
      <w:pPr>
        <w:snapToGrid w:val="0"/>
        <w:spacing w:line="360" w:lineRule="auto"/>
        <w:ind w:left="0" w:leftChars="0" w:firstLine="420" w:firstLineChars="200"/>
        <w:rPr>
          <w:rFonts w:ascii="宋体" w:hAnsi="宋体" w:cs="宋体"/>
          <w:color w:val="auto"/>
          <w:kern w:val="0"/>
          <w:sz w:val="21"/>
          <w:szCs w:val="21"/>
          <w:highlight w:val="none"/>
          <w:lang w:val="zh-CN"/>
        </w:rPr>
      </w:pPr>
      <w:r>
        <w:rPr>
          <w:rFonts w:hint="eastAsia" w:ascii="宋体" w:hAnsi="宋体" w:cs="宋体"/>
          <w:color w:val="auto"/>
          <w:kern w:val="0"/>
          <w:sz w:val="21"/>
          <w:szCs w:val="21"/>
          <w:highlight w:val="none"/>
          <w:lang w:val="zh-CN"/>
        </w:rPr>
        <w:t>日期</w:t>
      </w:r>
      <w:r>
        <w:rPr>
          <w:rFonts w:hint="eastAsia" w:ascii="宋体" w:hAnsi="宋体" w:cs="宋体"/>
          <w:color w:val="auto"/>
          <w:kern w:val="0"/>
          <w:sz w:val="21"/>
          <w:szCs w:val="21"/>
          <w:highlight w:val="none"/>
        </w:rPr>
        <w:t xml:space="preserve">：  年  </w:t>
      </w:r>
      <w:r>
        <w:rPr>
          <w:rFonts w:hint="eastAsia" w:ascii="宋体" w:hAnsi="宋体" w:cs="宋体"/>
          <w:color w:val="auto"/>
          <w:kern w:val="0"/>
          <w:sz w:val="21"/>
          <w:szCs w:val="21"/>
          <w:highlight w:val="none"/>
          <w:lang w:val="zh-CN"/>
        </w:rPr>
        <w:t>月</w:t>
      </w:r>
      <w:r>
        <w:rPr>
          <w:rFonts w:hint="eastAsia" w:ascii="宋体" w:hAnsi="宋体" w:cs="宋体"/>
          <w:color w:val="auto"/>
          <w:kern w:val="0"/>
          <w:sz w:val="21"/>
          <w:szCs w:val="21"/>
          <w:highlight w:val="none"/>
        </w:rPr>
        <w:t xml:space="preserve">   </w:t>
      </w:r>
      <w:r>
        <w:rPr>
          <w:rFonts w:hint="eastAsia" w:ascii="宋体" w:hAnsi="宋体" w:cs="宋体"/>
          <w:color w:val="auto"/>
          <w:kern w:val="0"/>
          <w:sz w:val="21"/>
          <w:szCs w:val="21"/>
          <w:highlight w:val="none"/>
          <w:lang w:val="zh-CN"/>
        </w:rPr>
        <w:t>日</w:t>
      </w:r>
    </w:p>
    <w:p w14:paraId="36D267D3">
      <w:pPr>
        <w:spacing w:line="360" w:lineRule="auto"/>
        <w:ind w:firstLine="420" w:firstLineChars="200"/>
        <w:rPr>
          <w:rFonts w:ascii="宋体" w:hAnsi="宋体" w:cs="宋体"/>
          <w:color w:val="auto"/>
          <w:szCs w:val="21"/>
          <w:highlight w:val="none"/>
        </w:rPr>
      </w:pPr>
    </w:p>
    <w:p w14:paraId="0C30CE9E">
      <w:pPr>
        <w:spacing w:before="50" w:afterLines="50" w:line="360" w:lineRule="auto"/>
        <w:ind w:firstLine="404" w:firstLineChars="200"/>
        <w:rPr>
          <w:rFonts w:ascii="宋体" w:hAnsi="宋体" w:cs="宋体"/>
          <w:color w:val="auto"/>
          <w:spacing w:val="-4"/>
          <w:szCs w:val="21"/>
          <w:highlight w:val="none"/>
        </w:rPr>
      </w:pPr>
      <w:r>
        <w:rPr>
          <w:rFonts w:hint="eastAsia" w:ascii="宋体" w:hAnsi="宋体" w:cs="宋体"/>
          <w:color w:val="auto"/>
          <w:spacing w:val="-4"/>
          <w:szCs w:val="21"/>
          <w:highlight w:val="none"/>
        </w:rPr>
        <w:t>注：</w:t>
      </w:r>
    </w:p>
    <w:p w14:paraId="10589592">
      <w:pPr>
        <w:spacing w:line="360" w:lineRule="auto"/>
        <w:ind w:firstLine="404" w:firstLineChars="200"/>
        <w:rPr>
          <w:rFonts w:hint="eastAsia" w:ascii="宋体" w:hAnsi="宋体" w:cs="宋体"/>
          <w:color w:val="auto"/>
          <w:spacing w:val="-4"/>
          <w:szCs w:val="21"/>
          <w:highlight w:val="none"/>
        </w:rPr>
      </w:pPr>
      <w:r>
        <w:rPr>
          <w:rFonts w:hint="eastAsia" w:ascii="宋体" w:hAnsi="宋体" w:cs="宋体"/>
          <w:color w:val="auto"/>
          <w:spacing w:val="-4"/>
          <w:szCs w:val="21"/>
          <w:highlight w:val="none"/>
        </w:rPr>
        <w:t>1、从业人员、营业收入、资产总额填报上一年度数据，无上一年度数据的新成立企业可不填报。</w:t>
      </w:r>
    </w:p>
    <w:p w14:paraId="5B2F89AC">
      <w:pPr>
        <w:spacing w:line="360" w:lineRule="auto"/>
        <w:ind w:firstLine="404" w:firstLineChars="200"/>
        <w:rPr>
          <w:rFonts w:ascii="宋体" w:hAnsi="宋体" w:cs="宋体"/>
          <w:color w:val="auto"/>
          <w:spacing w:val="-4"/>
          <w:szCs w:val="21"/>
          <w:highlight w:val="none"/>
        </w:rPr>
      </w:pPr>
      <w:r>
        <w:rPr>
          <w:rFonts w:hint="eastAsia" w:ascii="宋体" w:hAnsi="宋体" w:cs="宋体"/>
          <w:color w:val="auto"/>
          <w:spacing w:val="-4"/>
          <w:szCs w:val="21"/>
          <w:highlight w:val="none"/>
        </w:rPr>
        <w:t>2、请根据自己的真实情况出具《中小企业声明函》。依法享受中小企业扶持政策的，采购人或者采购代理机构在公告中标结果时，同时公告其《中小企业声明函》，接受社会监督。</w:t>
      </w:r>
    </w:p>
    <w:p w14:paraId="210089D6">
      <w:pPr>
        <w:spacing w:line="360" w:lineRule="auto"/>
        <w:ind w:firstLine="406" w:firstLineChars="200"/>
        <w:rPr>
          <w:rFonts w:ascii="宋体" w:hAnsi="宋体" w:cs="宋体"/>
          <w:b/>
          <w:bCs/>
          <w:color w:val="auto"/>
          <w:spacing w:val="-4"/>
          <w:szCs w:val="21"/>
          <w:highlight w:val="none"/>
        </w:rPr>
      </w:pPr>
      <w:r>
        <w:rPr>
          <w:rFonts w:hint="eastAsia" w:ascii="宋体" w:hAnsi="宋体" w:cs="宋体"/>
          <w:b/>
          <w:bCs/>
          <w:color w:val="auto"/>
          <w:spacing w:val="-4"/>
          <w:szCs w:val="21"/>
          <w:highlight w:val="none"/>
        </w:rPr>
        <w:t>3、本声明函主要供参加政府采购活动的中小企业填写，非中小企业无需填写。</w:t>
      </w:r>
    </w:p>
    <w:p w14:paraId="37BCC07B">
      <w:pPr>
        <w:spacing w:line="360" w:lineRule="auto"/>
        <w:ind w:firstLine="406" w:firstLineChars="200"/>
        <w:rPr>
          <w:rFonts w:ascii="宋体" w:hAnsi="宋体" w:cs="宋体"/>
          <w:b/>
          <w:bCs/>
          <w:color w:val="auto"/>
          <w:spacing w:val="-4"/>
          <w:szCs w:val="21"/>
          <w:highlight w:val="none"/>
        </w:rPr>
      </w:pPr>
      <w:r>
        <w:rPr>
          <w:rFonts w:hint="eastAsia" w:ascii="宋体" w:hAnsi="宋体" w:cs="宋体"/>
          <w:b/>
          <w:bCs/>
          <w:color w:val="auto"/>
          <w:spacing w:val="-4"/>
          <w:szCs w:val="21"/>
          <w:highlight w:val="none"/>
        </w:rPr>
        <w:t>4、小型、微型企业提供中型企业提供的货物的，视同为中型企业。</w:t>
      </w:r>
    </w:p>
    <w:p w14:paraId="447B833C">
      <w:pPr>
        <w:pStyle w:val="14"/>
        <w:ind w:firstLine="602" w:firstLineChars="200"/>
        <w:jc w:val="center"/>
        <w:rPr>
          <w:rFonts w:hAnsi="宋体"/>
          <w:color w:val="auto"/>
          <w:sz w:val="24"/>
          <w:szCs w:val="24"/>
          <w:highlight w:val="none"/>
        </w:rPr>
      </w:pPr>
      <w:r>
        <w:rPr>
          <w:rFonts w:hint="eastAsia" w:ascii="宋体" w:hAnsi="宋体" w:cs="宋体"/>
          <w:b/>
          <w:color w:val="auto"/>
          <w:sz w:val="30"/>
          <w:szCs w:val="30"/>
          <w:highlight w:val="none"/>
        </w:rPr>
        <w:br w:type="page"/>
      </w:r>
      <w:r>
        <w:rPr>
          <w:rFonts w:hAnsi="宋体"/>
          <w:color w:val="auto"/>
          <w:sz w:val="30"/>
          <w:szCs w:val="30"/>
          <w:highlight w:val="none"/>
        </w:rPr>
        <w:t>中小企业声明函（服务</w:t>
      </w:r>
      <w:r>
        <w:rPr>
          <w:rFonts w:hint="eastAsia" w:hAnsi="宋体"/>
          <w:color w:val="auto"/>
          <w:sz w:val="30"/>
          <w:szCs w:val="30"/>
          <w:highlight w:val="none"/>
          <w:lang w:eastAsia="zh-CN"/>
        </w:rPr>
        <w:t>，</w:t>
      </w:r>
      <w:r>
        <w:rPr>
          <w:rFonts w:hint="eastAsia" w:hAnsi="宋体"/>
          <w:color w:val="auto"/>
          <w:sz w:val="30"/>
          <w:szCs w:val="30"/>
          <w:highlight w:val="none"/>
          <w:lang w:val="en-US" w:eastAsia="zh-CN"/>
        </w:rPr>
        <w:t>分标1、3、4、5、6适用</w:t>
      </w:r>
      <w:r>
        <w:rPr>
          <w:rFonts w:hAnsi="宋体"/>
          <w:color w:val="auto"/>
          <w:sz w:val="30"/>
          <w:szCs w:val="30"/>
          <w:highlight w:val="none"/>
        </w:rPr>
        <w:t>）</w:t>
      </w:r>
    </w:p>
    <w:p w14:paraId="690917F2">
      <w:pPr>
        <w:rPr>
          <w:rFonts w:hint="eastAsia"/>
          <w:color w:val="auto"/>
          <w:highlight w:val="none"/>
        </w:rPr>
      </w:pPr>
    </w:p>
    <w:p w14:paraId="69C350A9">
      <w:pPr>
        <w:pStyle w:val="14"/>
        <w:spacing w:line="400" w:lineRule="exact"/>
        <w:ind w:firstLine="480" w:firstLineChars="200"/>
        <w:jc w:val="left"/>
        <w:rPr>
          <w:rFonts w:hAnsi="宋体"/>
          <w:b w:val="0"/>
          <w:bCs/>
          <w:color w:val="auto"/>
          <w:sz w:val="24"/>
          <w:szCs w:val="24"/>
          <w:highlight w:val="none"/>
        </w:rPr>
      </w:pPr>
      <w:r>
        <w:rPr>
          <w:rFonts w:hAnsi="宋体"/>
          <w:b w:val="0"/>
          <w:bCs/>
          <w:color w:val="auto"/>
          <w:sz w:val="24"/>
          <w:szCs w:val="24"/>
          <w:highlight w:val="none"/>
        </w:rPr>
        <w:t>本公司（联合体）郑重声明，根据《政府采购促进中小企业发展管理办法》（财库〔2020〕46号）的规定，本公司（联合体）参加</w:t>
      </w:r>
      <w:r>
        <w:rPr>
          <w:rFonts w:hAnsi="宋体"/>
          <w:b w:val="0"/>
          <w:bCs/>
          <w:color w:val="auto"/>
          <w:sz w:val="24"/>
          <w:szCs w:val="24"/>
          <w:highlight w:val="none"/>
          <w:u w:val="single"/>
        </w:rPr>
        <w:t>（单位名称）</w:t>
      </w:r>
      <w:r>
        <w:rPr>
          <w:rFonts w:hAnsi="宋体"/>
          <w:b w:val="0"/>
          <w:bCs/>
          <w:color w:val="auto"/>
          <w:sz w:val="24"/>
          <w:szCs w:val="24"/>
          <w:highlight w:val="none"/>
        </w:rPr>
        <w:t xml:space="preserve">的 </w:t>
      </w:r>
      <w:r>
        <w:rPr>
          <w:rFonts w:hAnsi="宋体"/>
          <w:b w:val="0"/>
          <w:bCs/>
          <w:color w:val="auto"/>
          <w:sz w:val="24"/>
          <w:szCs w:val="24"/>
          <w:highlight w:val="none"/>
          <w:u w:val="single"/>
        </w:rPr>
        <w:t>（项目名称）</w:t>
      </w:r>
      <w:r>
        <w:rPr>
          <w:rFonts w:hAnsi="宋体"/>
          <w:b w:val="0"/>
          <w:bCs/>
          <w:color w:val="auto"/>
          <w:sz w:val="24"/>
          <w:szCs w:val="24"/>
          <w:highlight w:val="none"/>
        </w:rPr>
        <w:t>采购活动，服务全部由符合政策要求的中小企业承接。相关企业（含联合体中的中小企业、签订分包意向协议的中小企业）的具体情况如下：</w:t>
      </w:r>
    </w:p>
    <w:p w14:paraId="344E7896">
      <w:pPr>
        <w:pStyle w:val="14"/>
        <w:spacing w:line="400" w:lineRule="exact"/>
        <w:ind w:firstLine="480" w:firstLineChars="200"/>
        <w:jc w:val="left"/>
        <w:rPr>
          <w:rFonts w:hAnsi="宋体"/>
          <w:b w:val="0"/>
          <w:bCs/>
          <w:color w:val="auto"/>
          <w:sz w:val="24"/>
          <w:szCs w:val="24"/>
          <w:highlight w:val="none"/>
        </w:rPr>
      </w:pPr>
      <w:r>
        <w:rPr>
          <w:rFonts w:hAnsi="宋体"/>
          <w:b w:val="0"/>
          <w:bCs/>
          <w:color w:val="auto"/>
          <w:sz w:val="24"/>
          <w:szCs w:val="24"/>
          <w:highlight w:val="none"/>
        </w:rPr>
        <w:t>1.</w:t>
      </w:r>
      <w:r>
        <w:rPr>
          <w:rFonts w:hAnsi="宋体"/>
          <w:b w:val="0"/>
          <w:bCs/>
          <w:color w:val="auto"/>
          <w:sz w:val="24"/>
          <w:szCs w:val="24"/>
          <w:highlight w:val="none"/>
          <w:u w:val="single"/>
        </w:rPr>
        <w:t xml:space="preserve">（标的名称） </w:t>
      </w:r>
      <w:r>
        <w:rPr>
          <w:rFonts w:hAnsi="宋体"/>
          <w:b w:val="0"/>
          <w:bCs/>
          <w:color w:val="auto"/>
          <w:sz w:val="24"/>
          <w:szCs w:val="24"/>
          <w:highlight w:val="none"/>
        </w:rPr>
        <w:t>，属于</w:t>
      </w:r>
      <w:r>
        <w:rPr>
          <w:rFonts w:hAnsi="宋体"/>
          <w:b w:val="0"/>
          <w:bCs/>
          <w:color w:val="auto"/>
          <w:sz w:val="24"/>
          <w:szCs w:val="24"/>
          <w:highlight w:val="none"/>
          <w:u w:val="single"/>
        </w:rPr>
        <w:t>（</w:t>
      </w:r>
      <w:r>
        <w:rPr>
          <w:rFonts w:hint="eastAsia" w:hAnsi="宋体"/>
          <w:b w:val="0"/>
          <w:bCs/>
          <w:color w:val="auto"/>
          <w:sz w:val="24"/>
          <w:szCs w:val="24"/>
          <w:highlight w:val="none"/>
          <w:u w:val="single"/>
          <w:lang w:val="en-US" w:eastAsia="zh-CN"/>
        </w:rPr>
        <w:t>采购</w:t>
      </w:r>
      <w:r>
        <w:rPr>
          <w:rFonts w:hAnsi="宋体"/>
          <w:b w:val="0"/>
          <w:bCs/>
          <w:color w:val="auto"/>
          <w:sz w:val="24"/>
          <w:szCs w:val="24"/>
          <w:highlight w:val="none"/>
          <w:u w:val="single"/>
        </w:rPr>
        <w:t xml:space="preserve">文件中明确的所属行业） </w:t>
      </w:r>
      <w:r>
        <w:rPr>
          <w:rFonts w:hAnsi="宋体"/>
          <w:b w:val="0"/>
          <w:bCs/>
          <w:color w:val="auto"/>
          <w:sz w:val="24"/>
          <w:szCs w:val="24"/>
          <w:highlight w:val="none"/>
        </w:rPr>
        <w:t>；承建（承接）企业为</w:t>
      </w:r>
      <w:r>
        <w:rPr>
          <w:rFonts w:hAnsi="宋体"/>
          <w:b w:val="0"/>
          <w:bCs/>
          <w:color w:val="auto"/>
          <w:sz w:val="24"/>
          <w:szCs w:val="24"/>
          <w:highlight w:val="none"/>
          <w:u w:val="single"/>
        </w:rPr>
        <w:t xml:space="preserve">（企业名称） </w:t>
      </w:r>
      <w:r>
        <w:rPr>
          <w:rFonts w:hAnsi="宋体"/>
          <w:b w:val="0"/>
          <w:bCs/>
          <w:color w:val="auto"/>
          <w:sz w:val="24"/>
          <w:szCs w:val="24"/>
          <w:highlight w:val="none"/>
        </w:rPr>
        <w:t>，从业人员</w:t>
      </w:r>
      <w:r>
        <w:rPr>
          <w:rFonts w:hAnsi="宋体"/>
          <w:b w:val="0"/>
          <w:bCs/>
          <w:color w:val="auto"/>
          <w:sz w:val="24"/>
          <w:szCs w:val="24"/>
          <w:highlight w:val="none"/>
          <w:u w:val="single"/>
        </w:rPr>
        <w:t xml:space="preserve">     </w:t>
      </w:r>
      <w:r>
        <w:rPr>
          <w:rFonts w:hAnsi="宋体"/>
          <w:b w:val="0"/>
          <w:bCs/>
          <w:color w:val="auto"/>
          <w:sz w:val="24"/>
          <w:szCs w:val="24"/>
          <w:highlight w:val="none"/>
        </w:rPr>
        <w:t>人，营业收入为</w:t>
      </w:r>
      <w:r>
        <w:rPr>
          <w:rFonts w:hAnsi="宋体"/>
          <w:b w:val="0"/>
          <w:bCs/>
          <w:color w:val="auto"/>
          <w:sz w:val="24"/>
          <w:szCs w:val="24"/>
          <w:highlight w:val="none"/>
          <w:u w:val="single"/>
        </w:rPr>
        <w:t xml:space="preserve">     </w:t>
      </w:r>
      <w:r>
        <w:rPr>
          <w:rFonts w:hAnsi="宋体"/>
          <w:b w:val="0"/>
          <w:bCs/>
          <w:color w:val="auto"/>
          <w:sz w:val="24"/>
          <w:szCs w:val="24"/>
          <w:highlight w:val="none"/>
        </w:rPr>
        <w:t>万元，资产总额为</w:t>
      </w:r>
      <w:r>
        <w:rPr>
          <w:rFonts w:hAnsi="宋体"/>
          <w:b w:val="0"/>
          <w:bCs/>
          <w:color w:val="auto"/>
          <w:sz w:val="24"/>
          <w:szCs w:val="24"/>
          <w:highlight w:val="none"/>
          <w:u w:val="single"/>
        </w:rPr>
        <w:t xml:space="preserve">      </w:t>
      </w:r>
      <w:r>
        <w:rPr>
          <w:rFonts w:hAnsi="宋体"/>
          <w:b w:val="0"/>
          <w:bCs/>
          <w:color w:val="auto"/>
          <w:sz w:val="24"/>
          <w:szCs w:val="24"/>
          <w:highlight w:val="none"/>
        </w:rPr>
        <w:t>万元，属于</w:t>
      </w:r>
      <w:r>
        <w:rPr>
          <w:rFonts w:hAnsi="宋体"/>
          <w:b w:val="0"/>
          <w:bCs/>
          <w:color w:val="auto"/>
          <w:sz w:val="24"/>
          <w:szCs w:val="24"/>
          <w:highlight w:val="none"/>
          <w:u w:val="single"/>
        </w:rPr>
        <w:t xml:space="preserve">（中型企业、小型企业、微型企业） </w:t>
      </w:r>
      <w:r>
        <w:rPr>
          <w:rFonts w:hAnsi="宋体"/>
          <w:b w:val="0"/>
          <w:bCs/>
          <w:color w:val="auto"/>
          <w:sz w:val="24"/>
          <w:szCs w:val="24"/>
          <w:highlight w:val="none"/>
        </w:rPr>
        <w:t>；</w:t>
      </w:r>
    </w:p>
    <w:p w14:paraId="3578B465">
      <w:pPr>
        <w:pStyle w:val="14"/>
        <w:spacing w:line="400" w:lineRule="exact"/>
        <w:ind w:firstLine="480" w:firstLineChars="200"/>
        <w:jc w:val="left"/>
        <w:rPr>
          <w:rFonts w:hAnsi="宋体"/>
          <w:b w:val="0"/>
          <w:bCs/>
          <w:color w:val="auto"/>
          <w:sz w:val="24"/>
          <w:szCs w:val="24"/>
          <w:highlight w:val="none"/>
        </w:rPr>
      </w:pPr>
      <w:r>
        <w:rPr>
          <w:rFonts w:hAnsi="宋体"/>
          <w:b w:val="0"/>
          <w:bCs/>
          <w:color w:val="auto"/>
          <w:sz w:val="24"/>
          <w:szCs w:val="24"/>
          <w:highlight w:val="none"/>
        </w:rPr>
        <w:t>2.</w:t>
      </w:r>
      <w:r>
        <w:rPr>
          <w:rFonts w:hAnsi="宋体"/>
          <w:b w:val="0"/>
          <w:bCs/>
          <w:color w:val="auto"/>
          <w:sz w:val="24"/>
          <w:szCs w:val="24"/>
          <w:highlight w:val="none"/>
          <w:u w:val="single"/>
        </w:rPr>
        <w:t xml:space="preserve">（标的名称） </w:t>
      </w:r>
      <w:r>
        <w:rPr>
          <w:rFonts w:hAnsi="宋体"/>
          <w:b w:val="0"/>
          <w:bCs/>
          <w:color w:val="auto"/>
          <w:sz w:val="24"/>
          <w:szCs w:val="24"/>
          <w:highlight w:val="none"/>
        </w:rPr>
        <w:t>，属于</w:t>
      </w:r>
      <w:r>
        <w:rPr>
          <w:rFonts w:hAnsi="宋体"/>
          <w:b w:val="0"/>
          <w:bCs/>
          <w:color w:val="auto"/>
          <w:sz w:val="24"/>
          <w:szCs w:val="24"/>
          <w:highlight w:val="none"/>
          <w:u w:val="single"/>
        </w:rPr>
        <w:t>（</w:t>
      </w:r>
      <w:r>
        <w:rPr>
          <w:rFonts w:hint="eastAsia" w:hAnsi="宋体"/>
          <w:b w:val="0"/>
          <w:bCs/>
          <w:color w:val="auto"/>
          <w:sz w:val="24"/>
          <w:szCs w:val="24"/>
          <w:highlight w:val="none"/>
          <w:u w:val="single"/>
          <w:lang w:val="en-US" w:eastAsia="zh-CN"/>
        </w:rPr>
        <w:t>采购</w:t>
      </w:r>
      <w:r>
        <w:rPr>
          <w:rFonts w:hAnsi="宋体"/>
          <w:b w:val="0"/>
          <w:bCs/>
          <w:color w:val="auto"/>
          <w:sz w:val="24"/>
          <w:szCs w:val="24"/>
          <w:highlight w:val="none"/>
          <w:u w:val="single"/>
        </w:rPr>
        <w:t xml:space="preserve">文件中明确的所属行业） </w:t>
      </w:r>
      <w:r>
        <w:rPr>
          <w:rFonts w:hAnsi="宋体"/>
          <w:b w:val="0"/>
          <w:bCs/>
          <w:color w:val="auto"/>
          <w:sz w:val="24"/>
          <w:szCs w:val="24"/>
          <w:highlight w:val="none"/>
        </w:rPr>
        <w:t>；承建（承接）企业为</w:t>
      </w:r>
      <w:r>
        <w:rPr>
          <w:rFonts w:hAnsi="宋体"/>
          <w:b w:val="0"/>
          <w:bCs/>
          <w:color w:val="auto"/>
          <w:sz w:val="24"/>
          <w:szCs w:val="24"/>
          <w:highlight w:val="none"/>
          <w:u w:val="single"/>
        </w:rPr>
        <w:t xml:space="preserve">（企业名称） </w:t>
      </w:r>
      <w:r>
        <w:rPr>
          <w:rFonts w:hAnsi="宋体"/>
          <w:b w:val="0"/>
          <w:bCs/>
          <w:color w:val="auto"/>
          <w:sz w:val="24"/>
          <w:szCs w:val="24"/>
          <w:highlight w:val="none"/>
        </w:rPr>
        <w:t>，从业人员</w:t>
      </w:r>
      <w:r>
        <w:rPr>
          <w:rFonts w:hAnsi="宋体"/>
          <w:b w:val="0"/>
          <w:bCs/>
          <w:color w:val="auto"/>
          <w:sz w:val="24"/>
          <w:szCs w:val="24"/>
          <w:highlight w:val="none"/>
          <w:u w:val="single"/>
        </w:rPr>
        <w:t xml:space="preserve">     </w:t>
      </w:r>
      <w:r>
        <w:rPr>
          <w:rFonts w:hAnsi="宋体"/>
          <w:b w:val="0"/>
          <w:bCs/>
          <w:color w:val="auto"/>
          <w:sz w:val="24"/>
          <w:szCs w:val="24"/>
          <w:highlight w:val="none"/>
        </w:rPr>
        <w:t>人，营业收入为</w:t>
      </w:r>
      <w:r>
        <w:rPr>
          <w:rFonts w:hAnsi="宋体"/>
          <w:b w:val="0"/>
          <w:bCs/>
          <w:color w:val="auto"/>
          <w:sz w:val="24"/>
          <w:szCs w:val="24"/>
          <w:highlight w:val="none"/>
          <w:u w:val="single"/>
        </w:rPr>
        <w:t xml:space="preserve">     </w:t>
      </w:r>
      <w:r>
        <w:rPr>
          <w:rFonts w:hAnsi="宋体"/>
          <w:b w:val="0"/>
          <w:bCs/>
          <w:color w:val="auto"/>
          <w:sz w:val="24"/>
          <w:szCs w:val="24"/>
          <w:highlight w:val="none"/>
        </w:rPr>
        <w:t>万元，资产总额为</w:t>
      </w:r>
      <w:r>
        <w:rPr>
          <w:rFonts w:hAnsi="宋体"/>
          <w:b w:val="0"/>
          <w:bCs/>
          <w:color w:val="auto"/>
          <w:sz w:val="24"/>
          <w:szCs w:val="24"/>
          <w:highlight w:val="none"/>
          <w:u w:val="single"/>
        </w:rPr>
        <w:t xml:space="preserve">      </w:t>
      </w:r>
      <w:r>
        <w:rPr>
          <w:rFonts w:hAnsi="宋体"/>
          <w:b w:val="0"/>
          <w:bCs/>
          <w:color w:val="auto"/>
          <w:sz w:val="24"/>
          <w:szCs w:val="24"/>
          <w:highlight w:val="none"/>
        </w:rPr>
        <w:t>万元，属于</w:t>
      </w:r>
      <w:r>
        <w:rPr>
          <w:rFonts w:hAnsi="宋体"/>
          <w:b w:val="0"/>
          <w:bCs/>
          <w:color w:val="auto"/>
          <w:sz w:val="24"/>
          <w:szCs w:val="24"/>
          <w:highlight w:val="none"/>
          <w:u w:val="single"/>
        </w:rPr>
        <w:t xml:space="preserve">（中型企业、小型企业、微型企业） </w:t>
      </w:r>
      <w:r>
        <w:rPr>
          <w:rFonts w:hAnsi="宋体"/>
          <w:b w:val="0"/>
          <w:bCs/>
          <w:color w:val="auto"/>
          <w:sz w:val="24"/>
          <w:szCs w:val="24"/>
          <w:highlight w:val="none"/>
        </w:rPr>
        <w:t>；</w:t>
      </w:r>
    </w:p>
    <w:p w14:paraId="013315BE">
      <w:pPr>
        <w:spacing w:line="400" w:lineRule="exact"/>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rPr>
        <w:t>3.……</w:t>
      </w:r>
    </w:p>
    <w:p w14:paraId="54A488AD">
      <w:pPr>
        <w:spacing w:line="40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以上企业，不属于大企业的分支机构，不存在控股股东为大企业的情形，也不存在与大企业的负责人为同一人的情形。</w:t>
      </w:r>
    </w:p>
    <w:p w14:paraId="37780DBB">
      <w:pPr>
        <w:spacing w:line="40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本企业对上述声明内容的真实性负责。如有虚假，将依法承担相应责任。</w:t>
      </w:r>
    </w:p>
    <w:p w14:paraId="1DBB358B">
      <w:pPr>
        <w:pStyle w:val="23"/>
        <w:widowControl w:val="0"/>
        <w:spacing w:before="0" w:beforeAutospacing="0" w:after="0" w:afterAutospacing="0" w:line="400" w:lineRule="exact"/>
        <w:ind w:firstLine="482" w:firstLineChars="200"/>
        <w:jc w:val="both"/>
        <w:rPr>
          <w:rFonts w:hint="eastAsia"/>
          <w:b/>
          <w:color w:val="auto"/>
          <w:kern w:val="2"/>
          <w:highlight w:val="none"/>
        </w:rPr>
      </w:pPr>
      <w:r>
        <w:rPr>
          <w:rFonts w:hint="eastAsia"/>
          <w:b/>
          <w:color w:val="auto"/>
          <w:kern w:val="2"/>
          <w:highlight w:val="none"/>
          <w:lang w:bidi="ar"/>
        </w:rPr>
        <w:t xml:space="preserve"> </w:t>
      </w:r>
    </w:p>
    <w:p w14:paraId="643A600F">
      <w:pPr>
        <w:pStyle w:val="23"/>
        <w:widowControl w:val="0"/>
        <w:spacing w:before="0" w:beforeAutospacing="0" w:after="0" w:afterAutospacing="0" w:line="400" w:lineRule="exact"/>
        <w:ind w:firstLine="482" w:firstLineChars="200"/>
        <w:jc w:val="both"/>
        <w:rPr>
          <w:rFonts w:hint="eastAsia"/>
          <w:b/>
          <w:color w:val="auto"/>
          <w:kern w:val="2"/>
          <w:highlight w:val="none"/>
        </w:rPr>
      </w:pPr>
      <w:r>
        <w:rPr>
          <w:rFonts w:hint="eastAsia"/>
          <w:b/>
          <w:color w:val="auto"/>
          <w:kern w:val="2"/>
          <w:highlight w:val="none"/>
          <w:lang w:bidi="ar"/>
        </w:rPr>
        <w:t xml:space="preserve"> </w:t>
      </w:r>
    </w:p>
    <w:p w14:paraId="0FA15EFB">
      <w:pPr>
        <w:snapToGrid w:val="0"/>
        <w:spacing w:line="400" w:lineRule="exact"/>
        <w:ind w:firstLine="5040" w:firstLineChars="2100"/>
        <w:rPr>
          <w:rFonts w:hint="eastAsia" w:ascii="宋体" w:hAnsi="宋体" w:cs="仿宋_GB2312"/>
          <w:color w:val="auto"/>
          <w:kern w:val="0"/>
          <w:sz w:val="24"/>
          <w:highlight w:val="none"/>
        </w:rPr>
      </w:pPr>
      <w:r>
        <w:rPr>
          <w:rFonts w:hint="eastAsia" w:ascii="宋体" w:hAnsi="宋体" w:cs="宋体"/>
          <w:color w:val="auto"/>
          <w:kern w:val="0"/>
          <w:sz w:val="24"/>
          <w:highlight w:val="none"/>
          <w:lang w:val="en-US" w:eastAsia="zh-CN" w:bidi="ar"/>
        </w:rPr>
        <w:t>投标人</w:t>
      </w:r>
      <w:r>
        <w:rPr>
          <w:rFonts w:hint="eastAsia" w:ascii="宋体" w:hAnsi="宋体" w:cs="宋体"/>
          <w:color w:val="auto"/>
          <w:kern w:val="0"/>
          <w:sz w:val="24"/>
          <w:highlight w:val="none"/>
          <w:lang w:bidi="ar"/>
        </w:rPr>
        <w:t>名称(</w:t>
      </w:r>
      <w:r>
        <w:rPr>
          <w:rFonts w:hint="eastAsia" w:ascii="宋体" w:hAnsi="宋体" w:cs="宋体"/>
          <w:color w:val="auto"/>
          <w:kern w:val="0"/>
          <w:sz w:val="24"/>
          <w:highlight w:val="none"/>
          <w:lang w:val="en-US" w:eastAsia="zh-CN" w:bidi="ar"/>
        </w:rPr>
        <w:t>盖公</w:t>
      </w:r>
      <w:r>
        <w:rPr>
          <w:rFonts w:hint="eastAsia" w:ascii="宋体" w:hAnsi="宋体" w:cs="宋体"/>
          <w:color w:val="auto"/>
          <w:kern w:val="0"/>
          <w:sz w:val="24"/>
          <w:highlight w:val="none"/>
          <w:lang w:bidi="ar"/>
        </w:rPr>
        <w:t>章)：</w:t>
      </w:r>
    </w:p>
    <w:p w14:paraId="03A14D17">
      <w:pPr>
        <w:snapToGrid w:val="0"/>
        <w:spacing w:line="400" w:lineRule="exact"/>
        <w:ind w:firstLine="5040" w:firstLineChars="2100"/>
        <w:rPr>
          <w:rFonts w:hint="eastAsia" w:ascii="宋体" w:hAnsi="宋体" w:cs="仿宋_GB2312"/>
          <w:color w:val="auto"/>
          <w:kern w:val="0"/>
          <w:sz w:val="24"/>
          <w:highlight w:val="none"/>
        </w:rPr>
      </w:pPr>
      <w:r>
        <w:rPr>
          <w:rFonts w:hint="eastAsia" w:ascii="宋体" w:hAnsi="宋体" w:cs="宋体"/>
          <w:color w:val="auto"/>
          <w:kern w:val="0"/>
          <w:sz w:val="24"/>
          <w:highlight w:val="none"/>
          <w:lang w:bidi="ar"/>
        </w:rPr>
        <w:t>日期：</w:t>
      </w:r>
      <w:r>
        <w:rPr>
          <w:rFonts w:hint="eastAsia" w:ascii="宋体" w:hAnsi="宋体" w:cs="仿宋_GB2312"/>
          <w:color w:val="auto"/>
          <w:kern w:val="0"/>
          <w:sz w:val="24"/>
          <w:highlight w:val="none"/>
          <w:lang w:bidi="ar"/>
        </w:rPr>
        <w:t xml:space="preserve">  </w:t>
      </w:r>
      <w:r>
        <w:rPr>
          <w:rFonts w:hint="eastAsia" w:ascii="宋体" w:hAnsi="宋体" w:cs="宋体"/>
          <w:color w:val="auto"/>
          <w:kern w:val="0"/>
          <w:sz w:val="24"/>
          <w:highlight w:val="none"/>
          <w:lang w:bidi="ar"/>
        </w:rPr>
        <w:t>年</w:t>
      </w:r>
      <w:r>
        <w:rPr>
          <w:rFonts w:hint="eastAsia" w:ascii="宋体" w:hAnsi="宋体" w:cs="仿宋_GB2312"/>
          <w:color w:val="auto"/>
          <w:kern w:val="0"/>
          <w:sz w:val="24"/>
          <w:highlight w:val="none"/>
          <w:lang w:bidi="ar"/>
        </w:rPr>
        <w:t xml:space="preserve">  </w:t>
      </w:r>
      <w:r>
        <w:rPr>
          <w:rFonts w:hint="eastAsia" w:ascii="宋体" w:hAnsi="宋体" w:cs="宋体"/>
          <w:color w:val="auto"/>
          <w:kern w:val="0"/>
          <w:sz w:val="24"/>
          <w:highlight w:val="none"/>
          <w:lang w:bidi="ar"/>
        </w:rPr>
        <w:t>月</w:t>
      </w:r>
      <w:r>
        <w:rPr>
          <w:rFonts w:hint="eastAsia" w:ascii="宋体" w:hAnsi="宋体" w:cs="仿宋_GB2312"/>
          <w:color w:val="auto"/>
          <w:kern w:val="0"/>
          <w:sz w:val="24"/>
          <w:highlight w:val="none"/>
          <w:lang w:bidi="ar"/>
        </w:rPr>
        <w:t xml:space="preserve">   </w:t>
      </w:r>
      <w:r>
        <w:rPr>
          <w:rFonts w:hint="eastAsia" w:ascii="宋体" w:hAnsi="宋体" w:cs="宋体"/>
          <w:color w:val="auto"/>
          <w:kern w:val="0"/>
          <w:sz w:val="24"/>
          <w:highlight w:val="none"/>
          <w:lang w:bidi="ar"/>
        </w:rPr>
        <w:t>日</w:t>
      </w:r>
    </w:p>
    <w:p w14:paraId="67F0AB97">
      <w:pPr>
        <w:pStyle w:val="23"/>
        <w:widowControl w:val="0"/>
        <w:spacing w:before="0" w:beforeAutospacing="0" w:after="0" w:afterAutospacing="0" w:line="400" w:lineRule="exact"/>
        <w:ind w:firstLine="482" w:firstLineChars="200"/>
        <w:jc w:val="both"/>
        <w:rPr>
          <w:rFonts w:hint="eastAsia"/>
          <w:b/>
          <w:color w:val="auto"/>
          <w:kern w:val="2"/>
          <w:highlight w:val="none"/>
          <w:lang w:bidi="ar"/>
        </w:rPr>
      </w:pPr>
    </w:p>
    <w:p w14:paraId="55710F72">
      <w:pPr>
        <w:snapToGrid w:val="0"/>
        <w:spacing w:line="400" w:lineRule="exact"/>
        <w:jc w:val="left"/>
        <w:rPr>
          <w:rFonts w:hint="eastAsia" w:ascii="宋体" w:hAnsi="宋体" w:cs="宋体"/>
          <w:color w:val="auto"/>
          <w:sz w:val="24"/>
          <w:highlight w:val="none"/>
        </w:rPr>
      </w:pPr>
      <w:r>
        <w:rPr>
          <w:rFonts w:hint="eastAsia" w:ascii="宋体" w:hAnsi="宋体" w:cs="宋体"/>
          <w:color w:val="auto"/>
          <w:sz w:val="24"/>
          <w:highlight w:val="none"/>
          <w:lang w:bidi="ar"/>
        </w:rPr>
        <w:t>注：</w:t>
      </w:r>
    </w:p>
    <w:p w14:paraId="4F81856A">
      <w:pPr>
        <w:snapToGrid w:val="0"/>
        <w:spacing w:line="400" w:lineRule="exact"/>
        <w:ind w:firstLine="480" w:firstLineChars="200"/>
        <w:jc w:val="left"/>
        <w:rPr>
          <w:rFonts w:hint="eastAsia" w:ascii="宋体" w:hAnsi="宋体" w:cs="宋体"/>
          <w:color w:val="auto"/>
          <w:sz w:val="24"/>
          <w:highlight w:val="none"/>
          <w:lang w:bidi="ar"/>
        </w:rPr>
      </w:pPr>
      <w:r>
        <w:rPr>
          <w:rFonts w:hint="eastAsia" w:ascii="宋体" w:hAnsi="宋体" w:cs="宋体"/>
          <w:color w:val="auto"/>
          <w:sz w:val="24"/>
          <w:highlight w:val="none"/>
          <w:lang w:bidi="ar"/>
        </w:rPr>
        <w:t>1.从业人员、营业收入、资产总额填报上一年度数据，无上一年度数据的新成立企业可不填报。</w:t>
      </w:r>
    </w:p>
    <w:p w14:paraId="65DFB553">
      <w:pPr>
        <w:snapToGrid w:val="0"/>
        <w:spacing w:line="400" w:lineRule="exact"/>
        <w:ind w:firstLine="480" w:firstLineChars="200"/>
        <w:outlineLvl w:val="1"/>
        <w:rPr>
          <w:rFonts w:hint="eastAsia" w:ascii="宋体" w:hAnsi="宋体" w:cs="宋体"/>
          <w:color w:val="auto"/>
          <w:sz w:val="24"/>
          <w:highlight w:val="none"/>
          <w:lang w:bidi="ar"/>
        </w:rPr>
      </w:pPr>
      <w:bookmarkStart w:id="270" w:name="_Toc14683"/>
      <w:bookmarkStart w:id="271" w:name="_Toc10777"/>
      <w:bookmarkStart w:id="272" w:name="_Toc101775077"/>
      <w:r>
        <w:rPr>
          <w:rFonts w:hint="eastAsia" w:ascii="宋体" w:hAnsi="宋体" w:cs="宋体"/>
          <w:color w:val="auto"/>
          <w:sz w:val="24"/>
          <w:highlight w:val="none"/>
          <w:lang w:bidi="ar"/>
        </w:rPr>
        <w:t>2.中小企业划型应按《关于印发中小企业划型标准规定的通知》（工信部联企业〔2011〕300号）规定的划型标准划分。</w:t>
      </w:r>
      <w:bookmarkEnd w:id="270"/>
    </w:p>
    <w:p w14:paraId="1C442652">
      <w:pPr>
        <w:snapToGrid w:val="0"/>
        <w:spacing w:line="400" w:lineRule="exact"/>
        <w:ind w:firstLine="480" w:firstLineChars="200"/>
        <w:outlineLvl w:val="1"/>
        <w:rPr>
          <w:color w:val="auto"/>
          <w:highlight w:val="none"/>
        </w:rPr>
      </w:pPr>
      <w:bookmarkStart w:id="273" w:name="_Toc19719"/>
      <w:r>
        <w:rPr>
          <w:rFonts w:hint="eastAsia" w:ascii="宋体" w:hAnsi="宋体" w:cs="宋体"/>
          <w:color w:val="auto"/>
          <w:sz w:val="24"/>
          <w:highlight w:val="none"/>
          <w:lang w:bidi="ar"/>
        </w:rPr>
        <w:t>3.请根据自己的真实情况出具《中小企业声明函》。依法享受中小企业优惠政策的，采购人或者采购代理机构在公告中标(成交)结果时，同时公告其《中小企业声明函》，接受社会监督。</w:t>
      </w:r>
      <w:bookmarkEnd w:id="271"/>
      <w:bookmarkEnd w:id="272"/>
      <w:bookmarkEnd w:id="273"/>
    </w:p>
    <w:p w14:paraId="0C435603">
      <w:pPr>
        <w:ind w:firstLine="452"/>
        <w:rPr>
          <w:rFonts w:ascii="宋体" w:hAnsi="宋体" w:cs="宋体"/>
          <w:b/>
          <w:color w:val="auto"/>
          <w:sz w:val="30"/>
          <w:szCs w:val="30"/>
          <w:highlight w:val="none"/>
        </w:rPr>
      </w:pPr>
    </w:p>
    <w:p w14:paraId="385EA4DA">
      <w:pPr>
        <w:ind w:firstLine="0"/>
        <w:rPr>
          <w:rFonts w:hint="eastAsia" w:ascii="宋体" w:hAnsi="宋体" w:cs="宋体"/>
          <w:b/>
          <w:color w:val="auto"/>
          <w:sz w:val="28"/>
          <w:szCs w:val="28"/>
          <w:highlight w:val="none"/>
        </w:rPr>
      </w:pPr>
      <w:r>
        <w:rPr>
          <w:rFonts w:hint="eastAsia" w:ascii="宋体" w:hAnsi="宋体" w:cs="宋体"/>
          <w:b/>
          <w:color w:val="auto"/>
          <w:sz w:val="28"/>
          <w:szCs w:val="28"/>
          <w:highlight w:val="none"/>
        </w:rPr>
        <w:br w:type="page"/>
      </w:r>
    </w:p>
    <w:p w14:paraId="0E800DC3">
      <w:pPr>
        <w:ind w:firstLine="422"/>
        <w:rPr>
          <w:rFonts w:ascii="宋体" w:hAnsi="宋体" w:cs="宋体"/>
          <w:b/>
          <w:color w:val="auto"/>
          <w:sz w:val="28"/>
          <w:szCs w:val="28"/>
          <w:highlight w:val="none"/>
        </w:rPr>
      </w:pPr>
      <w:r>
        <w:rPr>
          <w:rFonts w:hint="eastAsia" w:ascii="宋体" w:hAnsi="宋体" w:cs="宋体"/>
          <w:b/>
          <w:color w:val="auto"/>
          <w:sz w:val="28"/>
          <w:szCs w:val="28"/>
          <w:highlight w:val="none"/>
        </w:rPr>
        <w:t>2.残疾人福利性单位声明函的格式：</w:t>
      </w:r>
    </w:p>
    <w:p w14:paraId="21B70827">
      <w:pPr>
        <w:spacing w:line="360" w:lineRule="auto"/>
        <w:ind w:firstLine="452"/>
        <w:jc w:val="center"/>
        <w:rPr>
          <w:rFonts w:ascii="宋体" w:hAnsi="宋体" w:cs="宋体"/>
          <w:b/>
          <w:color w:val="auto"/>
          <w:sz w:val="30"/>
          <w:szCs w:val="30"/>
          <w:highlight w:val="none"/>
        </w:rPr>
      </w:pPr>
    </w:p>
    <w:p w14:paraId="39D3F0A1">
      <w:pPr>
        <w:spacing w:line="360" w:lineRule="auto"/>
        <w:ind w:firstLine="452"/>
        <w:jc w:val="center"/>
        <w:rPr>
          <w:rFonts w:ascii="宋体" w:hAnsi="宋体" w:cs="宋体"/>
          <w:b/>
          <w:color w:val="auto"/>
          <w:sz w:val="30"/>
          <w:szCs w:val="30"/>
          <w:highlight w:val="none"/>
        </w:rPr>
      </w:pPr>
      <w:r>
        <w:rPr>
          <w:rFonts w:hint="eastAsia" w:ascii="宋体" w:hAnsi="宋体" w:cs="宋体"/>
          <w:b/>
          <w:color w:val="auto"/>
          <w:sz w:val="30"/>
          <w:szCs w:val="30"/>
          <w:highlight w:val="none"/>
        </w:rPr>
        <w:t>残疾人福利性单位声明函</w:t>
      </w:r>
    </w:p>
    <w:p w14:paraId="01BDFBED">
      <w:pPr>
        <w:spacing w:line="360" w:lineRule="auto"/>
        <w:ind w:firstLine="452"/>
        <w:jc w:val="center"/>
        <w:rPr>
          <w:rFonts w:ascii="宋体" w:hAnsi="宋体" w:cs="宋体"/>
          <w:b/>
          <w:color w:val="auto"/>
          <w:sz w:val="30"/>
          <w:szCs w:val="30"/>
          <w:highlight w:val="none"/>
        </w:rPr>
      </w:pPr>
    </w:p>
    <w:p w14:paraId="24AF5D1B">
      <w:pPr>
        <w:spacing w:line="360" w:lineRule="auto"/>
        <w:ind w:firstLine="420" w:firstLineChars="200"/>
        <w:contextualSpacing/>
        <w:rPr>
          <w:rFonts w:ascii="宋体" w:hAnsi="宋体" w:cs="宋体"/>
          <w:color w:val="auto"/>
          <w:sz w:val="21"/>
          <w:szCs w:val="21"/>
          <w:highlight w:val="none"/>
        </w:rPr>
      </w:pPr>
      <w:r>
        <w:rPr>
          <w:rFonts w:hint="eastAsia" w:ascii="宋体" w:hAnsi="宋体" w:cs="宋体"/>
          <w:color w:val="auto"/>
          <w:sz w:val="21"/>
          <w:szCs w:val="21"/>
          <w:highlight w:val="none"/>
        </w:rPr>
        <w:t>本单位郑重声明，根据《财政部 民政部 中国残疾人联合会关于促进残疾人就业政府采购政策的通知》（财库〔2017〕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4DB466CF">
      <w:pPr>
        <w:spacing w:line="360" w:lineRule="auto"/>
        <w:ind w:firstLine="420" w:firstLineChars="200"/>
        <w:jc w:val="left"/>
        <w:rPr>
          <w:rFonts w:ascii="宋体" w:hAnsi="宋体" w:cs="宋体"/>
          <w:color w:val="auto"/>
          <w:sz w:val="21"/>
          <w:szCs w:val="21"/>
          <w:highlight w:val="none"/>
        </w:rPr>
      </w:pPr>
      <w:r>
        <w:rPr>
          <w:rFonts w:hint="eastAsia" w:ascii="宋体" w:hAnsi="宋体" w:cs="宋体"/>
          <w:color w:val="auto"/>
          <w:sz w:val="21"/>
          <w:szCs w:val="21"/>
          <w:highlight w:val="none"/>
        </w:rPr>
        <w:t>本单位对上述声明的真实性负责。如有虚假，将依法承担相应责任。</w:t>
      </w:r>
    </w:p>
    <w:p w14:paraId="206D2D85">
      <w:pPr>
        <w:spacing w:line="360" w:lineRule="auto"/>
        <w:ind w:firstLine="316"/>
        <w:jc w:val="left"/>
        <w:rPr>
          <w:rFonts w:ascii="宋体" w:hAnsi="宋体" w:cs="宋体"/>
          <w:b/>
          <w:color w:val="auto"/>
          <w:szCs w:val="21"/>
          <w:highlight w:val="none"/>
        </w:rPr>
      </w:pPr>
    </w:p>
    <w:p w14:paraId="01BE7378">
      <w:pPr>
        <w:spacing w:line="360" w:lineRule="auto"/>
        <w:ind w:firstLine="316"/>
        <w:jc w:val="left"/>
        <w:rPr>
          <w:rFonts w:ascii="宋体" w:hAnsi="宋体" w:cs="宋体"/>
          <w:b/>
          <w:color w:val="auto"/>
          <w:szCs w:val="21"/>
          <w:highlight w:val="none"/>
        </w:rPr>
      </w:pPr>
    </w:p>
    <w:p w14:paraId="05C7110B">
      <w:pPr>
        <w:snapToGrid w:val="0"/>
        <w:spacing w:line="360" w:lineRule="auto"/>
        <w:ind w:left="5378" w:leftChars="1736" w:hanging="1732" w:hangingChars="825"/>
        <w:rPr>
          <w:rFonts w:ascii="宋体" w:hAnsi="宋体" w:cs="宋体"/>
          <w:color w:val="auto"/>
          <w:kern w:val="0"/>
          <w:sz w:val="21"/>
          <w:szCs w:val="21"/>
          <w:highlight w:val="none"/>
        </w:rPr>
      </w:pPr>
      <w:r>
        <w:rPr>
          <w:rFonts w:hint="eastAsia" w:ascii="宋体" w:hAnsi="宋体" w:cs="宋体"/>
          <w:color w:val="auto"/>
          <w:kern w:val="0"/>
          <w:sz w:val="21"/>
          <w:szCs w:val="21"/>
          <w:highlight w:val="none"/>
          <w:lang w:val="zh-CN"/>
        </w:rPr>
        <w:t>投标人名称(盖公章)：</w:t>
      </w:r>
    </w:p>
    <w:p w14:paraId="7F1FA765">
      <w:pPr>
        <w:snapToGrid w:val="0"/>
        <w:spacing w:line="360" w:lineRule="auto"/>
        <w:ind w:firstLine="4515" w:firstLineChars="2150"/>
        <w:rPr>
          <w:rFonts w:ascii="宋体" w:hAnsi="宋体" w:cs="宋体"/>
          <w:color w:val="auto"/>
          <w:kern w:val="0"/>
          <w:sz w:val="21"/>
          <w:szCs w:val="21"/>
          <w:highlight w:val="none"/>
          <w:lang w:val="zh-CN"/>
        </w:rPr>
      </w:pPr>
      <w:r>
        <w:rPr>
          <w:rFonts w:hint="eastAsia" w:ascii="宋体" w:hAnsi="宋体" w:cs="宋体"/>
          <w:color w:val="auto"/>
          <w:kern w:val="0"/>
          <w:sz w:val="21"/>
          <w:szCs w:val="21"/>
          <w:highlight w:val="none"/>
          <w:lang w:val="zh-CN"/>
        </w:rPr>
        <w:t>日期</w:t>
      </w:r>
      <w:r>
        <w:rPr>
          <w:rFonts w:hint="eastAsia" w:ascii="宋体" w:hAnsi="宋体" w:cs="宋体"/>
          <w:color w:val="auto"/>
          <w:kern w:val="0"/>
          <w:sz w:val="21"/>
          <w:szCs w:val="21"/>
          <w:highlight w:val="none"/>
        </w:rPr>
        <w:t>：  年  月  日</w:t>
      </w:r>
    </w:p>
    <w:p w14:paraId="58694256">
      <w:pPr>
        <w:spacing w:line="360" w:lineRule="auto"/>
        <w:ind w:left="5132" w:leftChars="1979" w:hanging="976" w:hangingChars="488"/>
        <w:rPr>
          <w:rFonts w:ascii="宋体" w:hAnsi="宋体" w:cs="宋体"/>
          <w:color w:val="auto"/>
          <w:sz w:val="20"/>
          <w:szCs w:val="20"/>
          <w:highlight w:val="none"/>
        </w:rPr>
      </w:pPr>
    </w:p>
    <w:p w14:paraId="78AEB0DB">
      <w:pPr>
        <w:spacing w:line="360" w:lineRule="auto"/>
        <w:ind w:right="420" w:firstLine="420" w:firstLineChars="200"/>
        <w:rPr>
          <w:rFonts w:ascii="宋体" w:hAnsi="宋体" w:cs="宋体"/>
          <w:color w:val="auto"/>
          <w:szCs w:val="21"/>
          <w:highlight w:val="none"/>
        </w:rPr>
      </w:pPr>
      <w:r>
        <w:rPr>
          <w:rFonts w:hint="eastAsia" w:ascii="宋体" w:hAnsi="宋体" w:cs="宋体"/>
          <w:color w:val="auto"/>
          <w:szCs w:val="21"/>
          <w:highlight w:val="none"/>
        </w:rPr>
        <w:t>注：请根据自己的真实情况出具《残疾人福利性单位声明函》。依法享受中小企业扶持政策的，采购人或者采购代理机构在公告中标结果时，同时公告其《残疾人福利性单位声明函》，接受社会监督。根据《关于政府采购支持监狱企业发展有关问题的通知》（财库[2014]68号）的规定，投标人提供由省级以上监狱管理局、戒毒管理局（含新疆生产建设兵团）出具的属于监狱企业证明文件的，视同为小型和微型企业。</w:t>
      </w:r>
    </w:p>
    <w:p w14:paraId="3C23BAF8">
      <w:pPr>
        <w:shd w:val="clear" w:color="auto" w:fill="FFFFFF"/>
        <w:spacing w:line="480" w:lineRule="atLeast"/>
        <w:jc w:val="left"/>
        <w:rPr>
          <w:rFonts w:hint="eastAsia" w:ascii="宋体" w:hAnsi="宋体" w:cs="宋体"/>
          <w:b/>
          <w:color w:val="auto"/>
          <w:sz w:val="28"/>
          <w:szCs w:val="28"/>
          <w:highlight w:val="none"/>
        </w:rPr>
      </w:pPr>
      <w:r>
        <w:rPr>
          <w:rFonts w:hint="eastAsia" w:ascii="宋体" w:hAnsi="宋体" w:cs="宋体"/>
          <w:color w:val="auto"/>
          <w:szCs w:val="21"/>
          <w:highlight w:val="none"/>
        </w:rPr>
        <w:br w:type="page"/>
      </w:r>
      <w:r>
        <w:rPr>
          <w:rFonts w:hint="eastAsia" w:ascii="宋体" w:hAnsi="宋体" w:cs="宋体"/>
          <w:b/>
          <w:color w:val="auto"/>
          <w:sz w:val="28"/>
          <w:szCs w:val="28"/>
          <w:highlight w:val="none"/>
        </w:rPr>
        <w:t>3.《关于符合本国产品标准的声明函》的格式：</w:t>
      </w:r>
    </w:p>
    <w:p w14:paraId="38E40BF5">
      <w:pPr>
        <w:shd w:val="clear" w:color="auto" w:fill="FFFFFF"/>
        <w:spacing w:line="480" w:lineRule="atLeast"/>
        <w:jc w:val="left"/>
        <w:rPr>
          <w:rFonts w:hint="eastAsia" w:ascii="宋体" w:hAnsi="宋体" w:cs="宋体"/>
          <w:b/>
          <w:color w:val="auto"/>
          <w:sz w:val="28"/>
          <w:szCs w:val="28"/>
          <w:highlight w:val="none"/>
        </w:rPr>
      </w:pPr>
    </w:p>
    <w:p w14:paraId="3C447656">
      <w:pPr>
        <w:shd w:val="clear" w:color="auto" w:fill="FFFFFF"/>
        <w:spacing w:line="480" w:lineRule="atLeast"/>
        <w:jc w:val="left"/>
        <w:rPr>
          <w:rFonts w:hint="eastAsia" w:ascii="宋体" w:hAnsi="宋体" w:cs="宋体"/>
          <w:b/>
          <w:color w:val="auto"/>
          <w:sz w:val="28"/>
          <w:szCs w:val="28"/>
          <w:highlight w:val="none"/>
        </w:rPr>
      </w:pPr>
    </w:p>
    <w:p w14:paraId="692CD5BC">
      <w:pPr>
        <w:shd w:val="clear" w:color="auto" w:fill="FFFFFF"/>
        <w:spacing w:line="480" w:lineRule="atLeast"/>
        <w:jc w:val="center"/>
        <w:rPr>
          <w:rFonts w:hint="eastAsia" w:ascii="宋体" w:hAnsi="宋体" w:cs="宋体"/>
          <w:b/>
          <w:color w:val="auto"/>
          <w:sz w:val="30"/>
          <w:szCs w:val="30"/>
          <w:highlight w:val="none"/>
        </w:rPr>
      </w:pPr>
      <w:r>
        <w:rPr>
          <w:rFonts w:hint="eastAsia" w:ascii="宋体" w:hAnsi="宋体" w:cs="宋体"/>
          <w:b/>
          <w:color w:val="auto"/>
          <w:sz w:val="30"/>
          <w:szCs w:val="30"/>
          <w:highlight w:val="none"/>
        </w:rPr>
        <w:t>《关于符合本国产品标准的声明函》</w:t>
      </w:r>
    </w:p>
    <w:p w14:paraId="6463F53B">
      <w:pPr>
        <w:shd w:val="clear" w:color="auto" w:fill="FFFFFF"/>
        <w:spacing w:line="480" w:lineRule="atLeast"/>
        <w:jc w:val="left"/>
        <w:rPr>
          <w:rFonts w:hint="eastAsia" w:ascii="宋体" w:hAnsi="宋体" w:cs="宋体"/>
          <w:b/>
          <w:color w:val="auto"/>
          <w:sz w:val="28"/>
          <w:szCs w:val="28"/>
          <w:highlight w:val="none"/>
        </w:rPr>
      </w:pPr>
    </w:p>
    <w:p w14:paraId="5FE17F38">
      <w:pPr>
        <w:keepNext w:val="0"/>
        <w:keepLines w:val="0"/>
        <w:widowControl/>
        <w:suppressLineNumbers w:val="0"/>
        <w:spacing w:line="360" w:lineRule="auto"/>
        <w:ind w:firstLine="420" w:firstLineChars="200"/>
        <w:jc w:val="left"/>
        <w:rPr>
          <w:color w:val="auto"/>
          <w:sz w:val="21"/>
          <w:szCs w:val="21"/>
          <w:highlight w:val="none"/>
        </w:rPr>
      </w:pPr>
      <w:r>
        <w:rPr>
          <w:rFonts w:hint="eastAsia" w:ascii="宋体" w:hAnsi="宋体" w:eastAsia="宋体" w:cs="宋体"/>
          <w:color w:val="auto"/>
          <w:kern w:val="0"/>
          <w:sz w:val="21"/>
          <w:szCs w:val="21"/>
          <w:highlight w:val="none"/>
          <w:lang w:val="en-US" w:eastAsia="zh-CN" w:bidi="ar"/>
        </w:rPr>
        <w:t>本公司（单位）</w:t>
      </w: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 xml:space="preserve">郑重声明，根据《国务院办公厅关于在政府采购中实施本国产品标准及相关政策的通知》（国办发〔2025〕34号）的规定，本公司（单位）提供的以下产品属于本国产品。具体情况如下： </w:t>
      </w:r>
    </w:p>
    <w:p w14:paraId="5C3C3512">
      <w:pPr>
        <w:keepNext w:val="0"/>
        <w:keepLines w:val="0"/>
        <w:widowControl/>
        <w:suppressLineNumbers w:val="0"/>
        <w:spacing w:line="360" w:lineRule="auto"/>
        <w:ind w:firstLine="420" w:firstLineChars="200"/>
        <w:jc w:val="left"/>
        <w:rPr>
          <w:color w:val="auto"/>
          <w:sz w:val="21"/>
          <w:szCs w:val="21"/>
          <w:highlight w:val="none"/>
        </w:rPr>
      </w:pPr>
      <w:r>
        <w:rPr>
          <w:rFonts w:hint="eastAsia" w:ascii="宋体" w:hAnsi="宋体" w:eastAsia="宋体" w:cs="宋体"/>
          <w:color w:val="auto"/>
          <w:kern w:val="0"/>
          <w:sz w:val="21"/>
          <w:szCs w:val="21"/>
          <w:highlight w:val="none"/>
          <w:lang w:val="en-US" w:eastAsia="zh-CN" w:bidi="ar"/>
        </w:rPr>
        <w:t>1.</w:t>
      </w:r>
      <w:r>
        <w:rPr>
          <w:rFonts w:hint="eastAsia" w:ascii="宋体" w:hAnsi="宋体" w:eastAsia="宋体" w:cs="宋体"/>
          <w:color w:val="auto"/>
          <w:kern w:val="0"/>
          <w:sz w:val="21"/>
          <w:szCs w:val="21"/>
          <w:highlight w:val="none"/>
          <w:u w:val="single"/>
          <w:lang w:val="en-US" w:eastAsia="zh-CN" w:bidi="ar"/>
        </w:rPr>
        <w:t xml:space="preserve">（产品名称1）       </w:t>
      </w:r>
      <w:r>
        <w:rPr>
          <w:rFonts w:hint="eastAsia" w:ascii="宋体" w:hAnsi="宋体" w:eastAsia="宋体" w:cs="宋体"/>
          <w:color w:val="auto"/>
          <w:kern w:val="0"/>
          <w:sz w:val="32"/>
          <w:szCs w:val="32"/>
          <w:highlight w:val="none"/>
          <w:vertAlign w:val="superscript"/>
          <w:lang w:val="en-US" w:eastAsia="zh-CN" w:bidi="ar"/>
        </w:rPr>
        <w:t>1</w:t>
      </w:r>
      <w:r>
        <w:rPr>
          <w:rFonts w:hint="eastAsia" w:ascii="宋体" w:hAnsi="宋体" w:eastAsia="宋体" w:cs="宋体"/>
          <w:color w:val="auto"/>
          <w:kern w:val="0"/>
          <w:sz w:val="21"/>
          <w:szCs w:val="21"/>
          <w:highlight w:val="none"/>
          <w:lang w:val="en-US" w:eastAsia="zh-CN" w:bidi="ar"/>
        </w:rPr>
        <w:t>，生产厂为</w:t>
      </w:r>
      <w:r>
        <w:rPr>
          <w:rFonts w:hint="eastAsia" w:ascii="宋体" w:hAnsi="宋体" w:eastAsia="宋体" w:cs="宋体"/>
          <w:color w:val="auto"/>
          <w:kern w:val="0"/>
          <w:sz w:val="21"/>
          <w:szCs w:val="21"/>
          <w:highlight w:val="none"/>
          <w:u w:val="single"/>
          <w:lang w:val="en-US" w:eastAsia="zh-CN" w:bidi="ar"/>
        </w:rPr>
        <w:t xml:space="preserve">（厂名）        </w:t>
      </w:r>
      <w:r>
        <w:rPr>
          <w:rFonts w:hint="eastAsia" w:ascii="宋体" w:hAnsi="宋体" w:eastAsia="宋体" w:cs="宋体"/>
          <w:color w:val="auto"/>
          <w:kern w:val="0"/>
          <w:sz w:val="32"/>
          <w:szCs w:val="32"/>
          <w:highlight w:val="none"/>
          <w:vertAlign w:val="superscript"/>
          <w:lang w:val="en-US" w:eastAsia="zh-CN" w:bidi="ar"/>
        </w:rPr>
        <w:t>2</w:t>
      </w:r>
      <w:r>
        <w:rPr>
          <w:rFonts w:hint="eastAsia" w:ascii="宋体" w:hAnsi="宋体" w:eastAsia="宋体" w:cs="宋体"/>
          <w:color w:val="auto"/>
          <w:kern w:val="0"/>
          <w:sz w:val="21"/>
          <w:szCs w:val="21"/>
          <w:highlight w:val="none"/>
          <w:lang w:val="en-US" w:eastAsia="zh-CN" w:bidi="ar"/>
        </w:rPr>
        <w:t>，厂址为</w:t>
      </w:r>
      <w:r>
        <w:rPr>
          <w:rFonts w:hint="eastAsia" w:ascii="宋体" w:hAnsi="宋体" w:eastAsia="宋体" w:cs="宋体"/>
          <w:color w:val="auto"/>
          <w:kern w:val="0"/>
          <w:sz w:val="21"/>
          <w:szCs w:val="21"/>
          <w:highlight w:val="none"/>
          <w:u w:val="single"/>
          <w:lang w:val="en-US" w:eastAsia="zh-CN" w:bidi="ar"/>
        </w:rPr>
        <w:t xml:space="preserve">（生产厂址）      </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u w:val="single"/>
          <w:lang w:val="en-US" w:eastAsia="zh-CN" w:bidi="ar"/>
        </w:rPr>
        <w:t>（产品名称1）</w:t>
      </w:r>
      <w:r>
        <w:rPr>
          <w:rFonts w:hint="eastAsia" w:ascii="宋体" w:hAnsi="宋体" w:eastAsia="宋体" w:cs="宋体"/>
          <w:color w:val="auto"/>
          <w:kern w:val="0"/>
          <w:sz w:val="21"/>
          <w:szCs w:val="21"/>
          <w:highlight w:val="none"/>
          <w:lang w:val="en-US" w:eastAsia="zh-CN" w:bidi="ar"/>
        </w:rPr>
        <w:t>的中国境内生产的组件成本占比≥</w:t>
      </w:r>
      <w:r>
        <w:rPr>
          <w:rFonts w:hint="eastAsia" w:ascii="宋体" w:hAnsi="宋体" w:eastAsia="宋体" w:cs="宋体"/>
          <w:color w:val="auto"/>
          <w:kern w:val="0"/>
          <w:sz w:val="21"/>
          <w:szCs w:val="21"/>
          <w:highlight w:val="none"/>
          <w:u w:val="single"/>
          <w:lang w:val="en-US" w:eastAsia="zh-CN" w:bidi="ar"/>
        </w:rPr>
        <w:t>（规定比例）</w:t>
      </w:r>
      <w:r>
        <w:rPr>
          <w:rFonts w:hint="eastAsia" w:ascii="宋体" w:hAnsi="宋体" w:eastAsia="宋体" w:cs="宋体"/>
          <w:color w:val="auto"/>
          <w:kern w:val="0"/>
          <w:sz w:val="32"/>
          <w:szCs w:val="32"/>
          <w:highlight w:val="none"/>
          <w:vertAlign w:val="superscript"/>
          <w:lang w:val="en-US" w:eastAsia="zh-CN" w:bidi="ar"/>
        </w:rPr>
        <w:t>3</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u w:val="single"/>
          <w:lang w:val="en-US" w:eastAsia="zh-CN" w:bidi="ar"/>
        </w:rPr>
        <w:t>（产品名称1）</w:t>
      </w:r>
      <w:r>
        <w:rPr>
          <w:rFonts w:hint="eastAsia" w:ascii="宋体" w:hAnsi="宋体" w:eastAsia="宋体" w:cs="宋体"/>
          <w:color w:val="auto"/>
          <w:kern w:val="0"/>
          <w:sz w:val="21"/>
          <w:szCs w:val="21"/>
          <w:highlight w:val="none"/>
          <w:lang w:val="en-US" w:eastAsia="zh-CN" w:bidi="ar"/>
        </w:rPr>
        <w:t>的</w:t>
      </w:r>
      <w:r>
        <w:rPr>
          <w:rFonts w:hint="eastAsia" w:ascii="宋体" w:hAnsi="宋体" w:eastAsia="宋体" w:cs="宋体"/>
          <w:color w:val="auto"/>
          <w:kern w:val="0"/>
          <w:sz w:val="21"/>
          <w:szCs w:val="21"/>
          <w:highlight w:val="none"/>
          <w:u w:val="single"/>
          <w:lang w:val="en-US" w:eastAsia="zh-CN" w:bidi="ar"/>
        </w:rPr>
        <w:t>（关键组件）</w:t>
      </w:r>
      <w:r>
        <w:rPr>
          <w:rFonts w:hint="eastAsia" w:ascii="宋体" w:hAnsi="宋体" w:eastAsia="宋体" w:cs="宋体"/>
          <w:color w:val="auto"/>
          <w:kern w:val="0"/>
          <w:sz w:val="32"/>
          <w:szCs w:val="32"/>
          <w:highlight w:val="none"/>
          <w:vertAlign w:val="superscript"/>
          <w:lang w:val="en-US" w:eastAsia="zh-CN" w:bidi="ar"/>
        </w:rPr>
        <w:t>4</w:t>
      </w:r>
      <w:r>
        <w:rPr>
          <w:rFonts w:hint="eastAsia" w:ascii="宋体" w:hAnsi="宋体" w:eastAsia="宋体" w:cs="宋体"/>
          <w:color w:val="auto"/>
          <w:kern w:val="0"/>
          <w:sz w:val="21"/>
          <w:szCs w:val="21"/>
          <w:highlight w:val="none"/>
          <w:lang w:val="en-US" w:eastAsia="zh-CN" w:bidi="ar"/>
        </w:rPr>
        <w:t>在中国境内生产。</w:t>
      </w:r>
      <w:r>
        <w:rPr>
          <w:rFonts w:hint="eastAsia" w:ascii="宋体" w:hAnsi="宋体" w:eastAsia="宋体" w:cs="宋体"/>
          <w:color w:val="auto"/>
          <w:kern w:val="0"/>
          <w:sz w:val="21"/>
          <w:szCs w:val="21"/>
          <w:highlight w:val="none"/>
          <w:u w:val="single"/>
          <w:lang w:val="en-US" w:eastAsia="zh-CN" w:bidi="ar"/>
        </w:rPr>
        <w:t>（产品名称1）</w:t>
      </w:r>
      <w:r>
        <w:rPr>
          <w:rFonts w:hint="eastAsia" w:ascii="宋体" w:hAnsi="宋体" w:eastAsia="宋体" w:cs="宋体"/>
          <w:color w:val="auto"/>
          <w:kern w:val="0"/>
          <w:sz w:val="21"/>
          <w:szCs w:val="21"/>
          <w:highlight w:val="none"/>
          <w:lang w:val="en-US" w:eastAsia="zh-CN" w:bidi="ar"/>
        </w:rPr>
        <w:t>的</w:t>
      </w:r>
      <w:r>
        <w:rPr>
          <w:rFonts w:hint="eastAsia" w:ascii="宋体" w:hAnsi="宋体" w:eastAsia="宋体" w:cs="宋体"/>
          <w:color w:val="auto"/>
          <w:kern w:val="0"/>
          <w:sz w:val="21"/>
          <w:szCs w:val="21"/>
          <w:highlight w:val="none"/>
          <w:u w:val="single"/>
          <w:lang w:val="en-US" w:eastAsia="zh-CN" w:bidi="ar"/>
        </w:rPr>
        <w:t>（关键工序）</w:t>
      </w:r>
      <w:r>
        <w:rPr>
          <w:rFonts w:hint="eastAsia" w:ascii="宋体" w:hAnsi="宋体" w:eastAsia="宋体" w:cs="宋体"/>
          <w:color w:val="auto"/>
          <w:kern w:val="0"/>
          <w:sz w:val="32"/>
          <w:szCs w:val="32"/>
          <w:highlight w:val="none"/>
          <w:vertAlign w:val="superscript"/>
          <w:lang w:val="en-US" w:eastAsia="zh-CN" w:bidi="ar"/>
        </w:rPr>
        <w:t>5</w:t>
      </w:r>
      <w:r>
        <w:rPr>
          <w:rFonts w:hint="eastAsia" w:ascii="宋体" w:hAnsi="宋体" w:eastAsia="宋体" w:cs="宋体"/>
          <w:color w:val="auto"/>
          <w:kern w:val="0"/>
          <w:sz w:val="21"/>
          <w:szCs w:val="21"/>
          <w:highlight w:val="none"/>
          <w:lang w:val="en-US" w:eastAsia="zh-CN" w:bidi="ar"/>
        </w:rPr>
        <w:t xml:space="preserve">在中国境内完成。 </w:t>
      </w:r>
    </w:p>
    <w:p w14:paraId="554F3047">
      <w:pPr>
        <w:keepNext w:val="0"/>
        <w:keepLines w:val="0"/>
        <w:widowControl/>
        <w:suppressLineNumbers w:val="0"/>
        <w:spacing w:line="360" w:lineRule="auto"/>
        <w:ind w:firstLine="420" w:firstLineChars="200"/>
        <w:jc w:val="left"/>
        <w:rPr>
          <w:color w:val="auto"/>
          <w:sz w:val="21"/>
          <w:szCs w:val="21"/>
          <w:highlight w:val="none"/>
        </w:rPr>
      </w:pPr>
      <w:r>
        <w:rPr>
          <w:rFonts w:hint="eastAsia" w:ascii="宋体" w:hAnsi="宋体" w:eastAsia="宋体" w:cs="宋体"/>
          <w:color w:val="auto"/>
          <w:kern w:val="0"/>
          <w:sz w:val="21"/>
          <w:szCs w:val="21"/>
          <w:highlight w:val="none"/>
          <w:lang w:val="en-US" w:eastAsia="zh-CN" w:bidi="ar"/>
        </w:rPr>
        <w:t>2.</w:t>
      </w:r>
      <w:r>
        <w:rPr>
          <w:rFonts w:hint="eastAsia" w:ascii="宋体" w:hAnsi="宋体" w:eastAsia="宋体" w:cs="宋体"/>
          <w:color w:val="auto"/>
          <w:kern w:val="0"/>
          <w:sz w:val="21"/>
          <w:szCs w:val="21"/>
          <w:highlight w:val="none"/>
          <w:u w:val="single"/>
          <w:lang w:val="en-US" w:eastAsia="zh-CN" w:bidi="ar"/>
        </w:rPr>
        <w:t xml:space="preserve">（产品名称2）        </w:t>
      </w:r>
      <w:r>
        <w:rPr>
          <w:rFonts w:hint="eastAsia" w:ascii="宋体" w:hAnsi="宋体" w:eastAsia="宋体" w:cs="宋体"/>
          <w:color w:val="auto"/>
          <w:kern w:val="0"/>
          <w:sz w:val="21"/>
          <w:szCs w:val="21"/>
          <w:highlight w:val="none"/>
          <w:lang w:val="en-US" w:eastAsia="zh-CN" w:bidi="ar"/>
        </w:rPr>
        <w:t>，生产厂为</w:t>
      </w:r>
      <w:r>
        <w:rPr>
          <w:rFonts w:hint="eastAsia" w:ascii="宋体" w:hAnsi="宋体" w:eastAsia="宋体" w:cs="宋体"/>
          <w:color w:val="auto"/>
          <w:kern w:val="0"/>
          <w:sz w:val="21"/>
          <w:szCs w:val="21"/>
          <w:highlight w:val="none"/>
          <w:u w:val="single"/>
          <w:lang w:val="en-US" w:eastAsia="zh-CN" w:bidi="ar"/>
        </w:rPr>
        <w:t xml:space="preserve">（厂名）        </w:t>
      </w:r>
      <w:r>
        <w:rPr>
          <w:rFonts w:hint="eastAsia" w:ascii="宋体" w:hAnsi="宋体" w:eastAsia="宋体" w:cs="宋体"/>
          <w:color w:val="auto"/>
          <w:kern w:val="0"/>
          <w:sz w:val="21"/>
          <w:szCs w:val="21"/>
          <w:highlight w:val="none"/>
          <w:lang w:val="en-US" w:eastAsia="zh-CN" w:bidi="ar"/>
        </w:rPr>
        <w:t>，厂址为</w:t>
      </w:r>
      <w:r>
        <w:rPr>
          <w:rFonts w:hint="eastAsia" w:ascii="宋体" w:hAnsi="宋体" w:eastAsia="宋体" w:cs="宋体"/>
          <w:color w:val="auto"/>
          <w:kern w:val="0"/>
          <w:sz w:val="21"/>
          <w:szCs w:val="21"/>
          <w:highlight w:val="none"/>
          <w:u w:val="single"/>
          <w:lang w:val="en-US" w:eastAsia="zh-CN" w:bidi="ar"/>
        </w:rPr>
        <w:t xml:space="preserve">（生产厂址）      </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u w:val="single"/>
          <w:lang w:val="en-US" w:eastAsia="zh-CN" w:bidi="ar"/>
        </w:rPr>
        <w:t>（产品名称2）</w:t>
      </w:r>
      <w:r>
        <w:rPr>
          <w:rFonts w:hint="eastAsia" w:ascii="宋体" w:hAnsi="宋体" w:eastAsia="宋体" w:cs="宋体"/>
          <w:color w:val="auto"/>
          <w:kern w:val="0"/>
          <w:sz w:val="21"/>
          <w:szCs w:val="21"/>
          <w:highlight w:val="none"/>
          <w:lang w:val="en-US" w:eastAsia="zh-CN" w:bidi="ar"/>
        </w:rPr>
        <w:t>的中国境内生产的组件成本占比≥</w:t>
      </w:r>
      <w:r>
        <w:rPr>
          <w:rFonts w:hint="eastAsia" w:ascii="宋体" w:hAnsi="宋体" w:eastAsia="宋体" w:cs="宋体"/>
          <w:color w:val="auto"/>
          <w:kern w:val="0"/>
          <w:sz w:val="21"/>
          <w:szCs w:val="21"/>
          <w:highlight w:val="none"/>
          <w:u w:val="single"/>
          <w:lang w:val="en-US" w:eastAsia="zh-CN" w:bidi="ar"/>
        </w:rPr>
        <w:t>（规定比例）</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u w:val="single"/>
          <w:lang w:val="en-US" w:eastAsia="zh-CN" w:bidi="ar"/>
        </w:rPr>
        <w:t>（产品名称2）</w:t>
      </w:r>
      <w:r>
        <w:rPr>
          <w:rFonts w:hint="eastAsia" w:ascii="宋体" w:hAnsi="宋体" w:eastAsia="宋体" w:cs="宋体"/>
          <w:color w:val="auto"/>
          <w:kern w:val="0"/>
          <w:sz w:val="21"/>
          <w:szCs w:val="21"/>
          <w:highlight w:val="none"/>
          <w:lang w:val="en-US" w:eastAsia="zh-CN" w:bidi="ar"/>
        </w:rPr>
        <w:t>的</w:t>
      </w:r>
      <w:r>
        <w:rPr>
          <w:rFonts w:hint="eastAsia" w:ascii="宋体" w:hAnsi="宋体" w:eastAsia="宋体" w:cs="宋体"/>
          <w:color w:val="auto"/>
          <w:kern w:val="0"/>
          <w:sz w:val="21"/>
          <w:szCs w:val="21"/>
          <w:highlight w:val="none"/>
          <w:u w:val="single"/>
          <w:lang w:val="en-US" w:eastAsia="zh-CN" w:bidi="ar"/>
        </w:rPr>
        <w:t>（关键组件）</w:t>
      </w:r>
      <w:r>
        <w:rPr>
          <w:rFonts w:hint="eastAsia" w:ascii="宋体" w:hAnsi="宋体" w:eastAsia="宋体" w:cs="宋体"/>
          <w:color w:val="auto"/>
          <w:kern w:val="0"/>
          <w:sz w:val="21"/>
          <w:szCs w:val="21"/>
          <w:highlight w:val="none"/>
          <w:lang w:val="en-US" w:eastAsia="zh-CN" w:bidi="ar"/>
        </w:rPr>
        <w:t>在中国境内生产。</w:t>
      </w:r>
      <w:r>
        <w:rPr>
          <w:rFonts w:hint="eastAsia" w:ascii="宋体" w:hAnsi="宋体" w:eastAsia="宋体" w:cs="宋体"/>
          <w:color w:val="auto"/>
          <w:kern w:val="0"/>
          <w:sz w:val="21"/>
          <w:szCs w:val="21"/>
          <w:highlight w:val="none"/>
          <w:u w:val="single"/>
          <w:lang w:val="en-US" w:eastAsia="zh-CN" w:bidi="ar"/>
        </w:rPr>
        <w:t>（产品名称2）</w:t>
      </w:r>
      <w:r>
        <w:rPr>
          <w:rFonts w:hint="eastAsia" w:ascii="宋体" w:hAnsi="宋体" w:eastAsia="宋体" w:cs="宋体"/>
          <w:color w:val="auto"/>
          <w:kern w:val="0"/>
          <w:sz w:val="21"/>
          <w:szCs w:val="21"/>
          <w:highlight w:val="none"/>
          <w:lang w:val="en-US" w:eastAsia="zh-CN" w:bidi="ar"/>
        </w:rPr>
        <w:t>的</w:t>
      </w:r>
      <w:r>
        <w:rPr>
          <w:rFonts w:hint="eastAsia" w:ascii="宋体" w:hAnsi="宋体" w:eastAsia="宋体" w:cs="宋体"/>
          <w:color w:val="auto"/>
          <w:kern w:val="0"/>
          <w:sz w:val="21"/>
          <w:szCs w:val="21"/>
          <w:highlight w:val="none"/>
          <w:u w:val="single"/>
          <w:lang w:val="en-US" w:eastAsia="zh-CN" w:bidi="ar"/>
        </w:rPr>
        <w:t>（关键工序）</w:t>
      </w:r>
      <w:r>
        <w:rPr>
          <w:rFonts w:hint="eastAsia" w:ascii="宋体" w:hAnsi="宋体" w:eastAsia="宋体" w:cs="宋体"/>
          <w:color w:val="auto"/>
          <w:kern w:val="0"/>
          <w:sz w:val="21"/>
          <w:szCs w:val="21"/>
          <w:highlight w:val="none"/>
          <w:lang w:val="en-US" w:eastAsia="zh-CN" w:bidi="ar"/>
        </w:rPr>
        <w:t xml:space="preserve">在中国境内完成。 </w:t>
      </w:r>
    </w:p>
    <w:p w14:paraId="7DB0A089">
      <w:pPr>
        <w:keepNext w:val="0"/>
        <w:keepLines w:val="0"/>
        <w:widowControl/>
        <w:suppressLineNumbers w:val="0"/>
        <w:spacing w:line="360" w:lineRule="auto"/>
        <w:ind w:firstLine="420" w:firstLineChars="200"/>
        <w:jc w:val="left"/>
        <w:rPr>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 </w:t>
      </w:r>
    </w:p>
    <w:p w14:paraId="41DFEEE3">
      <w:pPr>
        <w:keepNext w:val="0"/>
        <w:keepLines w:val="0"/>
        <w:widowControl/>
        <w:suppressLineNumbers w:val="0"/>
        <w:spacing w:line="360" w:lineRule="auto"/>
        <w:ind w:firstLine="420" w:firstLineChars="200"/>
        <w:jc w:val="left"/>
        <w:rPr>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本公司（单位）对上述声明内容的真实性负责。如有虚假，愿承担相应法律责任。 </w:t>
      </w:r>
    </w:p>
    <w:p w14:paraId="48C0DC52">
      <w:pPr>
        <w:keepNext w:val="0"/>
        <w:keepLines w:val="0"/>
        <w:widowControl/>
        <w:suppressLineNumbers w:val="0"/>
        <w:spacing w:line="360" w:lineRule="auto"/>
        <w:jc w:val="left"/>
        <w:rPr>
          <w:rFonts w:hint="eastAsia" w:ascii="宋体" w:hAnsi="宋体" w:eastAsia="宋体" w:cs="宋体"/>
          <w:color w:val="auto"/>
          <w:kern w:val="0"/>
          <w:sz w:val="21"/>
          <w:szCs w:val="21"/>
          <w:highlight w:val="none"/>
          <w:lang w:val="en-US" w:eastAsia="zh-CN" w:bidi="ar"/>
        </w:rPr>
      </w:pPr>
    </w:p>
    <w:p w14:paraId="692F5C46">
      <w:pPr>
        <w:keepNext w:val="0"/>
        <w:keepLines w:val="0"/>
        <w:widowControl/>
        <w:suppressLineNumbers w:val="0"/>
        <w:spacing w:line="360" w:lineRule="auto"/>
        <w:jc w:val="left"/>
        <w:rPr>
          <w:rFonts w:hint="eastAsia" w:ascii="宋体" w:hAnsi="宋体" w:eastAsia="宋体" w:cs="宋体"/>
          <w:color w:val="auto"/>
          <w:kern w:val="0"/>
          <w:sz w:val="21"/>
          <w:szCs w:val="21"/>
          <w:highlight w:val="none"/>
          <w:lang w:val="en-US" w:eastAsia="zh-CN" w:bidi="ar"/>
        </w:rPr>
      </w:pPr>
    </w:p>
    <w:p w14:paraId="23AE6D86">
      <w:pPr>
        <w:keepNext w:val="0"/>
        <w:keepLines w:val="0"/>
        <w:widowControl/>
        <w:suppressLineNumbers w:val="0"/>
        <w:spacing w:line="360" w:lineRule="auto"/>
        <w:jc w:val="left"/>
        <w:rPr>
          <w:color w:val="auto"/>
          <w:sz w:val="21"/>
          <w:szCs w:val="21"/>
          <w:highlight w:val="none"/>
        </w:rPr>
      </w:pPr>
      <w:r>
        <w:rPr>
          <w:rFonts w:hint="eastAsia" w:ascii="宋体" w:hAnsi="宋体" w:cs="宋体"/>
          <w:color w:val="auto"/>
          <w:kern w:val="0"/>
          <w:sz w:val="21"/>
          <w:szCs w:val="21"/>
          <w:highlight w:val="none"/>
          <w:lang w:val="zh-CN"/>
        </w:rPr>
        <w:t>投标人名称(盖公章)：</w:t>
      </w:r>
      <w:r>
        <w:rPr>
          <w:rFonts w:hint="eastAsia" w:ascii="宋体" w:hAnsi="宋体" w:eastAsia="宋体" w:cs="宋体"/>
          <w:color w:val="auto"/>
          <w:kern w:val="0"/>
          <w:sz w:val="21"/>
          <w:szCs w:val="21"/>
          <w:highlight w:val="none"/>
          <w:lang w:val="en-US" w:eastAsia="zh-CN" w:bidi="ar"/>
        </w:rPr>
        <w:t xml:space="preserve"> </w:t>
      </w:r>
    </w:p>
    <w:p w14:paraId="4EB6A3DB">
      <w:pPr>
        <w:keepNext w:val="0"/>
        <w:keepLines w:val="0"/>
        <w:widowControl/>
        <w:suppressLineNumbers w:val="0"/>
        <w:spacing w:line="360" w:lineRule="auto"/>
        <w:jc w:val="left"/>
        <w:rPr>
          <w:color w:val="auto"/>
          <w:sz w:val="21"/>
          <w:szCs w:val="21"/>
          <w:highlight w:val="none"/>
        </w:rPr>
      </w:pPr>
      <w:r>
        <w:rPr>
          <w:rFonts w:hint="eastAsia" w:ascii="宋体" w:hAnsi="宋体" w:eastAsia="宋体" w:cs="宋体"/>
          <w:color w:val="auto"/>
          <w:kern w:val="0"/>
          <w:sz w:val="21"/>
          <w:szCs w:val="21"/>
          <w:highlight w:val="none"/>
          <w:lang w:val="en-US" w:eastAsia="zh-CN" w:bidi="ar"/>
        </w:rPr>
        <w:t>日期：    年    月   日</w:t>
      </w:r>
    </w:p>
    <w:p w14:paraId="58C03F0A">
      <w:pPr>
        <w:shd w:val="clear" w:color="auto" w:fill="FFFFFF"/>
        <w:spacing w:line="360" w:lineRule="auto"/>
        <w:jc w:val="left"/>
        <w:rPr>
          <w:rFonts w:hint="eastAsia" w:ascii="宋体" w:hAnsi="宋体" w:cs="宋体"/>
          <w:b/>
          <w:color w:val="auto"/>
          <w:sz w:val="28"/>
          <w:szCs w:val="28"/>
          <w:highlight w:val="none"/>
        </w:rPr>
      </w:pPr>
    </w:p>
    <w:p w14:paraId="69FF5308">
      <w:pPr>
        <w:keepNext w:val="0"/>
        <w:keepLines w:val="0"/>
        <w:widowControl/>
        <w:suppressLineNumbers w:val="0"/>
        <w:jc w:val="left"/>
        <w:rPr>
          <w:color w:val="auto"/>
          <w:highlight w:val="none"/>
        </w:rPr>
      </w:pPr>
      <w:r>
        <w:rPr>
          <w:rFonts w:hint="eastAsia" w:ascii="宋体" w:hAnsi="宋体" w:eastAsia="宋体" w:cs="宋体"/>
          <w:color w:val="auto"/>
          <w:kern w:val="0"/>
          <w:sz w:val="22"/>
          <w:szCs w:val="22"/>
          <w:highlight w:val="none"/>
          <w:u w:val="single"/>
          <w:lang w:val="en-US" w:eastAsia="zh-CN" w:bidi="ar"/>
        </w:rPr>
        <w:t xml:space="preserve">                                                                                </w:t>
      </w:r>
      <w:r>
        <w:rPr>
          <w:rFonts w:hint="eastAsia" w:ascii="宋体" w:hAnsi="宋体" w:eastAsia="宋体" w:cs="宋体"/>
          <w:color w:val="auto"/>
          <w:kern w:val="0"/>
          <w:sz w:val="22"/>
          <w:szCs w:val="22"/>
          <w:highlight w:val="none"/>
          <w:lang w:val="en-US" w:eastAsia="zh-CN" w:bidi="ar"/>
        </w:rPr>
        <w:t xml:space="preserve"> </w:t>
      </w:r>
    </w:p>
    <w:p w14:paraId="579D3F50">
      <w:pPr>
        <w:keepNext w:val="0"/>
        <w:keepLines w:val="0"/>
        <w:widowControl/>
        <w:suppressLineNumbers w:val="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1.产品如有型号，请在“产品名称”栏一并填写。 </w:t>
      </w:r>
    </w:p>
    <w:p w14:paraId="321F95FC">
      <w:pPr>
        <w:keepNext w:val="0"/>
        <w:keepLines w:val="0"/>
        <w:widowControl/>
        <w:suppressLineNumbers w:val="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2.生产厂名与厂址应与生产厂营业执照载明的相关信息保持一致。 </w:t>
      </w:r>
    </w:p>
    <w:p w14:paraId="47C678C9">
      <w:pPr>
        <w:keepNext w:val="0"/>
        <w:keepLines w:val="0"/>
        <w:widowControl/>
        <w:suppressLineNumbers w:val="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3.该产品的中国境内生产的组件成本占比相关要求实施前，“规定比例”栏可不填。 </w:t>
      </w:r>
    </w:p>
    <w:p w14:paraId="0A6A9EF3">
      <w:pPr>
        <w:keepNext w:val="0"/>
        <w:keepLines w:val="0"/>
        <w:widowControl/>
        <w:suppressLineNumbers w:val="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4.该产品的关键组件要求实施前，“关键组件”栏可不填。 </w:t>
      </w:r>
    </w:p>
    <w:p w14:paraId="12CF3684">
      <w:pPr>
        <w:keepNext w:val="0"/>
        <w:keepLines w:val="0"/>
        <w:widowControl/>
        <w:suppressLineNumbers w:val="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5.该产品的关键工序要求实施前，“关键工序”栏可不填。</w:t>
      </w:r>
    </w:p>
    <w:p w14:paraId="34539C73">
      <w:pPr>
        <w:shd w:val="clear" w:color="auto" w:fill="FFFFFF"/>
        <w:spacing w:line="480" w:lineRule="atLeast"/>
        <w:jc w:val="left"/>
        <w:rPr>
          <w:rFonts w:hint="eastAsia" w:ascii="宋体" w:hAnsi="宋体" w:cs="宋体"/>
          <w:b/>
          <w:color w:val="auto"/>
          <w:sz w:val="28"/>
          <w:szCs w:val="28"/>
          <w:highlight w:val="none"/>
        </w:rPr>
      </w:pPr>
    </w:p>
    <w:p w14:paraId="5D3078DB">
      <w:pPr>
        <w:shd w:val="clear" w:color="auto" w:fill="FFFFFF"/>
        <w:spacing w:line="480" w:lineRule="atLeast"/>
        <w:jc w:val="left"/>
        <w:rPr>
          <w:rFonts w:hint="eastAsia" w:ascii="宋体" w:hAnsi="宋体" w:cs="宋体"/>
          <w:b/>
          <w:color w:val="auto"/>
          <w:sz w:val="28"/>
          <w:szCs w:val="28"/>
          <w:highlight w:val="none"/>
        </w:rPr>
      </w:pPr>
    </w:p>
    <w:p w14:paraId="27133C78">
      <w:pPr>
        <w:shd w:val="clear" w:color="auto" w:fill="FFFFFF"/>
        <w:spacing w:line="480" w:lineRule="atLeast"/>
        <w:jc w:val="left"/>
        <w:rPr>
          <w:rFonts w:hint="eastAsia" w:ascii="宋体" w:hAnsi="宋体" w:cs="宋体"/>
          <w:b/>
          <w:color w:val="auto"/>
          <w:sz w:val="28"/>
          <w:szCs w:val="28"/>
          <w:highlight w:val="none"/>
        </w:rPr>
      </w:pPr>
    </w:p>
    <w:p w14:paraId="37791020">
      <w:pPr>
        <w:shd w:val="clear" w:color="auto" w:fill="FFFFFF"/>
        <w:spacing w:line="480" w:lineRule="atLeast"/>
        <w:jc w:val="left"/>
        <w:rPr>
          <w:rFonts w:hint="eastAsia" w:ascii="宋体" w:hAnsi="宋体" w:cs="宋体"/>
          <w:b/>
          <w:color w:val="auto"/>
          <w:sz w:val="28"/>
          <w:szCs w:val="28"/>
          <w:highlight w:val="none"/>
        </w:rPr>
      </w:pPr>
    </w:p>
    <w:p w14:paraId="1976CF2E">
      <w:pPr>
        <w:shd w:val="clear" w:color="auto" w:fill="FFFFFF"/>
        <w:spacing w:line="480" w:lineRule="atLeast"/>
        <w:jc w:val="left"/>
        <w:rPr>
          <w:rFonts w:hint="eastAsia" w:ascii="宋体" w:hAnsi="宋体" w:cs="宋体"/>
          <w:b/>
          <w:color w:val="auto"/>
          <w:sz w:val="28"/>
          <w:szCs w:val="28"/>
          <w:highlight w:val="none"/>
        </w:rPr>
      </w:pPr>
    </w:p>
    <w:p w14:paraId="3FBECD53">
      <w:pPr>
        <w:shd w:val="clear" w:color="auto" w:fill="FFFFFF"/>
        <w:spacing w:line="480" w:lineRule="atLeast"/>
        <w:jc w:val="left"/>
        <w:rPr>
          <w:color w:val="auto"/>
          <w:highlight w:val="none"/>
        </w:rPr>
      </w:pPr>
      <w:r>
        <w:rPr>
          <w:rFonts w:hint="eastAsia" w:ascii="宋体" w:hAnsi="宋体" w:cs="宋体"/>
          <w:b/>
          <w:color w:val="auto"/>
          <w:sz w:val="28"/>
          <w:szCs w:val="28"/>
          <w:highlight w:val="none"/>
          <w:lang w:val="en-US" w:eastAsia="zh-CN"/>
        </w:rPr>
        <w:t>4.</w:t>
      </w:r>
      <w:r>
        <w:rPr>
          <w:rFonts w:hint="eastAsia" w:ascii="宋体" w:hAnsi="宋体" w:cs="宋体"/>
          <w:b/>
          <w:color w:val="auto"/>
          <w:sz w:val="28"/>
          <w:szCs w:val="28"/>
          <w:highlight w:val="none"/>
        </w:rPr>
        <w:t>广西壮族自治区政府采购项目合同验收书的格式：</w:t>
      </w:r>
    </w:p>
    <w:p w14:paraId="27949AD5">
      <w:pPr>
        <w:shd w:val="clear" w:color="auto" w:fill="FFFFFF"/>
        <w:spacing w:line="480" w:lineRule="atLeast"/>
        <w:ind w:firstLine="480"/>
        <w:jc w:val="center"/>
        <w:rPr>
          <w:rFonts w:ascii="宋体" w:hAnsi="宋体" w:cs="宋体"/>
          <w:color w:val="auto"/>
          <w:kern w:val="0"/>
          <w:sz w:val="32"/>
          <w:szCs w:val="32"/>
          <w:highlight w:val="none"/>
        </w:rPr>
      </w:pPr>
    </w:p>
    <w:p w14:paraId="1661FC1A">
      <w:pPr>
        <w:shd w:val="clear" w:color="auto" w:fill="FFFFFF"/>
        <w:spacing w:line="480" w:lineRule="atLeast"/>
        <w:ind w:firstLine="480"/>
        <w:jc w:val="center"/>
        <w:rPr>
          <w:rFonts w:ascii="宋体" w:hAnsi="宋体" w:cs="宋体"/>
          <w:color w:val="auto"/>
          <w:kern w:val="0"/>
          <w:sz w:val="32"/>
          <w:szCs w:val="32"/>
          <w:highlight w:val="none"/>
        </w:rPr>
      </w:pPr>
      <w:r>
        <w:rPr>
          <w:rFonts w:hint="eastAsia" w:ascii="宋体" w:hAnsi="宋体" w:cs="宋体"/>
          <w:color w:val="auto"/>
          <w:kern w:val="0"/>
          <w:sz w:val="32"/>
          <w:szCs w:val="32"/>
          <w:highlight w:val="none"/>
        </w:rPr>
        <w:t>广西壮族自治区政府采购项目合同验收书</w:t>
      </w:r>
    </w:p>
    <w:p w14:paraId="597DEA9E">
      <w:pPr>
        <w:shd w:val="clear" w:color="auto" w:fill="FFFFFF"/>
        <w:spacing w:line="480" w:lineRule="atLeast"/>
        <w:ind w:firstLine="480"/>
        <w:jc w:val="center"/>
        <w:rPr>
          <w:rFonts w:ascii="宋体" w:hAnsi="宋体" w:cs="宋体"/>
          <w:color w:val="auto"/>
          <w:kern w:val="0"/>
          <w:sz w:val="32"/>
          <w:szCs w:val="32"/>
          <w:highlight w:val="none"/>
        </w:rPr>
      </w:pPr>
    </w:p>
    <w:p w14:paraId="6CDAB86F">
      <w:pPr>
        <w:shd w:val="clear" w:color="auto" w:fill="FFFFFF"/>
        <w:snapToGrid w:val="0"/>
        <w:spacing w:line="320" w:lineRule="atLeast"/>
        <w:ind w:firstLine="315"/>
        <w:jc w:val="left"/>
        <w:rPr>
          <w:rFonts w:ascii="宋体" w:hAnsi="宋体" w:cs="宋体"/>
          <w:color w:val="auto"/>
          <w:kern w:val="0"/>
          <w:szCs w:val="21"/>
          <w:highlight w:val="none"/>
        </w:rPr>
      </w:pPr>
      <w:r>
        <w:rPr>
          <w:rFonts w:hint="eastAsia" w:ascii="宋体" w:hAnsi="宋体" w:cs="宋体"/>
          <w:color w:val="auto"/>
          <w:kern w:val="0"/>
          <w:szCs w:val="21"/>
          <w:highlight w:val="none"/>
        </w:rPr>
        <w:t>根据政府采购项目（</w:t>
      </w:r>
      <w:r>
        <w:rPr>
          <w:rFonts w:hint="eastAsia" w:ascii="宋体" w:hAnsi="宋体" w:cs="宋体"/>
          <w:color w:val="auto"/>
          <w:kern w:val="0"/>
          <w:szCs w:val="21"/>
          <w:highlight w:val="none"/>
          <w:u w:val="single"/>
        </w:rPr>
        <w:t>采购合同编号：</w:t>
      </w:r>
      <w:r>
        <w:rPr>
          <w:rFonts w:hint="eastAsia" w:ascii="宋体" w:hAnsi="宋体" w:cs="宋体"/>
          <w:color w:val="auto"/>
          <w:kern w:val="0"/>
          <w:szCs w:val="21"/>
          <w:highlight w:val="none"/>
          <w:u w:val="single"/>
        </w:rPr>
        <w:softHyphen/>
      </w:r>
      <w:r>
        <w:rPr>
          <w:rFonts w:hint="eastAsia" w:ascii="宋体" w:hAnsi="宋体" w:cs="宋体"/>
          <w:color w:val="auto"/>
          <w:kern w:val="0"/>
          <w:szCs w:val="21"/>
          <w:highlight w:val="none"/>
        </w:rPr>
        <w:t>）的约定，我单位对（</w:t>
      </w:r>
      <w:r>
        <w:rPr>
          <w:rFonts w:hint="eastAsia" w:ascii="宋体" w:hAnsi="宋体" w:cs="宋体"/>
          <w:color w:val="auto"/>
          <w:kern w:val="0"/>
          <w:szCs w:val="21"/>
          <w:highlight w:val="none"/>
          <w:u w:val="single"/>
        </w:rPr>
        <w:t xml:space="preserve"> 项目名称 </w:t>
      </w:r>
      <w:r>
        <w:rPr>
          <w:rFonts w:hint="eastAsia" w:ascii="宋体" w:hAnsi="宋体" w:cs="宋体"/>
          <w:color w:val="auto"/>
          <w:kern w:val="0"/>
          <w:szCs w:val="21"/>
          <w:highlight w:val="none"/>
        </w:rPr>
        <w:t>） 政府采购项目中标（或者成交）投标人（</w:t>
      </w:r>
      <w:r>
        <w:rPr>
          <w:rFonts w:hint="eastAsia" w:ascii="宋体" w:hAnsi="宋体" w:cs="宋体"/>
          <w:color w:val="auto"/>
          <w:kern w:val="0"/>
          <w:szCs w:val="21"/>
          <w:highlight w:val="none"/>
          <w:u w:val="single"/>
        </w:rPr>
        <w:t xml:space="preserve"> 公司名称 </w:t>
      </w:r>
      <w:r>
        <w:rPr>
          <w:rFonts w:hint="eastAsia" w:ascii="宋体" w:hAnsi="宋体" w:cs="宋体"/>
          <w:color w:val="auto"/>
          <w:kern w:val="0"/>
          <w:szCs w:val="21"/>
          <w:highlight w:val="none"/>
        </w:rPr>
        <w:t>） 提供的货物（或者工程、服务）进行了验收，验收情况如下：</w:t>
      </w:r>
    </w:p>
    <w:tbl>
      <w:tblPr>
        <w:tblStyle w:val="28"/>
        <w:tblW w:w="9371" w:type="dxa"/>
        <w:jc w:val="center"/>
        <w:tblLayout w:type="fixed"/>
        <w:tblCellMar>
          <w:top w:w="0" w:type="dxa"/>
          <w:left w:w="0" w:type="dxa"/>
          <w:bottom w:w="0" w:type="dxa"/>
          <w:right w:w="0" w:type="dxa"/>
        </w:tblCellMar>
      </w:tblPr>
      <w:tblGrid>
        <w:gridCol w:w="1331"/>
        <w:gridCol w:w="1921"/>
        <w:gridCol w:w="798"/>
        <w:gridCol w:w="102"/>
        <w:gridCol w:w="2002"/>
        <w:gridCol w:w="178"/>
        <w:gridCol w:w="685"/>
        <w:gridCol w:w="2354"/>
      </w:tblGrid>
      <w:tr w14:paraId="11349091">
        <w:tblPrEx>
          <w:tblCellMar>
            <w:top w:w="0" w:type="dxa"/>
            <w:left w:w="0" w:type="dxa"/>
            <w:bottom w:w="0" w:type="dxa"/>
            <w:right w:w="0" w:type="dxa"/>
          </w:tblCellMar>
        </w:tblPrEx>
        <w:trPr>
          <w:trHeight w:val="497" w:hRule="atLeast"/>
          <w:jc w:val="center"/>
        </w:trPr>
        <w:tc>
          <w:tcPr>
            <w:tcW w:w="3252" w:type="dxa"/>
            <w:gridSpan w:val="2"/>
            <w:tcBorders>
              <w:top w:val="single" w:color="auto" w:sz="8" w:space="0"/>
              <w:left w:val="single" w:color="auto" w:sz="8" w:space="0"/>
              <w:bottom w:val="single" w:color="auto" w:sz="8" w:space="0"/>
              <w:right w:val="single" w:color="auto" w:sz="8" w:space="0"/>
            </w:tcBorders>
            <w:noWrap/>
            <w:vAlign w:val="center"/>
          </w:tcPr>
          <w:p w14:paraId="45F64C9F">
            <w:pPr>
              <w:keepNext w:val="0"/>
              <w:keepLines w:val="0"/>
              <w:suppressLineNumbers w:val="0"/>
              <w:snapToGrid w:val="0"/>
              <w:spacing w:before="100" w:beforeAutospacing="1" w:after="100" w:afterAutospacing="1" w:line="320" w:lineRule="atLeast"/>
              <w:ind w:left="0" w:right="0"/>
              <w:jc w:val="center"/>
              <w:rPr>
                <w:rFonts w:ascii="宋体" w:hAnsi="宋体" w:cs="宋体"/>
                <w:color w:val="auto"/>
                <w:kern w:val="0"/>
                <w:szCs w:val="21"/>
                <w:highlight w:val="none"/>
              </w:rPr>
            </w:pPr>
            <w:r>
              <w:rPr>
                <w:rFonts w:hint="eastAsia" w:ascii="宋体" w:hAnsi="宋体" w:cs="宋体"/>
                <w:color w:val="auto"/>
                <w:kern w:val="0"/>
                <w:szCs w:val="21"/>
                <w:highlight w:val="none"/>
              </w:rPr>
              <w:t>验收方式：</w:t>
            </w:r>
          </w:p>
        </w:tc>
        <w:tc>
          <w:tcPr>
            <w:tcW w:w="6119" w:type="dxa"/>
            <w:gridSpan w:val="6"/>
            <w:tcBorders>
              <w:top w:val="single" w:color="auto" w:sz="8" w:space="0"/>
              <w:left w:val="nil"/>
              <w:bottom w:val="single" w:color="auto" w:sz="8" w:space="0"/>
              <w:right w:val="single" w:color="auto" w:sz="8" w:space="0"/>
            </w:tcBorders>
            <w:noWrap/>
            <w:vAlign w:val="center"/>
          </w:tcPr>
          <w:p w14:paraId="2C188D8E">
            <w:pPr>
              <w:keepNext w:val="0"/>
              <w:keepLines w:val="0"/>
              <w:suppressLineNumbers w:val="0"/>
              <w:snapToGrid w:val="0"/>
              <w:spacing w:before="100" w:beforeAutospacing="1" w:after="100" w:afterAutospacing="1" w:line="320" w:lineRule="atLeast"/>
              <w:ind w:left="0" w:right="0"/>
              <w:jc w:val="center"/>
              <w:rPr>
                <w:rFonts w:ascii="宋体" w:hAnsi="宋体" w:cs="宋体"/>
                <w:color w:val="auto"/>
                <w:kern w:val="0"/>
                <w:szCs w:val="21"/>
                <w:highlight w:val="none"/>
              </w:rPr>
            </w:pPr>
            <w:r>
              <w:rPr>
                <w:rFonts w:hint="eastAsia" w:ascii="宋体" w:hAnsi="宋体" w:cs="宋体"/>
                <w:color w:val="auto"/>
                <w:kern w:val="0"/>
                <w:szCs w:val="21"/>
                <w:highlight w:val="none"/>
              </w:rPr>
              <w:t>□自行验收 □委托验收</w:t>
            </w:r>
          </w:p>
        </w:tc>
      </w:tr>
      <w:tr w14:paraId="4B684EAD">
        <w:tblPrEx>
          <w:tblCellMar>
            <w:top w:w="0" w:type="dxa"/>
            <w:left w:w="0" w:type="dxa"/>
            <w:bottom w:w="0" w:type="dxa"/>
            <w:right w:w="0" w:type="dxa"/>
          </w:tblCellMar>
        </w:tblPrEx>
        <w:trPr>
          <w:trHeight w:val="622" w:hRule="atLeast"/>
          <w:jc w:val="center"/>
        </w:trPr>
        <w:tc>
          <w:tcPr>
            <w:tcW w:w="1331" w:type="dxa"/>
            <w:tcBorders>
              <w:top w:val="nil"/>
              <w:left w:val="single" w:color="auto" w:sz="8" w:space="0"/>
              <w:bottom w:val="single" w:color="auto" w:sz="8" w:space="0"/>
              <w:right w:val="single" w:color="auto" w:sz="8" w:space="0"/>
            </w:tcBorders>
            <w:noWrap/>
            <w:vAlign w:val="center"/>
          </w:tcPr>
          <w:p w14:paraId="2EA7950C">
            <w:pPr>
              <w:keepNext w:val="0"/>
              <w:keepLines w:val="0"/>
              <w:suppressLineNumbers w:val="0"/>
              <w:snapToGrid w:val="0"/>
              <w:spacing w:before="100" w:beforeAutospacing="1" w:after="100" w:afterAutospacing="1" w:line="320" w:lineRule="atLeast"/>
              <w:ind w:left="0" w:right="0"/>
              <w:jc w:val="center"/>
              <w:rPr>
                <w:rFonts w:ascii="宋体" w:hAnsi="宋体" w:cs="宋体"/>
                <w:color w:val="auto"/>
                <w:kern w:val="0"/>
                <w:szCs w:val="21"/>
                <w:highlight w:val="none"/>
              </w:rPr>
            </w:pPr>
            <w:r>
              <w:rPr>
                <w:rFonts w:hint="eastAsia" w:ascii="宋体" w:hAnsi="宋体" w:cs="宋体"/>
                <w:color w:val="auto"/>
                <w:kern w:val="0"/>
                <w:szCs w:val="21"/>
                <w:highlight w:val="none"/>
              </w:rPr>
              <w:t>序号</w:t>
            </w:r>
          </w:p>
        </w:tc>
        <w:tc>
          <w:tcPr>
            <w:tcW w:w="1921" w:type="dxa"/>
            <w:tcBorders>
              <w:top w:val="nil"/>
              <w:left w:val="nil"/>
              <w:bottom w:val="single" w:color="auto" w:sz="8" w:space="0"/>
              <w:right w:val="single" w:color="auto" w:sz="8" w:space="0"/>
            </w:tcBorders>
            <w:noWrap/>
            <w:vAlign w:val="center"/>
          </w:tcPr>
          <w:p w14:paraId="090BCC13">
            <w:pPr>
              <w:keepNext w:val="0"/>
              <w:keepLines w:val="0"/>
              <w:suppressLineNumbers w:val="0"/>
              <w:snapToGrid w:val="0"/>
              <w:spacing w:before="100" w:beforeAutospacing="1" w:after="100" w:afterAutospacing="1" w:line="320" w:lineRule="atLeast"/>
              <w:ind w:left="0" w:right="0"/>
              <w:jc w:val="center"/>
              <w:rPr>
                <w:rFonts w:ascii="宋体" w:hAnsi="宋体" w:cs="宋体"/>
                <w:color w:val="auto"/>
                <w:kern w:val="0"/>
                <w:szCs w:val="21"/>
                <w:highlight w:val="none"/>
              </w:rPr>
            </w:pPr>
            <w:r>
              <w:rPr>
                <w:rFonts w:hint="eastAsia" w:ascii="宋体" w:hAnsi="宋体" w:cs="宋体"/>
                <w:color w:val="auto"/>
                <w:kern w:val="0"/>
                <w:szCs w:val="21"/>
                <w:highlight w:val="none"/>
              </w:rPr>
              <w:t>名 称</w:t>
            </w:r>
          </w:p>
        </w:tc>
        <w:tc>
          <w:tcPr>
            <w:tcW w:w="2902" w:type="dxa"/>
            <w:gridSpan w:val="3"/>
            <w:tcBorders>
              <w:top w:val="nil"/>
              <w:left w:val="nil"/>
              <w:bottom w:val="single" w:color="auto" w:sz="8" w:space="0"/>
              <w:right w:val="single" w:color="auto" w:sz="8" w:space="0"/>
            </w:tcBorders>
            <w:noWrap/>
            <w:vAlign w:val="center"/>
          </w:tcPr>
          <w:p w14:paraId="288E1CB0">
            <w:pPr>
              <w:keepNext w:val="0"/>
              <w:keepLines w:val="0"/>
              <w:suppressLineNumbers w:val="0"/>
              <w:snapToGrid w:val="0"/>
              <w:spacing w:before="100" w:beforeAutospacing="1" w:after="100" w:afterAutospacing="1" w:line="320" w:lineRule="atLeast"/>
              <w:ind w:left="0" w:right="0"/>
              <w:jc w:val="center"/>
              <w:rPr>
                <w:rFonts w:ascii="宋体" w:hAnsi="宋体" w:cs="宋体"/>
                <w:color w:val="auto"/>
                <w:kern w:val="0"/>
                <w:szCs w:val="21"/>
                <w:highlight w:val="none"/>
              </w:rPr>
            </w:pPr>
            <w:r>
              <w:rPr>
                <w:rFonts w:hint="eastAsia" w:ascii="宋体" w:hAnsi="宋体" w:cs="宋体"/>
                <w:color w:val="auto"/>
                <w:kern w:val="0"/>
                <w:szCs w:val="21"/>
                <w:highlight w:val="none"/>
              </w:rPr>
              <w:t>货物型号规格、标准及配置等（或者服务内容、标准）</w:t>
            </w:r>
          </w:p>
        </w:tc>
        <w:tc>
          <w:tcPr>
            <w:tcW w:w="863" w:type="dxa"/>
            <w:gridSpan w:val="2"/>
            <w:tcBorders>
              <w:top w:val="nil"/>
              <w:left w:val="nil"/>
              <w:bottom w:val="single" w:color="auto" w:sz="8" w:space="0"/>
              <w:right w:val="single" w:color="auto" w:sz="8" w:space="0"/>
            </w:tcBorders>
            <w:noWrap/>
            <w:vAlign w:val="center"/>
          </w:tcPr>
          <w:p w14:paraId="6B8FFD77">
            <w:pPr>
              <w:keepNext w:val="0"/>
              <w:keepLines w:val="0"/>
              <w:suppressLineNumbers w:val="0"/>
              <w:snapToGrid w:val="0"/>
              <w:spacing w:before="100" w:beforeAutospacing="1" w:after="100" w:afterAutospacing="1" w:line="320" w:lineRule="atLeast"/>
              <w:ind w:left="0" w:right="0"/>
              <w:jc w:val="center"/>
              <w:rPr>
                <w:rFonts w:ascii="宋体" w:hAnsi="宋体" w:cs="宋体"/>
                <w:color w:val="auto"/>
                <w:kern w:val="0"/>
                <w:szCs w:val="21"/>
                <w:highlight w:val="none"/>
              </w:rPr>
            </w:pPr>
            <w:r>
              <w:rPr>
                <w:rFonts w:hint="eastAsia" w:ascii="宋体" w:hAnsi="宋体" w:cs="宋体"/>
                <w:color w:val="auto"/>
                <w:kern w:val="0"/>
                <w:szCs w:val="21"/>
                <w:highlight w:val="none"/>
              </w:rPr>
              <w:t>数量</w:t>
            </w:r>
          </w:p>
        </w:tc>
        <w:tc>
          <w:tcPr>
            <w:tcW w:w="2354" w:type="dxa"/>
            <w:tcBorders>
              <w:top w:val="nil"/>
              <w:left w:val="nil"/>
              <w:bottom w:val="single" w:color="auto" w:sz="8" w:space="0"/>
              <w:right w:val="single" w:color="auto" w:sz="8" w:space="0"/>
            </w:tcBorders>
            <w:noWrap/>
            <w:vAlign w:val="center"/>
          </w:tcPr>
          <w:p w14:paraId="56D08DFA">
            <w:pPr>
              <w:keepNext w:val="0"/>
              <w:keepLines w:val="0"/>
              <w:suppressLineNumbers w:val="0"/>
              <w:snapToGrid w:val="0"/>
              <w:spacing w:before="100" w:beforeAutospacing="1" w:after="100" w:afterAutospacing="1" w:line="320" w:lineRule="atLeast"/>
              <w:ind w:left="0" w:right="0"/>
              <w:jc w:val="center"/>
              <w:rPr>
                <w:rFonts w:ascii="宋体" w:hAnsi="宋体" w:cs="宋体"/>
                <w:color w:val="auto"/>
                <w:kern w:val="0"/>
                <w:szCs w:val="21"/>
                <w:highlight w:val="none"/>
              </w:rPr>
            </w:pPr>
            <w:r>
              <w:rPr>
                <w:rFonts w:hint="eastAsia" w:ascii="宋体" w:hAnsi="宋体" w:cs="宋体"/>
                <w:color w:val="auto"/>
                <w:kern w:val="0"/>
                <w:szCs w:val="21"/>
                <w:highlight w:val="none"/>
              </w:rPr>
              <w:t>金 额</w:t>
            </w:r>
          </w:p>
        </w:tc>
      </w:tr>
      <w:tr w14:paraId="3EB251DC">
        <w:tblPrEx>
          <w:tblCellMar>
            <w:top w:w="0" w:type="dxa"/>
            <w:left w:w="0" w:type="dxa"/>
            <w:bottom w:w="0" w:type="dxa"/>
            <w:right w:w="0" w:type="dxa"/>
          </w:tblCellMar>
        </w:tblPrEx>
        <w:trPr>
          <w:trHeight w:val="487" w:hRule="atLeast"/>
          <w:jc w:val="center"/>
        </w:trPr>
        <w:tc>
          <w:tcPr>
            <w:tcW w:w="1331" w:type="dxa"/>
            <w:tcBorders>
              <w:top w:val="nil"/>
              <w:left w:val="single" w:color="auto" w:sz="8" w:space="0"/>
              <w:bottom w:val="single" w:color="auto" w:sz="8" w:space="0"/>
              <w:right w:val="single" w:color="auto" w:sz="8" w:space="0"/>
            </w:tcBorders>
            <w:noWrap/>
            <w:vAlign w:val="center"/>
          </w:tcPr>
          <w:p w14:paraId="4041BFAA">
            <w:pPr>
              <w:keepNext w:val="0"/>
              <w:keepLines w:val="0"/>
              <w:suppressLineNumbers w:val="0"/>
              <w:spacing w:before="100" w:beforeAutospacing="1" w:after="100" w:afterAutospacing="1" w:line="240" w:lineRule="atLeast"/>
              <w:ind w:left="0" w:right="0"/>
              <w:jc w:val="center"/>
              <w:rPr>
                <w:rFonts w:ascii="宋体" w:hAnsi="宋体" w:cs="宋体"/>
                <w:color w:val="auto"/>
                <w:kern w:val="0"/>
                <w:szCs w:val="21"/>
                <w:highlight w:val="none"/>
              </w:rPr>
            </w:pPr>
          </w:p>
        </w:tc>
        <w:tc>
          <w:tcPr>
            <w:tcW w:w="1921" w:type="dxa"/>
            <w:tcBorders>
              <w:top w:val="nil"/>
              <w:left w:val="nil"/>
              <w:bottom w:val="single" w:color="auto" w:sz="8" w:space="0"/>
              <w:right w:val="single" w:color="auto" w:sz="8" w:space="0"/>
            </w:tcBorders>
            <w:noWrap/>
            <w:vAlign w:val="center"/>
          </w:tcPr>
          <w:p w14:paraId="359504B0">
            <w:pPr>
              <w:keepNext w:val="0"/>
              <w:keepLines w:val="0"/>
              <w:suppressLineNumbers w:val="0"/>
              <w:spacing w:before="100" w:beforeAutospacing="1" w:after="100" w:afterAutospacing="1" w:line="240" w:lineRule="atLeast"/>
              <w:ind w:left="0" w:right="0"/>
              <w:jc w:val="center"/>
              <w:rPr>
                <w:rFonts w:ascii="宋体" w:hAnsi="宋体" w:cs="宋体"/>
                <w:color w:val="auto"/>
                <w:kern w:val="0"/>
                <w:szCs w:val="21"/>
                <w:highlight w:val="none"/>
              </w:rPr>
            </w:pPr>
          </w:p>
        </w:tc>
        <w:tc>
          <w:tcPr>
            <w:tcW w:w="2902" w:type="dxa"/>
            <w:gridSpan w:val="3"/>
            <w:tcBorders>
              <w:top w:val="nil"/>
              <w:left w:val="nil"/>
              <w:bottom w:val="single" w:color="auto" w:sz="8" w:space="0"/>
              <w:right w:val="single" w:color="auto" w:sz="8" w:space="0"/>
            </w:tcBorders>
            <w:noWrap/>
            <w:vAlign w:val="center"/>
          </w:tcPr>
          <w:p w14:paraId="64F85BF8">
            <w:pPr>
              <w:keepNext w:val="0"/>
              <w:keepLines w:val="0"/>
              <w:suppressLineNumbers w:val="0"/>
              <w:spacing w:before="100" w:beforeAutospacing="1" w:after="100" w:afterAutospacing="1" w:line="240" w:lineRule="atLeast"/>
              <w:ind w:left="0" w:right="0"/>
              <w:jc w:val="center"/>
              <w:rPr>
                <w:rFonts w:ascii="宋体" w:hAnsi="宋体" w:cs="宋体"/>
                <w:color w:val="auto"/>
                <w:kern w:val="0"/>
                <w:szCs w:val="21"/>
                <w:highlight w:val="none"/>
              </w:rPr>
            </w:pPr>
          </w:p>
        </w:tc>
        <w:tc>
          <w:tcPr>
            <w:tcW w:w="863" w:type="dxa"/>
            <w:gridSpan w:val="2"/>
            <w:tcBorders>
              <w:top w:val="nil"/>
              <w:left w:val="nil"/>
              <w:bottom w:val="single" w:color="auto" w:sz="8" w:space="0"/>
              <w:right w:val="single" w:color="auto" w:sz="8" w:space="0"/>
            </w:tcBorders>
            <w:noWrap/>
            <w:vAlign w:val="center"/>
          </w:tcPr>
          <w:p w14:paraId="7F68222D">
            <w:pPr>
              <w:keepNext w:val="0"/>
              <w:keepLines w:val="0"/>
              <w:suppressLineNumbers w:val="0"/>
              <w:spacing w:before="100" w:beforeAutospacing="1" w:after="100" w:afterAutospacing="1" w:line="240" w:lineRule="atLeast"/>
              <w:ind w:left="0" w:right="0"/>
              <w:jc w:val="center"/>
              <w:rPr>
                <w:rFonts w:ascii="宋体" w:hAnsi="宋体" w:cs="宋体"/>
                <w:color w:val="auto"/>
                <w:kern w:val="0"/>
                <w:szCs w:val="21"/>
                <w:highlight w:val="none"/>
              </w:rPr>
            </w:pPr>
          </w:p>
        </w:tc>
        <w:tc>
          <w:tcPr>
            <w:tcW w:w="2354" w:type="dxa"/>
            <w:tcBorders>
              <w:top w:val="nil"/>
              <w:left w:val="nil"/>
              <w:bottom w:val="single" w:color="auto" w:sz="8" w:space="0"/>
              <w:right w:val="single" w:color="auto" w:sz="8" w:space="0"/>
            </w:tcBorders>
            <w:noWrap/>
            <w:vAlign w:val="center"/>
          </w:tcPr>
          <w:p w14:paraId="27797529">
            <w:pPr>
              <w:keepNext w:val="0"/>
              <w:keepLines w:val="0"/>
              <w:suppressLineNumbers w:val="0"/>
              <w:spacing w:before="100" w:beforeAutospacing="1" w:after="100" w:afterAutospacing="1" w:line="240" w:lineRule="atLeast"/>
              <w:ind w:left="0" w:right="0"/>
              <w:jc w:val="center"/>
              <w:rPr>
                <w:rFonts w:ascii="宋体" w:hAnsi="宋体" w:cs="宋体"/>
                <w:color w:val="auto"/>
                <w:kern w:val="0"/>
                <w:szCs w:val="21"/>
                <w:highlight w:val="none"/>
              </w:rPr>
            </w:pPr>
          </w:p>
        </w:tc>
      </w:tr>
      <w:tr w14:paraId="5F1DD6A3">
        <w:tblPrEx>
          <w:tblCellMar>
            <w:top w:w="0" w:type="dxa"/>
            <w:left w:w="0" w:type="dxa"/>
            <w:bottom w:w="0" w:type="dxa"/>
            <w:right w:w="0" w:type="dxa"/>
          </w:tblCellMar>
        </w:tblPrEx>
        <w:trPr>
          <w:trHeight w:val="487" w:hRule="atLeast"/>
          <w:jc w:val="center"/>
        </w:trPr>
        <w:tc>
          <w:tcPr>
            <w:tcW w:w="1331" w:type="dxa"/>
            <w:tcBorders>
              <w:top w:val="nil"/>
              <w:left w:val="single" w:color="auto" w:sz="8" w:space="0"/>
              <w:bottom w:val="single" w:color="auto" w:sz="8" w:space="0"/>
              <w:right w:val="single" w:color="auto" w:sz="8" w:space="0"/>
            </w:tcBorders>
            <w:noWrap/>
            <w:vAlign w:val="center"/>
          </w:tcPr>
          <w:p w14:paraId="1FB3A6FC">
            <w:pPr>
              <w:keepNext w:val="0"/>
              <w:keepLines w:val="0"/>
              <w:suppressLineNumbers w:val="0"/>
              <w:spacing w:before="100" w:beforeAutospacing="1" w:after="100" w:afterAutospacing="1" w:line="240" w:lineRule="atLeast"/>
              <w:ind w:left="0" w:right="0"/>
              <w:jc w:val="center"/>
              <w:rPr>
                <w:rFonts w:ascii="宋体" w:hAnsi="宋体" w:cs="宋体"/>
                <w:color w:val="auto"/>
                <w:kern w:val="0"/>
                <w:szCs w:val="21"/>
                <w:highlight w:val="none"/>
              </w:rPr>
            </w:pPr>
          </w:p>
        </w:tc>
        <w:tc>
          <w:tcPr>
            <w:tcW w:w="1921" w:type="dxa"/>
            <w:tcBorders>
              <w:top w:val="nil"/>
              <w:left w:val="nil"/>
              <w:bottom w:val="single" w:color="auto" w:sz="8" w:space="0"/>
              <w:right w:val="single" w:color="auto" w:sz="8" w:space="0"/>
            </w:tcBorders>
            <w:noWrap/>
            <w:vAlign w:val="center"/>
          </w:tcPr>
          <w:p w14:paraId="76E97645">
            <w:pPr>
              <w:keepNext w:val="0"/>
              <w:keepLines w:val="0"/>
              <w:suppressLineNumbers w:val="0"/>
              <w:spacing w:before="100" w:beforeAutospacing="1" w:after="100" w:afterAutospacing="1" w:line="240" w:lineRule="atLeast"/>
              <w:ind w:left="0" w:right="0"/>
              <w:jc w:val="center"/>
              <w:rPr>
                <w:rFonts w:ascii="宋体" w:hAnsi="宋体" w:cs="宋体"/>
                <w:color w:val="auto"/>
                <w:kern w:val="0"/>
                <w:szCs w:val="21"/>
                <w:highlight w:val="none"/>
              </w:rPr>
            </w:pPr>
          </w:p>
        </w:tc>
        <w:tc>
          <w:tcPr>
            <w:tcW w:w="2902" w:type="dxa"/>
            <w:gridSpan w:val="3"/>
            <w:tcBorders>
              <w:top w:val="nil"/>
              <w:left w:val="nil"/>
              <w:bottom w:val="single" w:color="auto" w:sz="8" w:space="0"/>
              <w:right w:val="single" w:color="auto" w:sz="8" w:space="0"/>
            </w:tcBorders>
            <w:noWrap/>
            <w:vAlign w:val="center"/>
          </w:tcPr>
          <w:p w14:paraId="3B5AFDD4">
            <w:pPr>
              <w:keepNext w:val="0"/>
              <w:keepLines w:val="0"/>
              <w:suppressLineNumbers w:val="0"/>
              <w:spacing w:before="100" w:beforeAutospacing="1" w:after="100" w:afterAutospacing="1" w:line="240" w:lineRule="atLeast"/>
              <w:ind w:left="0" w:right="0"/>
              <w:jc w:val="center"/>
              <w:rPr>
                <w:rFonts w:ascii="宋体" w:hAnsi="宋体" w:cs="宋体"/>
                <w:color w:val="auto"/>
                <w:kern w:val="0"/>
                <w:szCs w:val="21"/>
                <w:highlight w:val="none"/>
              </w:rPr>
            </w:pPr>
          </w:p>
        </w:tc>
        <w:tc>
          <w:tcPr>
            <w:tcW w:w="863" w:type="dxa"/>
            <w:gridSpan w:val="2"/>
            <w:tcBorders>
              <w:top w:val="nil"/>
              <w:left w:val="nil"/>
              <w:bottom w:val="single" w:color="auto" w:sz="8" w:space="0"/>
              <w:right w:val="single" w:color="auto" w:sz="8" w:space="0"/>
            </w:tcBorders>
            <w:noWrap/>
            <w:vAlign w:val="center"/>
          </w:tcPr>
          <w:p w14:paraId="58A4AB66">
            <w:pPr>
              <w:keepNext w:val="0"/>
              <w:keepLines w:val="0"/>
              <w:suppressLineNumbers w:val="0"/>
              <w:spacing w:before="100" w:beforeAutospacing="1" w:after="100" w:afterAutospacing="1" w:line="240" w:lineRule="atLeast"/>
              <w:ind w:left="0" w:right="0"/>
              <w:jc w:val="center"/>
              <w:rPr>
                <w:rFonts w:ascii="宋体" w:hAnsi="宋体" w:cs="宋体"/>
                <w:color w:val="auto"/>
                <w:kern w:val="0"/>
                <w:szCs w:val="21"/>
                <w:highlight w:val="none"/>
              </w:rPr>
            </w:pPr>
          </w:p>
        </w:tc>
        <w:tc>
          <w:tcPr>
            <w:tcW w:w="2354" w:type="dxa"/>
            <w:tcBorders>
              <w:top w:val="nil"/>
              <w:left w:val="nil"/>
              <w:bottom w:val="single" w:color="auto" w:sz="8" w:space="0"/>
              <w:right w:val="single" w:color="auto" w:sz="8" w:space="0"/>
            </w:tcBorders>
            <w:noWrap/>
            <w:vAlign w:val="center"/>
          </w:tcPr>
          <w:p w14:paraId="115BD851">
            <w:pPr>
              <w:keepNext w:val="0"/>
              <w:keepLines w:val="0"/>
              <w:suppressLineNumbers w:val="0"/>
              <w:spacing w:before="100" w:beforeAutospacing="1" w:after="100" w:afterAutospacing="1" w:line="240" w:lineRule="atLeast"/>
              <w:ind w:left="0" w:right="0"/>
              <w:jc w:val="center"/>
              <w:rPr>
                <w:rFonts w:ascii="宋体" w:hAnsi="宋体" w:cs="宋体"/>
                <w:color w:val="auto"/>
                <w:kern w:val="0"/>
                <w:szCs w:val="21"/>
                <w:highlight w:val="none"/>
              </w:rPr>
            </w:pPr>
          </w:p>
        </w:tc>
      </w:tr>
      <w:tr w14:paraId="1D4798F2">
        <w:tblPrEx>
          <w:tblCellMar>
            <w:top w:w="0" w:type="dxa"/>
            <w:left w:w="0" w:type="dxa"/>
            <w:bottom w:w="0" w:type="dxa"/>
            <w:right w:w="0" w:type="dxa"/>
          </w:tblCellMar>
        </w:tblPrEx>
        <w:trPr>
          <w:trHeight w:val="487" w:hRule="atLeast"/>
          <w:jc w:val="center"/>
        </w:trPr>
        <w:tc>
          <w:tcPr>
            <w:tcW w:w="1331" w:type="dxa"/>
            <w:tcBorders>
              <w:top w:val="nil"/>
              <w:left w:val="single" w:color="auto" w:sz="8" w:space="0"/>
              <w:bottom w:val="single" w:color="auto" w:sz="8" w:space="0"/>
              <w:right w:val="single" w:color="auto" w:sz="8" w:space="0"/>
            </w:tcBorders>
            <w:noWrap/>
            <w:vAlign w:val="center"/>
          </w:tcPr>
          <w:p w14:paraId="497BF6C6">
            <w:pPr>
              <w:keepNext w:val="0"/>
              <w:keepLines w:val="0"/>
              <w:suppressLineNumbers w:val="0"/>
              <w:spacing w:before="100" w:beforeAutospacing="1" w:after="100" w:afterAutospacing="1" w:line="240" w:lineRule="atLeast"/>
              <w:ind w:left="0" w:right="0"/>
              <w:jc w:val="center"/>
              <w:rPr>
                <w:rFonts w:ascii="宋体" w:hAnsi="宋体" w:cs="宋体"/>
                <w:color w:val="auto"/>
                <w:kern w:val="0"/>
                <w:szCs w:val="21"/>
                <w:highlight w:val="none"/>
              </w:rPr>
            </w:pPr>
          </w:p>
        </w:tc>
        <w:tc>
          <w:tcPr>
            <w:tcW w:w="1921" w:type="dxa"/>
            <w:tcBorders>
              <w:top w:val="nil"/>
              <w:left w:val="nil"/>
              <w:bottom w:val="single" w:color="auto" w:sz="8" w:space="0"/>
              <w:right w:val="single" w:color="auto" w:sz="8" w:space="0"/>
            </w:tcBorders>
            <w:noWrap/>
            <w:vAlign w:val="center"/>
          </w:tcPr>
          <w:p w14:paraId="6B788E12">
            <w:pPr>
              <w:keepNext w:val="0"/>
              <w:keepLines w:val="0"/>
              <w:suppressLineNumbers w:val="0"/>
              <w:spacing w:before="100" w:beforeAutospacing="1" w:after="100" w:afterAutospacing="1" w:line="240" w:lineRule="atLeast"/>
              <w:ind w:left="0" w:right="0"/>
              <w:jc w:val="center"/>
              <w:rPr>
                <w:rFonts w:ascii="宋体" w:hAnsi="宋体" w:cs="宋体"/>
                <w:color w:val="auto"/>
                <w:kern w:val="0"/>
                <w:szCs w:val="21"/>
                <w:highlight w:val="none"/>
              </w:rPr>
            </w:pPr>
          </w:p>
        </w:tc>
        <w:tc>
          <w:tcPr>
            <w:tcW w:w="2902" w:type="dxa"/>
            <w:gridSpan w:val="3"/>
            <w:tcBorders>
              <w:top w:val="nil"/>
              <w:left w:val="nil"/>
              <w:bottom w:val="single" w:color="auto" w:sz="8" w:space="0"/>
              <w:right w:val="single" w:color="auto" w:sz="8" w:space="0"/>
            </w:tcBorders>
            <w:noWrap/>
            <w:vAlign w:val="center"/>
          </w:tcPr>
          <w:p w14:paraId="667FDC01">
            <w:pPr>
              <w:keepNext w:val="0"/>
              <w:keepLines w:val="0"/>
              <w:suppressLineNumbers w:val="0"/>
              <w:spacing w:before="100" w:beforeAutospacing="1" w:after="100" w:afterAutospacing="1" w:line="240" w:lineRule="atLeast"/>
              <w:ind w:left="0" w:right="0"/>
              <w:jc w:val="center"/>
              <w:rPr>
                <w:rFonts w:ascii="宋体" w:hAnsi="宋体" w:cs="宋体"/>
                <w:color w:val="auto"/>
                <w:kern w:val="0"/>
                <w:szCs w:val="21"/>
                <w:highlight w:val="none"/>
              </w:rPr>
            </w:pPr>
          </w:p>
        </w:tc>
        <w:tc>
          <w:tcPr>
            <w:tcW w:w="863" w:type="dxa"/>
            <w:gridSpan w:val="2"/>
            <w:tcBorders>
              <w:top w:val="nil"/>
              <w:left w:val="nil"/>
              <w:bottom w:val="single" w:color="auto" w:sz="8" w:space="0"/>
              <w:right w:val="single" w:color="auto" w:sz="8" w:space="0"/>
            </w:tcBorders>
            <w:noWrap/>
            <w:vAlign w:val="center"/>
          </w:tcPr>
          <w:p w14:paraId="5EF82350">
            <w:pPr>
              <w:keepNext w:val="0"/>
              <w:keepLines w:val="0"/>
              <w:suppressLineNumbers w:val="0"/>
              <w:spacing w:before="100" w:beforeAutospacing="1" w:after="100" w:afterAutospacing="1" w:line="240" w:lineRule="atLeast"/>
              <w:ind w:left="0" w:right="0"/>
              <w:jc w:val="center"/>
              <w:rPr>
                <w:rFonts w:ascii="宋体" w:hAnsi="宋体" w:cs="宋体"/>
                <w:color w:val="auto"/>
                <w:kern w:val="0"/>
                <w:szCs w:val="21"/>
                <w:highlight w:val="none"/>
              </w:rPr>
            </w:pPr>
          </w:p>
        </w:tc>
        <w:tc>
          <w:tcPr>
            <w:tcW w:w="2354" w:type="dxa"/>
            <w:tcBorders>
              <w:top w:val="nil"/>
              <w:left w:val="nil"/>
              <w:bottom w:val="single" w:color="auto" w:sz="8" w:space="0"/>
              <w:right w:val="single" w:color="auto" w:sz="8" w:space="0"/>
            </w:tcBorders>
            <w:noWrap/>
            <w:vAlign w:val="center"/>
          </w:tcPr>
          <w:p w14:paraId="1F9C06ED">
            <w:pPr>
              <w:keepNext w:val="0"/>
              <w:keepLines w:val="0"/>
              <w:suppressLineNumbers w:val="0"/>
              <w:spacing w:before="100" w:beforeAutospacing="1" w:after="100" w:afterAutospacing="1" w:line="240" w:lineRule="atLeast"/>
              <w:ind w:left="0" w:right="0"/>
              <w:jc w:val="center"/>
              <w:rPr>
                <w:rFonts w:ascii="宋体" w:hAnsi="宋体" w:cs="宋体"/>
                <w:color w:val="auto"/>
                <w:kern w:val="0"/>
                <w:szCs w:val="21"/>
                <w:highlight w:val="none"/>
              </w:rPr>
            </w:pPr>
          </w:p>
        </w:tc>
      </w:tr>
      <w:tr w14:paraId="474793B7">
        <w:tblPrEx>
          <w:tblCellMar>
            <w:top w:w="0" w:type="dxa"/>
            <w:left w:w="0" w:type="dxa"/>
            <w:bottom w:w="0" w:type="dxa"/>
            <w:right w:w="0" w:type="dxa"/>
          </w:tblCellMar>
        </w:tblPrEx>
        <w:trPr>
          <w:trHeight w:val="487" w:hRule="atLeast"/>
          <w:jc w:val="center"/>
        </w:trPr>
        <w:tc>
          <w:tcPr>
            <w:tcW w:w="6154" w:type="dxa"/>
            <w:gridSpan w:val="5"/>
            <w:tcBorders>
              <w:top w:val="nil"/>
              <w:left w:val="single" w:color="auto" w:sz="8" w:space="0"/>
              <w:bottom w:val="single" w:color="auto" w:sz="8" w:space="0"/>
              <w:right w:val="single" w:color="auto" w:sz="8" w:space="0"/>
            </w:tcBorders>
            <w:noWrap/>
            <w:vAlign w:val="center"/>
          </w:tcPr>
          <w:p w14:paraId="437C7085">
            <w:pPr>
              <w:keepNext w:val="0"/>
              <w:keepLines w:val="0"/>
              <w:suppressLineNumbers w:val="0"/>
              <w:snapToGrid w:val="0"/>
              <w:spacing w:before="100" w:beforeAutospacing="1" w:after="100" w:afterAutospacing="1" w:line="320" w:lineRule="atLeast"/>
              <w:ind w:left="0" w:right="0"/>
              <w:jc w:val="center"/>
              <w:rPr>
                <w:rFonts w:ascii="宋体" w:hAnsi="宋体" w:cs="宋体"/>
                <w:color w:val="auto"/>
                <w:kern w:val="0"/>
                <w:szCs w:val="21"/>
                <w:highlight w:val="none"/>
              </w:rPr>
            </w:pPr>
            <w:r>
              <w:rPr>
                <w:rFonts w:hint="eastAsia" w:ascii="宋体" w:hAnsi="宋体" w:cs="宋体"/>
                <w:color w:val="auto"/>
                <w:kern w:val="0"/>
                <w:szCs w:val="21"/>
                <w:highlight w:val="none"/>
              </w:rPr>
              <w:t>合 计</w:t>
            </w:r>
          </w:p>
        </w:tc>
        <w:tc>
          <w:tcPr>
            <w:tcW w:w="863" w:type="dxa"/>
            <w:gridSpan w:val="2"/>
            <w:tcBorders>
              <w:top w:val="nil"/>
              <w:left w:val="nil"/>
              <w:bottom w:val="single" w:color="auto" w:sz="8" w:space="0"/>
              <w:right w:val="single" w:color="auto" w:sz="8" w:space="0"/>
            </w:tcBorders>
            <w:noWrap/>
            <w:vAlign w:val="center"/>
          </w:tcPr>
          <w:p w14:paraId="5CCCADE2">
            <w:pPr>
              <w:keepNext w:val="0"/>
              <w:keepLines w:val="0"/>
              <w:suppressLineNumbers w:val="0"/>
              <w:spacing w:before="100" w:beforeAutospacing="1" w:after="100" w:afterAutospacing="1" w:line="240" w:lineRule="atLeast"/>
              <w:ind w:left="0" w:right="0"/>
              <w:jc w:val="center"/>
              <w:rPr>
                <w:rFonts w:ascii="宋体" w:hAnsi="宋体" w:cs="宋体"/>
                <w:color w:val="auto"/>
                <w:kern w:val="0"/>
                <w:szCs w:val="21"/>
                <w:highlight w:val="none"/>
              </w:rPr>
            </w:pPr>
          </w:p>
        </w:tc>
        <w:tc>
          <w:tcPr>
            <w:tcW w:w="2354" w:type="dxa"/>
            <w:tcBorders>
              <w:top w:val="nil"/>
              <w:left w:val="nil"/>
              <w:bottom w:val="single" w:color="auto" w:sz="8" w:space="0"/>
              <w:right w:val="single" w:color="auto" w:sz="8" w:space="0"/>
            </w:tcBorders>
            <w:noWrap/>
            <w:vAlign w:val="center"/>
          </w:tcPr>
          <w:p w14:paraId="71E984E5">
            <w:pPr>
              <w:keepNext w:val="0"/>
              <w:keepLines w:val="0"/>
              <w:suppressLineNumbers w:val="0"/>
              <w:spacing w:before="100" w:beforeAutospacing="1" w:after="100" w:afterAutospacing="1" w:line="240" w:lineRule="atLeast"/>
              <w:ind w:left="0" w:right="0"/>
              <w:jc w:val="center"/>
              <w:rPr>
                <w:rFonts w:ascii="宋体" w:hAnsi="宋体" w:cs="宋体"/>
                <w:color w:val="auto"/>
                <w:kern w:val="0"/>
                <w:szCs w:val="21"/>
                <w:highlight w:val="none"/>
              </w:rPr>
            </w:pPr>
          </w:p>
        </w:tc>
      </w:tr>
      <w:tr w14:paraId="1A4E525C">
        <w:trPr>
          <w:trHeight w:val="641" w:hRule="atLeast"/>
          <w:jc w:val="center"/>
        </w:trPr>
        <w:tc>
          <w:tcPr>
            <w:tcW w:w="9371" w:type="dxa"/>
            <w:gridSpan w:val="8"/>
            <w:tcBorders>
              <w:top w:val="nil"/>
              <w:left w:val="single" w:color="auto" w:sz="8" w:space="0"/>
              <w:bottom w:val="single" w:color="auto" w:sz="8" w:space="0"/>
              <w:right w:val="single" w:color="auto" w:sz="8" w:space="0"/>
            </w:tcBorders>
            <w:noWrap/>
            <w:vAlign w:val="center"/>
          </w:tcPr>
          <w:p w14:paraId="1648A967">
            <w:pPr>
              <w:keepNext w:val="0"/>
              <w:keepLines w:val="0"/>
              <w:suppressLineNumbers w:val="0"/>
              <w:snapToGrid w:val="0"/>
              <w:spacing w:before="100" w:beforeAutospacing="1" w:after="100" w:afterAutospacing="1" w:line="320" w:lineRule="atLeast"/>
              <w:ind w:left="0" w:right="0"/>
              <w:jc w:val="left"/>
              <w:rPr>
                <w:rFonts w:ascii="宋体" w:hAnsi="宋体" w:cs="宋体"/>
                <w:color w:val="auto"/>
                <w:kern w:val="0"/>
                <w:szCs w:val="21"/>
                <w:highlight w:val="none"/>
              </w:rPr>
            </w:pPr>
            <w:r>
              <w:rPr>
                <w:rFonts w:hint="eastAsia" w:ascii="宋体" w:hAnsi="宋体" w:cs="宋体"/>
                <w:color w:val="auto"/>
                <w:kern w:val="0"/>
                <w:szCs w:val="21"/>
                <w:highlight w:val="none"/>
              </w:rPr>
              <w:t>合计大写金额： 亿 仟 佰 拾 万 仟 佰 拾 元</w:t>
            </w:r>
          </w:p>
        </w:tc>
      </w:tr>
      <w:tr w14:paraId="41671147">
        <w:tblPrEx>
          <w:tblCellMar>
            <w:top w:w="0" w:type="dxa"/>
            <w:left w:w="0" w:type="dxa"/>
            <w:bottom w:w="0" w:type="dxa"/>
            <w:right w:w="0" w:type="dxa"/>
          </w:tblCellMar>
        </w:tblPrEx>
        <w:trPr>
          <w:trHeight w:val="641" w:hRule="atLeast"/>
          <w:jc w:val="center"/>
        </w:trPr>
        <w:tc>
          <w:tcPr>
            <w:tcW w:w="1331" w:type="dxa"/>
            <w:tcBorders>
              <w:top w:val="nil"/>
              <w:left w:val="single" w:color="auto" w:sz="8" w:space="0"/>
              <w:bottom w:val="single" w:color="auto" w:sz="8" w:space="0"/>
              <w:right w:val="single" w:color="auto" w:sz="8" w:space="0"/>
            </w:tcBorders>
            <w:noWrap/>
            <w:vAlign w:val="center"/>
          </w:tcPr>
          <w:p w14:paraId="5D472F0A">
            <w:pPr>
              <w:keepNext w:val="0"/>
              <w:keepLines w:val="0"/>
              <w:suppressLineNumbers w:val="0"/>
              <w:snapToGrid w:val="0"/>
              <w:spacing w:before="100" w:beforeAutospacing="1" w:after="100" w:afterAutospacing="1" w:line="320" w:lineRule="atLeast"/>
              <w:ind w:left="0" w:right="0"/>
              <w:jc w:val="center"/>
              <w:rPr>
                <w:rFonts w:ascii="宋体" w:hAnsi="宋体" w:cs="宋体"/>
                <w:color w:val="auto"/>
                <w:kern w:val="0"/>
                <w:szCs w:val="21"/>
                <w:highlight w:val="none"/>
              </w:rPr>
            </w:pPr>
            <w:r>
              <w:rPr>
                <w:rFonts w:hint="eastAsia" w:ascii="宋体" w:hAnsi="宋体" w:cs="宋体"/>
                <w:color w:val="auto"/>
                <w:kern w:val="0"/>
                <w:szCs w:val="21"/>
                <w:highlight w:val="none"/>
              </w:rPr>
              <w:t>实际供货日期</w:t>
            </w:r>
          </w:p>
        </w:tc>
        <w:tc>
          <w:tcPr>
            <w:tcW w:w="2719" w:type="dxa"/>
            <w:gridSpan w:val="2"/>
            <w:tcBorders>
              <w:top w:val="nil"/>
              <w:left w:val="nil"/>
              <w:bottom w:val="single" w:color="auto" w:sz="8" w:space="0"/>
              <w:right w:val="single" w:color="auto" w:sz="8" w:space="0"/>
            </w:tcBorders>
            <w:noWrap/>
            <w:vAlign w:val="center"/>
          </w:tcPr>
          <w:p w14:paraId="143DF9B7">
            <w:pPr>
              <w:keepNext w:val="0"/>
              <w:keepLines w:val="0"/>
              <w:suppressLineNumbers w:val="0"/>
              <w:spacing w:before="100" w:beforeAutospacing="1" w:after="100" w:afterAutospacing="1" w:line="240" w:lineRule="atLeast"/>
              <w:ind w:left="0" w:right="0"/>
              <w:jc w:val="center"/>
              <w:rPr>
                <w:rFonts w:ascii="宋体" w:hAnsi="宋体" w:cs="宋体"/>
                <w:color w:val="auto"/>
                <w:kern w:val="0"/>
                <w:szCs w:val="21"/>
                <w:highlight w:val="none"/>
              </w:rPr>
            </w:pPr>
          </w:p>
        </w:tc>
        <w:tc>
          <w:tcPr>
            <w:tcW w:w="2282" w:type="dxa"/>
            <w:gridSpan w:val="3"/>
            <w:tcBorders>
              <w:top w:val="nil"/>
              <w:left w:val="nil"/>
              <w:bottom w:val="single" w:color="auto" w:sz="8" w:space="0"/>
              <w:right w:val="single" w:color="auto" w:sz="8" w:space="0"/>
            </w:tcBorders>
            <w:noWrap/>
            <w:vAlign w:val="center"/>
          </w:tcPr>
          <w:p w14:paraId="0AF5CC29">
            <w:pPr>
              <w:keepNext w:val="0"/>
              <w:keepLines w:val="0"/>
              <w:suppressLineNumbers w:val="0"/>
              <w:snapToGrid w:val="0"/>
              <w:spacing w:before="100" w:beforeAutospacing="1" w:after="100" w:afterAutospacing="1" w:line="320" w:lineRule="atLeast"/>
              <w:ind w:left="0" w:right="0"/>
              <w:jc w:val="center"/>
              <w:rPr>
                <w:rFonts w:ascii="宋体" w:hAnsi="宋体" w:cs="宋体"/>
                <w:color w:val="auto"/>
                <w:kern w:val="0"/>
                <w:szCs w:val="21"/>
                <w:highlight w:val="none"/>
              </w:rPr>
            </w:pPr>
            <w:r>
              <w:rPr>
                <w:rFonts w:hint="eastAsia" w:ascii="宋体" w:hAnsi="宋体" w:cs="宋体"/>
                <w:color w:val="auto"/>
                <w:kern w:val="0"/>
                <w:szCs w:val="21"/>
                <w:highlight w:val="none"/>
              </w:rPr>
              <w:t>合同交货验收日期</w:t>
            </w:r>
          </w:p>
        </w:tc>
        <w:tc>
          <w:tcPr>
            <w:tcW w:w="3039" w:type="dxa"/>
            <w:gridSpan w:val="2"/>
            <w:tcBorders>
              <w:top w:val="nil"/>
              <w:left w:val="nil"/>
              <w:bottom w:val="single" w:color="auto" w:sz="8" w:space="0"/>
              <w:right w:val="single" w:color="auto" w:sz="8" w:space="0"/>
            </w:tcBorders>
            <w:noWrap/>
            <w:vAlign w:val="center"/>
          </w:tcPr>
          <w:p w14:paraId="6FB14CA1">
            <w:pPr>
              <w:keepNext w:val="0"/>
              <w:keepLines w:val="0"/>
              <w:suppressLineNumbers w:val="0"/>
              <w:spacing w:before="100" w:beforeAutospacing="1" w:after="100" w:afterAutospacing="1" w:line="240" w:lineRule="atLeast"/>
              <w:ind w:left="0" w:right="0"/>
              <w:jc w:val="center"/>
              <w:rPr>
                <w:rFonts w:ascii="宋体" w:hAnsi="宋体" w:cs="宋体"/>
                <w:color w:val="auto"/>
                <w:kern w:val="0"/>
                <w:szCs w:val="21"/>
                <w:highlight w:val="none"/>
              </w:rPr>
            </w:pPr>
          </w:p>
        </w:tc>
      </w:tr>
      <w:tr w14:paraId="25A654BC">
        <w:tblPrEx>
          <w:tblCellMar>
            <w:top w:w="0" w:type="dxa"/>
            <w:left w:w="0" w:type="dxa"/>
            <w:bottom w:w="0" w:type="dxa"/>
            <w:right w:w="0" w:type="dxa"/>
          </w:tblCellMar>
        </w:tblPrEx>
        <w:trPr>
          <w:trHeight w:val="394" w:hRule="atLeast"/>
          <w:jc w:val="center"/>
        </w:trPr>
        <w:tc>
          <w:tcPr>
            <w:tcW w:w="1331" w:type="dxa"/>
            <w:tcBorders>
              <w:top w:val="nil"/>
              <w:left w:val="single" w:color="auto" w:sz="8" w:space="0"/>
              <w:bottom w:val="single" w:color="auto" w:sz="8" w:space="0"/>
              <w:right w:val="single" w:color="auto" w:sz="8" w:space="0"/>
            </w:tcBorders>
            <w:noWrap/>
            <w:vAlign w:val="center"/>
          </w:tcPr>
          <w:p w14:paraId="3F6D7B20">
            <w:pPr>
              <w:keepNext w:val="0"/>
              <w:keepLines w:val="0"/>
              <w:suppressLineNumbers w:val="0"/>
              <w:spacing w:before="100" w:beforeAutospacing="1" w:after="100" w:afterAutospacing="1" w:line="240" w:lineRule="atLeast"/>
              <w:ind w:left="0" w:right="0"/>
              <w:jc w:val="center"/>
              <w:rPr>
                <w:rFonts w:ascii="宋体" w:hAnsi="宋体" w:cs="宋体"/>
                <w:color w:val="auto"/>
                <w:kern w:val="0"/>
                <w:szCs w:val="21"/>
                <w:highlight w:val="none"/>
              </w:rPr>
            </w:pPr>
          </w:p>
        </w:tc>
        <w:tc>
          <w:tcPr>
            <w:tcW w:w="2719" w:type="dxa"/>
            <w:gridSpan w:val="2"/>
            <w:tcBorders>
              <w:top w:val="nil"/>
              <w:left w:val="nil"/>
              <w:bottom w:val="single" w:color="auto" w:sz="8" w:space="0"/>
              <w:right w:val="single" w:color="auto" w:sz="8" w:space="0"/>
            </w:tcBorders>
            <w:noWrap/>
            <w:vAlign w:val="center"/>
          </w:tcPr>
          <w:p w14:paraId="0A7719BA">
            <w:pPr>
              <w:keepNext w:val="0"/>
              <w:keepLines w:val="0"/>
              <w:suppressLineNumbers w:val="0"/>
              <w:spacing w:before="100" w:beforeAutospacing="1" w:after="100" w:afterAutospacing="1" w:line="240" w:lineRule="atLeast"/>
              <w:ind w:left="0" w:right="0"/>
              <w:jc w:val="center"/>
              <w:rPr>
                <w:rFonts w:ascii="宋体" w:hAnsi="宋体" w:cs="宋体"/>
                <w:color w:val="auto"/>
                <w:kern w:val="0"/>
                <w:szCs w:val="21"/>
                <w:highlight w:val="none"/>
              </w:rPr>
            </w:pPr>
          </w:p>
        </w:tc>
        <w:tc>
          <w:tcPr>
            <w:tcW w:w="2282" w:type="dxa"/>
            <w:gridSpan w:val="3"/>
            <w:tcBorders>
              <w:top w:val="nil"/>
              <w:left w:val="nil"/>
              <w:bottom w:val="single" w:color="auto" w:sz="8" w:space="0"/>
              <w:right w:val="single" w:color="auto" w:sz="8" w:space="0"/>
            </w:tcBorders>
            <w:noWrap/>
            <w:vAlign w:val="center"/>
          </w:tcPr>
          <w:p w14:paraId="34F82FF9">
            <w:pPr>
              <w:keepNext w:val="0"/>
              <w:keepLines w:val="0"/>
              <w:suppressLineNumbers w:val="0"/>
              <w:spacing w:before="100" w:beforeAutospacing="1" w:after="100" w:afterAutospacing="1" w:line="240" w:lineRule="atLeast"/>
              <w:ind w:left="0" w:right="0"/>
              <w:jc w:val="center"/>
              <w:rPr>
                <w:rFonts w:ascii="宋体" w:hAnsi="宋体" w:cs="宋体"/>
                <w:color w:val="auto"/>
                <w:kern w:val="0"/>
                <w:szCs w:val="21"/>
                <w:highlight w:val="none"/>
              </w:rPr>
            </w:pPr>
          </w:p>
        </w:tc>
        <w:tc>
          <w:tcPr>
            <w:tcW w:w="3039" w:type="dxa"/>
            <w:gridSpan w:val="2"/>
            <w:tcBorders>
              <w:top w:val="nil"/>
              <w:left w:val="nil"/>
              <w:bottom w:val="single" w:color="auto" w:sz="8" w:space="0"/>
              <w:right w:val="single" w:color="auto" w:sz="8" w:space="0"/>
            </w:tcBorders>
            <w:noWrap/>
            <w:vAlign w:val="center"/>
          </w:tcPr>
          <w:p w14:paraId="015888A7">
            <w:pPr>
              <w:keepNext w:val="0"/>
              <w:keepLines w:val="0"/>
              <w:suppressLineNumbers w:val="0"/>
              <w:spacing w:before="100" w:beforeAutospacing="1" w:after="100" w:afterAutospacing="1" w:line="240" w:lineRule="atLeast"/>
              <w:ind w:left="0" w:right="0"/>
              <w:jc w:val="center"/>
              <w:rPr>
                <w:rFonts w:ascii="宋体" w:hAnsi="宋体" w:cs="宋体"/>
                <w:color w:val="auto"/>
                <w:kern w:val="0"/>
                <w:szCs w:val="21"/>
                <w:highlight w:val="none"/>
              </w:rPr>
            </w:pPr>
          </w:p>
        </w:tc>
      </w:tr>
      <w:tr w14:paraId="0101CEEC">
        <w:tblPrEx>
          <w:tblCellMar>
            <w:top w:w="0" w:type="dxa"/>
            <w:left w:w="0" w:type="dxa"/>
            <w:bottom w:w="0" w:type="dxa"/>
            <w:right w:w="0" w:type="dxa"/>
          </w:tblCellMar>
        </w:tblPrEx>
        <w:trPr>
          <w:trHeight w:val="693" w:hRule="atLeast"/>
          <w:jc w:val="center"/>
        </w:trPr>
        <w:tc>
          <w:tcPr>
            <w:tcW w:w="1331"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0A3FC76">
            <w:pPr>
              <w:keepNext w:val="0"/>
              <w:keepLines w:val="0"/>
              <w:suppressLineNumbers w:val="0"/>
              <w:snapToGrid w:val="0"/>
              <w:spacing w:before="100" w:beforeAutospacing="1" w:after="100" w:afterAutospacing="1" w:line="320" w:lineRule="atLeast"/>
              <w:ind w:left="0" w:right="0"/>
              <w:jc w:val="left"/>
              <w:rPr>
                <w:rFonts w:ascii="宋体" w:hAnsi="宋体" w:cs="宋体"/>
                <w:color w:val="auto"/>
                <w:kern w:val="0"/>
                <w:szCs w:val="21"/>
                <w:highlight w:val="none"/>
              </w:rPr>
            </w:pPr>
            <w:r>
              <w:rPr>
                <w:rFonts w:hint="eastAsia" w:ascii="宋体" w:hAnsi="宋体" w:cs="宋体"/>
                <w:color w:val="auto"/>
                <w:kern w:val="0"/>
                <w:szCs w:val="21"/>
                <w:highlight w:val="none"/>
              </w:rPr>
              <w:t>验收具体内容</w:t>
            </w:r>
          </w:p>
        </w:tc>
        <w:tc>
          <w:tcPr>
            <w:tcW w:w="8040" w:type="dxa"/>
            <w:gridSpan w:val="7"/>
            <w:tcBorders>
              <w:top w:val="nil"/>
              <w:left w:val="nil"/>
              <w:bottom w:val="single" w:color="auto" w:sz="8" w:space="0"/>
              <w:right w:val="single" w:color="auto" w:sz="8" w:space="0"/>
            </w:tcBorders>
            <w:noWrap/>
            <w:tcMar>
              <w:top w:w="0" w:type="dxa"/>
              <w:left w:w="108" w:type="dxa"/>
              <w:bottom w:w="0" w:type="dxa"/>
              <w:right w:w="108" w:type="dxa"/>
            </w:tcMar>
            <w:vAlign w:val="center"/>
          </w:tcPr>
          <w:p w14:paraId="04635ACE">
            <w:pPr>
              <w:keepNext w:val="0"/>
              <w:keepLines w:val="0"/>
              <w:suppressLineNumbers w:val="0"/>
              <w:snapToGrid w:val="0"/>
              <w:spacing w:before="100" w:beforeAutospacing="1" w:after="100" w:afterAutospacing="1" w:line="320" w:lineRule="atLeast"/>
              <w:ind w:left="0" w:right="0"/>
              <w:jc w:val="left"/>
              <w:rPr>
                <w:rFonts w:ascii="宋体" w:hAnsi="宋体" w:cs="宋体"/>
                <w:color w:val="auto"/>
                <w:kern w:val="0"/>
                <w:szCs w:val="21"/>
                <w:highlight w:val="none"/>
              </w:rPr>
            </w:pPr>
            <w:r>
              <w:rPr>
                <w:rFonts w:hint="eastAsia" w:ascii="宋体" w:hAnsi="宋体" w:cs="宋体"/>
                <w:color w:val="auto"/>
                <w:kern w:val="0"/>
                <w:szCs w:val="21"/>
                <w:highlight w:val="none"/>
              </w:rPr>
              <w:t>（应按采购合同、采购文件、投标文件及验收方案等进行验收。并核对中标或者成交投标人在安装调试等方面是否违反合同约定或者服务规范要求、提供的质量保证证明材料是否齐全、应有的配件及附件是否达到合同约定等。可附件)</w:t>
            </w:r>
          </w:p>
        </w:tc>
      </w:tr>
      <w:tr w14:paraId="42F2BB06">
        <w:tblPrEx>
          <w:tblCellMar>
            <w:top w:w="0" w:type="dxa"/>
            <w:left w:w="0" w:type="dxa"/>
            <w:bottom w:w="0" w:type="dxa"/>
            <w:right w:w="0" w:type="dxa"/>
          </w:tblCellMar>
        </w:tblPrEx>
        <w:trPr>
          <w:trHeight w:val="1281" w:hRule="atLeast"/>
          <w:jc w:val="center"/>
        </w:trPr>
        <w:tc>
          <w:tcPr>
            <w:tcW w:w="1331" w:type="dxa"/>
            <w:vMerge w:val="restart"/>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226B485">
            <w:pPr>
              <w:keepNext w:val="0"/>
              <w:keepLines w:val="0"/>
              <w:suppressLineNumbers w:val="0"/>
              <w:spacing w:before="100" w:beforeAutospacing="1" w:after="100" w:afterAutospacing="1" w:line="320" w:lineRule="atLeast"/>
              <w:ind w:left="0" w:right="0"/>
              <w:jc w:val="left"/>
              <w:rPr>
                <w:rFonts w:ascii="宋体" w:hAnsi="宋体" w:cs="宋体"/>
                <w:color w:val="auto"/>
                <w:kern w:val="0"/>
                <w:szCs w:val="21"/>
                <w:highlight w:val="none"/>
              </w:rPr>
            </w:pPr>
            <w:r>
              <w:rPr>
                <w:rFonts w:hint="eastAsia" w:ascii="宋体" w:hAnsi="宋体" w:cs="宋体"/>
                <w:color w:val="auto"/>
                <w:kern w:val="0"/>
                <w:szCs w:val="21"/>
                <w:highlight w:val="none"/>
              </w:rPr>
              <w:t>验收小组意见</w:t>
            </w:r>
          </w:p>
        </w:tc>
        <w:tc>
          <w:tcPr>
            <w:tcW w:w="8040" w:type="dxa"/>
            <w:gridSpan w:val="7"/>
            <w:tcBorders>
              <w:top w:val="nil"/>
              <w:left w:val="nil"/>
              <w:bottom w:val="single" w:color="auto" w:sz="8" w:space="0"/>
              <w:right w:val="single" w:color="auto" w:sz="8" w:space="0"/>
            </w:tcBorders>
            <w:noWrap/>
            <w:vAlign w:val="center"/>
          </w:tcPr>
          <w:p w14:paraId="5BC9522C">
            <w:pPr>
              <w:keepNext w:val="0"/>
              <w:keepLines w:val="0"/>
              <w:suppressLineNumbers w:val="0"/>
              <w:spacing w:before="100" w:beforeAutospacing="1" w:after="100" w:afterAutospacing="1" w:line="320" w:lineRule="atLeast"/>
              <w:ind w:left="0" w:right="0"/>
              <w:jc w:val="left"/>
              <w:rPr>
                <w:rFonts w:ascii="宋体" w:hAnsi="宋体" w:cs="宋体"/>
                <w:color w:val="auto"/>
                <w:kern w:val="0"/>
                <w:szCs w:val="21"/>
                <w:highlight w:val="none"/>
              </w:rPr>
            </w:pPr>
            <w:r>
              <w:rPr>
                <w:rFonts w:hint="eastAsia" w:ascii="宋体" w:hAnsi="宋体" w:cs="宋体"/>
                <w:color w:val="auto"/>
                <w:kern w:val="0"/>
                <w:szCs w:val="21"/>
                <w:highlight w:val="none"/>
              </w:rPr>
              <w:t>验收结论性意见：</w:t>
            </w:r>
          </w:p>
        </w:tc>
      </w:tr>
      <w:tr w14:paraId="2B3F9344">
        <w:tblPrEx>
          <w:tblCellMar>
            <w:top w:w="0" w:type="dxa"/>
            <w:left w:w="0" w:type="dxa"/>
            <w:bottom w:w="0" w:type="dxa"/>
            <w:right w:w="0" w:type="dxa"/>
          </w:tblCellMar>
        </w:tblPrEx>
        <w:trPr>
          <w:trHeight w:val="607" w:hRule="atLeast"/>
          <w:jc w:val="center"/>
        </w:trPr>
        <w:tc>
          <w:tcPr>
            <w:tcW w:w="1331" w:type="dxa"/>
            <w:vMerge w:val="continue"/>
            <w:tcBorders>
              <w:top w:val="nil"/>
              <w:left w:val="single" w:color="auto" w:sz="8" w:space="0"/>
              <w:bottom w:val="single" w:color="auto" w:sz="8" w:space="0"/>
              <w:right w:val="single" w:color="auto" w:sz="8" w:space="0"/>
            </w:tcBorders>
            <w:noWrap/>
            <w:vAlign w:val="center"/>
          </w:tcPr>
          <w:p w14:paraId="43C57996">
            <w:pPr>
              <w:keepNext w:val="0"/>
              <w:keepLines w:val="0"/>
              <w:suppressLineNumbers w:val="0"/>
              <w:spacing w:before="0" w:beforeAutospacing="0" w:after="0" w:afterAutospacing="0"/>
              <w:ind w:left="0" w:right="0"/>
              <w:jc w:val="left"/>
              <w:rPr>
                <w:rFonts w:ascii="宋体" w:hAnsi="宋体" w:cs="宋体"/>
                <w:color w:val="auto"/>
                <w:kern w:val="0"/>
                <w:szCs w:val="21"/>
                <w:highlight w:val="none"/>
              </w:rPr>
            </w:pPr>
          </w:p>
        </w:tc>
        <w:tc>
          <w:tcPr>
            <w:tcW w:w="8040" w:type="dxa"/>
            <w:gridSpan w:val="7"/>
            <w:tcBorders>
              <w:top w:val="nil"/>
              <w:left w:val="nil"/>
              <w:bottom w:val="single" w:color="auto" w:sz="8" w:space="0"/>
              <w:right w:val="single" w:color="auto" w:sz="8" w:space="0"/>
            </w:tcBorders>
            <w:noWrap/>
            <w:vAlign w:val="center"/>
          </w:tcPr>
          <w:p w14:paraId="33854FAE">
            <w:pPr>
              <w:keepNext w:val="0"/>
              <w:keepLines w:val="0"/>
              <w:suppressLineNumbers w:val="0"/>
              <w:spacing w:before="100" w:beforeAutospacing="1" w:after="100" w:afterAutospacing="1" w:line="320" w:lineRule="atLeast"/>
              <w:ind w:left="0" w:right="0"/>
              <w:jc w:val="left"/>
              <w:rPr>
                <w:rFonts w:ascii="宋体" w:hAnsi="宋体" w:cs="宋体"/>
                <w:color w:val="auto"/>
                <w:kern w:val="0"/>
                <w:szCs w:val="21"/>
                <w:highlight w:val="none"/>
              </w:rPr>
            </w:pPr>
            <w:r>
              <w:rPr>
                <w:rFonts w:hint="eastAsia" w:ascii="宋体" w:hAnsi="宋体" w:cs="宋体"/>
                <w:color w:val="auto"/>
                <w:kern w:val="0"/>
                <w:szCs w:val="21"/>
                <w:highlight w:val="none"/>
              </w:rPr>
              <w:t>有异议的意见和说明理由：</w:t>
            </w:r>
          </w:p>
          <w:p w14:paraId="7C4F4522">
            <w:pPr>
              <w:keepNext w:val="0"/>
              <w:keepLines w:val="0"/>
              <w:suppressLineNumbers w:val="0"/>
              <w:spacing w:before="100" w:beforeAutospacing="1" w:after="100" w:afterAutospacing="1" w:line="320" w:lineRule="atLeast"/>
              <w:ind w:left="0" w:right="0"/>
              <w:jc w:val="left"/>
              <w:rPr>
                <w:rFonts w:ascii="宋体" w:hAnsi="宋体" w:cs="宋体"/>
                <w:color w:val="auto"/>
                <w:kern w:val="0"/>
                <w:szCs w:val="21"/>
                <w:highlight w:val="none"/>
              </w:rPr>
            </w:pPr>
            <w:r>
              <w:rPr>
                <w:rFonts w:hint="eastAsia" w:ascii="宋体" w:hAnsi="宋体" w:cs="宋体"/>
                <w:color w:val="auto"/>
                <w:kern w:val="0"/>
                <w:szCs w:val="21"/>
                <w:highlight w:val="none"/>
              </w:rPr>
              <w:t>签字：</w:t>
            </w:r>
          </w:p>
        </w:tc>
      </w:tr>
      <w:tr w14:paraId="158EF5C2">
        <w:tblPrEx>
          <w:tblCellMar>
            <w:top w:w="0" w:type="dxa"/>
            <w:left w:w="0" w:type="dxa"/>
            <w:bottom w:w="0" w:type="dxa"/>
            <w:right w:w="0" w:type="dxa"/>
          </w:tblCellMar>
        </w:tblPrEx>
        <w:trPr>
          <w:trHeight w:val="507" w:hRule="atLeast"/>
          <w:jc w:val="center"/>
        </w:trPr>
        <w:tc>
          <w:tcPr>
            <w:tcW w:w="9371" w:type="dxa"/>
            <w:gridSpan w:val="8"/>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F648713">
            <w:pPr>
              <w:keepNext w:val="0"/>
              <w:keepLines w:val="0"/>
              <w:suppressLineNumbers w:val="0"/>
              <w:spacing w:before="100" w:beforeAutospacing="1" w:after="100" w:afterAutospacing="1" w:line="320" w:lineRule="atLeast"/>
              <w:ind w:left="0" w:right="0"/>
              <w:jc w:val="left"/>
              <w:rPr>
                <w:rFonts w:ascii="宋体" w:hAnsi="宋体" w:cs="宋体"/>
                <w:color w:val="auto"/>
                <w:kern w:val="0"/>
                <w:szCs w:val="21"/>
                <w:highlight w:val="none"/>
              </w:rPr>
            </w:pPr>
            <w:r>
              <w:rPr>
                <w:rFonts w:hint="eastAsia" w:ascii="宋体" w:hAnsi="宋体" w:cs="宋体"/>
                <w:color w:val="auto"/>
                <w:kern w:val="0"/>
                <w:szCs w:val="21"/>
                <w:highlight w:val="none"/>
              </w:rPr>
              <w:t>验收小组成员签字：</w:t>
            </w:r>
          </w:p>
        </w:tc>
      </w:tr>
      <w:tr w14:paraId="50920904">
        <w:tblPrEx>
          <w:tblCellMar>
            <w:top w:w="0" w:type="dxa"/>
            <w:left w:w="0" w:type="dxa"/>
            <w:bottom w:w="0" w:type="dxa"/>
            <w:right w:w="0" w:type="dxa"/>
          </w:tblCellMar>
        </w:tblPrEx>
        <w:trPr>
          <w:trHeight w:val="736" w:hRule="atLeast"/>
          <w:jc w:val="center"/>
        </w:trPr>
        <w:tc>
          <w:tcPr>
            <w:tcW w:w="9371" w:type="dxa"/>
            <w:gridSpan w:val="8"/>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A5DF7BF">
            <w:pPr>
              <w:keepNext w:val="0"/>
              <w:keepLines w:val="0"/>
              <w:suppressLineNumbers w:val="0"/>
              <w:spacing w:before="100" w:beforeAutospacing="1" w:after="100" w:afterAutospacing="1" w:line="320" w:lineRule="atLeast"/>
              <w:ind w:left="0" w:right="0"/>
              <w:jc w:val="left"/>
              <w:rPr>
                <w:rFonts w:ascii="宋体" w:hAnsi="宋体" w:cs="宋体"/>
                <w:color w:val="auto"/>
                <w:kern w:val="0"/>
                <w:szCs w:val="21"/>
                <w:highlight w:val="none"/>
              </w:rPr>
            </w:pPr>
            <w:r>
              <w:rPr>
                <w:rFonts w:hint="eastAsia" w:ascii="宋体" w:hAnsi="宋体" w:cs="宋体"/>
                <w:color w:val="auto"/>
                <w:kern w:val="0"/>
                <w:szCs w:val="21"/>
                <w:highlight w:val="none"/>
              </w:rPr>
              <w:t>监督人员或者其他相关人员签字：</w:t>
            </w:r>
          </w:p>
          <w:p w14:paraId="2FB742A3">
            <w:pPr>
              <w:keepNext w:val="0"/>
              <w:keepLines w:val="0"/>
              <w:suppressLineNumbers w:val="0"/>
              <w:spacing w:before="100" w:beforeAutospacing="1" w:after="100" w:afterAutospacing="1" w:line="320" w:lineRule="atLeast"/>
              <w:ind w:left="0" w:right="0"/>
              <w:jc w:val="left"/>
              <w:rPr>
                <w:rFonts w:ascii="宋体" w:hAnsi="宋体" w:cs="宋体"/>
                <w:color w:val="auto"/>
                <w:kern w:val="0"/>
                <w:szCs w:val="21"/>
                <w:highlight w:val="none"/>
              </w:rPr>
            </w:pPr>
            <w:r>
              <w:rPr>
                <w:rFonts w:hint="eastAsia" w:ascii="宋体" w:hAnsi="宋体" w:cs="宋体"/>
                <w:color w:val="auto"/>
                <w:kern w:val="0"/>
                <w:szCs w:val="21"/>
                <w:highlight w:val="none"/>
              </w:rPr>
              <w:t>或者受邀机构的意见（盖章）：</w:t>
            </w:r>
          </w:p>
        </w:tc>
      </w:tr>
      <w:tr w14:paraId="633A231F">
        <w:tblPrEx>
          <w:tblCellMar>
            <w:top w:w="0" w:type="dxa"/>
            <w:left w:w="0" w:type="dxa"/>
            <w:bottom w:w="0" w:type="dxa"/>
            <w:right w:w="0" w:type="dxa"/>
          </w:tblCellMar>
        </w:tblPrEx>
        <w:trPr>
          <w:trHeight w:val="758" w:hRule="atLeast"/>
          <w:jc w:val="center"/>
        </w:trPr>
        <w:tc>
          <w:tcPr>
            <w:tcW w:w="4152" w:type="dxa"/>
            <w:gridSpan w:val="4"/>
            <w:tcBorders>
              <w:top w:val="nil"/>
              <w:left w:val="single" w:color="auto" w:sz="8" w:space="0"/>
              <w:bottom w:val="single" w:color="auto" w:sz="8" w:space="0"/>
              <w:right w:val="nil"/>
            </w:tcBorders>
            <w:noWrap/>
            <w:tcMar>
              <w:top w:w="0" w:type="dxa"/>
              <w:left w:w="108" w:type="dxa"/>
              <w:bottom w:w="0" w:type="dxa"/>
              <w:right w:w="108" w:type="dxa"/>
            </w:tcMar>
            <w:vAlign w:val="center"/>
          </w:tcPr>
          <w:p w14:paraId="36B4D722">
            <w:pPr>
              <w:keepNext w:val="0"/>
              <w:keepLines w:val="0"/>
              <w:suppressLineNumbers w:val="0"/>
              <w:spacing w:before="100" w:beforeAutospacing="1" w:after="100" w:afterAutospacing="1" w:line="320" w:lineRule="atLeast"/>
              <w:ind w:left="0" w:right="0"/>
              <w:jc w:val="left"/>
              <w:rPr>
                <w:rFonts w:ascii="宋体" w:hAnsi="宋体" w:cs="宋体"/>
                <w:color w:val="auto"/>
                <w:kern w:val="0"/>
                <w:szCs w:val="21"/>
                <w:highlight w:val="none"/>
              </w:rPr>
            </w:pPr>
            <w:r>
              <w:rPr>
                <w:rFonts w:hint="eastAsia" w:ascii="宋体" w:hAnsi="宋体" w:cs="宋体"/>
                <w:color w:val="auto"/>
                <w:kern w:val="0"/>
                <w:szCs w:val="21"/>
                <w:highlight w:val="none"/>
              </w:rPr>
              <w:t>中标或者成交人负责人签字或者盖章：</w:t>
            </w:r>
          </w:p>
          <w:p w14:paraId="1D70DDB4">
            <w:pPr>
              <w:keepNext w:val="0"/>
              <w:keepLines w:val="0"/>
              <w:suppressLineNumbers w:val="0"/>
              <w:spacing w:before="100" w:beforeAutospacing="1" w:after="100" w:afterAutospacing="1" w:line="320" w:lineRule="atLeast"/>
              <w:ind w:left="0" w:right="0"/>
              <w:jc w:val="left"/>
              <w:rPr>
                <w:rFonts w:ascii="宋体" w:hAnsi="宋体" w:cs="宋体"/>
                <w:color w:val="auto"/>
                <w:kern w:val="0"/>
                <w:szCs w:val="21"/>
                <w:highlight w:val="none"/>
              </w:rPr>
            </w:pPr>
            <w:r>
              <w:rPr>
                <w:rFonts w:hint="eastAsia" w:ascii="宋体" w:hAnsi="宋体" w:cs="宋体"/>
                <w:color w:val="auto"/>
                <w:kern w:val="0"/>
                <w:szCs w:val="21"/>
                <w:highlight w:val="none"/>
              </w:rPr>
              <w:t>联系电话： 年 月 日</w:t>
            </w:r>
          </w:p>
        </w:tc>
        <w:tc>
          <w:tcPr>
            <w:tcW w:w="5219" w:type="dxa"/>
            <w:gridSpan w:val="4"/>
            <w:tcBorders>
              <w:top w:val="nil"/>
              <w:left w:val="nil"/>
              <w:bottom w:val="single" w:color="auto" w:sz="8" w:space="0"/>
              <w:right w:val="single" w:color="auto" w:sz="8" w:space="0"/>
            </w:tcBorders>
            <w:noWrap/>
            <w:vAlign w:val="center"/>
          </w:tcPr>
          <w:p w14:paraId="3B7C3BB9">
            <w:pPr>
              <w:keepNext w:val="0"/>
              <w:keepLines w:val="0"/>
              <w:suppressLineNumbers w:val="0"/>
              <w:spacing w:before="100" w:beforeAutospacing="1" w:after="100" w:afterAutospacing="1" w:line="320" w:lineRule="atLeast"/>
              <w:ind w:left="0" w:right="0"/>
              <w:jc w:val="left"/>
              <w:rPr>
                <w:rFonts w:ascii="宋体" w:hAnsi="宋体" w:cs="宋体"/>
                <w:color w:val="auto"/>
                <w:kern w:val="0"/>
                <w:szCs w:val="21"/>
                <w:highlight w:val="none"/>
              </w:rPr>
            </w:pPr>
            <w:r>
              <w:rPr>
                <w:rFonts w:hint="eastAsia" w:ascii="宋体" w:hAnsi="宋体" w:cs="宋体"/>
                <w:color w:val="auto"/>
                <w:kern w:val="0"/>
                <w:szCs w:val="21"/>
                <w:highlight w:val="none"/>
              </w:rPr>
              <w:t>采购人或者受托机构的意见（盖章）：</w:t>
            </w:r>
          </w:p>
          <w:p w14:paraId="485ABE9B">
            <w:pPr>
              <w:keepNext w:val="0"/>
              <w:keepLines w:val="0"/>
              <w:suppressLineNumbers w:val="0"/>
              <w:spacing w:before="100" w:beforeAutospacing="1" w:after="100" w:afterAutospacing="1" w:line="320" w:lineRule="atLeast"/>
              <w:ind w:left="0" w:right="0"/>
              <w:jc w:val="left"/>
              <w:rPr>
                <w:rFonts w:ascii="宋体" w:hAnsi="宋体" w:cs="宋体"/>
                <w:color w:val="auto"/>
                <w:kern w:val="0"/>
                <w:szCs w:val="21"/>
                <w:highlight w:val="none"/>
              </w:rPr>
            </w:pPr>
            <w:r>
              <w:rPr>
                <w:rFonts w:hint="eastAsia" w:ascii="宋体" w:hAnsi="宋体" w:cs="宋体"/>
                <w:color w:val="auto"/>
                <w:kern w:val="0"/>
                <w:szCs w:val="21"/>
                <w:highlight w:val="none"/>
              </w:rPr>
              <w:t>联系电话： 年 月 日</w:t>
            </w:r>
          </w:p>
        </w:tc>
      </w:tr>
    </w:tbl>
    <w:p w14:paraId="33846BCB">
      <w:pPr>
        <w:jc w:val="left"/>
        <w:rPr>
          <w:rFonts w:ascii="宋体" w:hAnsi="宋体" w:cs="宋体"/>
          <w:color w:val="auto"/>
          <w:highlight w:val="none"/>
        </w:rPr>
      </w:pPr>
      <w:r>
        <w:rPr>
          <w:rFonts w:hint="eastAsia" w:ascii="宋体" w:hAnsi="宋体" w:cs="宋体"/>
          <w:color w:val="auto"/>
          <w:highlight w:val="none"/>
        </w:rPr>
        <w:br w:type="page"/>
      </w:r>
      <w:r>
        <w:rPr>
          <w:rFonts w:hint="eastAsia" w:ascii="宋体" w:hAnsi="宋体" w:cs="宋体"/>
          <w:b/>
          <w:bCs/>
          <w:color w:val="auto"/>
          <w:sz w:val="28"/>
          <w:szCs w:val="28"/>
          <w:highlight w:val="none"/>
          <w:lang w:val="en-US" w:eastAsia="zh-CN"/>
        </w:rPr>
        <w:t>5</w:t>
      </w:r>
      <w:r>
        <w:rPr>
          <w:rFonts w:hint="eastAsia" w:ascii="宋体" w:hAnsi="宋体" w:cs="宋体"/>
          <w:b/>
          <w:bCs/>
          <w:color w:val="auto"/>
          <w:sz w:val="28"/>
          <w:szCs w:val="28"/>
          <w:highlight w:val="none"/>
        </w:rPr>
        <w:t>.政府采购项目履约保证金退付意见书的格式：</w:t>
      </w:r>
    </w:p>
    <w:p w14:paraId="304D510B">
      <w:pPr>
        <w:ind w:firstLine="480"/>
        <w:jc w:val="center"/>
        <w:rPr>
          <w:rFonts w:ascii="宋体" w:hAnsi="宋体" w:cs="宋体"/>
          <w:color w:val="auto"/>
          <w:sz w:val="32"/>
          <w:szCs w:val="32"/>
          <w:highlight w:val="none"/>
        </w:rPr>
      </w:pPr>
    </w:p>
    <w:p w14:paraId="28E15FB7">
      <w:pPr>
        <w:ind w:firstLine="480"/>
        <w:jc w:val="center"/>
        <w:rPr>
          <w:rFonts w:ascii="宋体" w:hAnsi="宋体" w:cs="宋体"/>
          <w:color w:val="auto"/>
          <w:sz w:val="32"/>
          <w:szCs w:val="32"/>
          <w:highlight w:val="none"/>
        </w:rPr>
      </w:pPr>
      <w:r>
        <w:rPr>
          <w:rFonts w:hint="eastAsia" w:ascii="宋体" w:hAnsi="宋体" w:cs="宋体"/>
          <w:color w:val="auto"/>
          <w:sz w:val="32"/>
          <w:szCs w:val="32"/>
          <w:highlight w:val="none"/>
        </w:rPr>
        <w:t>政府采购项目履约保证金退付意见书（参考）</w:t>
      </w:r>
    </w:p>
    <w:p w14:paraId="54D329B1">
      <w:pPr>
        <w:ind w:firstLine="540"/>
        <w:jc w:val="center"/>
        <w:rPr>
          <w:rFonts w:ascii="宋体" w:hAnsi="宋体" w:cs="宋体"/>
          <w:color w:val="auto"/>
          <w:sz w:val="36"/>
          <w:szCs w:val="36"/>
          <w:highlight w:val="none"/>
        </w:rPr>
      </w:pPr>
    </w:p>
    <w:tbl>
      <w:tblPr>
        <w:tblStyle w:val="28"/>
        <w:tblW w:w="900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7996"/>
      </w:tblGrid>
      <w:tr w14:paraId="64788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trPr>
        <w:tc>
          <w:tcPr>
            <w:tcW w:w="1008" w:type="dxa"/>
            <w:vMerge w:val="restart"/>
            <w:noWrap/>
            <w:vAlign w:val="center"/>
          </w:tcPr>
          <w:p w14:paraId="77576891">
            <w:pPr>
              <w:keepNext w:val="0"/>
              <w:keepLines w:val="0"/>
              <w:suppressLineNumbers w:val="0"/>
              <w:spacing w:before="0" w:beforeAutospacing="0" w:after="0" w:afterAutospacing="0"/>
              <w:ind w:left="0" w:right="0"/>
              <w:jc w:val="center"/>
              <w:rPr>
                <w:rFonts w:ascii="宋体" w:hAnsi="宋体" w:cs="宋体"/>
                <w:color w:val="auto"/>
                <w:sz w:val="24"/>
                <w:highlight w:val="none"/>
              </w:rPr>
            </w:pPr>
            <w:r>
              <w:rPr>
                <w:rFonts w:hint="eastAsia" w:ascii="宋体" w:hAnsi="宋体" w:cs="宋体"/>
                <w:color w:val="auto"/>
                <w:sz w:val="24"/>
                <w:highlight w:val="none"/>
              </w:rPr>
              <w:t>供</w:t>
            </w:r>
          </w:p>
          <w:p w14:paraId="033BC205">
            <w:pPr>
              <w:keepNext w:val="0"/>
              <w:keepLines w:val="0"/>
              <w:suppressLineNumbers w:val="0"/>
              <w:spacing w:before="0" w:beforeAutospacing="0" w:after="0" w:afterAutospacing="0"/>
              <w:ind w:left="0" w:right="0"/>
              <w:jc w:val="center"/>
              <w:rPr>
                <w:rFonts w:ascii="宋体" w:hAnsi="宋体" w:cs="宋体"/>
                <w:color w:val="auto"/>
                <w:sz w:val="24"/>
                <w:highlight w:val="none"/>
              </w:rPr>
            </w:pPr>
            <w:r>
              <w:rPr>
                <w:rFonts w:hint="eastAsia" w:ascii="宋体" w:hAnsi="宋体" w:cs="宋体"/>
                <w:color w:val="auto"/>
                <w:sz w:val="24"/>
                <w:highlight w:val="none"/>
              </w:rPr>
              <w:t>应</w:t>
            </w:r>
          </w:p>
          <w:p w14:paraId="47F309C0">
            <w:pPr>
              <w:keepNext w:val="0"/>
              <w:keepLines w:val="0"/>
              <w:suppressLineNumbers w:val="0"/>
              <w:spacing w:before="0" w:beforeAutospacing="0" w:after="0" w:afterAutospacing="0"/>
              <w:ind w:left="0" w:right="0"/>
              <w:jc w:val="center"/>
              <w:rPr>
                <w:rFonts w:ascii="宋体" w:hAnsi="宋体" w:cs="宋体"/>
                <w:color w:val="auto"/>
                <w:sz w:val="24"/>
                <w:highlight w:val="none"/>
              </w:rPr>
            </w:pPr>
            <w:r>
              <w:rPr>
                <w:rFonts w:hint="eastAsia" w:ascii="宋体" w:hAnsi="宋体" w:cs="宋体"/>
                <w:color w:val="auto"/>
                <w:sz w:val="24"/>
                <w:highlight w:val="none"/>
              </w:rPr>
              <w:t>商</w:t>
            </w:r>
          </w:p>
          <w:p w14:paraId="5A9A69BB">
            <w:pPr>
              <w:keepNext w:val="0"/>
              <w:keepLines w:val="0"/>
              <w:suppressLineNumbers w:val="0"/>
              <w:spacing w:before="0" w:beforeAutospacing="0" w:after="0" w:afterAutospacing="0"/>
              <w:ind w:left="0" w:right="0"/>
              <w:jc w:val="center"/>
              <w:rPr>
                <w:rFonts w:ascii="宋体" w:hAnsi="宋体" w:cs="宋体"/>
                <w:color w:val="auto"/>
                <w:sz w:val="24"/>
                <w:highlight w:val="none"/>
              </w:rPr>
            </w:pPr>
            <w:r>
              <w:rPr>
                <w:rFonts w:hint="eastAsia" w:ascii="宋体" w:hAnsi="宋体" w:cs="宋体"/>
                <w:color w:val="auto"/>
                <w:sz w:val="24"/>
                <w:highlight w:val="none"/>
              </w:rPr>
              <w:t>申</w:t>
            </w:r>
          </w:p>
          <w:p w14:paraId="350DA3F7">
            <w:pPr>
              <w:keepNext w:val="0"/>
              <w:keepLines w:val="0"/>
              <w:suppressLineNumbers w:val="0"/>
              <w:spacing w:before="0" w:beforeAutospacing="0" w:after="0" w:afterAutospacing="0"/>
              <w:ind w:left="0" w:right="0"/>
              <w:jc w:val="center"/>
              <w:rPr>
                <w:rFonts w:ascii="宋体" w:hAnsi="宋体" w:cs="宋体"/>
                <w:color w:val="auto"/>
                <w:sz w:val="24"/>
                <w:highlight w:val="none"/>
              </w:rPr>
            </w:pPr>
            <w:r>
              <w:rPr>
                <w:rFonts w:hint="eastAsia" w:ascii="宋体" w:hAnsi="宋体" w:cs="宋体"/>
                <w:color w:val="auto"/>
                <w:sz w:val="24"/>
                <w:highlight w:val="none"/>
              </w:rPr>
              <w:t>请</w:t>
            </w:r>
          </w:p>
        </w:tc>
        <w:tc>
          <w:tcPr>
            <w:tcW w:w="7996" w:type="dxa"/>
            <w:noWrap/>
            <w:vAlign w:val="center"/>
          </w:tcPr>
          <w:p w14:paraId="629FD442">
            <w:pPr>
              <w:keepNext w:val="0"/>
              <w:keepLines w:val="0"/>
              <w:suppressLineNumbers w:val="0"/>
              <w:spacing w:before="0" w:beforeAutospacing="0" w:after="0" w:afterAutospacing="0"/>
              <w:ind w:left="0" w:right="0"/>
              <w:rPr>
                <w:rFonts w:ascii="宋体" w:hAnsi="宋体" w:cs="宋体"/>
                <w:color w:val="auto"/>
                <w:sz w:val="24"/>
                <w:highlight w:val="none"/>
              </w:rPr>
            </w:pPr>
            <w:r>
              <w:rPr>
                <w:rFonts w:hint="eastAsia" w:ascii="宋体" w:hAnsi="宋体" w:cs="宋体"/>
                <w:color w:val="auto"/>
                <w:sz w:val="24"/>
                <w:highlight w:val="none"/>
              </w:rPr>
              <w:t>项目编号：</w:t>
            </w:r>
          </w:p>
        </w:tc>
      </w:tr>
      <w:tr w14:paraId="61EBF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trPr>
        <w:tc>
          <w:tcPr>
            <w:tcW w:w="1008" w:type="dxa"/>
            <w:vMerge w:val="continue"/>
            <w:noWrap/>
            <w:vAlign w:val="center"/>
          </w:tcPr>
          <w:p w14:paraId="2B3D134C">
            <w:pPr>
              <w:keepNext w:val="0"/>
              <w:keepLines w:val="0"/>
              <w:suppressLineNumbers w:val="0"/>
              <w:spacing w:before="0" w:beforeAutospacing="0" w:after="0" w:afterAutospacing="0"/>
              <w:ind w:left="0" w:right="0"/>
              <w:rPr>
                <w:rFonts w:ascii="宋体" w:hAnsi="宋体" w:cs="宋体"/>
                <w:color w:val="auto"/>
                <w:sz w:val="24"/>
                <w:highlight w:val="none"/>
              </w:rPr>
            </w:pPr>
          </w:p>
        </w:tc>
        <w:tc>
          <w:tcPr>
            <w:tcW w:w="7996" w:type="dxa"/>
            <w:noWrap/>
            <w:vAlign w:val="center"/>
          </w:tcPr>
          <w:p w14:paraId="63A8B3B4">
            <w:pPr>
              <w:keepNext w:val="0"/>
              <w:keepLines w:val="0"/>
              <w:suppressLineNumbers w:val="0"/>
              <w:spacing w:before="0" w:beforeAutospacing="0" w:after="0" w:afterAutospacing="0"/>
              <w:ind w:left="0" w:right="0"/>
              <w:rPr>
                <w:rFonts w:ascii="宋体" w:hAnsi="宋体" w:cs="宋体"/>
                <w:color w:val="auto"/>
                <w:sz w:val="24"/>
                <w:highlight w:val="none"/>
              </w:rPr>
            </w:pPr>
            <w:r>
              <w:rPr>
                <w:rFonts w:hint="eastAsia" w:ascii="宋体" w:hAnsi="宋体" w:cs="宋体"/>
                <w:color w:val="auto"/>
                <w:sz w:val="24"/>
                <w:highlight w:val="none"/>
              </w:rPr>
              <w:t>项目名称：</w:t>
            </w:r>
          </w:p>
        </w:tc>
      </w:tr>
      <w:tr w14:paraId="7BECB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08" w:type="dxa"/>
            <w:vMerge w:val="continue"/>
            <w:noWrap/>
          </w:tcPr>
          <w:p w14:paraId="10E9AD91">
            <w:pPr>
              <w:keepNext w:val="0"/>
              <w:keepLines w:val="0"/>
              <w:suppressLineNumbers w:val="0"/>
              <w:spacing w:before="0" w:beforeAutospacing="0" w:after="0" w:afterAutospacing="0"/>
              <w:ind w:left="0" w:right="0"/>
              <w:rPr>
                <w:rFonts w:ascii="宋体" w:hAnsi="宋体" w:cs="宋体"/>
                <w:color w:val="auto"/>
                <w:sz w:val="24"/>
                <w:highlight w:val="none"/>
              </w:rPr>
            </w:pPr>
          </w:p>
        </w:tc>
        <w:tc>
          <w:tcPr>
            <w:tcW w:w="7996" w:type="dxa"/>
            <w:noWrap/>
          </w:tcPr>
          <w:p w14:paraId="7A395781">
            <w:pPr>
              <w:keepNext w:val="0"/>
              <w:keepLines w:val="0"/>
              <w:suppressLineNumbers w:val="0"/>
              <w:spacing w:before="0" w:beforeAutospacing="0" w:after="0" w:afterAutospacing="0"/>
              <w:ind w:left="0" w:right="0"/>
              <w:rPr>
                <w:rFonts w:ascii="宋体" w:hAnsi="宋体" w:cs="宋体"/>
                <w:color w:val="auto"/>
                <w:sz w:val="24"/>
                <w:highlight w:val="none"/>
              </w:rPr>
            </w:pPr>
          </w:p>
          <w:p w14:paraId="18A19BB5">
            <w:pPr>
              <w:keepNext w:val="0"/>
              <w:keepLines w:val="0"/>
              <w:suppressLineNumbers w:val="0"/>
              <w:spacing w:before="0" w:beforeAutospacing="0" w:after="0" w:afterAutospacing="0" w:line="400" w:lineRule="exact"/>
              <w:ind w:left="0" w:right="0" w:firstLine="480" w:firstLineChars="200"/>
              <w:rPr>
                <w:rFonts w:ascii="宋体" w:hAnsi="宋体" w:cs="宋体"/>
                <w:color w:val="auto"/>
                <w:sz w:val="24"/>
                <w:highlight w:val="none"/>
              </w:rPr>
            </w:pPr>
            <w:r>
              <w:rPr>
                <w:rFonts w:hint="eastAsia" w:ascii="宋体" w:hAnsi="宋体" w:cs="宋体"/>
                <w:color w:val="auto"/>
                <w:sz w:val="24"/>
                <w:highlight w:val="none"/>
              </w:rPr>
              <w:t>该项目已于年月日验收并交付使用。根据合同规定，该项目的履约保证金期限于年月日已满，请将履约保证金（大写）人民币                              （小写）¥退付到达以下账户。</w:t>
            </w:r>
          </w:p>
          <w:p w14:paraId="283112A5">
            <w:pPr>
              <w:keepNext w:val="0"/>
              <w:keepLines w:val="0"/>
              <w:suppressLineNumbers w:val="0"/>
              <w:spacing w:before="0" w:beforeAutospacing="0" w:after="0" w:afterAutospacing="0" w:line="400" w:lineRule="exact"/>
              <w:ind w:left="0" w:right="0"/>
              <w:rPr>
                <w:rFonts w:ascii="宋体" w:hAnsi="宋体" w:cs="宋体"/>
                <w:color w:val="auto"/>
                <w:sz w:val="24"/>
                <w:highlight w:val="none"/>
              </w:rPr>
            </w:pPr>
          </w:p>
          <w:p w14:paraId="61ACAD93">
            <w:pPr>
              <w:keepNext w:val="0"/>
              <w:keepLines w:val="0"/>
              <w:suppressLineNumbers w:val="0"/>
              <w:spacing w:before="0" w:beforeAutospacing="0" w:after="0" w:afterAutospacing="0" w:line="400" w:lineRule="exact"/>
              <w:ind w:left="0" w:right="0" w:firstLine="480" w:firstLineChars="200"/>
              <w:rPr>
                <w:rFonts w:ascii="宋体" w:hAnsi="宋体" w:cs="宋体"/>
                <w:color w:val="auto"/>
                <w:sz w:val="24"/>
                <w:highlight w:val="none"/>
              </w:rPr>
            </w:pPr>
            <w:r>
              <w:rPr>
                <w:rFonts w:hint="eastAsia" w:ascii="宋体" w:hAnsi="宋体" w:cs="宋体"/>
                <w:color w:val="auto"/>
                <w:sz w:val="24"/>
                <w:highlight w:val="none"/>
              </w:rPr>
              <w:t>单位名称：</w:t>
            </w:r>
          </w:p>
          <w:p w14:paraId="0F9A51E9">
            <w:pPr>
              <w:keepNext w:val="0"/>
              <w:keepLines w:val="0"/>
              <w:suppressLineNumbers w:val="0"/>
              <w:spacing w:before="0" w:beforeAutospacing="0" w:after="0" w:afterAutospacing="0" w:line="400" w:lineRule="exact"/>
              <w:ind w:left="0" w:right="0" w:firstLine="480" w:firstLineChars="200"/>
              <w:rPr>
                <w:rFonts w:ascii="宋体" w:hAnsi="宋体" w:cs="宋体"/>
                <w:color w:val="auto"/>
                <w:sz w:val="24"/>
                <w:highlight w:val="none"/>
              </w:rPr>
            </w:pPr>
            <w:r>
              <w:rPr>
                <w:rFonts w:hint="eastAsia" w:ascii="宋体" w:hAnsi="宋体" w:cs="宋体"/>
                <w:color w:val="auto"/>
                <w:sz w:val="24"/>
                <w:highlight w:val="none"/>
              </w:rPr>
              <w:t>开户银行：</w:t>
            </w:r>
          </w:p>
          <w:p w14:paraId="1F5A2F26">
            <w:pPr>
              <w:keepNext w:val="0"/>
              <w:keepLines w:val="0"/>
              <w:suppressLineNumbers w:val="0"/>
              <w:spacing w:before="0" w:beforeAutospacing="0" w:after="0" w:afterAutospacing="0" w:line="400" w:lineRule="exact"/>
              <w:ind w:left="0" w:right="0" w:firstLine="480" w:firstLineChars="200"/>
              <w:rPr>
                <w:rFonts w:ascii="宋体" w:hAnsi="宋体" w:cs="宋体"/>
                <w:color w:val="auto"/>
                <w:sz w:val="24"/>
                <w:highlight w:val="none"/>
              </w:rPr>
            </w:pPr>
            <w:r>
              <w:rPr>
                <w:rFonts w:hint="eastAsia" w:ascii="宋体" w:hAnsi="宋体" w:cs="宋体"/>
                <w:color w:val="auto"/>
                <w:sz w:val="24"/>
                <w:highlight w:val="none"/>
              </w:rPr>
              <w:t>账   号：</w:t>
            </w:r>
          </w:p>
          <w:p w14:paraId="7E5F4D24">
            <w:pPr>
              <w:keepNext w:val="0"/>
              <w:keepLines w:val="0"/>
              <w:suppressLineNumbers w:val="0"/>
              <w:spacing w:before="0" w:beforeAutospacing="0" w:after="0" w:afterAutospacing="0" w:line="400" w:lineRule="exact"/>
              <w:ind w:left="0" w:right="0" w:firstLine="480" w:firstLineChars="200"/>
              <w:rPr>
                <w:rFonts w:ascii="宋体" w:hAnsi="宋体" w:cs="宋体"/>
                <w:color w:val="auto"/>
                <w:sz w:val="24"/>
                <w:highlight w:val="none"/>
              </w:rPr>
            </w:pPr>
            <w:r>
              <w:rPr>
                <w:rFonts w:hint="eastAsia" w:ascii="宋体" w:hAnsi="宋体" w:cs="宋体"/>
                <w:color w:val="auto"/>
                <w:sz w:val="24"/>
                <w:highlight w:val="none"/>
              </w:rPr>
              <w:t>联系人及电话：</w:t>
            </w:r>
          </w:p>
          <w:p w14:paraId="5A3E4954">
            <w:pPr>
              <w:keepNext w:val="0"/>
              <w:keepLines w:val="0"/>
              <w:suppressLineNumbers w:val="0"/>
              <w:spacing w:before="0" w:beforeAutospacing="0" w:after="0" w:afterAutospacing="0" w:line="400" w:lineRule="exact"/>
              <w:ind w:left="0" w:right="0"/>
              <w:rPr>
                <w:rFonts w:ascii="宋体" w:hAnsi="宋体" w:cs="宋体"/>
                <w:color w:val="auto"/>
                <w:sz w:val="24"/>
                <w:highlight w:val="none"/>
              </w:rPr>
            </w:pPr>
          </w:p>
          <w:p w14:paraId="6ECAFD3E">
            <w:pPr>
              <w:keepNext w:val="0"/>
              <w:keepLines w:val="0"/>
              <w:suppressLineNumbers w:val="0"/>
              <w:spacing w:before="0" w:beforeAutospacing="0" w:after="0" w:afterAutospacing="0" w:line="520" w:lineRule="exact"/>
              <w:ind w:left="0" w:right="0"/>
              <w:jc w:val="center"/>
              <w:rPr>
                <w:rFonts w:ascii="宋体" w:hAnsi="宋体" w:cs="宋体"/>
                <w:color w:val="auto"/>
                <w:sz w:val="24"/>
                <w:highlight w:val="none"/>
              </w:rPr>
            </w:pPr>
            <w:r>
              <w:rPr>
                <w:rFonts w:hint="eastAsia" w:ascii="宋体" w:hAnsi="宋体" w:cs="宋体"/>
                <w:color w:val="auto"/>
                <w:sz w:val="24"/>
                <w:highlight w:val="none"/>
              </w:rPr>
              <w:t xml:space="preserve">         投标人签章：</w:t>
            </w:r>
          </w:p>
          <w:p w14:paraId="322D98E3">
            <w:pPr>
              <w:keepNext w:val="0"/>
              <w:keepLines w:val="0"/>
              <w:suppressLineNumbers w:val="0"/>
              <w:spacing w:before="0" w:beforeAutospacing="0" w:after="0" w:afterAutospacing="0" w:line="520" w:lineRule="exact"/>
              <w:ind w:left="0" w:right="0"/>
              <w:jc w:val="center"/>
              <w:rPr>
                <w:rFonts w:ascii="宋体" w:hAnsi="宋体" w:cs="宋体"/>
                <w:color w:val="auto"/>
                <w:sz w:val="24"/>
                <w:highlight w:val="none"/>
              </w:rPr>
            </w:pPr>
            <w:r>
              <w:rPr>
                <w:rFonts w:hint="eastAsia" w:ascii="宋体" w:hAnsi="宋体" w:cs="宋体"/>
                <w:color w:val="auto"/>
                <w:sz w:val="24"/>
                <w:highlight w:val="none"/>
              </w:rPr>
              <w:t xml:space="preserve">                           年    月     日</w:t>
            </w:r>
          </w:p>
        </w:tc>
      </w:tr>
      <w:tr w14:paraId="20284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6" w:hRule="atLeast"/>
        </w:trPr>
        <w:tc>
          <w:tcPr>
            <w:tcW w:w="1008" w:type="dxa"/>
            <w:noWrap/>
            <w:vAlign w:val="center"/>
          </w:tcPr>
          <w:p w14:paraId="63F46CB1">
            <w:pPr>
              <w:keepNext w:val="0"/>
              <w:keepLines w:val="0"/>
              <w:suppressLineNumbers w:val="0"/>
              <w:spacing w:before="0" w:beforeAutospacing="0" w:after="0" w:afterAutospacing="0"/>
              <w:ind w:left="0" w:right="0"/>
              <w:jc w:val="center"/>
              <w:rPr>
                <w:rFonts w:ascii="宋体" w:hAnsi="宋体" w:cs="宋体"/>
                <w:color w:val="auto"/>
                <w:sz w:val="24"/>
                <w:highlight w:val="none"/>
              </w:rPr>
            </w:pPr>
            <w:r>
              <w:rPr>
                <w:rFonts w:hint="eastAsia" w:ascii="宋体" w:hAnsi="宋体" w:cs="宋体"/>
                <w:color w:val="auto"/>
                <w:sz w:val="24"/>
                <w:highlight w:val="none"/>
              </w:rPr>
              <w:t>采</w:t>
            </w:r>
          </w:p>
          <w:p w14:paraId="18D029B7">
            <w:pPr>
              <w:keepNext w:val="0"/>
              <w:keepLines w:val="0"/>
              <w:suppressLineNumbers w:val="0"/>
              <w:spacing w:before="0" w:beforeAutospacing="0" w:after="0" w:afterAutospacing="0"/>
              <w:ind w:left="0" w:right="0"/>
              <w:jc w:val="center"/>
              <w:rPr>
                <w:rFonts w:ascii="宋体" w:hAnsi="宋体" w:cs="宋体"/>
                <w:color w:val="auto"/>
                <w:sz w:val="24"/>
                <w:highlight w:val="none"/>
              </w:rPr>
            </w:pPr>
            <w:r>
              <w:rPr>
                <w:rFonts w:hint="eastAsia" w:ascii="宋体" w:hAnsi="宋体" w:cs="宋体"/>
                <w:color w:val="auto"/>
                <w:sz w:val="24"/>
                <w:highlight w:val="none"/>
              </w:rPr>
              <w:t>购</w:t>
            </w:r>
          </w:p>
          <w:p w14:paraId="21AF5717">
            <w:pPr>
              <w:keepNext w:val="0"/>
              <w:keepLines w:val="0"/>
              <w:suppressLineNumbers w:val="0"/>
              <w:spacing w:before="0" w:beforeAutospacing="0" w:after="0" w:afterAutospacing="0"/>
              <w:ind w:left="0" w:right="0"/>
              <w:jc w:val="center"/>
              <w:rPr>
                <w:rFonts w:ascii="宋体" w:hAnsi="宋体" w:cs="宋体"/>
                <w:color w:val="auto"/>
                <w:sz w:val="24"/>
                <w:highlight w:val="none"/>
              </w:rPr>
            </w:pPr>
            <w:r>
              <w:rPr>
                <w:rFonts w:hint="eastAsia" w:ascii="宋体" w:hAnsi="宋体" w:cs="宋体"/>
                <w:color w:val="auto"/>
                <w:sz w:val="24"/>
                <w:highlight w:val="none"/>
              </w:rPr>
              <w:t>人</w:t>
            </w:r>
          </w:p>
          <w:p w14:paraId="6C147813">
            <w:pPr>
              <w:keepNext w:val="0"/>
              <w:keepLines w:val="0"/>
              <w:suppressLineNumbers w:val="0"/>
              <w:spacing w:before="0" w:beforeAutospacing="0" w:after="0" w:afterAutospacing="0"/>
              <w:ind w:left="0" w:right="0"/>
              <w:jc w:val="center"/>
              <w:rPr>
                <w:rFonts w:ascii="宋体" w:hAnsi="宋体" w:cs="宋体"/>
                <w:color w:val="auto"/>
                <w:sz w:val="24"/>
                <w:highlight w:val="none"/>
              </w:rPr>
            </w:pPr>
            <w:r>
              <w:rPr>
                <w:rFonts w:hint="eastAsia" w:ascii="宋体" w:hAnsi="宋体" w:cs="宋体"/>
                <w:color w:val="auto"/>
                <w:sz w:val="24"/>
                <w:highlight w:val="none"/>
              </w:rPr>
              <w:t>意</w:t>
            </w:r>
          </w:p>
          <w:p w14:paraId="5FAA0067">
            <w:pPr>
              <w:keepNext w:val="0"/>
              <w:keepLines w:val="0"/>
              <w:suppressLineNumbers w:val="0"/>
              <w:spacing w:before="0" w:beforeAutospacing="0" w:after="0" w:afterAutospacing="0"/>
              <w:ind w:left="0" w:right="0"/>
              <w:jc w:val="center"/>
              <w:rPr>
                <w:rFonts w:ascii="宋体" w:hAnsi="宋体" w:cs="宋体"/>
                <w:color w:val="auto"/>
                <w:sz w:val="24"/>
                <w:highlight w:val="none"/>
              </w:rPr>
            </w:pPr>
            <w:r>
              <w:rPr>
                <w:rFonts w:hint="eastAsia" w:ascii="宋体" w:hAnsi="宋体" w:cs="宋体"/>
                <w:color w:val="auto"/>
                <w:sz w:val="24"/>
                <w:highlight w:val="none"/>
              </w:rPr>
              <w:t>见</w:t>
            </w:r>
          </w:p>
        </w:tc>
        <w:tc>
          <w:tcPr>
            <w:tcW w:w="7996" w:type="dxa"/>
            <w:noWrap/>
          </w:tcPr>
          <w:p w14:paraId="7B1A0528">
            <w:pPr>
              <w:keepNext w:val="0"/>
              <w:keepLines w:val="0"/>
              <w:suppressLineNumbers w:val="0"/>
              <w:spacing w:before="0" w:beforeAutospacing="0" w:after="0" w:afterAutospacing="0"/>
              <w:ind w:left="0" w:right="0"/>
              <w:rPr>
                <w:rFonts w:ascii="宋体" w:hAnsi="宋体" w:cs="宋体"/>
                <w:color w:val="auto"/>
                <w:sz w:val="24"/>
                <w:highlight w:val="none"/>
              </w:rPr>
            </w:pPr>
          </w:p>
          <w:p w14:paraId="401D3A8B">
            <w:pPr>
              <w:keepNext w:val="0"/>
              <w:keepLines w:val="0"/>
              <w:suppressLineNumbers w:val="0"/>
              <w:spacing w:before="0" w:beforeAutospacing="0" w:after="0" w:afterAutospacing="0"/>
              <w:ind w:left="0" w:right="0"/>
              <w:rPr>
                <w:rFonts w:ascii="宋体" w:hAnsi="宋体" w:cs="宋体"/>
                <w:color w:val="auto"/>
                <w:sz w:val="24"/>
                <w:highlight w:val="none"/>
              </w:rPr>
            </w:pPr>
            <w:r>
              <w:rPr>
                <w:rFonts w:hint="eastAsia" w:ascii="宋体" w:hAnsi="宋体" w:cs="宋体"/>
                <w:color w:val="auto"/>
                <w:sz w:val="24"/>
                <w:highlight w:val="none"/>
              </w:rPr>
              <w:t>退付意见：（是否同意退付履约保证金及退付金额）</w:t>
            </w:r>
          </w:p>
          <w:p w14:paraId="57C816AE">
            <w:pPr>
              <w:keepNext w:val="0"/>
              <w:keepLines w:val="0"/>
              <w:suppressLineNumbers w:val="0"/>
              <w:spacing w:before="0" w:beforeAutospacing="0" w:after="0" w:afterAutospacing="0"/>
              <w:ind w:left="0" w:right="0"/>
              <w:rPr>
                <w:rFonts w:ascii="宋体" w:hAnsi="宋体" w:cs="宋体"/>
                <w:color w:val="auto"/>
                <w:sz w:val="24"/>
                <w:highlight w:val="none"/>
              </w:rPr>
            </w:pPr>
          </w:p>
          <w:p w14:paraId="783920E9">
            <w:pPr>
              <w:keepNext w:val="0"/>
              <w:keepLines w:val="0"/>
              <w:suppressLineNumbers w:val="0"/>
              <w:spacing w:before="0" w:beforeAutospacing="0" w:after="0" w:afterAutospacing="0"/>
              <w:ind w:left="0" w:right="0"/>
              <w:rPr>
                <w:rFonts w:ascii="宋体" w:hAnsi="宋体" w:cs="宋体"/>
                <w:color w:val="auto"/>
                <w:sz w:val="24"/>
                <w:highlight w:val="none"/>
              </w:rPr>
            </w:pPr>
          </w:p>
          <w:p w14:paraId="66EAD0B7">
            <w:pPr>
              <w:keepNext w:val="0"/>
              <w:keepLines w:val="0"/>
              <w:suppressLineNumbers w:val="0"/>
              <w:spacing w:before="0" w:beforeAutospacing="0" w:after="0" w:afterAutospacing="0"/>
              <w:ind w:left="0" w:right="0"/>
              <w:rPr>
                <w:rFonts w:ascii="宋体" w:hAnsi="宋体" w:cs="宋体"/>
                <w:color w:val="auto"/>
                <w:sz w:val="24"/>
                <w:highlight w:val="none"/>
              </w:rPr>
            </w:pPr>
          </w:p>
          <w:p w14:paraId="5224743C">
            <w:pPr>
              <w:keepNext w:val="0"/>
              <w:keepLines w:val="0"/>
              <w:suppressLineNumbers w:val="0"/>
              <w:spacing w:before="0" w:beforeAutospacing="0" w:after="0" w:afterAutospacing="0"/>
              <w:ind w:left="0" w:right="0"/>
              <w:rPr>
                <w:rFonts w:ascii="宋体" w:hAnsi="宋体" w:cs="宋体"/>
                <w:color w:val="auto"/>
                <w:sz w:val="24"/>
                <w:highlight w:val="none"/>
              </w:rPr>
            </w:pPr>
          </w:p>
          <w:p w14:paraId="421168B0">
            <w:pPr>
              <w:keepNext w:val="0"/>
              <w:keepLines w:val="0"/>
              <w:suppressLineNumbers w:val="0"/>
              <w:spacing w:before="0" w:beforeAutospacing="0" w:after="0" w:afterAutospacing="0" w:line="520" w:lineRule="exact"/>
              <w:ind w:left="0" w:right="0"/>
              <w:rPr>
                <w:rFonts w:ascii="宋体" w:hAnsi="宋体" w:cs="宋体"/>
                <w:color w:val="auto"/>
                <w:sz w:val="24"/>
                <w:highlight w:val="none"/>
              </w:rPr>
            </w:pPr>
            <w:r>
              <w:rPr>
                <w:rFonts w:hint="eastAsia" w:ascii="宋体" w:hAnsi="宋体" w:cs="宋体"/>
                <w:color w:val="auto"/>
                <w:sz w:val="24"/>
                <w:highlight w:val="none"/>
              </w:rPr>
              <w:t>联系人及电话：                         采购人签章</w:t>
            </w:r>
          </w:p>
          <w:p w14:paraId="59C61F47">
            <w:pPr>
              <w:keepNext w:val="0"/>
              <w:keepLines w:val="0"/>
              <w:suppressLineNumbers w:val="0"/>
              <w:spacing w:before="0" w:beforeAutospacing="0" w:after="0" w:afterAutospacing="0" w:line="520" w:lineRule="exact"/>
              <w:ind w:left="0" w:right="0"/>
              <w:jc w:val="center"/>
              <w:rPr>
                <w:rFonts w:ascii="宋体" w:hAnsi="宋体" w:cs="宋体"/>
                <w:color w:val="auto"/>
                <w:sz w:val="24"/>
                <w:highlight w:val="none"/>
              </w:rPr>
            </w:pPr>
            <w:r>
              <w:rPr>
                <w:rFonts w:hint="eastAsia" w:ascii="宋体" w:hAnsi="宋体" w:cs="宋体"/>
                <w:color w:val="auto"/>
                <w:sz w:val="24"/>
                <w:highlight w:val="none"/>
              </w:rPr>
              <w:t xml:space="preserve">                                        年    月     日</w:t>
            </w:r>
          </w:p>
        </w:tc>
      </w:tr>
      <w:tr w14:paraId="13A5C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trPr>
        <w:tc>
          <w:tcPr>
            <w:tcW w:w="1008" w:type="dxa"/>
            <w:noWrap/>
            <w:vAlign w:val="center"/>
          </w:tcPr>
          <w:p w14:paraId="1DACE16F">
            <w:pPr>
              <w:keepNext w:val="0"/>
              <w:keepLines w:val="0"/>
              <w:suppressLineNumbers w:val="0"/>
              <w:spacing w:before="0" w:beforeAutospacing="0" w:after="0" w:afterAutospacing="0"/>
              <w:ind w:left="0" w:right="0"/>
              <w:jc w:val="center"/>
              <w:rPr>
                <w:rFonts w:ascii="宋体" w:hAnsi="宋体" w:cs="宋体"/>
                <w:color w:val="auto"/>
                <w:sz w:val="24"/>
                <w:highlight w:val="none"/>
              </w:rPr>
            </w:pPr>
            <w:r>
              <w:rPr>
                <w:rFonts w:hint="eastAsia" w:ascii="宋体" w:hAnsi="宋体" w:cs="宋体"/>
                <w:color w:val="auto"/>
                <w:sz w:val="24"/>
                <w:highlight w:val="none"/>
              </w:rPr>
              <w:t>备注</w:t>
            </w:r>
          </w:p>
        </w:tc>
        <w:tc>
          <w:tcPr>
            <w:tcW w:w="7996" w:type="dxa"/>
            <w:noWrap/>
          </w:tcPr>
          <w:p w14:paraId="7FB9CCFB">
            <w:pPr>
              <w:keepNext w:val="0"/>
              <w:keepLines w:val="0"/>
              <w:suppressLineNumbers w:val="0"/>
              <w:spacing w:before="0" w:beforeAutospacing="0" w:after="0" w:afterAutospacing="0"/>
              <w:ind w:left="0" w:right="0"/>
              <w:rPr>
                <w:rFonts w:ascii="宋体" w:hAnsi="宋体" w:cs="宋体"/>
                <w:color w:val="auto"/>
                <w:sz w:val="24"/>
                <w:highlight w:val="none"/>
              </w:rPr>
            </w:pPr>
          </w:p>
        </w:tc>
      </w:tr>
    </w:tbl>
    <w:p w14:paraId="7C79AA78">
      <w:pPr>
        <w:spacing w:after="120"/>
        <w:ind w:left="420" w:leftChars="114" w:hanging="181" w:hangingChars="100"/>
        <w:rPr>
          <w:rFonts w:ascii="宋体" w:hAnsi="宋体" w:cs="宋体"/>
          <w:b/>
          <w:bCs/>
          <w:color w:val="auto"/>
          <w:sz w:val="18"/>
          <w:highlight w:val="none"/>
        </w:rPr>
      </w:pPr>
      <w:r>
        <w:rPr>
          <w:rFonts w:hint="eastAsia" w:ascii="宋体" w:hAnsi="宋体" w:cs="宋体"/>
          <w:b/>
          <w:bCs/>
          <w:color w:val="auto"/>
          <w:sz w:val="18"/>
          <w:highlight w:val="none"/>
        </w:rPr>
        <w:t>注：投标人凭经采购人审批的退付意见书到履约保证金收取单位办理履约保证金退付事宜。</w:t>
      </w:r>
    </w:p>
    <w:p w14:paraId="192698F1">
      <w:pPr>
        <w:rPr>
          <w:rFonts w:hint="eastAsia" w:ascii="宋体" w:hAnsi="宋体" w:cs="宋体"/>
          <w:color w:val="auto"/>
          <w:szCs w:val="21"/>
          <w:highlight w:val="none"/>
        </w:rPr>
      </w:pPr>
      <w:r>
        <w:rPr>
          <w:rFonts w:hint="eastAsia" w:ascii="宋体" w:hAnsi="宋体" w:cs="宋体"/>
          <w:color w:val="auto"/>
          <w:szCs w:val="21"/>
          <w:highlight w:val="none"/>
        </w:rPr>
        <w:br w:type="page"/>
      </w:r>
    </w:p>
    <w:p w14:paraId="2909C01A">
      <w:pPr>
        <w:numPr>
          <w:ilvl w:val="0"/>
          <w:numId w:val="0"/>
        </w:numPr>
        <w:rPr>
          <w:rFonts w:hint="eastAsia" w:ascii="宋体" w:hAnsi="宋体" w:cs="宋体"/>
          <w:b/>
          <w:bCs/>
          <w:color w:val="auto"/>
          <w:sz w:val="28"/>
          <w:szCs w:val="28"/>
          <w:highlight w:val="none"/>
        </w:rPr>
      </w:pPr>
      <w:r>
        <w:rPr>
          <w:rFonts w:hint="eastAsia" w:ascii="宋体" w:hAnsi="宋体" w:eastAsia="宋体" w:cs="宋体"/>
          <w:b/>
          <w:bCs/>
          <w:color w:val="auto"/>
          <w:kern w:val="2"/>
          <w:sz w:val="28"/>
          <w:szCs w:val="28"/>
          <w:highlight w:val="none"/>
          <w:lang w:val="en-US" w:eastAsia="zh-CN" w:bidi="ar-SA"/>
        </w:rPr>
        <w:t>6.异常低价合理性的说明</w:t>
      </w:r>
      <w:r>
        <w:rPr>
          <w:rFonts w:hint="eastAsia" w:ascii="宋体" w:hAnsi="宋体" w:cs="宋体"/>
          <w:b/>
          <w:bCs/>
          <w:color w:val="auto"/>
          <w:sz w:val="28"/>
          <w:szCs w:val="28"/>
          <w:highlight w:val="none"/>
        </w:rPr>
        <w:t>的格式：</w:t>
      </w:r>
    </w:p>
    <w:p w14:paraId="1CDFF1C5">
      <w:pPr>
        <w:ind w:firstLine="480"/>
        <w:jc w:val="center"/>
        <w:rPr>
          <w:rFonts w:hint="eastAsia" w:ascii="宋体" w:hAnsi="宋体" w:eastAsia="宋体" w:cs="宋体"/>
          <w:color w:val="auto"/>
          <w:sz w:val="32"/>
          <w:szCs w:val="32"/>
          <w:highlight w:val="none"/>
        </w:rPr>
      </w:pPr>
    </w:p>
    <w:p w14:paraId="2D4F8CA5">
      <w:pPr>
        <w:ind w:firstLine="480"/>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异常低价合理性的说明（</w:t>
      </w:r>
      <w:r>
        <w:rPr>
          <w:rFonts w:hint="eastAsia" w:ascii="宋体" w:hAnsi="宋体" w:eastAsia="宋体" w:cs="宋体"/>
          <w:color w:val="auto"/>
          <w:sz w:val="32"/>
          <w:szCs w:val="32"/>
          <w:highlight w:val="none"/>
          <w:lang w:val="en-US" w:eastAsia="zh-CN"/>
        </w:rPr>
        <w:t>参考</w:t>
      </w:r>
      <w:r>
        <w:rPr>
          <w:rFonts w:hint="eastAsia" w:ascii="宋体" w:hAnsi="宋体" w:eastAsia="宋体" w:cs="宋体"/>
          <w:color w:val="auto"/>
          <w:sz w:val="32"/>
          <w:szCs w:val="32"/>
          <w:highlight w:val="none"/>
        </w:rPr>
        <w:t>）</w:t>
      </w:r>
    </w:p>
    <w:p w14:paraId="6D43F06D">
      <w:pPr>
        <w:spacing w:line="360" w:lineRule="auto"/>
        <w:ind w:firstLine="420" w:firstLineChars="200"/>
        <w:jc w:val="left"/>
        <w:rPr>
          <w:rFonts w:ascii="宋体" w:hAnsi="宋体" w:cs="方正仿宋_GB2312"/>
          <w:color w:val="auto"/>
          <w:szCs w:val="21"/>
          <w:highlight w:val="none"/>
        </w:rPr>
      </w:pPr>
    </w:p>
    <w:p w14:paraId="0E4A9249">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lang w:val="en-US" w:eastAsia="zh-CN"/>
        </w:rPr>
        <w:t>评标委员会</w:t>
      </w:r>
      <w:r>
        <w:rPr>
          <w:rFonts w:hint="eastAsia" w:ascii="宋体" w:hAnsi="宋体" w:cs="宋体"/>
          <w:color w:val="auto"/>
          <w:sz w:val="24"/>
          <w:highlight w:val="none"/>
        </w:rPr>
        <w:t>在评审中发现存在异常低价问题的情形，</w:t>
      </w:r>
      <w:r>
        <w:rPr>
          <w:rFonts w:hint="eastAsia" w:ascii="宋体" w:hAnsi="宋体" w:cs="宋体"/>
          <w:color w:val="auto"/>
          <w:sz w:val="24"/>
          <w:highlight w:val="none"/>
          <w:lang w:val="en-US" w:eastAsia="zh-CN"/>
        </w:rPr>
        <w:t>投标人</w:t>
      </w:r>
      <w:r>
        <w:rPr>
          <w:rFonts w:hint="eastAsia" w:ascii="宋体" w:hAnsi="宋体" w:cs="宋体"/>
          <w:color w:val="auto"/>
          <w:sz w:val="24"/>
          <w:highlight w:val="none"/>
        </w:rPr>
        <w:t>将被要求以书面方式提供项目具体成本测算等与报价合理性相关的书面说明及必要的证明材料，为避免在评审现场因未能及时提供说明而导致被</w:t>
      </w:r>
      <w:r>
        <w:rPr>
          <w:rFonts w:hint="eastAsia" w:ascii="宋体" w:hAnsi="宋体" w:cs="宋体"/>
          <w:color w:val="auto"/>
          <w:sz w:val="24"/>
          <w:highlight w:val="none"/>
          <w:lang w:val="en-US" w:eastAsia="zh-CN"/>
        </w:rPr>
        <w:t>评标委员会</w:t>
      </w:r>
      <w:r>
        <w:rPr>
          <w:rFonts w:hint="eastAsia" w:ascii="宋体" w:hAnsi="宋体" w:cs="宋体"/>
          <w:color w:val="auto"/>
          <w:sz w:val="24"/>
          <w:highlight w:val="none"/>
        </w:rPr>
        <w:t>作为无效响应，</w:t>
      </w:r>
      <w:r>
        <w:rPr>
          <w:rFonts w:hint="eastAsia" w:ascii="宋体" w:hAnsi="宋体" w:cs="宋体"/>
          <w:color w:val="auto"/>
          <w:sz w:val="24"/>
          <w:highlight w:val="none"/>
          <w:lang w:val="en-US" w:eastAsia="zh-CN"/>
        </w:rPr>
        <w:t>投标人</w:t>
      </w:r>
      <w:r>
        <w:rPr>
          <w:rFonts w:hint="eastAsia" w:ascii="宋体" w:hAnsi="宋体" w:cs="宋体"/>
          <w:color w:val="auto"/>
          <w:sz w:val="24"/>
          <w:highlight w:val="none"/>
        </w:rPr>
        <w:t>自行决定是否直接在此处进行陈述。格式自拟。</w:t>
      </w:r>
    </w:p>
    <w:p w14:paraId="7F777204">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产品成本测算表（参考格式）</w:t>
      </w:r>
    </w:p>
    <w:tbl>
      <w:tblPr>
        <w:tblStyle w:val="28"/>
        <w:tblW w:w="96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6"/>
        <w:gridCol w:w="498"/>
        <w:gridCol w:w="786"/>
        <w:gridCol w:w="498"/>
        <w:gridCol w:w="1137"/>
        <w:gridCol w:w="1377"/>
        <w:gridCol w:w="856"/>
        <w:gridCol w:w="786"/>
        <w:gridCol w:w="939"/>
        <w:gridCol w:w="939"/>
        <w:gridCol w:w="1085"/>
      </w:tblGrid>
      <w:tr w14:paraId="1368F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57" w:type="dxa"/>
            <w:vAlign w:val="center"/>
          </w:tcPr>
          <w:p w14:paraId="5CE90476">
            <w:pPr>
              <w:keepNext w:val="0"/>
              <w:keepLines w:val="0"/>
              <w:suppressLineNumbers w:val="0"/>
              <w:snapToGrid w:val="0"/>
              <w:spacing w:before="0" w:beforeAutospacing="0" w:after="0" w:afterAutospacing="0"/>
              <w:ind w:left="0" w:right="0"/>
              <w:jc w:val="center"/>
              <w:rPr>
                <w:rFonts w:ascii="宋体" w:hAnsi="宋体" w:cs="宋体"/>
                <w:b/>
                <w:color w:val="auto"/>
                <w:sz w:val="24"/>
                <w:highlight w:val="none"/>
              </w:rPr>
            </w:pPr>
            <w:r>
              <w:rPr>
                <w:rFonts w:hint="eastAsia" w:ascii="宋体" w:hAnsi="宋体" w:cs="宋体"/>
                <w:b/>
                <w:color w:val="auto"/>
                <w:sz w:val="24"/>
                <w:highlight w:val="none"/>
              </w:rPr>
              <w:t>序号</w:t>
            </w:r>
          </w:p>
        </w:tc>
        <w:tc>
          <w:tcPr>
            <w:tcW w:w="0" w:type="auto"/>
            <w:vAlign w:val="center"/>
          </w:tcPr>
          <w:p w14:paraId="72003309">
            <w:pPr>
              <w:keepNext w:val="0"/>
              <w:keepLines w:val="0"/>
              <w:suppressLineNumbers w:val="0"/>
              <w:snapToGrid w:val="0"/>
              <w:spacing w:before="0" w:beforeAutospacing="0" w:after="0" w:afterAutospacing="0"/>
              <w:ind w:left="0" w:right="0"/>
              <w:jc w:val="center"/>
              <w:rPr>
                <w:rFonts w:ascii="宋体" w:hAnsi="宋体" w:cs="宋体"/>
                <w:b/>
                <w:color w:val="auto"/>
                <w:sz w:val="24"/>
                <w:highlight w:val="none"/>
              </w:rPr>
            </w:pPr>
            <w:r>
              <w:rPr>
                <w:rFonts w:hint="eastAsia" w:ascii="宋体" w:hAnsi="宋体" w:cs="宋体"/>
                <w:b/>
                <w:color w:val="auto"/>
                <w:sz w:val="24"/>
                <w:highlight w:val="none"/>
              </w:rPr>
              <w:t>名称</w:t>
            </w:r>
          </w:p>
        </w:tc>
        <w:tc>
          <w:tcPr>
            <w:tcW w:w="0" w:type="auto"/>
            <w:vAlign w:val="center"/>
          </w:tcPr>
          <w:p w14:paraId="49F391BB">
            <w:pPr>
              <w:keepNext w:val="0"/>
              <w:keepLines w:val="0"/>
              <w:suppressLineNumbers w:val="0"/>
              <w:snapToGrid w:val="0"/>
              <w:spacing w:before="0" w:beforeAutospacing="0" w:after="0" w:afterAutospacing="0"/>
              <w:ind w:left="0" w:right="0"/>
              <w:jc w:val="center"/>
              <w:rPr>
                <w:rFonts w:ascii="宋体" w:hAnsi="宋体" w:cs="宋体"/>
                <w:b/>
                <w:color w:val="auto"/>
                <w:sz w:val="24"/>
                <w:highlight w:val="none"/>
              </w:rPr>
            </w:pPr>
            <w:r>
              <w:rPr>
                <w:rFonts w:hint="eastAsia" w:ascii="宋体" w:hAnsi="宋体" w:cs="宋体"/>
                <w:b/>
                <w:color w:val="auto"/>
                <w:sz w:val="24"/>
                <w:highlight w:val="none"/>
              </w:rPr>
              <w:t>品牌规格型号</w:t>
            </w:r>
          </w:p>
        </w:tc>
        <w:tc>
          <w:tcPr>
            <w:tcW w:w="0" w:type="auto"/>
            <w:vAlign w:val="center"/>
          </w:tcPr>
          <w:p w14:paraId="494DEE38">
            <w:pPr>
              <w:keepNext w:val="0"/>
              <w:keepLines w:val="0"/>
              <w:suppressLineNumbers w:val="0"/>
              <w:snapToGrid w:val="0"/>
              <w:spacing w:before="0" w:beforeAutospacing="0" w:after="0" w:afterAutospacing="0"/>
              <w:ind w:left="0" w:right="0"/>
              <w:jc w:val="center"/>
              <w:rPr>
                <w:rFonts w:ascii="宋体" w:hAnsi="宋体" w:cs="宋体"/>
                <w:b/>
                <w:color w:val="auto"/>
                <w:sz w:val="24"/>
                <w:highlight w:val="none"/>
              </w:rPr>
            </w:pPr>
            <w:r>
              <w:rPr>
                <w:rFonts w:hint="eastAsia" w:ascii="宋体" w:hAnsi="宋体" w:cs="宋体"/>
                <w:b/>
                <w:color w:val="auto"/>
                <w:sz w:val="24"/>
                <w:highlight w:val="none"/>
              </w:rPr>
              <w:t>单位</w:t>
            </w:r>
          </w:p>
        </w:tc>
        <w:tc>
          <w:tcPr>
            <w:tcW w:w="0" w:type="auto"/>
            <w:vAlign w:val="center"/>
          </w:tcPr>
          <w:p w14:paraId="349F5C81">
            <w:pPr>
              <w:keepNext w:val="0"/>
              <w:keepLines w:val="0"/>
              <w:suppressLineNumbers w:val="0"/>
              <w:snapToGrid w:val="0"/>
              <w:spacing w:before="0" w:beforeAutospacing="0" w:after="0" w:afterAutospacing="0"/>
              <w:ind w:left="0" w:right="0"/>
              <w:jc w:val="center"/>
              <w:rPr>
                <w:rFonts w:ascii="宋体" w:hAnsi="宋体" w:cs="宋体"/>
                <w:b/>
                <w:color w:val="auto"/>
                <w:sz w:val="24"/>
                <w:highlight w:val="none"/>
              </w:rPr>
            </w:pPr>
            <w:r>
              <w:rPr>
                <w:rFonts w:hint="eastAsia" w:ascii="宋体" w:hAnsi="宋体" w:cs="宋体"/>
                <w:b/>
                <w:color w:val="auto"/>
                <w:sz w:val="24"/>
                <w:highlight w:val="none"/>
              </w:rPr>
              <w:t>报价单价</w:t>
            </w:r>
          </w:p>
          <w:p w14:paraId="2BB4127A">
            <w:pPr>
              <w:keepNext w:val="0"/>
              <w:keepLines w:val="0"/>
              <w:suppressLineNumbers w:val="0"/>
              <w:snapToGrid w:val="0"/>
              <w:spacing w:before="0" w:beforeAutospacing="0" w:after="0" w:afterAutospacing="0"/>
              <w:ind w:left="0" w:right="0"/>
              <w:jc w:val="center"/>
              <w:rPr>
                <w:rFonts w:ascii="宋体" w:hAnsi="宋体" w:cs="宋体"/>
                <w:b/>
                <w:color w:val="auto"/>
                <w:sz w:val="24"/>
                <w:highlight w:val="none"/>
              </w:rPr>
            </w:pPr>
            <w:r>
              <w:rPr>
                <w:rFonts w:hint="eastAsia" w:ascii="宋体" w:hAnsi="宋体" w:cs="宋体"/>
                <w:b/>
                <w:color w:val="auto"/>
                <w:sz w:val="24"/>
                <w:highlight w:val="none"/>
              </w:rPr>
              <w:t>（元）</w:t>
            </w:r>
          </w:p>
        </w:tc>
        <w:tc>
          <w:tcPr>
            <w:tcW w:w="1386" w:type="dxa"/>
            <w:vAlign w:val="center"/>
          </w:tcPr>
          <w:p w14:paraId="7B6502D6">
            <w:pPr>
              <w:keepNext w:val="0"/>
              <w:keepLines w:val="0"/>
              <w:suppressLineNumbers w:val="0"/>
              <w:snapToGrid w:val="0"/>
              <w:spacing w:before="0" w:beforeAutospacing="0" w:after="0" w:afterAutospacing="0"/>
              <w:ind w:left="0" w:right="0"/>
              <w:jc w:val="center"/>
              <w:rPr>
                <w:rFonts w:ascii="宋体" w:hAnsi="宋体" w:cs="宋体"/>
                <w:b/>
                <w:color w:val="auto"/>
                <w:sz w:val="24"/>
                <w:highlight w:val="none"/>
              </w:rPr>
            </w:pPr>
            <w:r>
              <w:rPr>
                <w:rFonts w:hint="eastAsia" w:ascii="宋体" w:hAnsi="宋体" w:cs="宋体"/>
                <w:b/>
                <w:color w:val="auto"/>
                <w:sz w:val="24"/>
                <w:highlight w:val="none"/>
              </w:rPr>
              <w:t>成本项目</w:t>
            </w:r>
          </w:p>
        </w:tc>
        <w:tc>
          <w:tcPr>
            <w:tcW w:w="0" w:type="auto"/>
            <w:vAlign w:val="center"/>
          </w:tcPr>
          <w:p w14:paraId="34EE64DE">
            <w:pPr>
              <w:keepNext w:val="0"/>
              <w:keepLines w:val="0"/>
              <w:suppressLineNumbers w:val="0"/>
              <w:snapToGrid w:val="0"/>
              <w:spacing w:before="0" w:beforeAutospacing="0" w:after="0" w:afterAutospacing="0"/>
              <w:ind w:left="0" w:right="0"/>
              <w:jc w:val="center"/>
              <w:rPr>
                <w:rFonts w:ascii="宋体" w:hAnsi="宋体" w:cs="宋体"/>
                <w:b/>
                <w:color w:val="auto"/>
                <w:sz w:val="24"/>
                <w:highlight w:val="none"/>
              </w:rPr>
            </w:pPr>
            <w:r>
              <w:rPr>
                <w:rFonts w:hint="eastAsia" w:ascii="宋体" w:hAnsi="宋体" w:cs="宋体"/>
                <w:b/>
                <w:color w:val="auto"/>
                <w:sz w:val="24"/>
                <w:highlight w:val="none"/>
              </w:rPr>
              <w:t>具体明细</w:t>
            </w:r>
          </w:p>
        </w:tc>
        <w:tc>
          <w:tcPr>
            <w:tcW w:w="0" w:type="auto"/>
            <w:vAlign w:val="center"/>
          </w:tcPr>
          <w:p w14:paraId="1517673D">
            <w:pPr>
              <w:keepNext w:val="0"/>
              <w:keepLines w:val="0"/>
              <w:suppressLineNumbers w:val="0"/>
              <w:snapToGrid w:val="0"/>
              <w:spacing w:before="0" w:beforeAutospacing="0" w:after="0" w:afterAutospacing="0"/>
              <w:ind w:left="0" w:right="0"/>
              <w:jc w:val="center"/>
              <w:rPr>
                <w:rFonts w:ascii="宋体" w:hAnsi="宋体" w:cs="宋体"/>
                <w:b/>
                <w:color w:val="auto"/>
                <w:sz w:val="24"/>
                <w:highlight w:val="none"/>
              </w:rPr>
            </w:pPr>
            <w:r>
              <w:rPr>
                <w:rFonts w:hint="eastAsia" w:ascii="宋体" w:hAnsi="宋体" w:cs="宋体"/>
                <w:b/>
                <w:color w:val="auto"/>
                <w:sz w:val="24"/>
                <w:highlight w:val="none"/>
              </w:rPr>
              <w:t>单位产品用量</w:t>
            </w:r>
          </w:p>
        </w:tc>
        <w:tc>
          <w:tcPr>
            <w:tcW w:w="0" w:type="auto"/>
            <w:vAlign w:val="center"/>
          </w:tcPr>
          <w:p w14:paraId="5A7C74C9">
            <w:pPr>
              <w:keepNext w:val="0"/>
              <w:keepLines w:val="0"/>
              <w:suppressLineNumbers w:val="0"/>
              <w:snapToGrid w:val="0"/>
              <w:spacing w:before="0" w:beforeAutospacing="0" w:after="0" w:afterAutospacing="0"/>
              <w:ind w:left="0" w:right="0"/>
              <w:jc w:val="center"/>
              <w:rPr>
                <w:rFonts w:ascii="宋体" w:hAnsi="宋体" w:cs="宋体"/>
                <w:b/>
                <w:color w:val="auto"/>
                <w:sz w:val="24"/>
                <w:highlight w:val="none"/>
              </w:rPr>
            </w:pPr>
            <w:r>
              <w:rPr>
                <w:rFonts w:hint="eastAsia" w:ascii="宋体" w:hAnsi="宋体" w:cs="宋体"/>
                <w:b/>
                <w:color w:val="auto"/>
                <w:sz w:val="24"/>
                <w:highlight w:val="none"/>
              </w:rPr>
              <w:t>单位成本</w:t>
            </w:r>
          </w:p>
          <w:p w14:paraId="02762722">
            <w:pPr>
              <w:keepNext w:val="0"/>
              <w:keepLines w:val="0"/>
              <w:suppressLineNumbers w:val="0"/>
              <w:snapToGrid w:val="0"/>
              <w:spacing w:before="0" w:beforeAutospacing="0" w:after="0" w:afterAutospacing="0"/>
              <w:ind w:left="0" w:right="0"/>
              <w:jc w:val="center"/>
              <w:rPr>
                <w:rFonts w:ascii="宋体" w:hAnsi="宋体" w:cs="宋体"/>
                <w:b/>
                <w:color w:val="auto"/>
                <w:sz w:val="24"/>
                <w:highlight w:val="none"/>
              </w:rPr>
            </w:pPr>
            <w:r>
              <w:rPr>
                <w:rFonts w:hint="eastAsia" w:ascii="宋体" w:hAnsi="宋体" w:cs="宋体"/>
                <w:b/>
                <w:color w:val="auto"/>
                <w:sz w:val="24"/>
                <w:highlight w:val="none"/>
              </w:rPr>
              <w:t>（元）</w:t>
            </w:r>
          </w:p>
        </w:tc>
        <w:tc>
          <w:tcPr>
            <w:tcW w:w="0" w:type="auto"/>
            <w:vAlign w:val="center"/>
          </w:tcPr>
          <w:p w14:paraId="6084B78F">
            <w:pPr>
              <w:keepNext w:val="0"/>
              <w:keepLines w:val="0"/>
              <w:suppressLineNumbers w:val="0"/>
              <w:snapToGrid w:val="0"/>
              <w:spacing w:before="0" w:beforeAutospacing="0" w:after="0" w:afterAutospacing="0"/>
              <w:ind w:left="0" w:right="0"/>
              <w:jc w:val="center"/>
              <w:rPr>
                <w:rFonts w:ascii="宋体" w:hAnsi="宋体" w:cs="宋体"/>
                <w:b/>
                <w:color w:val="auto"/>
                <w:sz w:val="24"/>
                <w:highlight w:val="none"/>
              </w:rPr>
            </w:pPr>
            <w:r>
              <w:rPr>
                <w:rFonts w:hint="eastAsia" w:ascii="宋体" w:hAnsi="宋体" w:cs="宋体"/>
                <w:b/>
                <w:color w:val="auto"/>
                <w:sz w:val="24"/>
                <w:highlight w:val="none"/>
              </w:rPr>
              <w:t>成本合计</w:t>
            </w:r>
          </w:p>
          <w:p w14:paraId="76284AB2">
            <w:pPr>
              <w:keepNext w:val="0"/>
              <w:keepLines w:val="0"/>
              <w:suppressLineNumbers w:val="0"/>
              <w:snapToGrid w:val="0"/>
              <w:spacing w:before="0" w:beforeAutospacing="0" w:after="0" w:afterAutospacing="0"/>
              <w:ind w:left="0" w:right="0"/>
              <w:jc w:val="center"/>
              <w:rPr>
                <w:rFonts w:ascii="宋体" w:hAnsi="宋体" w:cs="宋体"/>
                <w:b/>
                <w:color w:val="auto"/>
                <w:sz w:val="24"/>
                <w:highlight w:val="none"/>
              </w:rPr>
            </w:pPr>
            <w:r>
              <w:rPr>
                <w:rFonts w:hint="eastAsia" w:ascii="宋体" w:hAnsi="宋体" w:cs="宋体"/>
                <w:b/>
                <w:color w:val="auto"/>
                <w:sz w:val="24"/>
                <w:highlight w:val="none"/>
              </w:rPr>
              <w:t>（元）</w:t>
            </w:r>
          </w:p>
        </w:tc>
        <w:tc>
          <w:tcPr>
            <w:tcW w:w="1088" w:type="dxa"/>
            <w:vAlign w:val="center"/>
          </w:tcPr>
          <w:p w14:paraId="212E9145">
            <w:pPr>
              <w:keepNext w:val="0"/>
              <w:keepLines w:val="0"/>
              <w:suppressLineNumbers w:val="0"/>
              <w:snapToGrid w:val="0"/>
              <w:spacing w:before="0" w:beforeAutospacing="0" w:after="0" w:afterAutospacing="0"/>
              <w:ind w:left="0" w:right="0"/>
              <w:jc w:val="center"/>
              <w:rPr>
                <w:rFonts w:ascii="宋体" w:hAnsi="宋体" w:cs="宋体"/>
                <w:b/>
                <w:color w:val="auto"/>
                <w:sz w:val="24"/>
                <w:highlight w:val="none"/>
              </w:rPr>
            </w:pPr>
            <w:r>
              <w:rPr>
                <w:rFonts w:hint="eastAsia" w:ascii="宋体" w:hAnsi="宋体" w:cs="宋体"/>
                <w:b/>
                <w:color w:val="auto"/>
                <w:sz w:val="24"/>
                <w:highlight w:val="none"/>
              </w:rPr>
              <w:t>备注（测算依据/证明材料）</w:t>
            </w:r>
          </w:p>
        </w:tc>
      </w:tr>
      <w:tr w14:paraId="359FF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7" w:type="dxa"/>
            <w:vMerge w:val="restart"/>
            <w:vAlign w:val="center"/>
          </w:tcPr>
          <w:p w14:paraId="406741E7">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r>
              <w:rPr>
                <w:rFonts w:hint="eastAsia" w:ascii="宋体" w:hAnsi="宋体" w:cs="宋体"/>
                <w:color w:val="auto"/>
                <w:sz w:val="24"/>
                <w:highlight w:val="none"/>
              </w:rPr>
              <w:t>1</w:t>
            </w:r>
          </w:p>
        </w:tc>
        <w:tc>
          <w:tcPr>
            <w:tcW w:w="0" w:type="auto"/>
            <w:vMerge w:val="restart"/>
            <w:vAlign w:val="center"/>
          </w:tcPr>
          <w:p w14:paraId="1A4E9239">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0" w:type="auto"/>
            <w:vMerge w:val="restart"/>
            <w:vAlign w:val="center"/>
          </w:tcPr>
          <w:p w14:paraId="57BFD239">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0" w:type="auto"/>
            <w:vMerge w:val="restart"/>
            <w:vAlign w:val="center"/>
          </w:tcPr>
          <w:p w14:paraId="77012058">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0" w:type="auto"/>
            <w:vMerge w:val="restart"/>
            <w:vAlign w:val="center"/>
          </w:tcPr>
          <w:p w14:paraId="09190E94">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1386" w:type="dxa"/>
            <w:vMerge w:val="restart"/>
            <w:vAlign w:val="center"/>
          </w:tcPr>
          <w:p w14:paraId="45E885DC">
            <w:pPr>
              <w:keepNext w:val="0"/>
              <w:keepLines w:val="0"/>
              <w:suppressLineNumbers w:val="0"/>
              <w:snapToGrid w:val="0"/>
              <w:spacing w:before="0" w:beforeAutospacing="0" w:after="0" w:afterAutospacing="0"/>
              <w:ind w:left="0" w:right="0"/>
              <w:jc w:val="right"/>
              <w:rPr>
                <w:rFonts w:ascii="宋体" w:hAnsi="宋体" w:cs="宋体"/>
                <w:color w:val="auto"/>
                <w:sz w:val="24"/>
                <w:highlight w:val="none"/>
              </w:rPr>
            </w:pPr>
            <w:r>
              <w:rPr>
                <w:rFonts w:hint="eastAsia" w:ascii="宋体" w:hAnsi="宋体" w:cs="宋体"/>
                <w:color w:val="auto"/>
                <w:sz w:val="24"/>
                <w:highlight w:val="none"/>
              </w:rPr>
              <w:t>原材料成本</w:t>
            </w:r>
          </w:p>
        </w:tc>
        <w:tc>
          <w:tcPr>
            <w:tcW w:w="0" w:type="auto"/>
            <w:vAlign w:val="center"/>
          </w:tcPr>
          <w:p w14:paraId="49F71C45">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r>
              <w:rPr>
                <w:rFonts w:hint="eastAsia" w:ascii="宋体" w:hAnsi="宋体" w:cs="宋体"/>
                <w:color w:val="auto"/>
                <w:sz w:val="24"/>
                <w:highlight w:val="none"/>
              </w:rPr>
              <w:t>原材料1</w:t>
            </w:r>
          </w:p>
        </w:tc>
        <w:tc>
          <w:tcPr>
            <w:tcW w:w="0" w:type="auto"/>
            <w:vAlign w:val="center"/>
          </w:tcPr>
          <w:p w14:paraId="2485C389">
            <w:pPr>
              <w:keepNext w:val="0"/>
              <w:keepLines w:val="0"/>
              <w:suppressLineNumbers w:val="0"/>
              <w:snapToGrid w:val="0"/>
              <w:spacing w:before="0" w:beforeAutospacing="0" w:after="0" w:afterAutospacing="0"/>
              <w:ind w:left="0" w:right="0"/>
              <w:jc w:val="left"/>
              <w:rPr>
                <w:rFonts w:ascii="宋体" w:hAnsi="宋体" w:cs="宋体"/>
                <w:color w:val="auto"/>
                <w:sz w:val="24"/>
                <w:highlight w:val="none"/>
              </w:rPr>
            </w:pPr>
          </w:p>
        </w:tc>
        <w:tc>
          <w:tcPr>
            <w:tcW w:w="0" w:type="auto"/>
            <w:vAlign w:val="center"/>
          </w:tcPr>
          <w:p w14:paraId="7BDF2DBC">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0" w:type="auto"/>
            <w:vMerge w:val="restart"/>
            <w:vAlign w:val="center"/>
          </w:tcPr>
          <w:p w14:paraId="435A2B07">
            <w:pPr>
              <w:keepNext w:val="0"/>
              <w:keepLines w:val="0"/>
              <w:suppressLineNumbers w:val="0"/>
              <w:snapToGrid w:val="0"/>
              <w:spacing w:before="0" w:beforeAutospacing="0" w:after="0" w:afterAutospacing="0"/>
              <w:ind w:left="0" w:right="0"/>
              <w:jc w:val="right"/>
              <w:rPr>
                <w:rFonts w:ascii="宋体" w:hAnsi="宋体" w:cs="宋体"/>
                <w:color w:val="auto"/>
                <w:sz w:val="24"/>
                <w:highlight w:val="none"/>
              </w:rPr>
            </w:pPr>
          </w:p>
        </w:tc>
        <w:tc>
          <w:tcPr>
            <w:tcW w:w="1088" w:type="dxa"/>
            <w:vAlign w:val="center"/>
          </w:tcPr>
          <w:p w14:paraId="0523B23D">
            <w:pPr>
              <w:keepNext w:val="0"/>
              <w:keepLines w:val="0"/>
              <w:suppressLineNumbers w:val="0"/>
              <w:snapToGrid w:val="0"/>
              <w:spacing w:before="0" w:beforeAutospacing="0" w:after="0" w:afterAutospacing="0"/>
              <w:ind w:left="0" w:right="0"/>
              <w:jc w:val="right"/>
              <w:rPr>
                <w:rFonts w:ascii="宋体" w:hAnsi="宋体" w:cs="宋体"/>
                <w:color w:val="auto"/>
                <w:sz w:val="24"/>
                <w:highlight w:val="none"/>
              </w:rPr>
            </w:pPr>
          </w:p>
        </w:tc>
      </w:tr>
      <w:tr w14:paraId="13801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7" w:type="dxa"/>
            <w:vMerge w:val="continue"/>
            <w:vAlign w:val="center"/>
          </w:tcPr>
          <w:p w14:paraId="2E705E2A">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0" w:type="auto"/>
            <w:vMerge w:val="continue"/>
            <w:vAlign w:val="center"/>
          </w:tcPr>
          <w:p w14:paraId="366BD7CD">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0" w:type="auto"/>
            <w:vMerge w:val="continue"/>
            <w:vAlign w:val="center"/>
          </w:tcPr>
          <w:p w14:paraId="19F3ED9D">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0" w:type="auto"/>
            <w:vMerge w:val="continue"/>
            <w:vAlign w:val="center"/>
          </w:tcPr>
          <w:p w14:paraId="5CED2E4D">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0" w:type="auto"/>
            <w:vMerge w:val="continue"/>
            <w:vAlign w:val="center"/>
          </w:tcPr>
          <w:p w14:paraId="38DFE0E1">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1386" w:type="dxa"/>
            <w:vMerge w:val="continue"/>
            <w:vAlign w:val="center"/>
          </w:tcPr>
          <w:p w14:paraId="6A2D6DD5">
            <w:pPr>
              <w:keepNext w:val="0"/>
              <w:keepLines w:val="0"/>
              <w:suppressLineNumbers w:val="0"/>
              <w:snapToGrid w:val="0"/>
              <w:spacing w:before="0" w:beforeAutospacing="0" w:after="0" w:afterAutospacing="0"/>
              <w:ind w:left="0" w:right="0"/>
              <w:jc w:val="right"/>
              <w:rPr>
                <w:rFonts w:ascii="宋体" w:hAnsi="宋体" w:cs="宋体"/>
                <w:color w:val="auto"/>
                <w:sz w:val="24"/>
                <w:highlight w:val="none"/>
              </w:rPr>
            </w:pPr>
          </w:p>
        </w:tc>
        <w:tc>
          <w:tcPr>
            <w:tcW w:w="0" w:type="auto"/>
            <w:vAlign w:val="center"/>
          </w:tcPr>
          <w:p w14:paraId="3933F7DB">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r>
              <w:rPr>
                <w:rFonts w:hint="eastAsia" w:ascii="宋体" w:hAnsi="宋体" w:cs="宋体"/>
                <w:color w:val="auto"/>
                <w:sz w:val="24"/>
                <w:highlight w:val="none"/>
              </w:rPr>
              <w:t>...</w:t>
            </w:r>
          </w:p>
        </w:tc>
        <w:tc>
          <w:tcPr>
            <w:tcW w:w="0" w:type="auto"/>
            <w:vAlign w:val="center"/>
          </w:tcPr>
          <w:p w14:paraId="542D0B17">
            <w:pPr>
              <w:keepNext w:val="0"/>
              <w:keepLines w:val="0"/>
              <w:suppressLineNumbers w:val="0"/>
              <w:snapToGrid w:val="0"/>
              <w:spacing w:before="0" w:beforeAutospacing="0" w:after="0" w:afterAutospacing="0"/>
              <w:ind w:left="0" w:right="0"/>
              <w:jc w:val="left"/>
              <w:rPr>
                <w:rFonts w:ascii="宋体" w:hAnsi="宋体" w:cs="宋体"/>
                <w:color w:val="auto"/>
                <w:sz w:val="24"/>
                <w:highlight w:val="none"/>
              </w:rPr>
            </w:pPr>
          </w:p>
        </w:tc>
        <w:tc>
          <w:tcPr>
            <w:tcW w:w="0" w:type="auto"/>
            <w:vAlign w:val="center"/>
          </w:tcPr>
          <w:p w14:paraId="34BD2606">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0" w:type="auto"/>
            <w:vMerge w:val="continue"/>
            <w:vAlign w:val="center"/>
          </w:tcPr>
          <w:p w14:paraId="489DA4AA">
            <w:pPr>
              <w:keepNext w:val="0"/>
              <w:keepLines w:val="0"/>
              <w:suppressLineNumbers w:val="0"/>
              <w:snapToGrid w:val="0"/>
              <w:spacing w:before="0" w:beforeAutospacing="0" w:after="0" w:afterAutospacing="0"/>
              <w:ind w:left="0" w:right="0"/>
              <w:jc w:val="right"/>
              <w:rPr>
                <w:rFonts w:ascii="宋体" w:hAnsi="宋体" w:cs="宋体"/>
                <w:color w:val="auto"/>
                <w:sz w:val="24"/>
                <w:highlight w:val="none"/>
              </w:rPr>
            </w:pPr>
          </w:p>
        </w:tc>
        <w:tc>
          <w:tcPr>
            <w:tcW w:w="1088" w:type="dxa"/>
            <w:vAlign w:val="center"/>
          </w:tcPr>
          <w:p w14:paraId="736DBDD3">
            <w:pPr>
              <w:keepNext w:val="0"/>
              <w:keepLines w:val="0"/>
              <w:suppressLineNumbers w:val="0"/>
              <w:snapToGrid w:val="0"/>
              <w:spacing w:before="0" w:beforeAutospacing="0" w:after="0" w:afterAutospacing="0"/>
              <w:ind w:left="0" w:right="0"/>
              <w:jc w:val="right"/>
              <w:rPr>
                <w:rFonts w:ascii="宋体" w:hAnsi="宋体" w:cs="宋体"/>
                <w:color w:val="auto"/>
                <w:sz w:val="24"/>
                <w:highlight w:val="none"/>
              </w:rPr>
            </w:pPr>
          </w:p>
        </w:tc>
      </w:tr>
      <w:tr w14:paraId="44D25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7" w:type="dxa"/>
            <w:vMerge w:val="continue"/>
            <w:vAlign w:val="center"/>
          </w:tcPr>
          <w:p w14:paraId="263155A6">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0" w:type="auto"/>
            <w:vMerge w:val="continue"/>
            <w:vAlign w:val="center"/>
          </w:tcPr>
          <w:p w14:paraId="44FDECFD">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0" w:type="auto"/>
            <w:vMerge w:val="continue"/>
            <w:vAlign w:val="center"/>
          </w:tcPr>
          <w:p w14:paraId="54E7DD70">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0" w:type="auto"/>
            <w:vMerge w:val="continue"/>
            <w:vAlign w:val="center"/>
          </w:tcPr>
          <w:p w14:paraId="02F71240">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0" w:type="auto"/>
            <w:vMerge w:val="continue"/>
            <w:vAlign w:val="center"/>
          </w:tcPr>
          <w:p w14:paraId="7CD9BBB2">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1386" w:type="dxa"/>
            <w:vMerge w:val="restart"/>
            <w:vAlign w:val="center"/>
          </w:tcPr>
          <w:p w14:paraId="23814211">
            <w:pPr>
              <w:keepNext w:val="0"/>
              <w:keepLines w:val="0"/>
              <w:suppressLineNumbers w:val="0"/>
              <w:snapToGrid w:val="0"/>
              <w:spacing w:before="0" w:beforeAutospacing="0" w:after="0" w:afterAutospacing="0"/>
              <w:ind w:left="0" w:right="0"/>
              <w:jc w:val="right"/>
              <w:rPr>
                <w:rFonts w:ascii="宋体" w:hAnsi="宋体" w:cs="宋体"/>
                <w:color w:val="auto"/>
                <w:sz w:val="24"/>
                <w:highlight w:val="none"/>
              </w:rPr>
            </w:pPr>
            <w:r>
              <w:rPr>
                <w:rFonts w:hint="eastAsia" w:ascii="宋体" w:hAnsi="宋体" w:cs="宋体"/>
                <w:color w:val="auto"/>
                <w:sz w:val="24"/>
                <w:highlight w:val="none"/>
              </w:rPr>
              <w:t>人工成本</w:t>
            </w:r>
          </w:p>
        </w:tc>
        <w:tc>
          <w:tcPr>
            <w:tcW w:w="0" w:type="auto"/>
            <w:vAlign w:val="center"/>
          </w:tcPr>
          <w:p w14:paraId="26A63BD8">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r>
              <w:rPr>
                <w:rFonts w:hint="eastAsia" w:ascii="宋体" w:hAnsi="宋体" w:cs="宋体"/>
                <w:color w:val="auto"/>
                <w:sz w:val="24"/>
                <w:highlight w:val="none"/>
              </w:rPr>
              <w:t>生产工人工资</w:t>
            </w:r>
          </w:p>
        </w:tc>
        <w:tc>
          <w:tcPr>
            <w:tcW w:w="0" w:type="auto"/>
            <w:vAlign w:val="center"/>
          </w:tcPr>
          <w:p w14:paraId="29C02837">
            <w:pPr>
              <w:keepNext w:val="0"/>
              <w:keepLines w:val="0"/>
              <w:suppressLineNumbers w:val="0"/>
              <w:snapToGrid w:val="0"/>
              <w:spacing w:before="0" w:beforeAutospacing="0" w:after="0" w:afterAutospacing="0"/>
              <w:ind w:left="0" w:right="0"/>
              <w:jc w:val="left"/>
              <w:rPr>
                <w:rFonts w:ascii="宋体" w:hAnsi="宋体" w:cs="宋体"/>
                <w:color w:val="auto"/>
                <w:sz w:val="24"/>
                <w:highlight w:val="none"/>
              </w:rPr>
            </w:pPr>
          </w:p>
        </w:tc>
        <w:tc>
          <w:tcPr>
            <w:tcW w:w="0" w:type="auto"/>
            <w:vAlign w:val="center"/>
          </w:tcPr>
          <w:p w14:paraId="711715ED">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0" w:type="auto"/>
            <w:vMerge w:val="continue"/>
            <w:vAlign w:val="center"/>
          </w:tcPr>
          <w:p w14:paraId="45BDDD32">
            <w:pPr>
              <w:keepNext w:val="0"/>
              <w:keepLines w:val="0"/>
              <w:suppressLineNumbers w:val="0"/>
              <w:snapToGrid w:val="0"/>
              <w:spacing w:before="0" w:beforeAutospacing="0" w:after="0" w:afterAutospacing="0"/>
              <w:ind w:left="0" w:right="0"/>
              <w:jc w:val="right"/>
              <w:rPr>
                <w:rFonts w:ascii="宋体" w:hAnsi="宋体" w:cs="宋体"/>
                <w:color w:val="auto"/>
                <w:sz w:val="24"/>
                <w:highlight w:val="none"/>
              </w:rPr>
            </w:pPr>
          </w:p>
        </w:tc>
        <w:tc>
          <w:tcPr>
            <w:tcW w:w="1088" w:type="dxa"/>
            <w:vAlign w:val="center"/>
          </w:tcPr>
          <w:p w14:paraId="39690C24">
            <w:pPr>
              <w:keepNext w:val="0"/>
              <w:keepLines w:val="0"/>
              <w:suppressLineNumbers w:val="0"/>
              <w:snapToGrid w:val="0"/>
              <w:spacing w:before="0" w:beforeAutospacing="0" w:after="0" w:afterAutospacing="0"/>
              <w:ind w:left="0" w:right="0"/>
              <w:jc w:val="right"/>
              <w:rPr>
                <w:rFonts w:ascii="宋体" w:hAnsi="宋体" w:cs="宋体"/>
                <w:color w:val="auto"/>
                <w:sz w:val="24"/>
                <w:highlight w:val="none"/>
              </w:rPr>
            </w:pPr>
          </w:p>
        </w:tc>
      </w:tr>
      <w:tr w14:paraId="273E3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7" w:type="dxa"/>
            <w:vMerge w:val="continue"/>
            <w:vAlign w:val="center"/>
          </w:tcPr>
          <w:p w14:paraId="1BBF9367">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0" w:type="auto"/>
            <w:vMerge w:val="continue"/>
            <w:vAlign w:val="center"/>
          </w:tcPr>
          <w:p w14:paraId="2CCD1731">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0" w:type="auto"/>
            <w:vMerge w:val="continue"/>
            <w:vAlign w:val="center"/>
          </w:tcPr>
          <w:p w14:paraId="5F9CF0C3">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0" w:type="auto"/>
            <w:vMerge w:val="continue"/>
            <w:vAlign w:val="center"/>
          </w:tcPr>
          <w:p w14:paraId="30A2F7F5">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0" w:type="auto"/>
            <w:vMerge w:val="continue"/>
            <w:vAlign w:val="center"/>
          </w:tcPr>
          <w:p w14:paraId="70DDEBF7">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1386" w:type="dxa"/>
            <w:vMerge w:val="continue"/>
            <w:vAlign w:val="center"/>
          </w:tcPr>
          <w:p w14:paraId="48AD47C9">
            <w:pPr>
              <w:keepNext w:val="0"/>
              <w:keepLines w:val="0"/>
              <w:suppressLineNumbers w:val="0"/>
              <w:snapToGrid w:val="0"/>
              <w:spacing w:before="0" w:beforeAutospacing="0" w:after="0" w:afterAutospacing="0"/>
              <w:ind w:left="0" w:right="0"/>
              <w:jc w:val="right"/>
              <w:rPr>
                <w:rFonts w:ascii="宋体" w:hAnsi="宋体" w:cs="宋体"/>
                <w:color w:val="auto"/>
                <w:sz w:val="24"/>
                <w:highlight w:val="none"/>
              </w:rPr>
            </w:pPr>
          </w:p>
        </w:tc>
        <w:tc>
          <w:tcPr>
            <w:tcW w:w="0" w:type="auto"/>
            <w:vAlign w:val="center"/>
          </w:tcPr>
          <w:p w14:paraId="210ED96F">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r>
              <w:rPr>
                <w:rFonts w:hint="eastAsia" w:ascii="宋体" w:hAnsi="宋体" w:cs="宋体"/>
                <w:color w:val="auto"/>
                <w:sz w:val="24"/>
                <w:highlight w:val="none"/>
              </w:rPr>
              <w:t>...</w:t>
            </w:r>
          </w:p>
        </w:tc>
        <w:tc>
          <w:tcPr>
            <w:tcW w:w="0" w:type="auto"/>
            <w:vAlign w:val="center"/>
          </w:tcPr>
          <w:p w14:paraId="17E3DF8D">
            <w:pPr>
              <w:keepNext w:val="0"/>
              <w:keepLines w:val="0"/>
              <w:suppressLineNumbers w:val="0"/>
              <w:snapToGrid w:val="0"/>
              <w:spacing w:before="0" w:beforeAutospacing="0" w:after="0" w:afterAutospacing="0"/>
              <w:ind w:left="0" w:right="0"/>
              <w:jc w:val="left"/>
              <w:rPr>
                <w:rFonts w:ascii="宋体" w:hAnsi="宋体" w:cs="宋体"/>
                <w:color w:val="auto"/>
                <w:sz w:val="24"/>
                <w:highlight w:val="none"/>
              </w:rPr>
            </w:pPr>
          </w:p>
        </w:tc>
        <w:tc>
          <w:tcPr>
            <w:tcW w:w="0" w:type="auto"/>
            <w:vAlign w:val="center"/>
          </w:tcPr>
          <w:p w14:paraId="260E834C">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0" w:type="auto"/>
            <w:vMerge w:val="continue"/>
            <w:vAlign w:val="center"/>
          </w:tcPr>
          <w:p w14:paraId="5DFC8C59">
            <w:pPr>
              <w:keepNext w:val="0"/>
              <w:keepLines w:val="0"/>
              <w:suppressLineNumbers w:val="0"/>
              <w:snapToGrid w:val="0"/>
              <w:spacing w:before="0" w:beforeAutospacing="0" w:after="0" w:afterAutospacing="0"/>
              <w:ind w:left="0" w:right="0"/>
              <w:jc w:val="right"/>
              <w:rPr>
                <w:rFonts w:ascii="宋体" w:hAnsi="宋体" w:cs="宋体"/>
                <w:color w:val="auto"/>
                <w:sz w:val="24"/>
                <w:highlight w:val="none"/>
              </w:rPr>
            </w:pPr>
          </w:p>
        </w:tc>
        <w:tc>
          <w:tcPr>
            <w:tcW w:w="1088" w:type="dxa"/>
            <w:vAlign w:val="center"/>
          </w:tcPr>
          <w:p w14:paraId="2AC19473">
            <w:pPr>
              <w:keepNext w:val="0"/>
              <w:keepLines w:val="0"/>
              <w:suppressLineNumbers w:val="0"/>
              <w:snapToGrid w:val="0"/>
              <w:spacing w:before="0" w:beforeAutospacing="0" w:after="0" w:afterAutospacing="0"/>
              <w:ind w:left="0" w:right="0"/>
              <w:jc w:val="right"/>
              <w:rPr>
                <w:rFonts w:ascii="宋体" w:hAnsi="宋体" w:cs="宋体"/>
                <w:color w:val="auto"/>
                <w:sz w:val="24"/>
                <w:highlight w:val="none"/>
              </w:rPr>
            </w:pPr>
          </w:p>
        </w:tc>
      </w:tr>
      <w:tr w14:paraId="7B18E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7" w:type="dxa"/>
            <w:vMerge w:val="continue"/>
            <w:vAlign w:val="center"/>
          </w:tcPr>
          <w:p w14:paraId="1ABCE6C4">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0" w:type="auto"/>
            <w:vMerge w:val="continue"/>
            <w:vAlign w:val="center"/>
          </w:tcPr>
          <w:p w14:paraId="4E10E836">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0" w:type="auto"/>
            <w:vMerge w:val="continue"/>
            <w:vAlign w:val="center"/>
          </w:tcPr>
          <w:p w14:paraId="1010E084">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0" w:type="auto"/>
            <w:vMerge w:val="continue"/>
            <w:vAlign w:val="center"/>
          </w:tcPr>
          <w:p w14:paraId="1D64FA05">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0" w:type="auto"/>
            <w:vMerge w:val="continue"/>
            <w:vAlign w:val="center"/>
          </w:tcPr>
          <w:p w14:paraId="2C4B15D7">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1386" w:type="dxa"/>
            <w:vMerge w:val="restart"/>
            <w:vAlign w:val="center"/>
          </w:tcPr>
          <w:p w14:paraId="5364AF90">
            <w:pPr>
              <w:keepNext w:val="0"/>
              <w:keepLines w:val="0"/>
              <w:suppressLineNumbers w:val="0"/>
              <w:snapToGrid w:val="0"/>
              <w:spacing w:before="0" w:beforeAutospacing="0" w:after="0" w:afterAutospacing="0"/>
              <w:ind w:left="0" w:right="0"/>
              <w:jc w:val="right"/>
              <w:rPr>
                <w:rFonts w:ascii="宋体" w:hAnsi="宋体" w:cs="宋体"/>
                <w:color w:val="auto"/>
                <w:sz w:val="24"/>
                <w:highlight w:val="none"/>
              </w:rPr>
            </w:pPr>
            <w:r>
              <w:rPr>
                <w:rFonts w:hint="eastAsia" w:ascii="宋体" w:hAnsi="宋体" w:cs="宋体"/>
                <w:color w:val="auto"/>
                <w:sz w:val="24"/>
                <w:highlight w:val="none"/>
              </w:rPr>
              <w:t>制造费用</w:t>
            </w:r>
          </w:p>
        </w:tc>
        <w:tc>
          <w:tcPr>
            <w:tcW w:w="0" w:type="auto"/>
            <w:vAlign w:val="center"/>
          </w:tcPr>
          <w:p w14:paraId="5C1C23B2">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r>
              <w:rPr>
                <w:rFonts w:hint="eastAsia" w:ascii="宋体" w:hAnsi="宋体" w:cs="宋体"/>
                <w:color w:val="auto"/>
                <w:sz w:val="24"/>
                <w:highlight w:val="none"/>
              </w:rPr>
              <w:t>设备折旧费</w:t>
            </w:r>
          </w:p>
        </w:tc>
        <w:tc>
          <w:tcPr>
            <w:tcW w:w="0" w:type="auto"/>
            <w:vAlign w:val="center"/>
          </w:tcPr>
          <w:p w14:paraId="5573B58F">
            <w:pPr>
              <w:keepNext w:val="0"/>
              <w:keepLines w:val="0"/>
              <w:suppressLineNumbers w:val="0"/>
              <w:snapToGrid w:val="0"/>
              <w:spacing w:before="0" w:beforeAutospacing="0" w:after="0" w:afterAutospacing="0"/>
              <w:ind w:left="0" w:right="0"/>
              <w:jc w:val="left"/>
              <w:rPr>
                <w:rFonts w:ascii="宋体" w:hAnsi="宋体" w:cs="宋体"/>
                <w:color w:val="auto"/>
                <w:sz w:val="24"/>
                <w:highlight w:val="none"/>
              </w:rPr>
            </w:pPr>
          </w:p>
        </w:tc>
        <w:tc>
          <w:tcPr>
            <w:tcW w:w="0" w:type="auto"/>
            <w:vAlign w:val="center"/>
          </w:tcPr>
          <w:p w14:paraId="409935E0">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0" w:type="auto"/>
            <w:vMerge w:val="continue"/>
            <w:vAlign w:val="center"/>
          </w:tcPr>
          <w:p w14:paraId="1CEF514C">
            <w:pPr>
              <w:keepNext w:val="0"/>
              <w:keepLines w:val="0"/>
              <w:suppressLineNumbers w:val="0"/>
              <w:snapToGrid w:val="0"/>
              <w:spacing w:before="0" w:beforeAutospacing="0" w:after="0" w:afterAutospacing="0"/>
              <w:ind w:left="0" w:right="0"/>
              <w:jc w:val="right"/>
              <w:rPr>
                <w:rFonts w:ascii="宋体" w:hAnsi="宋体" w:cs="宋体"/>
                <w:color w:val="auto"/>
                <w:sz w:val="24"/>
                <w:highlight w:val="none"/>
              </w:rPr>
            </w:pPr>
          </w:p>
        </w:tc>
        <w:tc>
          <w:tcPr>
            <w:tcW w:w="1088" w:type="dxa"/>
            <w:vAlign w:val="center"/>
          </w:tcPr>
          <w:p w14:paraId="732887F3">
            <w:pPr>
              <w:keepNext w:val="0"/>
              <w:keepLines w:val="0"/>
              <w:suppressLineNumbers w:val="0"/>
              <w:snapToGrid w:val="0"/>
              <w:spacing w:before="0" w:beforeAutospacing="0" w:after="0" w:afterAutospacing="0"/>
              <w:ind w:left="0" w:right="0"/>
              <w:jc w:val="right"/>
              <w:rPr>
                <w:rFonts w:ascii="宋体" w:hAnsi="宋体" w:cs="宋体"/>
                <w:color w:val="auto"/>
                <w:sz w:val="24"/>
                <w:highlight w:val="none"/>
              </w:rPr>
            </w:pPr>
          </w:p>
        </w:tc>
      </w:tr>
      <w:tr w14:paraId="2D9C4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7" w:type="dxa"/>
            <w:vMerge w:val="continue"/>
            <w:vAlign w:val="center"/>
          </w:tcPr>
          <w:p w14:paraId="4CE83E80">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0" w:type="auto"/>
            <w:vMerge w:val="continue"/>
            <w:vAlign w:val="center"/>
          </w:tcPr>
          <w:p w14:paraId="1A8A1262">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0" w:type="auto"/>
            <w:vMerge w:val="continue"/>
            <w:vAlign w:val="center"/>
          </w:tcPr>
          <w:p w14:paraId="325F1311">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0" w:type="auto"/>
            <w:vMerge w:val="continue"/>
            <w:vAlign w:val="center"/>
          </w:tcPr>
          <w:p w14:paraId="3144218C">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0" w:type="auto"/>
            <w:vMerge w:val="continue"/>
            <w:vAlign w:val="center"/>
          </w:tcPr>
          <w:p w14:paraId="245A8C48">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1386" w:type="dxa"/>
            <w:vMerge w:val="continue"/>
            <w:vAlign w:val="center"/>
          </w:tcPr>
          <w:p w14:paraId="5D309E26">
            <w:pPr>
              <w:keepNext w:val="0"/>
              <w:keepLines w:val="0"/>
              <w:suppressLineNumbers w:val="0"/>
              <w:snapToGrid w:val="0"/>
              <w:spacing w:before="0" w:beforeAutospacing="0" w:after="0" w:afterAutospacing="0"/>
              <w:ind w:left="0" w:right="0"/>
              <w:jc w:val="right"/>
              <w:rPr>
                <w:rFonts w:ascii="宋体" w:hAnsi="宋体" w:cs="宋体"/>
                <w:color w:val="auto"/>
                <w:sz w:val="24"/>
                <w:highlight w:val="none"/>
              </w:rPr>
            </w:pPr>
          </w:p>
        </w:tc>
        <w:tc>
          <w:tcPr>
            <w:tcW w:w="0" w:type="auto"/>
            <w:vAlign w:val="center"/>
          </w:tcPr>
          <w:p w14:paraId="538EC557">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r>
              <w:rPr>
                <w:rFonts w:hint="eastAsia" w:ascii="宋体" w:hAnsi="宋体" w:cs="宋体"/>
                <w:color w:val="auto"/>
                <w:sz w:val="24"/>
                <w:highlight w:val="none"/>
              </w:rPr>
              <w:t>...</w:t>
            </w:r>
          </w:p>
        </w:tc>
        <w:tc>
          <w:tcPr>
            <w:tcW w:w="0" w:type="auto"/>
            <w:vAlign w:val="center"/>
          </w:tcPr>
          <w:p w14:paraId="6C3B49E4">
            <w:pPr>
              <w:keepNext w:val="0"/>
              <w:keepLines w:val="0"/>
              <w:suppressLineNumbers w:val="0"/>
              <w:snapToGrid w:val="0"/>
              <w:spacing w:before="0" w:beforeAutospacing="0" w:after="0" w:afterAutospacing="0"/>
              <w:ind w:left="0" w:right="0"/>
              <w:jc w:val="left"/>
              <w:rPr>
                <w:rFonts w:ascii="宋体" w:hAnsi="宋体" w:cs="宋体"/>
                <w:color w:val="auto"/>
                <w:sz w:val="24"/>
                <w:highlight w:val="none"/>
              </w:rPr>
            </w:pPr>
          </w:p>
        </w:tc>
        <w:tc>
          <w:tcPr>
            <w:tcW w:w="0" w:type="auto"/>
            <w:vAlign w:val="center"/>
          </w:tcPr>
          <w:p w14:paraId="1F2133D1">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0" w:type="auto"/>
            <w:vMerge w:val="continue"/>
            <w:vAlign w:val="center"/>
          </w:tcPr>
          <w:p w14:paraId="7E4E1E76">
            <w:pPr>
              <w:keepNext w:val="0"/>
              <w:keepLines w:val="0"/>
              <w:suppressLineNumbers w:val="0"/>
              <w:snapToGrid w:val="0"/>
              <w:spacing w:before="0" w:beforeAutospacing="0" w:after="0" w:afterAutospacing="0"/>
              <w:ind w:left="0" w:right="0"/>
              <w:jc w:val="right"/>
              <w:rPr>
                <w:rFonts w:ascii="宋体" w:hAnsi="宋体" w:cs="宋体"/>
                <w:color w:val="auto"/>
                <w:sz w:val="24"/>
                <w:highlight w:val="none"/>
              </w:rPr>
            </w:pPr>
          </w:p>
        </w:tc>
        <w:tc>
          <w:tcPr>
            <w:tcW w:w="1088" w:type="dxa"/>
            <w:vAlign w:val="center"/>
          </w:tcPr>
          <w:p w14:paraId="02E9FF4B">
            <w:pPr>
              <w:keepNext w:val="0"/>
              <w:keepLines w:val="0"/>
              <w:suppressLineNumbers w:val="0"/>
              <w:snapToGrid w:val="0"/>
              <w:spacing w:before="0" w:beforeAutospacing="0" w:after="0" w:afterAutospacing="0"/>
              <w:ind w:left="0" w:right="0"/>
              <w:jc w:val="right"/>
              <w:rPr>
                <w:rFonts w:ascii="宋体" w:hAnsi="宋体" w:cs="宋体"/>
                <w:color w:val="auto"/>
                <w:sz w:val="24"/>
                <w:highlight w:val="none"/>
              </w:rPr>
            </w:pPr>
          </w:p>
        </w:tc>
      </w:tr>
      <w:tr w14:paraId="66E1D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7" w:type="dxa"/>
            <w:vMerge w:val="continue"/>
            <w:vAlign w:val="center"/>
          </w:tcPr>
          <w:p w14:paraId="127BEB36">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0" w:type="auto"/>
            <w:vMerge w:val="continue"/>
            <w:vAlign w:val="center"/>
          </w:tcPr>
          <w:p w14:paraId="1AC8BDAD">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0" w:type="auto"/>
            <w:vMerge w:val="continue"/>
            <w:vAlign w:val="center"/>
          </w:tcPr>
          <w:p w14:paraId="6E40C407">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0" w:type="auto"/>
            <w:vMerge w:val="continue"/>
            <w:vAlign w:val="center"/>
          </w:tcPr>
          <w:p w14:paraId="1D13654B">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0" w:type="auto"/>
            <w:vMerge w:val="continue"/>
            <w:vAlign w:val="center"/>
          </w:tcPr>
          <w:p w14:paraId="3957FBA1">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1386" w:type="dxa"/>
            <w:vAlign w:val="center"/>
          </w:tcPr>
          <w:p w14:paraId="18436C85">
            <w:pPr>
              <w:keepNext w:val="0"/>
              <w:keepLines w:val="0"/>
              <w:suppressLineNumbers w:val="0"/>
              <w:snapToGrid w:val="0"/>
              <w:spacing w:before="0" w:beforeAutospacing="0" w:after="0" w:afterAutospacing="0"/>
              <w:ind w:left="0" w:right="0"/>
              <w:jc w:val="right"/>
              <w:rPr>
                <w:rFonts w:ascii="宋体" w:hAnsi="宋体" w:cs="宋体"/>
                <w:color w:val="auto"/>
                <w:sz w:val="24"/>
                <w:highlight w:val="none"/>
              </w:rPr>
            </w:pPr>
            <w:r>
              <w:rPr>
                <w:rFonts w:hint="eastAsia" w:ascii="宋体" w:hAnsi="宋体" w:cs="宋体"/>
                <w:color w:val="auto"/>
                <w:sz w:val="24"/>
                <w:highlight w:val="none"/>
              </w:rPr>
              <w:t>其他成本</w:t>
            </w:r>
          </w:p>
        </w:tc>
        <w:tc>
          <w:tcPr>
            <w:tcW w:w="0" w:type="auto"/>
            <w:vAlign w:val="center"/>
          </w:tcPr>
          <w:p w14:paraId="3B85598A">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r>
              <w:rPr>
                <w:rFonts w:hint="eastAsia" w:ascii="宋体" w:hAnsi="宋体" w:cs="宋体"/>
                <w:color w:val="auto"/>
                <w:sz w:val="24"/>
                <w:highlight w:val="none"/>
              </w:rPr>
              <w:t>...</w:t>
            </w:r>
          </w:p>
        </w:tc>
        <w:tc>
          <w:tcPr>
            <w:tcW w:w="0" w:type="auto"/>
            <w:vAlign w:val="center"/>
          </w:tcPr>
          <w:p w14:paraId="790A768E">
            <w:pPr>
              <w:keepNext w:val="0"/>
              <w:keepLines w:val="0"/>
              <w:suppressLineNumbers w:val="0"/>
              <w:snapToGrid w:val="0"/>
              <w:spacing w:before="0" w:beforeAutospacing="0" w:after="0" w:afterAutospacing="0"/>
              <w:ind w:left="0" w:right="0"/>
              <w:jc w:val="left"/>
              <w:rPr>
                <w:rFonts w:ascii="宋体" w:hAnsi="宋体" w:cs="宋体"/>
                <w:color w:val="auto"/>
                <w:sz w:val="24"/>
                <w:highlight w:val="none"/>
              </w:rPr>
            </w:pPr>
          </w:p>
        </w:tc>
        <w:tc>
          <w:tcPr>
            <w:tcW w:w="0" w:type="auto"/>
            <w:vAlign w:val="center"/>
          </w:tcPr>
          <w:p w14:paraId="49D52944">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0" w:type="auto"/>
            <w:vMerge w:val="continue"/>
            <w:vAlign w:val="center"/>
          </w:tcPr>
          <w:p w14:paraId="3BBB0327">
            <w:pPr>
              <w:keepNext w:val="0"/>
              <w:keepLines w:val="0"/>
              <w:suppressLineNumbers w:val="0"/>
              <w:snapToGrid w:val="0"/>
              <w:spacing w:before="0" w:beforeAutospacing="0" w:after="0" w:afterAutospacing="0"/>
              <w:ind w:left="0" w:right="0"/>
              <w:jc w:val="right"/>
              <w:rPr>
                <w:rFonts w:ascii="宋体" w:hAnsi="宋体" w:cs="宋体"/>
                <w:color w:val="auto"/>
                <w:sz w:val="24"/>
                <w:highlight w:val="none"/>
              </w:rPr>
            </w:pPr>
          </w:p>
        </w:tc>
        <w:tc>
          <w:tcPr>
            <w:tcW w:w="1088" w:type="dxa"/>
            <w:vAlign w:val="center"/>
          </w:tcPr>
          <w:p w14:paraId="22CFA0A6">
            <w:pPr>
              <w:keepNext w:val="0"/>
              <w:keepLines w:val="0"/>
              <w:suppressLineNumbers w:val="0"/>
              <w:snapToGrid w:val="0"/>
              <w:spacing w:before="0" w:beforeAutospacing="0" w:after="0" w:afterAutospacing="0"/>
              <w:ind w:left="0" w:right="0"/>
              <w:jc w:val="right"/>
              <w:rPr>
                <w:rFonts w:ascii="宋体" w:hAnsi="宋体" w:cs="宋体"/>
                <w:color w:val="auto"/>
                <w:sz w:val="24"/>
                <w:highlight w:val="none"/>
              </w:rPr>
            </w:pPr>
          </w:p>
        </w:tc>
      </w:tr>
      <w:tr w14:paraId="78D60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57" w:type="dxa"/>
            <w:vAlign w:val="center"/>
          </w:tcPr>
          <w:p w14:paraId="5086E88A">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r>
              <w:rPr>
                <w:rFonts w:hint="eastAsia" w:ascii="宋体" w:hAnsi="宋体" w:cs="宋体"/>
                <w:color w:val="auto"/>
                <w:sz w:val="24"/>
                <w:highlight w:val="none"/>
              </w:rPr>
              <w:t>2</w:t>
            </w:r>
          </w:p>
        </w:tc>
        <w:tc>
          <w:tcPr>
            <w:tcW w:w="0" w:type="auto"/>
            <w:vAlign w:val="center"/>
          </w:tcPr>
          <w:p w14:paraId="1E5FEE1E">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0" w:type="auto"/>
            <w:vAlign w:val="center"/>
          </w:tcPr>
          <w:p w14:paraId="10EACB1A">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0" w:type="auto"/>
            <w:vAlign w:val="center"/>
          </w:tcPr>
          <w:p w14:paraId="22866EAA">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0" w:type="auto"/>
            <w:vAlign w:val="center"/>
          </w:tcPr>
          <w:p w14:paraId="4D5A1B17">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1386" w:type="dxa"/>
            <w:vAlign w:val="center"/>
          </w:tcPr>
          <w:p w14:paraId="71915BDB">
            <w:pPr>
              <w:keepNext w:val="0"/>
              <w:keepLines w:val="0"/>
              <w:suppressLineNumbers w:val="0"/>
              <w:snapToGrid w:val="0"/>
              <w:spacing w:before="0" w:beforeAutospacing="0" w:after="0" w:afterAutospacing="0"/>
              <w:ind w:left="0" w:right="0"/>
              <w:jc w:val="right"/>
              <w:rPr>
                <w:rFonts w:ascii="宋体" w:hAnsi="宋体" w:cs="宋体"/>
                <w:color w:val="auto"/>
                <w:sz w:val="24"/>
                <w:highlight w:val="none"/>
              </w:rPr>
            </w:pPr>
          </w:p>
        </w:tc>
        <w:tc>
          <w:tcPr>
            <w:tcW w:w="0" w:type="auto"/>
            <w:vAlign w:val="center"/>
          </w:tcPr>
          <w:p w14:paraId="7040FF76">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0" w:type="auto"/>
            <w:vAlign w:val="center"/>
          </w:tcPr>
          <w:p w14:paraId="47CE3E6E">
            <w:pPr>
              <w:keepNext w:val="0"/>
              <w:keepLines w:val="0"/>
              <w:suppressLineNumbers w:val="0"/>
              <w:snapToGrid w:val="0"/>
              <w:spacing w:before="0" w:beforeAutospacing="0" w:after="0" w:afterAutospacing="0"/>
              <w:ind w:left="0" w:right="0"/>
              <w:jc w:val="left"/>
              <w:rPr>
                <w:rFonts w:ascii="宋体" w:hAnsi="宋体" w:cs="宋体"/>
                <w:color w:val="auto"/>
                <w:sz w:val="24"/>
                <w:highlight w:val="none"/>
              </w:rPr>
            </w:pPr>
          </w:p>
        </w:tc>
        <w:tc>
          <w:tcPr>
            <w:tcW w:w="0" w:type="auto"/>
            <w:vAlign w:val="center"/>
          </w:tcPr>
          <w:p w14:paraId="19723CAF">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0" w:type="auto"/>
            <w:vAlign w:val="center"/>
          </w:tcPr>
          <w:p w14:paraId="158126ED">
            <w:pPr>
              <w:keepNext w:val="0"/>
              <w:keepLines w:val="0"/>
              <w:suppressLineNumbers w:val="0"/>
              <w:snapToGrid w:val="0"/>
              <w:spacing w:before="0" w:beforeAutospacing="0" w:after="0" w:afterAutospacing="0"/>
              <w:ind w:left="0" w:right="0"/>
              <w:jc w:val="right"/>
              <w:rPr>
                <w:rFonts w:ascii="宋体" w:hAnsi="宋体" w:cs="宋体"/>
                <w:color w:val="auto"/>
                <w:sz w:val="24"/>
                <w:highlight w:val="none"/>
              </w:rPr>
            </w:pPr>
          </w:p>
        </w:tc>
        <w:tc>
          <w:tcPr>
            <w:tcW w:w="1088" w:type="dxa"/>
            <w:vAlign w:val="center"/>
          </w:tcPr>
          <w:p w14:paraId="7CFCC529">
            <w:pPr>
              <w:keepNext w:val="0"/>
              <w:keepLines w:val="0"/>
              <w:suppressLineNumbers w:val="0"/>
              <w:snapToGrid w:val="0"/>
              <w:spacing w:before="0" w:beforeAutospacing="0" w:after="0" w:afterAutospacing="0"/>
              <w:ind w:left="0" w:right="0"/>
              <w:jc w:val="right"/>
              <w:rPr>
                <w:rFonts w:ascii="宋体" w:hAnsi="宋体" w:cs="宋体"/>
                <w:color w:val="auto"/>
                <w:sz w:val="24"/>
                <w:highlight w:val="none"/>
              </w:rPr>
            </w:pPr>
          </w:p>
        </w:tc>
      </w:tr>
      <w:tr w14:paraId="76283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7" w:type="dxa"/>
            <w:vAlign w:val="center"/>
          </w:tcPr>
          <w:p w14:paraId="1AF7BD76">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r>
              <w:rPr>
                <w:rFonts w:hint="eastAsia" w:ascii="宋体" w:hAnsi="宋体" w:cs="宋体"/>
                <w:color w:val="auto"/>
                <w:sz w:val="24"/>
                <w:highlight w:val="none"/>
              </w:rPr>
              <w:t>....</w:t>
            </w:r>
          </w:p>
        </w:tc>
        <w:tc>
          <w:tcPr>
            <w:tcW w:w="498" w:type="dxa"/>
            <w:vAlign w:val="center"/>
          </w:tcPr>
          <w:p w14:paraId="6E87DADA">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789" w:type="dxa"/>
            <w:vAlign w:val="center"/>
          </w:tcPr>
          <w:p w14:paraId="213A72EF">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498" w:type="dxa"/>
            <w:vAlign w:val="center"/>
          </w:tcPr>
          <w:p w14:paraId="47A7E6E4">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1139" w:type="dxa"/>
            <w:vAlign w:val="center"/>
          </w:tcPr>
          <w:p w14:paraId="3AB85946">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1386" w:type="dxa"/>
            <w:vAlign w:val="center"/>
          </w:tcPr>
          <w:p w14:paraId="495DC02A">
            <w:pPr>
              <w:keepNext w:val="0"/>
              <w:keepLines w:val="0"/>
              <w:suppressLineNumbers w:val="0"/>
              <w:snapToGrid w:val="0"/>
              <w:spacing w:before="0" w:beforeAutospacing="0" w:after="0" w:afterAutospacing="0"/>
              <w:ind w:left="0" w:right="0"/>
              <w:jc w:val="right"/>
              <w:rPr>
                <w:rFonts w:ascii="宋体" w:hAnsi="宋体" w:cs="宋体"/>
                <w:color w:val="auto"/>
                <w:sz w:val="24"/>
                <w:highlight w:val="none"/>
              </w:rPr>
            </w:pPr>
          </w:p>
        </w:tc>
        <w:tc>
          <w:tcPr>
            <w:tcW w:w="859" w:type="dxa"/>
            <w:vAlign w:val="center"/>
          </w:tcPr>
          <w:p w14:paraId="5AD602C6">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789" w:type="dxa"/>
            <w:vAlign w:val="center"/>
          </w:tcPr>
          <w:p w14:paraId="5722F8E7">
            <w:pPr>
              <w:keepNext w:val="0"/>
              <w:keepLines w:val="0"/>
              <w:suppressLineNumbers w:val="0"/>
              <w:snapToGrid w:val="0"/>
              <w:spacing w:before="0" w:beforeAutospacing="0" w:after="0" w:afterAutospacing="0"/>
              <w:ind w:left="0" w:right="0"/>
              <w:jc w:val="left"/>
              <w:rPr>
                <w:rFonts w:ascii="宋体" w:hAnsi="宋体" w:cs="宋体"/>
                <w:color w:val="auto"/>
                <w:sz w:val="24"/>
                <w:highlight w:val="none"/>
              </w:rPr>
            </w:pPr>
          </w:p>
        </w:tc>
        <w:tc>
          <w:tcPr>
            <w:tcW w:w="927" w:type="dxa"/>
            <w:vAlign w:val="center"/>
          </w:tcPr>
          <w:p w14:paraId="04141F8F">
            <w:pPr>
              <w:keepNext w:val="0"/>
              <w:keepLines w:val="0"/>
              <w:suppressLineNumbers w:val="0"/>
              <w:snapToGrid w:val="0"/>
              <w:spacing w:before="0" w:beforeAutospacing="0" w:after="0" w:afterAutospacing="0"/>
              <w:ind w:left="0" w:right="0"/>
              <w:jc w:val="center"/>
              <w:rPr>
                <w:rFonts w:ascii="宋体" w:hAnsi="宋体" w:cs="宋体"/>
                <w:color w:val="auto"/>
                <w:sz w:val="24"/>
                <w:highlight w:val="none"/>
              </w:rPr>
            </w:pPr>
          </w:p>
        </w:tc>
        <w:tc>
          <w:tcPr>
            <w:tcW w:w="927" w:type="dxa"/>
            <w:vAlign w:val="center"/>
          </w:tcPr>
          <w:p w14:paraId="1D133AD0">
            <w:pPr>
              <w:keepNext w:val="0"/>
              <w:keepLines w:val="0"/>
              <w:suppressLineNumbers w:val="0"/>
              <w:snapToGrid w:val="0"/>
              <w:spacing w:before="0" w:beforeAutospacing="0" w:after="0" w:afterAutospacing="0"/>
              <w:ind w:left="0" w:right="0"/>
              <w:jc w:val="right"/>
              <w:rPr>
                <w:rFonts w:ascii="宋体" w:hAnsi="宋体" w:cs="宋体"/>
                <w:color w:val="auto"/>
                <w:sz w:val="24"/>
                <w:highlight w:val="none"/>
              </w:rPr>
            </w:pPr>
          </w:p>
        </w:tc>
        <w:tc>
          <w:tcPr>
            <w:tcW w:w="1088" w:type="dxa"/>
            <w:vAlign w:val="center"/>
          </w:tcPr>
          <w:p w14:paraId="09726F7D">
            <w:pPr>
              <w:keepNext w:val="0"/>
              <w:keepLines w:val="0"/>
              <w:suppressLineNumbers w:val="0"/>
              <w:snapToGrid w:val="0"/>
              <w:spacing w:before="0" w:beforeAutospacing="0" w:after="0" w:afterAutospacing="0"/>
              <w:ind w:left="0" w:right="0"/>
              <w:jc w:val="right"/>
              <w:rPr>
                <w:rFonts w:ascii="宋体" w:hAnsi="宋体" w:cs="宋体"/>
                <w:color w:val="auto"/>
                <w:sz w:val="24"/>
                <w:highlight w:val="none"/>
              </w:rPr>
            </w:pPr>
          </w:p>
        </w:tc>
      </w:tr>
    </w:tbl>
    <w:p w14:paraId="00965228">
      <w:pPr>
        <w:spacing w:line="360" w:lineRule="auto"/>
        <w:jc w:val="center"/>
        <w:rPr>
          <w:rFonts w:ascii="宋体" w:hAnsi="宋体" w:cs="宋体"/>
          <w:color w:val="auto"/>
          <w:sz w:val="24"/>
          <w:highlight w:val="none"/>
        </w:rPr>
      </w:pPr>
    </w:p>
    <w:p w14:paraId="031DAE9A">
      <w:pPr>
        <w:spacing w:line="360" w:lineRule="auto"/>
        <w:jc w:val="left"/>
        <w:rPr>
          <w:rFonts w:ascii="宋体" w:hAnsi="宋体" w:cs="宋体"/>
          <w:color w:val="auto"/>
          <w:sz w:val="24"/>
          <w:highlight w:val="none"/>
        </w:rPr>
      </w:pPr>
      <w:r>
        <w:rPr>
          <w:rFonts w:hint="eastAsia" w:ascii="宋体" w:hAnsi="宋体" w:cs="宋体"/>
          <w:color w:val="auto"/>
          <w:sz w:val="24"/>
          <w:highlight w:val="none"/>
        </w:rPr>
        <w:t>说明：项目具体成本测算等与报价合理性相关的书面说明及必要的证明材料，包括但不限于原材料成本、人工成本、制造费用等。</w:t>
      </w:r>
    </w:p>
    <w:p w14:paraId="6A479F21">
      <w:pPr>
        <w:spacing w:line="360" w:lineRule="auto"/>
        <w:jc w:val="left"/>
        <w:rPr>
          <w:rFonts w:ascii="宋体" w:hAnsi="宋体" w:cs="方正仿宋_GB2312"/>
          <w:color w:val="auto"/>
          <w:szCs w:val="21"/>
          <w:highlight w:val="none"/>
        </w:rPr>
      </w:pPr>
    </w:p>
    <w:p w14:paraId="48EEC3E0">
      <w:pPr>
        <w:widowControl/>
        <w:shd w:val="clear" w:color="auto" w:fill="FFFFFF"/>
        <w:spacing w:before="30" w:after="30" w:line="48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en-US" w:eastAsia="zh-CN"/>
        </w:rPr>
        <w:t>投标人</w:t>
      </w:r>
      <w:r>
        <w:rPr>
          <w:rFonts w:hint="eastAsia" w:ascii="宋体" w:hAnsi="宋体" w:cs="宋体"/>
          <w:color w:val="auto"/>
          <w:kern w:val="0"/>
          <w:sz w:val="24"/>
          <w:highlight w:val="none"/>
        </w:rPr>
        <w:t>名称（盖</w:t>
      </w:r>
      <w:r>
        <w:rPr>
          <w:rFonts w:hint="eastAsia" w:ascii="宋体" w:hAnsi="宋体" w:cs="宋体"/>
          <w:color w:val="auto"/>
          <w:kern w:val="0"/>
          <w:sz w:val="24"/>
          <w:highlight w:val="none"/>
          <w:lang w:val="en-US" w:eastAsia="zh-CN"/>
        </w:rPr>
        <w:t>公</w:t>
      </w:r>
      <w:r>
        <w:rPr>
          <w:rFonts w:hint="eastAsia" w:ascii="宋体" w:hAnsi="宋体" w:cs="宋体"/>
          <w:color w:val="auto"/>
          <w:kern w:val="0"/>
          <w:sz w:val="24"/>
          <w:highlight w:val="none"/>
        </w:rPr>
        <w:t>章）：　        </w:t>
      </w:r>
    </w:p>
    <w:p w14:paraId="5AA6E9B1">
      <w:pPr>
        <w:widowControl/>
        <w:shd w:val="clear" w:color="auto" w:fill="FFFFFF"/>
        <w:spacing w:line="480" w:lineRule="exact"/>
        <w:ind w:firstLine="5822" w:firstLineChars="2426"/>
        <w:jc w:val="left"/>
        <w:rPr>
          <w:rFonts w:ascii="宋体" w:hAnsi="宋体" w:cs="宋体"/>
          <w:color w:val="auto"/>
          <w:kern w:val="0"/>
          <w:szCs w:val="21"/>
          <w:highlight w:val="none"/>
        </w:rPr>
      </w:pPr>
      <w:r>
        <w:rPr>
          <w:rFonts w:hint="eastAsia" w:ascii="宋体" w:hAnsi="宋体" w:cs="宋体"/>
          <w:color w:val="auto"/>
          <w:kern w:val="0"/>
          <w:sz w:val="24"/>
          <w:highlight w:val="none"/>
        </w:rPr>
        <w:t>日期：　  年　  月　  日  </w:t>
      </w:r>
    </w:p>
    <w:p w14:paraId="3FA027D5">
      <w:pPr>
        <w:numPr>
          <w:ilvl w:val="0"/>
          <w:numId w:val="0"/>
        </w:numPr>
        <w:rPr>
          <w:color w:val="auto"/>
          <w:highlight w:val="none"/>
        </w:rPr>
      </w:pPr>
    </w:p>
    <w:p w14:paraId="5D135E05">
      <w:pPr>
        <w:pStyle w:val="46"/>
        <w:rPr>
          <w:color w:val="auto"/>
          <w:highlight w:val="none"/>
        </w:rPr>
      </w:pPr>
    </w:p>
    <w:p w14:paraId="6CFEF2F5">
      <w:pPr>
        <w:pStyle w:val="14"/>
        <w:tabs>
          <w:tab w:val="left" w:pos="2472"/>
        </w:tabs>
        <w:spacing w:line="460" w:lineRule="exact"/>
        <w:ind w:firstLine="542"/>
        <w:jc w:val="center"/>
        <w:rPr>
          <w:rFonts w:hAnsi="宋体" w:cs="宋体"/>
          <w:b/>
          <w:color w:val="auto"/>
          <w:sz w:val="36"/>
          <w:highlight w:val="none"/>
        </w:rPr>
      </w:pPr>
    </w:p>
    <w:p w14:paraId="6E9C099B">
      <w:pPr>
        <w:rPr>
          <w:rStyle w:val="99"/>
          <w:rFonts w:hint="eastAsia"/>
          <w:color w:val="auto"/>
          <w:sz w:val="36"/>
          <w:szCs w:val="36"/>
          <w:highlight w:val="none"/>
        </w:rPr>
      </w:pPr>
      <w:bookmarkStart w:id="274" w:name="_Toc19823"/>
      <w:bookmarkStart w:id="275" w:name="_Toc8663"/>
      <w:bookmarkStart w:id="276" w:name="_Toc30176"/>
      <w:bookmarkStart w:id="277" w:name="_Toc15281"/>
      <w:bookmarkStart w:id="278" w:name="_Toc32603"/>
    </w:p>
    <w:p w14:paraId="442978ED">
      <w:pPr>
        <w:rPr>
          <w:rStyle w:val="99"/>
          <w:rFonts w:hint="eastAsia"/>
          <w:color w:val="auto"/>
          <w:sz w:val="36"/>
          <w:szCs w:val="36"/>
          <w:highlight w:val="none"/>
        </w:rPr>
      </w:pPr>
    </w:p>
    <w:p w14:paraId="174D1A4B">
      <w:pPr>
        <w:jc w:val="center"/>
        <w:rPr>
          <w:rFonts w:hAnsi="宋体" w:cs="宋体"/>
          <w:color w:val="auto"/>
          <w:highlight w:val="none"/>
        </w:rPr>
      </w:pPr>
      <w:r>
        <w:rPr>
          <w:rStyle w:val="99"/>
          <w:rFonts w:hint="eastAsia"/>
          <w:color w:val="auto"/>
          <w:sz w:val="36"/>
          <w:szCs w:val="36"/>
          <w:highlight w:val="none"/>
        </w:rPr>
        <w:t>第七章 质疑、投诉材料格</w:t>
      </w:r>
      <w:bookmarkEnd w:id="274"/>
      <w:bookmarkEnd w:id="275"/>
      <w:bookmarkEnd w:id="276"/>
      <w:r>
        <w:rPr>
          <w:rStyle w:val="99"/>
          <w:rFonts w:hint="eastAsia"/>
          <w:color w:val="auto"/>
          <w:sz w:val="36"/>
          <w:szCs w:val="36"/>
          <w:highlight w:val="none"/>
        </w:rPr>
        <w:t>式</w:t>
      </w:r>
      <w:bookmarkEnd w:id="277"/>
      <w:bookmarkStart w:id="279" w:name="_Toc18910"/>
      <w:bookmarkStart w:id="280" w:name="_Toc5790"/>
      <w:bookmarkStart w:id="281" w:name="_Toc19413"/>
      <w:bookmarkStart w:id="282" w:name="_Toc12534"/>
      <w:r>
        <w:rPr>
          <w:rStyle w:val="99"/>
          <w:rFonts w:hint="eastAsia"/>
          <w:color w:val="auto"/>
          <w:sz w:val="36"/>
          <w:szCs w:val="36"/>
          <w:highlight w:val="none"/>
        </w:rPr>
        <w:br w:type="page"/>
      </w:r>
      <w:r>
        <w:rPr>
          <w:rFonts w:hint="eastAsia" w:hAnsi="宋体" w:cs="宋体"/>
          <w:color w:val="auto"/>
          <w:sz w:val="32"/>
          <w:szCs w:val="32"/>
          <w:highlight w:val="none"/>
        </w:rPr>
        <w:t>第一节 质疑函（格式）</w:t>
      </w:r>
      <w:bookmarkEnd w:id="278"/>
      <w:bookmarkEnd w:id="279"/>
      <w:bookmarkEnd w:id="280"/>
      <w:bookmarkEnd w:id="281"/>
      <w:bookmarkEnd w:id="282"/>
    </w:p>
    <w:p w14:paraId="6795A81C">
      <w:pPr>
        <w:ind w:firstLine="452"/>
        <w:jc w:val="center"/>
        <w:rPr>
          <w:rFonts w:ascii="宋体" w:hAnsi="宋体" w:cs="宋体"/>
          <w:b/>
          <w:bCs/>
          <w:color w:val="auto"/>
          <w:sz w:val="44"/>
          <w:szCs w:val="44"/>
          <w:highlight w:val="none"/>
        </w:rPr>
      </w:pPr>
      <w:r>
        <w:rPr>
          <w:rFonts w:hint="eastAsia" w:ascii="宋体" w:hAnsi="宋体" w:cs="宋体"/>
          <w:b/>
          <w:bCs/>
          <w:color w:val="auto"/>
          <w:sz w:val="30"/>
          <w:szCs w:val="30"/>
          <w:highlight w:val="none"/>
        </w:rPr>
        <w:t>质疑函</w:t>
      </w:r>
    </w:p>
    <w:p w14:paraId="1C791F71">
      <w:pPr>
        <w:adjustRightInd w:val="0"/>
        <w:snapToGrid w:val="0"/>
        <w:spacing w:beforeLines="100" w:line="360" w:lineRule="auto"/>
        <w:ind w:firstLine="360"/>
        <w:rPr>
          <w:rFonts w:ascii="宋体" w:hAnsi="宋体" w:cs="宋体"/>
          <w:bCs/>
          <w:color w:val="auto"/>
          <w:sz w:val="24"/>
          <w:highlight w:val="none"/>
        </w:rPr>
      </w:pPr>
      <w:r>
        <w:rPr>
          <w:rFonts w:hint="eastAsia" w:ascii="宋体" w:hAnsi="宋体" w:cs="宋体"/>
          <w:bCs/>
          <w:color w:val="auto"/>
          <w:sz w:val="24"/>
          <w:highlight w:val="none"/>
        </w:rPr>
        <w:t>一、质疑供应商基本信息</w:t>
      </w:r>
    </w:p>
    <w:p w14:paraId="74168646">
      <w:pPr>
        <w:adjustRightInd w:val="0"/>
        <w:snapToGrid w:val="0"/>
        <w:spacing w:line="360" w:lineRule="auto"/>
        <w:ind w:firstLine="360"/>
        <w:rPr>
          <w:rFonts w:ascii="宋体" w:hAnsi="宋体" w:cs="宋体"/>
          <w:color w:val="auto"/>
          <w:sz w:val="24"/>
          <w:highlight w:val="none"/>
          <w:u w:val="dotted"/>
        </w:rPr>
      </w:pPr>
      <w:r>
        <w:rPr>
          <w:rFonts w:hint="eastAsia" w:ascii="宋体" w:hAnsi="宋体" w:cs="宋体"/>
          <w:color w:val="auto"/>
          <w:sz w:val="24"/>
          <w:highlight w:val="none"/>
        </w:rPr>
        <w:t>质疑供应商：</w:t>
      </w:r>
    </w:p>
    <w:p w14:paraId="71267253">
      <w:pPr>
        <w:adjustRightInd w:val="0"/>
        <w:snapToGrid w:val="0"/>
        <w:spacing w:line="360" w:lineRule="auto"/>
        <w:ind w:firstLine="360"/>
        <w:rPr>
          <w:rFonts w:ascii="宋体" w:hAnsi="宋体" w:cs="宋体"/>
          <w:color w:val="auto"/>
          <w:sz w:val="24"/>
          <w:highlight w:val="none"/>
        </w:rPr>
      </w:pPr>
      <w:r>
        <w:rPr>
          <w:rFonts w:hint="eastAsia" w:ascii="宋体" w:hAnsi="宋体" w:cs="宋体"/>
          <w:color w:val="auto"/>
          <w:sz w:val="24"/>
          <w:highlight w:val="none"/>
        </w:rPr>
        <w:t>地址：    邮编：</w:t>
      </w:r>
    </w:p>
    <w:p w14:paraId="5624BC41">
      <w:pPr>
        <w:adjustRightInd w:val="0"/>
        <w:snapToGrid w:val="0"/>
        <w:spacing w:line="360" w:lineRule="auto"/>
        <w:ind w:firstLine="360"/>
        <w:rPr>
          <w:rFonts w:ascii="宋体" w:hAnsi="宋体" w:cs="宋体"/>
          <w:color w:val="auto"/>
          <w:sz w:val="24"/>
          <w:highlight w:val="none"/>
        </w:rPr>
      </w:pPr>
      <w:r>
        <w:rPr>
          <w:rFonts w:hint="eastAsia" w:ascii="宋体" w:hAnsi="宋体" w:cs="宋体"/>
          <w:color w:val="auto"/>
          <w:sz w:val="24"/>
          <w:highlight w:val="none"/>
        </w:rPr>
        <w:t>联系人：联系电话：</w:t>
      </w:r>
    </w:p>
    <w:p w14:paraId="29A24DEF">
      <w:pPr>
        <w:adjustRightInd w:val="0"/>
        <w:snapToGrid w:val="0"/>
        <w:spacing w:line="360" w:lineRule="auto"/>
        <w:ind w:firstLine="360"/>
        <w:rPr>
          <w:rFonts w:ascii="宋体" w:hAnsi="宋体" w:cs="宋体"/>
          <w:color w:val="auto"/>
          <w:sz w:val="24"/>
          <w:highlight w:val="none"/>
          <w:u w:val="dotted"/>
        </w:rPr>
      </w:pPr>
      <w:r>
        <w:rPr>
          <w:rFonts w:hint="eastAsia" w:ascii="宋体" w:hAnsi="宋体" w:cs="宋体"/>
          <w:color w:val="auto"/>
          <w:sz w:val="24"/>
          <w:highlight w:val="none"/>
        </w:rPr>
        <w:t>授权代表：</w:t>
      </w:r>
    </w:p>
    <w:p w14:paraId="19E11384">
      <w:pPr>
        <w:adjustRightInd w:val="0"/>
        <w:snapToGrid w:val="0"/>
        <w:spacing w:line="360" w:lineRule="auto"/>
        <w:ind w:firstLine="360"/>
        <w:rPr>
          <w:rFonts w:ascii="宋体" w:hAnsi="宋体" w:cs="宋体"/>
          <w:color w:val="auto"/>
          <w:sz w:val="24"/>
          <w:highlight w:val="none"/>
        </w:rPr>
      </w:pPr>
      <w:r>
        <w:rPr>
          <w:rFonts w:hint="eastAsia" w:ascii="宋体" w:hAnsi="宋体" w:cs="宋体"/>
          <w:color w:val="auto"/>
          <w:sz w:val="24"/>
          <w:highlight w:val="none"/>
        </w:rPr>
        <w:t>联系电话：</w:t>
      </w:r>
    </w:p>
    <w:p w14:paraId="402A6E89">
      <w:pPr>
        <w:adjustRightInd w:val="0"/>
        <w:snapToGrid w:val="0"/>
        <w:spacing w:line="360" w:lineRule="auto"/>
        <w:ind w:firstLine="360"/>
        <w:rPr>
          <w:rFonts w:ascii="宋体" w:hAnsi="宋体" w:cs="宋体"/>
          <w:color w:val="auto"/>
          <w:sz w:val="24"/>
          <w:highlight w:val="none"/>
        </w:rPr>
      </w:pPr>
      <w:r>
        <w:rPr>
          <w:rFonts w:hint="eastAsia" w:ascii="宋体" w:hAnsi="宋体" w:cs="宋体"/>
          <w:color w:val="auto"/>
          <w:sz w:val="24"/>
          <w:highlight w:val="none"/>
        </w:rPr>
        <w:t>地址：     邮编：</w:t>
      </w:r>
    </w:p>
    <w:p w14:paraId="4EF41C65">
      <w:pPr>
        <w:adjustRightInd w:val="0"/>
        <w:snapToGrid w:val="0"/>
        <w:spacing w:line="360" w:lineRule="auto"/>
        <w:ind w:firstLine="360"/>
        <w:rPr>
          <w:rFonts w:ascii="宋体" w:hAnsi="宋体" w:cs="宋体"/>
          <w:bCs/>
          <w:color w:val="auto"/>
          <w:sz w:val="24"/>
          <w:highlight w:val="none"/>
        </w:rPr>
      </w:pPr>
      <w:r>
        <w:rPr>
          <w:rFonts w:hint="eastAsia" w:ascii="宋体" w:hAnsi="宋体" w:cs="宋体"/>
          <w:bCs/>
          <w:color w:val="auto"/>
          <w:sz w:val="24"/>
          <w:highlight w:val="none"/>
        </w:rPr>
        <w:t>二、质疑项目基本情况</w:t>
      </w:r>
    </w:p>
    <w:p w14:paraId="0B23042F">
      <w:pPr>
        <w:adjustRightInd w:val="0"/>
        <w:snapToGrid w:val="0"/>
        <w:spacing w:line="360" w:lineRule="auto"/>
        <w:ind w:firstLine="360"/>
        <w:rPr>
          <w:rFonts w:ascii="宋体" w:hAnsi="宋体" w:cs="宋体"/>
          <w:color w:val="auto"/>
          <w:sz w:val="24"/>
          <w:highlight w:val="none"/>
        </w:rPr>
      </w:pPr>
      <w:r>
        <w:rPr>
          <w:rFonts w:hint="eastAsia" w:ascii="宋体" w:hAnsi="宋体" w:cs="宋体"/>
          <w:color w:val="auto"/>
          <w:sz w:val="24"/>
          <w:highlight w:val="none"/>
        </w:rPr>
        <w:t>质疑项目的名称：</w:t>
      </w:r>
    </w:p>
    <w:p w14:paraId="22D44E78">
      <w:pPr>
        <w:adjustRightInd w:val="0"/>
        <w:snapToGrid w:val="0"/>
        <w:spacing w:line="360" w:lineRule="auto"/>
        <w:ind w:firstLine="360"/>
        <w:rPr>
          <w:rFonts w:ascii="宋体" w:hAnsi="宋体" w:cs="宋体"/>
          <w:color w:val="auto"/>
          <w:sz w:val="24"/>
          <w:highlight w:val="none"/>
        </w:rPr>
      </w:pPr>
      <w:r>
        <w:rPr>
          <w:rFonts w:hint="eastAsia" w:ascii="宋体" w:hAnsi="宋体" w:cs="宋体"/>
          <w:color w:val="auto"/>
          <w:sz w:val="24"/>
          <w:highlight w:val="none"/>
        </w:rPr>
        <w:t>质疑项目的编号：      包号：</w:t>
      </w:r>
    </w:p>
    <w:p w14:paraId="69C46FD2">
      <w:pPr>
        <w:adjustRightInd w:val="0"/>
        <w:snapToGrid w:val="0"/>
        <w:spacing w:line="360" w:lineRule="auto"/>
        <w:ind w:firstLine="360"/>
        <w:rPr>
          <w:rFonts w:ascii="宋体" w:hAnsi="宋体" w:cs="宋体"/>
          <w:color w:val="auto"/>
          <w:sz w:val="24"/>
          <w:highlight w:val="none"/>
          <w:u w:val="dotted"/>
        </w:rPr>
      </w:pPr>
      <w:r>
        <w:rPr>
          <w:rFonts w:hint="eastAsia" w:ascii="宋体" w:hAnsi="宋体" w:cs="宋体"/>
          <w:color w:val="auto"/>
          <w:sz w:val="24"/>
          <w:highlight w:val="none"/>
        </w:rPr>
        <w:t>采购人名称：</w:t>
      </w:r>
      <w:bookmarkStart w:id="283" w:name="PO_3000001867_PM026_5"/>
      <w:bookmarkEnd w:id="283"/>
    </w:p>
    <w:p w14:paraId="738882D2">
      <w:pPr>
        <w:adjustRightInd w:val="0"/>
        <w:snapToGrid w:val="0"/>
        <w:spacing w:line="360" w:lineRule="auto"/>
        <w:ind w:firstLine="360"/>
        <w:rPr>
          <w:rFonts w:ascii="宋体" w:hAnsi="宋体" w:cs="宋体"/>
          <w:color w:val="auto"/>
          <w:sz w:val="24"/>
          <w:highlight w:val="none"/>
          <w:lang w:val="zh-CN"/>
        </w:rPr>
      </w:pPr>
      <w:r>
        <w:rPr>
          <w:rFonts w:hint="eastAsia" w:ascii="宋体" w:hAnsi="宋体" w:cs="宋体"/>
          <w:color w:val="auto"/>
          <w:sz w:val="24"/>
          <w:highlight w:val="none"/>
          <w:lang w:val="zh-CN"/>
        </w:rPr>
        <w:t>质疑事项：</w:t>
      </w:r>
    </w:p>
    <w:p w14:paraId="7BD11122">
      <w:pPr>
        <w:adjustRightInd w:val="0"/>
        <w:snapToGrid w:val="0"/>
        <w:spacing w:line="360" w:lineRule="auto"/>
        <w:ind w:firstLine="360"/>
        <w:rPr>
          <w:rFonts w:ascii="宋体" w:hAnsi="宋体" w:cs="宋体"/>
          <w:color w:val="auto"/>
          <w:sz w:val="24"/>
          <w:highlight w:val="none"/>
          <w:lang w:val="zh-CN"/>
        </w:rPr>
      </w:pPr>
      <w:r>
        <w:rPr>
          <w:rFonts w:hint="eastAsia" w:ascii="宋体" w:hAnsi="宋体" w:cs="宋体"/>
          <w:color w:val="auto"/>
          <w:sz w:val="24"/>
          <w:highlight w:val="none"/>
          <w:lang w:val="zh-CN"/>
        </w:rPr>
        <w:t>□采购文件   采购文件获取日期：</w:t>
      </w:r>
    </w:p>
    <w:p w14:paraId="43CCF228">
      <w:pPr>
        <w:adjustRightInd w:val="0"/>
        <w:snapToGrid w:val="0"/>
        <w:spacing w:line="360" w:lineRule="auto"/>
        <w:ind w:firstLine="360"/>
        <w:rPr>
          <w:rFonts w:ascii="宋体" w:hAnsi="宋体" w:cs="宋体"/>
          <w:color w:val="auto"/>
          <w:sz w:val="24"/>
          <w:highlight w:val="none"/>
          <w:lang w:val="zh-CN"/>
        </w:rPr>
      </w:pPr>
      <w:r>
        <w:rPr>
          <w:rFonts w:hint="eastAsia" w:ascii="宋体" w:hAnsi="宋体" w:cs="宋体"/>
          <w:color w:val="auto"/>
          <w:sz w:val="24"/>
          <w:highlight w:val="none"/>
          <w:lang w:val="zh-CN"/>
        </w:rPr>
        <w:t xml:space="preserve">□采购过程   </w:t>
      </w:r>
    </w:p>
    <w:p w14:paraId="40A24381">
      <w:pPr>
        <w:adjustRightInd w:val="0"/>
        <w:snapToGrid w:val="0"/>
        <w:spacing w:line="360" w:lineRule="auto"/>
        <w:ind w:firstLine="360"/>
        <w:rPr>
          <w:rFonts w:ascii="宋体" w:hAnsi="宋体" w:cs="宋体"/>
          <w:color w:val="auto"/>
          <w:sz w:val="24"/>
          <w:highlight w:val="none"/>
          <w:lang w:val="zh-CN"/>
        </w:rPr>
      </w:pPr>
      <w:r>
        <w:rPr>
          <w:rFonts w:hint="eastAsia" w:ascii="宋体" w:hAnsi="宋体" w:cs="宋体"/>
          <w:color w:val="auto"/>
          <w:sz w:val="24"/>
          <w:highlight w:val="none"/>
          <w:lang w:val="zh-CN"/>
        </w:rPr>
        <w:t xml:space="preserve">□中标结果   </w:t>
      </w:r>
    </w:p>
    <w:p w14:paraId="3BF94342">
      <w:pPr>
        <w:adjustRightInd w:val="0"/>
        <w:snapToGrid w:val="0"/>
        <w:spacing w:line="360" w:lineRule="auto"/>
        <w:ind w:firstLine="360"/>
        <w:rPr>
          <w:rFonts w:ascii="宋体" w:hAnsi="宋体" w:cs="宋体"/>
          <w:bCs/>
          <w:color w:val="auto"/>
          <w:sz w:val="24"/>
          <w:highlight w:val="none"/>
        </w:rPr>
      </w:pPr>
      <w:r>
        <w:rPr>
          <w:rFonts w:hint="eastAsia" w:ascii="宋体" w:hAnsi="宋体" w:cs="宋体"/>
          <w:bCs/>
          <w:color w:val="auto"/>
          <w:sz w:val="24"/>
          <w:highlight w:val="none"/>
        </w:rPr>
        <w:t>三、质疑事项具体内容</w:t>
      </w:r>
    </w:p>
    <w:p w14:paraId="4D018F68">
      <w:pPr>
        <w:adjustRightInd w:val="0"/>
        <w:snapToGrid w:val="0"/>
        <w:spacing w:line="360" w:lineRule="auto"/>
        <w:ind w:firstLine="360"/>
        <w:rPr>
          <w:rFonts w:ascii="宋体" w:hAnsi="宋体" w:cs="宋体"/>
          <w:color w:val="auto"/>
          <w:sz w:val="24"/>
          <w:highlight w:val="none"/>
          <w:u w:val="dotted"/>
        </w:rPr>
      </w:pPr>
      <w:r>
        <w:rPr>
          <w:rFonts w:hint="eastAsia" w:ascii="宋体" w:hAnsi="宋体" w:cs="宋体"/>
          <w:color w:val="auto"/>
          <w:sz w:val="24"/>
          <w:highlight w:val="none"/>
        </w:rPr>
        <w:t>质疑事项1：</w:t>
      </w:r>
    </w:p>
    <w:p w14:paraId="4E039ECD">
      <w:pPr>
        <w:adjustRightInd w:val="0"/>
        <w:snapToGrid w:val="0"/>
        <w:spacing w:line="360" w:lineRule="auto"/>
        <w:ind w:firstLine="360"/>
        <w:rPr>
          <w:rFonts w:ascii="宋体" w:hAnsi="宋体" w:cs="宋体"/>
          <w:color w:val="auto"/>
          <w:sz w:val="24"/>
          <w:highlight w:val="none"/>
          <w:u w:val="dotted"/>
        </w:rPr>
      </w:pPr>
      <w:r>
        <w:rPr>
          <w:rFonts w:hint="eastAsia" w:ascii="宋体" w:hAnsi="宋体" w:cs="宋体"/>
          <w:color w:val="auto"/>
          <w:sz w:val="24"/>
          <w:highlight w:val="none"/>
        </w:rPr>
        <w:t>事实依据：</w:t>
      </w:r>
    </w:p>
    <w:p w14:paraId="3CA20A82">
      <w:pPr>
        <w:adjustRightInd w:val="0"/>
        <w:snapToGrid w:val="0"/>
        <w:spacing w:line="360" w:lineRule="auto"/>
        <w:ind w:firstLine="360"/>
        <w:rPr>
          <w:rFonts w:ascii="宋体" w:hAnsi="宋体" w:cs="宋体"/>
          <w:color w:val="auto"/>
          <w:sz w:val="24"/>
          <w:highlight w:val="none"/>
        </w:rPr>
      </w:pPr>
    </w:p>
    <w:p w14:paraId="26F540F5">
      <w:pPr>
        <w:adjustRightInd w:val="0"/>
        <w:snapToGrid w:val="0"/>
        <w:spacing w:line="360" w:lineRule="auto"/>
        <w:ind w:firstLine="360"/>
        <w:rPr>
          <w:rFonts w:ascii="宋体" w:hAnsi="宋体" w:cs="宋体"/>
          <w:color w:val="auto"/>
          <w:sz w:val="24"/>
          <w:highlight w:val="none"/>
          <w:u w:val="dotted"/>
        </w:rPr>
      </w:pPr>
      <w:r>
        <w:rPr>
          <w:rFonts w:hint="eastAsia" w:ascii="宋体" w:hAnsi="宋体" w:cs="宋体"/>
          <w:color w:val="auto"/>
          <w:sz w:val="24"/>
          <w:highlight w:val="none"/>
        </w:rPr>
        <w:t>法律依据：</w:t>
      </w:r>
    </w:p>
    <w:p w14:paraId="2DCD8B92">
      <w:pPr>
        <w:adjustRightInd w:val="0"/>
        <w:snapToGrid w:val="0"/>
        <w:spacing w:line="360" w:lineRule="auto"/>
        <w:ind w:firstLine="360"/>
        <w:rPr>
          <w:rFonts w:ascii="宋体" w:hAnsi="宋体" w:cs="宋体"/>
          <w:color w:val="auto"/>
          <w:sz w:val="24"/>
          <w:highlight w:val="none"/>
          <w:u w:val="dotted"/>
        </w:rPr>
      </w:pPr>
    </w:p>
    <w:p w14:paraId="4F399D1E">
      <w:pPr>
        <w:adjustRightInd w:val="0"/>
        <w:snapToGrid w:val="0"/>
        <w:spacing w:line="360" w:lineRule="auto"/>
        <w:ind w:firstLine="360"/>
        <w:rPr>
          <w:rFonts w:ascii="宋体" w:hAnsi="宋体" w:cs="宋体"/>
          <w:color w:val="auto"/>
          <w:sz w:val="24"/>
          <w:highlight w:val="none"/>
          <w:u w:val="dotted"/>
        </w:rPr>
      </w:pPr>
      <w:r>
        <w:rPr>
          <w:rFonts w:hint="eastAsia" w:ascii="宋体" w:hAnsi="宋体" w:cs="宋体"/>
          <w:color w:val="auto"/>
          <w:sz w:val="24"/>
          <w:highlight w:val="none"/>
        </w:rPr>
        <w:t>质疑事项2</w:t>
      </w:r>
    </w:p>
    <w:p w14:paraId="52BA92C3">
      <w:pPr>
        <w:adjustRightInd w:val="0"/>
        <w:snapToGrid w:val="0"/>
        <w:spacing w:line="360" w:lineRule="auto"/>
        <w:ind w:firstLine="360"/>
        <w:rPr>
          <w:rFonts w:ascii="宋体" w:hAnsi="宋体" w:cs="宋体"/>
          <w:color w:val="auto"/>
          <w:sz w:val="24"/>
          <w:highlight w:val="none"/>
        </w:rPr>
      </w:pPr>
      <w:r>
        <w:rPr>
          <w:rFonts w:hint="eastAsia" w:ascii="宋体" w:hAnsi="宋体" w:cs="宋体"/>
          <w:color w:val="auto"/>
          <w:sz w:val="24"/>
          <w:highlight w:val="none"/>
        </w:rPr>
        <w:t>……</w:t>
      </w:r>
    </w:p>
    <w:p w14:paraId="337B1D92">
      <w:pPr>
        <w:adjustRightInd w:val="0"/>
        <w:snapToGrid w:val="0"/>
        <w:spacing w:line="360" w:lineRule="auto"/>
        <w:ind w:firstLine="360"/>
        <w:rPr>
          <w:rFonts w:ascii="宋体" w:hAnsi="宋体" w:cs="宋体"/>
          <w:bCs/>
          <w:color w:val="auto"/>
          <w:sz w:val="24"/>
          <w:highlight w:val="none"/>
        </w:rPr>
      </w:pPr>
      <w:r>
        <w:rPr>
          <w:rFonts w:hint="eastAsia" w:ascii="宋体" w:hAnsi="宋体" w:cs="宋体"/>
          <w:bCs/>
          <w:color w:val="auto"/>
          <w:sz w:val="24"/>
          <w:highlight w:val="none"/>
        </w:rPr>
        <w:t>四、与质疑事项相关的质疑请求</w:t>
      </w:r>
    </w:p>
    <w:p w14:paraId="46FB133F">
      <w:pPr>
        <w:adjustRightInd w:val="0"/>
        <w:snapToGrid w:val="0"/>
        <w:spacing w:line="360" w:lineRule="auto"/>
        <w:ind w:firstLine="360"/>
        <w:rPr>
          <w:rFonts w:ascii="宋体" w:hAnsi="宋体" w:cs="宋体"/>
          <w:color w:val="auto"/>
          <w:sz w:val="24"/>
          <w:highlight w:val="none"/>
          <w:u w:val="dotted"/>
        </w:rPr>
      </w:pPr>
      <w:r>
        <w:rPr>
          <w:rFonts w:hint="eastAsia" w:ascii="宋体" w:hAnsi="宋体" w:cs="宋体"/>
          <w:color w:val="auto"/>
          <w:sz w:val="24"/>
          <w:highlight w:val="none"/>
        </w:rPr>
        <w:t>请求：</w:t>
      </w:r>
    </w:p>
    <w:p w14:paraId="0DC79BEF">
      <w:pPr>
        <w:ind w:firstLine="360"/>
        <w:rPr>
          <w:rFonts w:ascii="宋体" w:hAnsi="宋体" w:cs="宋体"/>
          <w:color w:val="auto"/>
          <w:sz w:val="24"/>
          <w:highlight w:val="none"/>
        </w:rPr>
      </w:pPr>
      <w:r>
        <w:rPr>
          <w:rFonts w:hint="eastAsia" w:ascii="宋体" w:hAnsi="宋体" w:cs="宋体"/>
          <w:color w:val="auto"/>
          <w:sz w:val="24"/>
          <w:highlight w:val="none"/>
        </w:rPr>
        <w:t xml:space="preserve">签字(签章)：                   公章：                      </w:t>
      </w:r>
    </w:p>
    <w:p w14:paraId="48BFA76E">
      <w:pPr>
        <w:ind w:firstLine="6240" w:firstLineChars="2600"/>
        <w:rPr>
          <w:rFonts w:ascii="宋体" w:hAnsi="宋体" w:cs="宋体"/>
          <w:color w:val="auto"/>
          <w:sz w:val="24"/>
          <w:highlight w:val="none"/>
        </w:rPr>
      </w:pPr>
      <w:r>
        <w:rPr>
          <w:rFonts w:hint="eastAsia" w:ascii="宋体" w:hAnsi="宋体" w:cs="宋体"/>
          <w:color w:val="auto"/>
          <w:sz w:val="24"/>
          <w:highlight w:val="none"/>
        </w:rPr>
        <w:t xml:space="preserve">日期：    </w:t>
      </w:r>
    </w:p>
    <w:p w14:paraId="62AFCB93">
      <w:pPr>
        <w:ind w:firstLine="361"/>
        <w:rPr>
          <w:rFonts w:ascii="宋体" w:hAnsi="宋体" w:cs="宋体"/>
          <w:b/>
          <w:color w:val="auto"/>
          <w:sz w:val="24"/>
          <w:highlight w:val="none"/>
        </w:rPr>
      </w:pPr>
    </w:p>
    <w:p w14:paraId="582EEDC1">
      <w:pPr>
        <w:spacing w:line="360" w:lineRule="auto"/>
        <w:ind w:firstLine="361"/>
        <w:rPr>
          <w:rFonts w:ascii="宋体" w:hAnsi="宋体" w:cs="宋体"/>
          <w:b/>
          <w:color w:val="auto"/>
          <w:sz w:val="24"/>
          <w:highlight w:val="none"/>
        </w:rPr>
      </w:pPr>
      <w:r>
        <w:rPr>
          <w:rFonts w:hint="eastAsia" w:ascii="宋体" w:hAnsi="宋体" w:cs="宋体"/>
          <w:b/>
          <w:color w:val="auto"/>
          <w:sz w:val="24"/>
          <w:highlight w:val="none"/>
        </w:rPr>
        <w:t>质疑函制作说明：</w:t>
      </w:r>
    </w:p>
    <w:p w14:paraId="5F75A1CC">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1.供应商提出质疑时，应提交质疑函和必要的证明材料。</w:t>
      </w:r>
    </w:p>
    <w:p w14:paraId="2E218F1B">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2.质疑供应商若委托代理人进行质疑的，质疑函应按要求列明“授权代表”的有关内容，并在附件中提交由质疑</w:t>
      </w:r>
      <w:r>
        <w:rPr>
          <w:rFonts w:hint="eastAsia" w:ascii="宋体" w:hAnsi="宋体" w:cs="宋体"/>
          <w:color w:val="auto"/>
          <w:kern w:val="0"/>
          <w:szCs w:val="21"/>
          <w:highlight w:val="none"/>
        </w:rPr>
        <w:t>供应商签署的授权委托书。授权委托书应载明代理人的姓名或者名称、代理事项、具体权限、期限和相关事项。</w:t>
      </w:r>
    </w:p>
    <w:p w14:paraId="19914FC4">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3.质疑供应商若对项目的某一分包进行质疑，质疑函中应列明具体分包号。</w:t>
      </w:r>
    </w:p>
    <w:p w14:paraId="2FE0D507">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4.质疑函的质疑事项应具体、明确，并有必要的事实依据和法律依据。</w:t>
      </w:r>
    </w:p>
    <w:p w14:paraId="62DD803F">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5.质疑函的质疑请求应与质疑事项相关。</w:t>
      </w:r>
    </w:p>
    <w:p w14:paraId="5BF659B6">
      <w:pPr>
        <w:widowControl/>
        <w:spacing w:line="360" w:lineRule="auto"/>
        <w:ind w:firstLine="420" w:firstLineChars="200"/>
        <w:jc w:val="left"/>
        <w:rPr>
          <w:rFonts w:ascii="宋体" w:hAnsi="宋体" w:cs="宋体"/>
          <w:color w:val="auto"/>
          <w:sz w:val="28"/>
          <w:szCs w:val="28"/>
          <w:highlight w:val="none"/>
        </w:rPr>
      </w:pPr>
      <w:r>
        <w:rPr>
          <w:rFonts w:hint="eastAsia" w:ascii="宋体" w:hAnsi="宋体" w:cs="宋体"/>
          <w:color w:val="auto"/>
          <w:szCs w:val="21"/>
          <w:highlight w:val="none"/>
        </w:rPr>
        <w:t>6.质疑供应商为自然人的，质疑函应由本人签字。质疑供应商为法人或者其他组织的，质疑函应由法定代表人、主要负责人，或者其授权代表签字或者盖章，并加盖公章。</w:t>
      </w:r>
    </w:p>
    <w:p w14:paraId="1AE2FF35">
      <w:pPr>
        <w:pStyle w:val="17"/>
        <w:ind w:firstLine="270"/>
        <w:rPr>
          <w:rFonts w:ascii="宋体" w:hAnsi="宋体" w:cs="宋体"/>
          <w:color w:val="auto"/>
          <w:highlight w:val="none"/>
        </w:rPr>
      </w:pPr>
      <w:bookmarkStart w:id="284" w:name="_Toc11085"/>
      <w:bookmarkStart w:id="285" w:name="_Toc31115"/>
    </w:p>
    <w:p w14:paraId="1A0F058C">
      <w:pPr>
        <w:pStyle w:val="17"/>
        <w:ind w:firstLine="270"/>
        <w:rPr>
          <w:rFonts w:ascii="宋体" w:hAnsi="宋体" w:cs="宋体"/>
          <w:color w:val="auto"/>
          <w:highlight w:val="none"/>
        </w:rPr>
      </w:pPr>
      <w:r>
        <w:rPr>
          <w:rFonts w:hint="eastAsia" w:ascii="宋体" w:hAnsi="宋体" w:cs="宋体"/>
          <w:color w:val="auto"/>
          <w:highlight w:val="none"/>
        </w:rPr>
        <w:br w:type="page"/>
      </w:r>
    </w:p>
    <w:p w14:paraId="3F974D0D">
      <w:pPr>
        <w:pStyle w:val="3"/>
        <w:ind w:firstLine="480"/>
        <w:jc w:val="center"/>
        <w:rPr>
          <w:rFonts w:ascii="宋体" w:hAnsi="宋体" w:eastAsia="宋体" w:cs="宋体"/>
          <w:b w:val="0"/>
          <w:bCs w:val="0"/>
          <w:color w:val="auto"/>
          <w:highlight w:val="none"/>
        </w:rPr>
      </w:pPr>
      <w:bookmarkStart w:id="286" w:name="_Toc22163"/>
      <w:bookmarkStart w:id="287" w:name="_Toc11120"/>
      <w:r>
        <w:rPr>
          <w:rFonts w:hint="eastAsia" w:ascii="宋体" w:hAnsi="宋体" w:eastAsia="宋体" w:cs="宋体"/>
          <w:b w:val="0"/>
          <w:bCs w:val="0"/>
          <w:color w:val="auto"/>
          <w:highlight w:val="none"/>
        </w:rPr>
        <w:t>第二节 投诉书（格式）</w:t>
      </w:r>
      <w:bookmarkEnd w:id="284"/>
      <w:bookmarkEnd w:id="285"/>
      <w:bookmarkEnd w:id="286"/>
      <w:bookmarkEnd w:id="287"/>
    </w:p>
    <w:p w14:paraId="10948B49">
      <w:pPr>
        <w:ind w:firstLine="452"/>
        <w:jc w:val="center"/>
        <w:rPr>
          <w:rFonts w:ascii="宋体" w:hAnsi="宋体" w:cs="宋体"/>
          <w:b/>
          <w:color w:val="auto"/>
          <w:sz w:val="44"/>
          <w:szCs w:val="44"/>
          <w:highlight w:val="none"/>
        </w:rPr>
      </w:pPr>
      <w:r>
        <w:rPr>
          <w:rFonts w:hint="eastAsia" w:ascii="宋体" w:hAnsi="宋体" w:cs="宋体"/>
          <w:b/>
          <w:color w:val="auto"/>
          <w:sz w:val="30"/>
          <w:szCs w:val="30"/>
          <w:highlight w:val="none"/>
        </w:rPr>
        <w:t>投诉书</w:t>
      </w:r>
    </w:p>
    <w:p w14:paraId="7EDFC9BF">
      <w:pPr>
        <w:spacing w:line="360" w:lineRule="auto"/>
        <w:ind w:firstLine="360"/>
        <w:rPr>
          <w:rFonts w:ascii="宋体" w:hAnsi="宋体" w:cs="宋体"/>
          <w:color w:val="auto"/>
          <w:sz w:val="24"/>
          <w:highlight w:val="none"/>
        </w:rPr>
      </w:pPr>
      <w:r>
        <w:rPr>
          <w:rFonts w:hint="eastAsia" w:ascii="宋体" w:hAnsi="宋体" w:cs="宋体"/>
          <w:color w:val="auto"/>
          <w:sz w:val="24"/>
          <w:highlight w:val="none"/>
        </w:rPr>
        <w:t>一、投诉相关主体基本情况</w:t>
      </w:r>
    </w:p>
    <w:p w14:paraId="1F5007CE">
      <w:pPr>
        <w:spacing w:line="360" w:lineRule="auto"/>
        <w:ind w:firstLine="360"/>
        <w:rPr>
          <w:rFonts w:ascii="宋体" w:hAnsi="宋体" w:cs="宋体"/>
          <w:color w:val="auto"/>
          <w:sz w:val="24"/>
          <w:highlight w:val="none"/>
          <w:u w:val="dotted"/>
        </w:rPr>
      </w:pPr>
      <w:r>
        <w:rPr>
          <w:rFonts w:hint="eastAsia" w:ascii="宋体" w:hAnsi="宋体" w:cs="宋体"/>
          <w:color w:val="auto"/>
          <w:sz w:val="24"/>
          <w:highlight w:val="none"/>
        </w:rPr>
        <w:t>投诉人：</w:t>
      </w:r>
    </w:p>
    <w:p w14:paraId="4E6A3408">
      <w:pPr>
        <w:spacing w:line="360" w:lineRule="auto"/>
        <w:ind w:firstLine="360"/>
        <w:rPr>
          <w:rFonts w:ascii="宋体" w:hAnsi="宋体" w:cs="宋体"/>
          <w:color w:val="auto"/>
          <w:sz w:val="24"/>
          <w:highlight w:val="none"/>
          <w:u w:val="single"/>
        </w:rPr>
      </w:pPr>
      <w:r>
        <w:rPr>
          <w:rFonts w:hint="eastAsia" w:ascii="宋体" w:hAnsi="宋体" w:cs="宋体"/>
          <w:color w:val="auto"/>
          <w:sz w:val="24"/>
          <w:highlight w:val="none"/>
        </w:rPr>
        <w:t>地     址：    邮编：</w:t>
      </w:r>
    </w:p>
    <w:p w14:paraId="226B625F">
      <w:pPr>
        <w:tabs>
          <w:tab w:val="left" w:pos="6510"/>
        </w:tabs>
        <w:spacing w:line="360" w:lineRule="auto"/>
        <w:ind w:firstLine="360"/>
        <w:jc w:val="left"/>
        <w:rPr>
          <w:rFonts w:ascii="宋体" w:hAnsi="宋体" w:cs="宋体"/>
          <w:color w:val="auto"/>
          <w:sz w:val="24"/>
          <w:highlight w:val="none"/>
        </w:rPr>
      </w:pPr>
      <w:r>
        <w:rPr>
          <w:rFonts w:hint="eastAsia" w:ascii="宋体" w:hAnsi="宋体" w:cs="宋体"/>
          <w:color w:val="auto"/>
          <w:sz w:val="24"/>
          <w:highlight w:val="none"/>
        </w:rPr>
        <w:t>法定代表人/主要负责人：</w:t>
      </w:r>
    </w:p>
    <w:p w14:paraId="0502CC6D">
      <w:pPr>
        <w:tabs>
          <w:tab w:val="left" w:pos="6510"/>
        </w:tabs>
        <w:spacing w:line="360" w:lineRule="auto"/>
        <w:ind w:firstLine="360"/>
        <w:rPr>
          <w:rFonts w:ascii="宋体" w:hAnsi="宋体" w:cs="宋体"/>
          <w:color w:val="auto"/>
          <w:sz w:val="24"/>
          <w:highlight w:val="none"/>
          <w:u w:val="dotted"/>
        </w:rPr>
      </w:pPr>
      <w:r>
        <w:rPr>
          <w:rFonts w:hint="eastAsia" w:ascii="宋体" w:hAnsi="宋体" w:cs="宋体"/>
          <w:color w:val="auto"/>
          <w:sz w:val="24"/>
          <w:highlight w:val="none"/>
        </w:rPr>
        <w:t>联系电话：</w:t>
      </w:r>
    </w:p>
    <w:p w14:paraId="69A07CB6">
      <w:pPr>
        <w:spacing w:line="360" w:lineRule="auto"/>
        <w:ind w:firstLine="360"/>
        <w:rPr>
          <w:rFonts w:ascii="宋体" w:hAnsi="宋体" w:cs="宋体"/>
          <w:color w:val="auto"/>
          <w:sz w:val="24"/>
          <w:highlight w:val="none"/>
          <w:u w:val="dotted"/>
        </w:rPr>
      </w:pPr>
      <w:r>
        <w:rPr>
          <w:rFonts w:hint="eastAsia" w:ascii="宋体" w:hAnsi="宋体" w:cs="宋体"/>
          <w:color w:val="auto"/>
          <w:sz w:val="24"/>
          <w:highlight w:val="none"/>
        </w:rPr>
        <w:t>授权代表：联系电话：</w:t>
      </w:r>
    </w:p>
    <w:p w14:paraId="3D1AB33A">
      <w:pPr>
        <w:spacing w:line="360" w:lineRule="auto"/>
        <w:ind w:firstLine="360"/>
        <w:rPr>
          <w:rFonts w:ascii="宋体" w:hAnsi="宋体" w:cs="宋体"/>
          <w:color w:val="auto"/>
          <w:sz w:val="24"/>
          <w:highlight w:val="none"/>
          <w:u w:val="dotted"/>
        </w:rPr>
      </w:pPr>
      <w:r>
        <w:rPr>
          <w:rFonts w:hint="eastAsia" w:ascii="宋体" w:hAnsi="宋体" w:cs="宋体"/>
          <w:color w:val="auto"/>
          <w:sz w:val="24"/>
          <w:highlight w:val="none"/>
        </w:rPr>
        <w:t>地     址：    邮编：</w:t>
      </w:r>
    </w:p>
    <w:p w14:paraId="3948ABD5">
      <w:pPr>
        <w:spacing w:line="360" w:lineRule="auto"/>
        <w:ind w:firstLine="360"/>
        <w:rPr>
          <w:rFonts w:ascii="宋体" w:hAnsi="宋体" w:cs="宋体"/>
          <w:color w:val="auto"/>
          <w:sz w:val="24"/>
          <w:highlight w:val="none"/>
          <w:u w:val="single"/>
        </w:rPr>
      </w:pPr>
      <w:r>
        <w:rPr>
          <w:rFonts w:hint="eastAsia" w:ascii="宋体" w:hAnsi="宋体" w:cs="宋体"/>
          <w:color w:val="auto"/>
          <w:sz w:val="24"/>
          <w:highlight w:val="none"/>
        </w:rPr>
        <w:t>被投诉人1：</w:t>
      </w:r>
    </w:p>
    <w:p w14:paraId="50EDBF67">
      <w:pPr>
        <w:spacing w:line="360" w:lineRule="auto"/>
        <w:ind w:firstLine="360"/>
        <w:rPr>
          <w:rFonts w:ascii="宋体" w:hAnsi="宋体" w:cs="宋体"/>
          <w:color w:val="auto"/>
          <w:sz w:val="24"/>
          <w:highlight w:val="none"/>
          <w:u w:val="single"/>
        </w:rPr>
      </w:pPr>
      <w:r>
        <w:rPr>
          <w:rFonts w:hint="eastAsia" w:ascii="宋体" w:hAnsi="宋体" w:cs="宋体"/>
          <w:color w:val="auto"/>
          <w:sz w:val="24"/>
          <w:highlight w:val="none"/>
        </w:rPr>
        <w:t>地     址：    邮编：</w:t>
      </w:r>
    </w:p>
    <w:p w14:paraId="45C2D82A">
      <w:pPr>
        <w:spacing w:line="360" w:lineRule="auto"/>
        <w:ind w:firstLine="360"/>
        <w:rPr>
          <w:rFonts w:ascii="宋体" w:hAnsi="宋体" w:cs="宋体"/>
          <w:color w:val="auto"/>
          <w:sz w:val="24"/>
          <w:highlight w:val="none"/>
          <w:u w:val="single"/>
        </w:rPr>
      </w:pPr>
      <w:r>
        <w:rPr>
          <w:rFonts w:hint="eastAsia" w:ascii="宋体" w:hAnsi="宋体" w:cs="宋体"/>
          <w:color w:val="auto"/>
          <w:sz w:val="24"/>
          <w:highlight w:val="none"/>
        </w:rPr>
        <w:t>联系人：联系电话：</w:t>
      </w:r>
    </w:p>
    <w:p w14:paraId="1355C705">
      <w:pPr>
        <w:spacing w:line="360" w:lineRule="auto"/>
        <w:ind w:firstLine="360"/>
        <w:rPr>
          <w:rFonts w:ascii="宋体" w:hAnsi="宋体" w:cs="宋体"/>
          <w:color w:val="auto"/>
          <w:sz w:val="24"/>
          <w:highlight w:val="none"/>
        </w:rPr>
      </w:pPr>
      <w:r>
        <w:rPr>
          <w:rFonts w:hint="eastAsia" w:ascii="宋体" w:hAnsi="宋体" w:cs="宋体"/>
          <w:color w:val="auto"/>
          <w:sz w:val="24"/>
          <w:highlight w:val="none"/>
        </w:rPr>
        <w:t>被投诉人2</w:t>
      </w:r>
    </w:p>
    <w:p w14:paraId="6E067485">
      <w:pPr>
        <w:spacing w:line="360" w:lineRule="auto"/>
        <w:ind w:firstLine="360"/>
        <w:rPr>
          <w:rFonts w:ascii="宋体" w:hAnsi="宋体" w:cs="宋体"/>
          <w:color w:val="auto"/>
          <w:sz w:val="24"/>
          <w:highlight w:val="none"/>
          <w:u w:val="dotted"/>
        </w:rPr>
      </w:pPr>
      <w:r>
        <w:rPr>
          <w:rFonts w:hint="eastAsia" w:ascii="宋体" w:hAnsi="宋体" w:cs="宋体"/>
          <w:color w:val="auto"/>
          <w:sz w:val="24"/>
          <w:highlight w:val="none"/>
        </w:rPr>
        <w:t>……</w:t>
      </w:r>
    </w:p>
    <w:p w14:paraId="6C5B06E3">
      <w:pPr>
        <w:spacing w:line="360" w:lineRule="auto"/>
        <w:ind w:firstLine="360"/>
        <w:rPr>
          <w:rFonts w:ascii="宋体" w:hAnsi="宋体" w:cs="宋体"/>
          <w:color w:val="auto"/>
          <w:sz w:val="24"/>
          <w:highlight w:val="none"/>
          <w:u w:val="single"/>
        </w:rPr>
      </w:pPr>
      <w:r>
        <w:rPr>
          <w:rFonts w:hint="eastAsia" w:ascii="宋体" w:hAnsi="宋体" w:cs="宋体"/>
          <w:color w:val="auto"/>
          <w:sz w:val="24"/>
          <w:highlight w:val="none"/>
        </w:rPr>
        <w:t>相关供应商：</w:t>
      </w:r>
    </w:p>
    <w:p w14:paraId="5D6C237B">
      <w:pPr>
        <w:spacing w:line="360" w:lineRule="auto"/>
        <w:ind w:firstLine="360"/>
        <w:rPr>
          <w:rFonts w:ascii="宋体" w:hAnsi="宋体" w:cs="宋体"/>
          <w:color w:val="auto"/>
          <w:sz w:val="24"/>
          <w:highlight w:val="none"/>
          <w:u w:val="single"/>
        </w:rPr>
      </w:pPr>
      <w:r>
        <w:rPr>
          <w:rFonts w:hint="eastAsia" w:ascii="宋体" w:hAnsi="宋体" w:cs="宋体"/>
          <w:color w:val="auto"/>
          <w:sz w:val="24"/>
          <w:highlight w:val="none"/>
        </w:rPr>
        <w:t>地     址：邮编：</w:t>
      </w:r>
    </w:p>
    <w:p w14:paraId="5FF621C9">
      <w:pPr>
        <w:spacing w:line="360" w:lineRule="auto"/>
        <w:ind w:firstLine="360"/>
        <w:rPr>
          <w:rFonts w:ascii="宋体" w:hAnsi="宋体" w:cs="宋体"/>
          <w:color w:val="auto"/>
          <w:sz w:val="24"/>
          <w:highlight w:val="none"/>
          <w:u w:val="single"/>
        </w:rPr>
      </w:pPr>
      <w:r>
        <w:rPr>
          <w:rFonts w:hint="eastAsia" w:ascii="宋体" w:hAnsi="宋体" w:cs="宋体"/>
          <w:color w:val="auto"/>
          <w:sz w:val="24"/>
          <w:highlight w:val="none"/>
        </w:rPr>
        <w:t>联系人：联系电话：</w:t>
      </w:r>
    </w:p>
    <w:p w14:paraId="6AEE3891">
      <w:pPr>
        <w:spacing w:line="360" w:lineRule="auto"/>
        <w:ind w:firstLine="360"/>
        <w:rPr>
          <w:rFonts w:ascii="宋体" w:hAnsi="宋体" w:cs="宋体"/>
          <w:color w:val="auto"/>
          <w:sz w:val="24"/>
          <w:highlight w:val="none"/>
        </w:rPr>
      </w:pPr>
      <w:r>
        <w:rPr>
          <w:rFonts w:hint="eastAsia" w:ascii="宋体" w:hAnsi="宋体" w:cs="宋体"/>
          <w:color w:val="auto"/>
          <w:sz w:val="24"/>
          <w:highlight w:val="none"/>
        </w:rPr>
        <w:t>二、投诉项目基本情况</w:t>
      </w:r>
    </w:p>
    <w:p w14:paraId="164C9FB3">
      <w:pPr>
        <w:spacing w:line="360" w:lineRule="auto"/>
        <w:ind w:firstLine="360"/>
        <w:rPr>
          <w:rFonts w:ascii="宋体" w:hAnsi="宋体" w:cs="宋体"/>
          <w:color w:val="auto"/>
          <w:sz w:val="24"/>
          <w:highlight w:val="none"/>
          <w:u w:val="dotted"/>
        </w:rPr>
      </w:pPr>
      <w:r>
        <w:rPr>
          <w:rFonts w:hint="eastAsia" w:ascii="宋体" w:hAnsi="宋体" w:cs="宋体"/>
          <w:color w:val="auto"/>
          <w:sz w:val="24"/>
          <w:highlight w:val="none"/>
        </w:rPr>
        <w:t>采购项目名称：</w:t>
      </w:r>
      <w:bookmarkStart w:id="288" w:name="PO_3000001867_PM002_12"/>
      <w:bookmarkEnd w:id="288"/>
    </w:p>
    <w:p w14:paraId="2EA6787C">
      <w:pPr>
        <w:spacing w:line="360" w:lineRule="auto"/>
        <w:ind w:firstLine="360"/>
        <w:rPr>
          <w:rFonts w:ascii="宋体" w:hAnsi="宋体" w:cs="宋体"/>
          <w:color w:val="auto"/>
          <w:sz w:val="24"/>
          <w:highlight w:val="none"/>
          <w:u w:val="single"/>
        </w:rPr>
      </w:pPr>
      <w:r>
        <w:rPr>
          <w:rFonts w:hint="eastAsia" w:ascii="宋体" w:hAnsi="宋体" w:cs="宋体"/>
          <w:color w:val="auto"/>
          <w:sz w:val="24"/>
          <w:highlight w:val="none"/>
        </w:rPr>
        <w:t>采购项目编号：</w:t>
      </w:r>
      <w:bookmarkStart w:id="289" w:name="PO_3000001867_PM001_9"/>
      <w:bookmarkEnd w:id="289"/>
      <w:r>
        <w:rPr>
          <w:rFonts w:hint="eastAsia" w:ascii="宋体" w:hAnsi="宋体" w:cs="宋体"/>
          <w:color w:val="auto"/>
          <w:sz w:val="24"/>
          <w:highlight w:val="none"/>
        </w:rPr>
        <w:t>包号：</w:t>
      </w:r>
    </w:p>
    <w:p w14:paraId="16D1132D">
      <w:pPr>
        <w:spacing w:line="360" w:lineRule="auto"/>
        <w:ind w:firstLine="360"/>
        <w:rPr>
          <w:rFonts w:ascii="宋体" w:hAnsi="宋体" w:cs="宋体"/>
          <w:color w:val="auto"/>
          <w:sz w:val="24"/>
          <w:highlight w:val="none"/>
        </w:rPr>
      </w:pPr>
      <w:r>
        <w:rPr>
          <w:rFonts w:hint="eastAsia" w:ascii="宋体" w:hAnsi="宋体" w:cs="宋体"/>
          <w:color w:val="auto"/>
          <w:sz w:val="24"/>
          <w:highlight w:val="none"/>
        </w:rPr>
        <w:t>采购人名称：</w:t>
      </w:r>
      <w:bookmarkStart w:id="290" w:name="PO_3000001867_PM026_6"/>
      <w:bookmarkEnd w:id="290"/>
    </w:p>
    <w:p w14:paraId="368A1714">
      <w:pPr>
        <w:spacing w:line="360" w:lineRule="auto"/>
        <w:ind w:firstLine="360"/>
        <w:rPr>
          <w:rFonts w:ascii="宋体" w:hAnsi="宋体" w:cs="宋体"/>
          <w:color w:val="auto"/>
          <w:sz w:val="24"/>
          <w:highlight w:val="none"/>
          <w:u w:val="single"/>
        </w:rPr>
      </w:pPr>
      <w:r>
        <w:rPr>
          <w:rFonts w:hint="eastAsia" w:ascii="宋体" w:hAnsi="宋体" w:cs="宋体"/>
          <w:color w:val="auto"/>
          <w:sz w:val="24"/>
          <w:highlight w:val="none"/>
        </w:rPr>
        <w:t>代理机构名称：</w:t>
      </w:r>
    </w:p>
    <w:p w14:paraId="67C183B0">
      <w:pPr>
        <w:spacing w:line="360" w:lineRule="auto"/>
        <w:ind w:firstLine="360"/>
        <w:rPr>
          <w:rFonts w:ascii="宋体" w:hAnsi="宋体" w:cs="宋体"/>
          <w:color w:val="auto"/>
          <w:sz w:val="24"/>
          <w:highlight w:val="none"/>
          <w:u w:val="dotted"/>
        </w:rPr>
      </w:pPr>
      <w:r>
        <w:rPr>
          <w:rFonts w:hint="eastAsia" w:ascii="宋体" w:hAnsi="宋体" w:cs="宋体"/>
          <w:color w:val="auto"/>
          <w:sz w:val="24"/>
          <w:highlight w:val="none"/>
        </w:rPr>
        <w:t>采购文件公告:</w:t>
      </w:r>
      <w:r>
        <w:rPr>
          <w:rFonts w:hint="eastAsia" w:ascii="宋体" w:hAnsi="宋体" w:cs="宋体"/>
          <w:color w:val="auto"/>
          <w:sz w:val="24"/>
          <w:highlight w:val="none"/>
          <w:u w:val="dotted"/>
        </w:rPr>
        <w:t xml:space="preserve">是/否 </w:t>
      </w:r>
      <w:r>
        <w:rPr>
          <w:rFonts w:hint="eastAsia" w:ascii="宋体" w:hAnsi="宋体" w:cs="宋体"/>
          <w:color w:val="auto"/>
          <w:sz w:val="24"/>
          <w:highlight w:val="none"/>
        </w:rPr>
        <w:t>公告期限：</w:t>
      </w:r>
    </w:p>
    <w:p w14:paraId="467AE5A3">
      <w:pPr>
        <w:spacing w:line="360" w:lineRule="auto"/>
        <w:ind w:firstLine="360"/>
        <w:rPr>
          <w:rFonts w:ascii="宋体" w:hAnsi="宋体" w:cs="宋体"/>
          <w:color w:val="auto"/>
          <w:sz w:val="24"/>
          <w:highlight w:val="none"/>
          <w:u w:val="single"/>
        </w:rPr>
      </w:pPr>
      <w:r>
        <w:rPr>
          <w:rFonts w:hint="eastAsia" w:ascii="宋体" w:hAnsi="宋体" w:cs="宋体"/>
          <w:color w:val="auto"/>
          <w:sz w:val="24"/>
          <w:highlight w:val="none"/>
        </w:rPr>
        <w:t>采购结果公告:</w:t>
      </w:r>
      <w:r>
        <w:rPr>
          <w:rFonts w:hint="eastAsia" w:ascii="宋体" w:hAnsi="宋体" w:cs="宋体"/>
          <w:color w:val="auto"/>
          <w:sz w:val="24"/>
          <w:highlight w:val="none"/>
          <w:u w:val="dotted"/>
        </w:rPr>
        <w:t xml:space="preserve">是/否 </w:t>
      </w:r>
      <w:r>
        <w:rPr>
          <w:rFonts w:hint="eastAsia" w:ascii="宋体" w:hAnsi="宋体" w:cs="宋体"/>
          <w:color w:val="auto"/>
          <w:sz w:val="24"/>
          <w:highlight w:val="none"/>
        </w:rPr>
        <w:t>公告期限：</w:t>
      </w:r>
    </w:p>
    <w:p w14:paraId="7C1EC587">
      <w:pPr>
        <w:spacing w:line="360" w:lineRule="auto"/>
        <w:ind w:firstLine="360"/>
        <w:rPr>
          <w:rFonts w:ascii="宋体" w:hAnsi="宋体" w:cs="宋体"/>
          <w:color w:val="auto"/>
          <w:sz w:val="24"/>
          <w:highlight w:val="none"/>
        </w:rPr>
      </w:pPr>
      <w:r>
        <w:rPr>
          <w:rFonts w:hint="eastAsia" w:ascii="宋体" w:hAnsi="宋体" w:cs="宋体"/>
          <w:color w:val="auto"/>
          <w:sz w:val="24"/>
          <w:highlight w:val="none"/>
        </w:rPr>
        <w:t>三、质疑基本情况</w:t>
      </w:r>
    </w:p>
    <w:p w14:paraId="1C00BFD0">
      <w:pPr>
        <w:spacing w:line="360" w:lineRule="auto"/>
        <w:ind w:firstLine="480" w:firstLineChars="200"/>
        <w:rPr>
          <w:rFonts w:ascii="宋体" w:hAnsi="宋体" w:cs="宋体"/>
          <w:color w:val="auto"/>
          <w:sz w:val="24"/>
          <w:highlight w:val="none"/>
          <w:u w:val="dotted"/>
        </w:rPr>
      </w:pPr>
      <w:r>
        <w:rPr>
          <w:rFonts w:hint="eastAsia" w:ascii="宋体" w:hAnsi="宋体" w:cs="宋体"/>
          <w:color w:val="auto"/>
          <w:sz w:val="24"/>
          <w:highlight w:val="none"/>
        </w:rPr>
        <w:t>投诉人于    年    月    日,向        提出质疑，质疑事项为：</w:t>
      </w:r>
    </w:p>
    <w:p w14:paraId="046E1EEF">
      <w:pPr>
        <w:spacing w:line="360" w:lineRule="auto"/>
        <w:ind w:firstLine="360"/>
        <w:rPr>
          <w:rFonts w:ascii="宋体" w:hAnsi="宋体" w:cs="宋体"/>
          <w:color w:val="auto"/>
          <w:sz w:val="24"/>
          <w:highlight w:val="none"/>
          <w:u w:val="dotted"/>
        </w:rPr>
      </w:pPr>
    </w:p>
    <w:p w14:paraId="4B0E52E6">
      <w:pPr>
        <w:spacing w:line="360" w:lineRule="auto"/>
        <w:ind w:firstLine="360" w:firstLineChars="150"/>
        <w:rPr>
          <w:rFonts w:ascii="宋体" w:hAnsi="宋体" w:cs="宋体"/>
          <w:color w:val="auto"/>
          <w:sz w:val="24"/>
          <w:highlight w:val="none"/>
        </w:rPr>
      </w:pPr>
      <w:r>
        <w:rPr>
          <w:rFonts w:hint="eastAsia" w:ascii="宋体" w:hAnsi="宋体" w:cs="宋体"/>
          <w:color w:val="auto"/>
          <w:sz w:val="24"/>
          <w:highlight w:val="none"/>
          <w:u w:val="dotted"/>
        </w:rPr>
        <w:t>采购人/代理机构</w:t>
      </w:r>
      <w:r>
        <w:rPr>
          <w:rFonts w:hint="eastAsia" w:ascii="宋体" w:hAnsi="宋体" w:cs="宋体"/>
          <w:color w:val="auto"/>
          <w:sz w:val="24"/>
          <w:highlight w:val="none"/>
        </w:rPr>
        <w:t>于   年  月  日,就质疑事项作出了答复/没有在法定期限内作出答复。</w:t>
      </w:r>
    </w:p>
    <w:p w14:paraId="2F6EC87C">
      <w:pPr>
        <w:spacing w:line="360" w:lineRule="auto"/>
        <w:ind w:firstLine="360"/>
        <w:rPr>
          <w:rFonts w:ascii="宋体" w:hAnsi="宋体" w:cs="宋体"/>
          <w:color w:val="auto"/>
          <w:sz w:val="24"/>
          <w:highlight w:val="none"/>
        </w:rPr>
      </w:pPr>
      <w:r>
        <w:rPr>
          <w:rFonts w:hint="eastAsia" w:ascii="宋体" w:hAnsi="宋体" w:cs="宋体"/>
          <w:color w:val="auto"/>
          <w:sz w:val="24"/>
          <w:highlight w:val="none"/>
        </w:rPr>
        <w:t>四、投诉事项具体内容</w:t>
      </w:r>
    </w:p>
    <w:p w14:paraId="3B111CFE">
      <w:pPr>
        <w:spacing w:line="360" w:lineRule="auto"/>
        <w:ind w:firstLine="360"/>
        <w:rPr>
          <w:rFonts w:ascii="宋体" w:hAnsi="宋体" w:cs="宋体"/>
          <w:color w:val="auto"/>
          <w:sz w:val="24"/>
          <w:highlight w:val="none"/>
          <w:u w:val="single"/>
        </w:rPr>
      </w:pPr>
      <w:r>
        <w:rPr>
          <w:rFonts w:hint="eastAsia" w:ascii="宋体" w:hAnsi="宋体" w:cs="宋体"/>
          <w:color w:val="auto"/>
          <w:sz w:val="24"/>
          <w:highlight w:val="none"/>
        </w:rPr>
        <w:t>投诉事项 1：</w:t>
      </w:r>
    </w:p>
    <w:p w14:paraId="52C188C3">
      <w:pPr>
        <w:spacing w:line="360" w:lineRule="auto"/>
        <w:ind w:firstLine="360"/>
        <w:rPr>
          <w:rFonts w:ascii="宋体" w:hAnsi="宋体" w:cs="宋体"/>
          <w:color w:val="auto"/>
          <w:sz w:val="24"/>
          <w:highlight w:val="none"/>
        </w:rPr>
      </w:pPr>
      <w:r>
        <w:rPr>
          <w:rFonts w:hint="eastAsia" w:ascii="宋体" w:hAnsi="宋体" w:cs="宋体"/>
          <w:color w:val="auto"/>
          <w:sz w:val="24"/>
          <w:highlight w:val="none"/>
        </w:rPr>
        <w:t>事实依据：</w:t>
      </w:r>
    </w:p>
    <w:p w14:paraId="3E4553B8">
      <w:pPr>
        <w:spacing w:line="360" w:lineRule="auto"/>
        <w:ind w:firstLine="360"/>
        <w:rPr>
          <w:rFonts w:ascii="宋体" w:hAnsi="宋体" w:cs="宋体"/>
          <w:color w:val="auto"/>
          <w:sz w:val="24"/>
          <w:highlight w:val="none"/>
          <w:u w:val="dotted"/>
        </w:rPr>
      </w:pPr>
    </w:p>
    <w:p w14:paraId="73285122">
      <w:pPr>
        <w:spacing w:line="360" w:lineRule="auto"/>
        <w:ind w:firstLine="360"/>
        <w:rPr>
          <w:rFonts w:ascii="宋体" w:hAnsi="宋体" w:cs="宋体"/>
          <w:color w:val="auto"/>
          <w:sz w:val="24"/>
          <w:highlight w:val="none"/>
          <w:u w:val="single"/>
        </w:rPr>
      </w:pPr>
      <w:r>
        <w:rPr>
          <w:rFonts w:hint="eastAsia" w:ascii="宋体" w:hAnsi="宋体" w:cs="宋体"/>
          <w:color w:val="auto"/>
          <w:sz w:val="24"/>
          <w:highlight w:val="none"/>
        </w:rPr>
        <w:t>法律依据：</w:t>
      </w:r>
    </w:p>
    <w:p w14:paraId="1E35EED0">
      <w:pPr>
        <w:spacing w:line="360" w:lineRule="auto"/>
        <w:ind w:firstLine="360"/>
        <w:rPr>
          <w:rFonts w:ascii="宋体" w:hAnsi="宋体" w:cs="宋体"/>
          <w:color w:val="auto"/>
          <w:sz w:val="24"/>
          <w:highlight w:val="none"/>
          <w:u w:val="dotted"/>
        </w:rPr>
      </w:pPr>
    </w:p>
    <w:p w14:paraId="0D5EF129">
      <w:pPr>
        <w:spacing w:line="360" w:lineRule="auto"/>
        <w:ind w:firstLine="360"/>
        <w:rPr>
          <w:rFonts w:ascii="宋体" w:hAnsi="宋体" w:cs="宋体"/>
          <w:color w:val="auto"/>
          <w:sz w:val="24"/>
          <w:highlight w:val="none"/>
        </w:rPr>
      </w:pPr>
      <w:r>
        <w:rPr>
          <w:rFonts w:hint="eastAsia" w:ascii="宋体" w:hAnsi="宋体" w:cs="宋体"/>
          <w:color w:val="auto"/>
          <w:sz w:val="24"/>
          <w:highlight w:val="none"/>
        </w:rPr>
        <w:t>投诉事项2</w:t>
      </w:r>
    </w:p>
    <w:p w14:paraId="099F0133">
      <w:pPr>
        <w:spacing w:line="360" w:lineRule="auto"/>
        <w:ind w:firstLine="360"/>
        <w:rPr>
          <w:rFonts w:ascii="宋体" w:hAnsi="宋体" w:cs="宋体"/>
          <w:color w:val="auto"/>
          <w:sz w:val="24"/>
          <w:highlight w:val="none"/>
          <w:u w:val="dotted"/>
        </w:rPr>
      </w:pPr>
      <w:r>
        <w:rPr>
          <w:rFonts w:hint="eastAsia" w:ascii="宋体" w:hAnsi="宋体" w:cs="宋体"/>
          <w:color w:val="auto"/>
          <w:sz w:val="24"/>
          <w:highlight w:val="none"/>
        </w:rPr>
        <w:t>……</w:t>
      </w:r>
    </w:p>
    <w:p w14:paraId="74C89D58">
      <w:pPr>
        <w:spacing w:line="360" w:lineRule="auto"/>
        <w:ind w:firstLine="360"/>
        <w:rPr>
          <w:rFonts w:ascii="宋体" w:hAnsi="宋体" w:cs="宋体"/>
          <w:color w:val="auto"/>
          <w:sz w:val="24"/>
          <w:highlight w:val="none"/>
        </w:rPr>
      </w:pPr>
      <w:r>
        <w:rPr>
          <w:rFonts w:hint="eastAsia" w:ascii="宋体" w:hAnsi="宋体" w:cs="宋体"/>
          <w:color w:val="auto"/>
          <w:sz w:val="24"/>
          <w:highlight w:val="none"/>
        </w:rPr>
        <w:t>五、与投诉事项相关的投诉请求</w:t>
      </w:r>
    </w:p>
    <w:p w14:paraId="25D38DEE">
      <w:pPr>
        <w:spacing w:line="360" w:lineRule="auto"/>
        <w:ind w:firstLine="360"/>
        <w:rPr>
          <w:rFonts w:ascii="宋体" w:hAnsi="宋体" w:cs="宋体"/>
          <w:color w:val="auto"/>
          <w:sz w:val="24"/>
          <w:highlight w:val="none"/>
        </w:rPr>
      </w:pPr>
      <w:r>
        <w:rPr>
          <w:rFonts w:hint="eastAsia" w:ascii="宋体" w:hAnsi="宋体" w:cs="宋体"/>
          <w:color w:val="auto"/>
          <w:sz w:val="24"/>
          <w:highlight w:val="none"/>
        </w:rPr>
        <w:t>请求：</w:t>
      </w:r>
    </w:p>
    <w:p w14:paraId="0064B82B">
      <w:pPr>
        <w:spacing w:line="360" w:lineRule="auto"/>
        <w:ind w:firstLine="360"/>
        <w:rPr>
          <w:rFonts w:ascii="宋体" w:hAnsi="宋体" w:cs="宋体"/>
          <w:color w:val="auto"/>
          <w:sz w:val="24"/>
          <w:highlight w:val="none"/>
          <w:u w:val="single"/>
        </w:rPr>
      </w:pPr>
    </w:p>
    <w:p w14:paraId="4A8ED4A8">
      <w:pPr>
        <w:spacing w:line="360" w:lineRule="auto"/>
        <w:ind w:firstLine="360"/>
        <w:rPr>
          <w:rFonts w:ascii="宋体" w:hAnsi="宋体" w:cs="宋体"/>
          <w:color w:val="auto"/>
          <w:sz w:val="24"/>
          <w:highlight w:val="none"/>
        </w:rPr>
      </w:pPr>
      <w:r>
        <w:rPr>
          <w:rFonts w:hint="eastAsia" w:ascii="宋体" w:hAnsi="宋体" w:cs="宋体"/>
          <w:color w:val="auto"/>
          <w:sz w:val="24"/>
          <w:highlight w:val="none"/>
        </w:rPr>
        <w:t xml:space="preserve">签字(签章)：                   公章：                      </w:t>
      </w:r>
    </w:p>
    <w:p w14:paraId="0B3AD33A">
      <w:pPr>
        <w:spacing w:line="360" w:lineRule="auto"/>
        <w:ind w:firstLine="6960" w:firstLineChars="2900"/>
        <w:rPr>
          <w:rFonts w:ascii="宋体" w:hAnsi="宋体" w:cs="宋体"/>
          <w:color w:val="auto"/>
          <w:sz w:val="24"/>
          <w:highlight w:val="none"/>
        </w:rPr>
      </w:pPr>
      <w:r>
        <w:rPr>
          <w:rFonts w:hint="eastAsia" w:ascii="宋体" w:hAnsi="宋体" w:cs="宋体"/>
          <w:color w:val="auto"/>
          <w:sz w:val="24"/>
          <w:highlight w:val="none"/>
        </w:rPr>
        <w:t xml:space="preserve">日期：    </w:t>
      </w:r>
    </w:p>
    <w:p w14:paraId="5650C215">
      <w:pPr>
        <w:spacing w:line="360" w:lineRule="auto"/>
        <w:ind w:firstLine="361"/>
        <w:rPr>
          <w:rFonts w:ascii="宋体" w:hAnsi="宋体" w:cs="宋体"/>
          <w:b/>
          <w:color w:val="auto"/>
          <w:sz w:val="24"/>
          <w:highlight w:val="none"/>
        </w:rPr>
      </w:pPr>
    </w:p>
    <w:p w14:paraId="27234397">
      <w:pPr>
        <w:spacing w:line="360" w:lineRule="auto"/>
        <w:ind w:firstLine="361"/>
        <w:rPr>
          <w:rFonts w:ascii="宋体" w:hAnsi="宋体" w:cs="宋体"/>
          <w:b/>
          <w:color w:val="auto"/>
          <w:sz w:val="24"/>
          <w:highlight w:val="none"/>
        </w:rPr>
      </w:pPr>
      <w:r>
        <w:rPr>
          <w:rFonts w:hint="eastAsia" w:ascii="宋体" w:hAnsi="宋体" w:cs="宋体"/>
          <w:b/>
          <w:color w:val="auto"/>
          <w:sz w:val="24"/>
          <w:highlight w:val="none"/>
        </w:rPr>
        <w:t>投诉书制作说明：</w:t>
      </w:r>
    </w:p>
    <w:p w14:paraId="2AA21D4F">
      <w:pPr>
        <w:widowControl/>
        <w:spacing w:line="360" w:lineRule="auto"/>
        <w:ind w:firstLine="420" w:firstLineChars="200"/>
        <w:rPr>
          <w:rFonts w:ascii="宋体" w:hAnsi="宋体" w:cs="宋体"/>
          <w:color w:val="auto"/>
          <w:kern w:val="0"/>
          <w:szCs w:val="21"/>
          <w:highlight w:val="none"/>
        </w:rPr>
      </w:pPr>
      <w:r>
        <w:rPr>
          <w:rFonts w:hint="eastAsia" w:ascii="宋体" w:hAnsi="宋体" w:cs="宋体"/>
          <w:color w:val="auto"/>
          <w:szCs w:val="21"/>
          <w:highlight w:val="none"/>
        </w:rPr>
        <w:t>1.投诉人提起投诉时，应当提交投诉书和必要的证明材料，并按照被投诉人和与投诉事项有关的供应商数量提供投诉书副本。</w:t>
      </w:r>
    </w:p>
    <w:p w14:paraId="5D41DC8D">
      <w:pPr>
        <w:widowControl/>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szCs w:val="21"/>
          <w:highlight w:val="none"/>
        </w:rPr>
        <w:t>2.投诉人若委托代理人进行投诉的，投诉书应按照要求列明“授权代表”的有关内容，并在附件中提交由</w:t>
      </w:r>
      <w:r>
        <w:rPr>
          <w:rFonts w:hint="eastAsia" w:ascii="宋体" w:hAnsi="宋体" w:cs="宋体"/>
          <w:color w:val="auto"/>
          <w:kern w:val="0"/>
          <w:szCs w:val="21"/>
          <w:highlight w:val="none"/>
        </w:rPr>
        <w:t>投诉人签署的授权委托书。授权委托书应当载明代理人的姓名或者名称、代理事项、具体权限、期限和相关事项。</w:t>
      </w:r>
    </w:p>
    <w:p w14:paraId="42361A77">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3.投诉人若对项目的某一分包进行投诉，投诉书应列明具体分包号。</w:t>
      </w:r>
    </w:p>
    <w:p w14:paraId="7D42E432">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4.投诉书应简要列明质疑事项，质疑函、质疑答复等作为附件材料提供。</w:t>
      </w:r>
    </w:p>
    <w:p w14:paraId="614C1CD7">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5.投诉书的投诉事项应具体、明确，并有必要的事实依据和法律依据。</w:t>
      </w:r>
    </w:p>
    <w:p w14:paraId="348B41E8">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6.投诉书的投诉请求应与投诉事项相关。</w:t>
      </w:r>
    </w:p>
    <w:p w14:paraId="02700B20">
      <w:pPr>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7.投诉人为自然人的，投诉书应当由本人签字。投诉人为法人或者其他组织的，投诉书应当由法定代表人、主要负责人，或者其授权代表签字或者盖章，并加盖公章。</w:t>
      </w:r>
    </w:p>
    <w:p w14:paraId="5D7A3E01">
      <w:pPr>
        <w:widowControl/>
        <w:spacing w:line="360" w:lineRule="auto"/>
        <w:ind w:firstLine="420" w:firstLineChars="200"/>
        <w:jc w:val="left"/>
        <w:rPr>
          <w:rFonts w:hint="eastAsia" w:ascii="宋体" w:hAnsi="宋体" w:cs="宋体"/>
          <w:color w:val="auto"/>
          <w:szCs w:val="21"/>
          <w:highlight w:val="none"/>
        </w:rPr>
      </w:pPr>
    </w:p>
    <w:p w14:paraId="0053AD0C">
      <w:pPr>
        <w:widowControl/>
        <w:spacing w:line="360" w:lineRule="auto"/>
        <w:ind w:firstLine="0" w:firstLineChars="0"/>
        <w:jc w:val="left"/>
        <w:rPr>
          <w:rFonts w:hint="eastAsia" w:ascii="微软雅黑" w:hAnsi="微软雅黑" w:eastAsia="微软雅黑" w:cs="微软雅黑"/>
          <w:i w:val="0"/>
          <w:iCs w:val="0"/>
          <w:caps w:val="0"/>
          <w:color w:val="auto"/>
          <w:spacing w:val="0"/>
          <w:sz w:val="21"/>
          <w:szCs w:val="21"/>
          <w:highlight w:val="none"/>
          <w:shd w:val="clear" w:fill="FFFFFF"/>
        </w:rPr>
      </w:pPr>
    </w:p>
    <w:sectPr>
      <w:footerReference r:id="rId6" w:type="default"/>
      <w:pgSz w:w="11905" w:h="16838"/>
      <w:pgMar w:top="1417" w:right="1417" w:bottom="1417" w:left="1417" w:header="850" w:footer="850" w:gutter="0"/>
      <w:pgBorders>
        <w:top w:val="none" w:sz="0" w:space="0"/>
        <w:left w:val="none" w:sz="0" w:space="0"/>
        <w:bottom w:val="none" w:sz="0" w:space="0"/>
        <w:right w:val="none" w:sz="0" w:space="0"/>
      </w:pgBorders>
      <w:pgNumType w:fmt="decimal"/>
      <w:cols w:space="720" w:num="1"/>
      <w:docGrid w:linePitch="33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1596DF1-9015-454D-BC59-893D82CCBFBC}"/>
  </w:font>
  <w:font w:name="黑体">
    <w:panose1 w:val="02010609060101010101"/>
    <w:charset w:val="86"/>
    <w:family w:val="auto"/>
    <w:pitch w:val="default"/>
    <w:sig w:usb0="800002BF" w:usb1="38CF7CFA" w:usb2="00000016" w:usb3="00000000" w:csb0="00040001" w:csb1="00000000"/>
    <w:embedRegular r:id="rId2" w:fontKey="{3F9B60B1-569F-4AC2-8C7C-D950ADFD5CEE}"/>
  </w:font>
  <w:font w:name="Courier New">
    <w:panose1 w:val="02070309020205020404"/>
    <w:charset w:val="01"/>
    <w:family w:val="modern"/>
    <w:pitch w:val="default"/>
    <w:sig w:usb0="E0002EFF" w:usb1="C0007843" w:usb2="00000009" w:usb3="00000000" w:csb0="400001FF" w:csb1="FFFF0000"/>
    <w:embedRegular r:id="rId3" w:fontKey="{8B0A05F3-AE59-46CC-9AAF-F8BD99EB6185}"/>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Ђ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embedRegular r:id="rId4" w:fontKey="{09F734F6-B118-4F90-A0A9-5D078EE8EF4E}"/>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Perpetua">
    <w:altName w:val="PMingLiU-ExtB"/>
    <w:panose1 w:val="02020502060401020303"/>
    <w:charset w:val="00"/>
    <w:family w:val="roman"/>
    <w:pitch w:val="default"/>
    <w:sig w:usb0="00000000" w:usb1="00000000" w:usb2="00000000" w:usb3="00000000" w:csb0="20000001" w:csb1="00000000"/>
  </w:font>
  <w:font w:name="PMingLiU-ExtB">
    <w:panose1 w:val="02020500000000000000"/>
    <w:charset w:val="88"/>
    <w:family w:val="auto"/>
    <w:pitch w:val="default"/>
    <w:sig w:usb0="8000002F" w:usb1="02000008" w:usb2="00000000" w:usb3="00000000" w:csb0="00100001" w:csb1="00000000"/>
  </w:font>
  <w:font w:name="仿宋_GB2312">
    <w:panose1 w:val="02010609030101010101"/>
    <w:charset w:val="86"/>
    <w:family w:val="modern"/>
    <w:pitch w:val="default"/>
    <w:sig w:usb0="00000001" w:usb1="080E0000" w:usb2="00000000" w:usb3="00000000" w:csb0="00040000" w:csb1="00000000"/>
    <w:embedRegular r:id="rId5" w:fontKey="{0BBFFAB0-2A63-4091-987E-30187D159706}"/>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embedRegular r:id="rId6" w:fontKey="{52E26B31-DF5B-48AF-857A-F5EA2DE9016C}"/>
  </w:font>
  <w:font w:name="Wingdings 2">
    <w:panose1 w:val="05020102010507070707"/>
    <w:charset w:val="02"/>
    <w:family w:val="auto"/>
    <w:pitch w:val="default"/>
    <w:sig w:usb0="00000000" w:usb1="00000000" w:usb2="00000000" w:usb3="00000000" w:csb0="80000000" w:csb1="00000000"/>
    <w:embedRegular r:id="rId7" w:fontKey="{653BFF24-A24B-4F76-AF13-90A556A6E535}"/>
  </w:font>
  <w:font w:name="Segoe UI">
    <w:panose1 w:val="020B0502040204020203"/>
    <w:charset w:val="00"/>
    <w:family w:val="auto"/>
    <w:pitch w:val="default"/>
    <w:sig w:usb0="E4002EFF" w:usb1="C000E47F" w:usb2="00000009" w:usb3="00000000" w:csb0="200001FF" w:csb1="00000000"/>
    <w:embedRegular r:id="rId8" w:fontKey="{BEB6EB15-CA34-4F0E-A8BB-8995DF2B7A37}"/>
  </w:font>
  <w:font w:name="Cambria Math">
    <w:panose1 w:val="02040503050406030204"/>
    <w:charset w:val="00"/>
    <w:family w:val="roman"/>
    <w:pitch w:val="default"/>
    <w:sig w:usb0="E00006FF" w:usb1="420024FF" w:usb2="02000000" w:usb3="00000000" w:csb0="2000019F" w:csb1="00000000"/>
    <w:embedRegular r:id="rId9" w:fontKey="{2604B248-28E5-4257-A046-6EC653B428C0}"/>
  </w:font>
  <w:font w:name="MS Mincho">
    <w:altName w:val="Yu Gothic UI"/>
    <w:panose1 w:val="02020609040205080304"/>
    <w:charset w:val="80"/>
    <w:family w:val="modern"/>
    <w:pitch w:val="default"/>
    <w:sig w:usb0="00000000" w:usb1="00000000" w:usb2="00000012" w:usb3="00000000" w:csb0="0002009F" w:csb1="00000000"/>
    <w:embedRegular r:id="rId10" w:fontKey="{26BD2B13-7704-44A3-A981-85EF1B083126}"/>
  </w:font>
  <w:font w:name="Yu Gothic UI">
    <w:panose1 w:val="020B0500000000000000"/>
    <w:charset w:val="80"/>
    <w:family w:val="auto"/>
    <w:pitch w:val="default"/>
    <w:sig w:usb0="E00002FF" w:usb1="2AC7FDFF" w:usb2="00000016" w:usb3="00000000" w:csb0="2002009F" w:csb1="00000000"/>
  </w:font>
  <w:font w:name="方正仿宋_GB2312">
    <w:altName w:val="仿宋"/>
    <w:panose1 w:val="00000000000000000000"/>
    <w:charset w:val="86"/>
    <w:family w:val="auto"/>
    <w:pitch w:val="default"/>
    <w:sig w:usb0="00000000" w:usb1="00000000" w:usb2="00000012" w:usb3="00000000" w:csb0="00040001" w:csb1="00000000"/>
    <w:embedRegular r:id="rId11" w:fontKey="{0330AC20-BDD1-4ED4-AAF8-BD7583129CBD}"/>
  </w:font>
  <w:font w:name="楷体">
    <w:panose1 w:val="02010609060101010101"/>
    <w:charset w:val="86"/>
    <w:family w:val="auto"/>
    <w:pitch w:val="default"/>
    <w:sig w:usb0="800002BF" w:usb1="38CF7CFA" w:usb2="00000016" w:usb3="00000000" w:csb0="00040001" w:csb1="00000000"/>
    <w:embedRegular r:id="rId12" w:fontKey="{A68A8D13-A994-4CD7-AE1B-3A632B8E05C1}"/>
  </w:font>
  <w:font w:name="WPSEMBED5">
    <w:panose1 w:val="02010609030101010101"/>
    <w:charset w:val="86"/>
    <w:family w:val="auto"/>
    <w:pitch w:val="default"/>
    <w:sig w:usb0="00000001" w:usb1="080E0000" w:usb2="00000000" w:usb3="00000000" w:csb0="00040000"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B3369">
    <w:pPr>
      <w:pStyle w:val="17"/>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C3A62B"/>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EC3A62B"/>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3D4DB">
    <w:pPr>
      <w:pStyle w:val="1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F7DCDFF">
                          <w:pPr>
                            <w:pStyle w:val="17"/>
                          </w:pPr>
                          <w:r>
                            <w:fldChar w:fldCharType="begin"/>
                          </w:r>
                          <w:r>
                            <w:instrText xml:space="preserve"> PAGE  \* MERGEFORMAT </w:instrText>
                          </w:r>
                          <w:r>
                            <w:fldChar w:fldCharType="separate"/>
                          </w:r>
                          <w:r>
                            <w:t>6</w:t>
                          </w:r>
                          <w:r>
                            <w:fldChar w:fldCharType="end"/>
                          </w:r>
                        </w:p>
                      </w:txbxContent>
                    </wps:txbx>
                    <wps:bodyPr wrap="none" lIns="0" tIns="0" rIns="0" bIns="0">
                      <a:spAutoFit/>
                    </wps:bodyPr>
                  </wps:wsp>
                </a:graphicData>
              </a:graphic>
            </wp:anchor>
          </w:drawing>
        </mc:Choice>
        <mc:Fallback>
          <w:pict>
            <v:shape id="文本框 10"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K8rQ8YBAACcAwAADgAAAGRycy9lMm9Eb2MueG1srVNLbtswEN0X6B0I&#10;7mvJXhSGYDloYCQoEKQF0h6ApiiLAMkhOLQlX6C9QVfddN9z+RwdUrKdppssuqHmxzfzHkerm8Ea&#10;dlABNbiaz2clZ8pJaLTb1fzrl7t3S84wCtcIA07V/KiQ36zfvln1vlIL6MA0KjACcVj1vuZdjL4q&#10;CpSdsgJn4JWjZAvBikhu2BVNED2hW1MsyvJ90UNofACpECm6GZN8QgyvAYS21VJtQO6tcnFEDcqI&#10;SJSw0x75Ok/btkrGT22LKjJTc2Ia80lNyN6ms1ivRLULwndaTiOI14zwgpMV2lHTC9RGRMH2Qf8D&#10;ZbUMgNDGmQRbjESyIsRiXr7Q5qkTXmUuJDX6i+j4/2Dl4+FzYLqhTeDMCUsPfvrx/fTz9+nXNzbP&#10;+vQeKyp78lQYh1sYUi3pluJIwUR7aINNXyLEKE/qHi/qqiEymS4tF8tlSSlJubNDOMX1ug8Y7xVY&#10;loyaB3q+rKo4PGAcS88lqZuDO21MfkLj/goQ5hhReQem29eJkxWH7TDR2EJzJHY97UHNHa09Z+aj&#10;I5nTypyNcDa2k5E6ov+wjzRGni6hjlDEKjn0aJnftGBpK577uer6U63/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AgrytDxgEAAJwDAAAOAAAAAAAAAAEAIAAAAB4BAABkcnMvZTJvRG9jLnht&#10;bFBLBQYAAAAABgAGAFkBAABWBQAAAAA=&#10;">
              <v:fill on="f" focussize="0,0"/>
              <v:stroke on="f"/>
              <v:imagedata o:title=""/>
              <o:lock v:ext="edit" aspectratio="f"/>
              <v:textbox inset="0mm,0mm,0mm,0mm" style="mso-fit-shape-to-text:t;">
                <w:txbxContent>
                  <w:p w14:paraId="5F7DCDFF">
                    <w:pPr>
                      <w:pStyle w:val="17"/>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C6190">
    <w:pPr>
      <w:pStyle w:val="17"/>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7CF32F">
                          <w:pPr>
                            <w:pStyle w:val="17"/>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57CF32F">
                    <w:pPr>
                      <w:pStyle w:val="17"/>
                    </w:pPr>
                    <w:r>
                      <w:fldChar w:fldCharType="begin"/>
                    </w:r>
                    <w:r>
                      <w:instrText xml:space="preserve"> PAGE  \* MERGEFORMAT </w:instrText>
                    </w:r>
                    <w:r>
                      <w:fldChar w:fldCharType="separate"/>
                    </w:r>
                    <w:r>
                      <w:t>2</w:t>
                    </w:r>
                    <w:r>
                      <w:fldChar w:fldCharType="end"/>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07A281"/>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807A281"/>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F688F">
    <w:pPr>
      <w:pStyle w:val="17"/>
      <w:ind w:firstLine="27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F4A93FF">
                          <w:pPr>
                            <w:pStyle w:val="17"/>
                          </w:pPr>
                          <w:r>
                            <w:fldChar w:fldCharType="begin"/>
                          </w:r>
                          <w:r>
                            <w:instrText xml:space="preserve"> PAGE  \* MERGEFORMAT </w:instrText>
                          </w:r>
                          <w:r>
                            <w:fldChar w:fldCharType="separate"/>
                          </w:r>
                          <w:r>
                            <w:t>2</w:t>
                          </w:r>
                          <w:r>
                            <w:fldChar w:fldCharType="end"/>
                          </w:r>
                        </w:p>
                      </w:txbxContent>
                    </wps:txbx>
                    <wps:bodyPr wrap="none" lIns="0" tIns="0" rIns="0" bIns="0">
                      <a:spAutoFit/>
                    </wps:bodyPr>
                  </wps:wsp>
                </a:graphicData>
              </a:graphic>
            </wp:anchor>
          </w:drawing>
        </mc:Choice>
        <mc:Fallback>
          <w:pict>
            <v:shape id="文本框 14"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Ay0EMcBAACcAwAADgAAAGRycy9lMm9Eb2MueG1srVPNjtMwEL4j8Q6W&#10;7zRphVAVNV3tqlqEhABp4QFcZ9JY8p88bpO+ALwBJy7cea4+B2Mn6cJy2QMXZ/78zXyfJ5ubwWh2&#10;goDK2ZovFyVnYKVrlD3U/Mvn+1drzjAK2wjtLNT8DMhvti9fbHpfwcp1TjcQGIFYrHpf8y5GXxUF&#10;yg6MwIXzYCnZumBEJDcciiaIntCNLlZl+aboXWh8cBIQKbobk3xCDM8BdG2rJOycPBqwcUQNoEUk&#10;Stgpj3ybp21bkPFj2yJEpmtOTGM+qQnZ+3QW242oDkH4TslpBPGcEZ5wMkJZanqF2oko2DGof6CM&#10;ksGha+NCOlOMRLIixGJZPtHmoRMeMheSGv1VdPx/sPLD6VNgqqn5ijMrDD345fu3y49fl59f2fJ1&#10;0qf3WFHZg6fCONy5gbZmjiMFE+2hDSZ9iRCjPKl7vqoLQ2QyXVqv1uuSUpJys0P4xeN1HzC+BWdY&#10;Mmoe6PmyquL0HuNYOpekbtbdK63zE2r7V4AwxwjkHZhuJybjxMmKw36Y6O1dcyZ2Pe1BzS2tPWf6&#10;nSWZ08rMRpiN/WSkjuhvj5HGyNMl1BGKWCWHHi3zmxYsbcWffq56/Km2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CAy0EMcBAACcAwAADgAAAAAAAAABACAAAAAeAQAAZHJzL2Uyb0RvYy54&#10;bWxQSwUGAAAAAAYABgBZAQAAVwUAAAAA&#10;">
              <v:fill on="f" focussize="0,0"/>
              <v:stroke on="f"/>
              <v:imagedata o:title=""/>
              <o:lock v:ext="edit" aspectratio="f"/>
              <v:textbox inset="0mm,0mm,0mm,0mm" style="mso-fit-shape-to-text:t;">
                <w:txbxContent>
                  <w:p w14:paraId="3F4A93FF">
                    <w:pPr>
                      <w:pStyle w:val="17"/>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88B5EC"/>
    <w:multiLevelType w:val="singleLevel"/>
    <w:tmpl w:val="BE88B5EC"/>
    <w:lvl w:ilvl="0" w:tentative="0">
      <w:start w:val="3"/>
      <w:numFmt w:val="chineseCounting"/>
      <w:suff w:val="space"/>
      <w:lvlText w:val="第%1节"/>
      <w:lvlJc w:val="left"/>
      <w:rPr>
        <w:rFonts w:hint="eastAsia"/>
      </w:rPr>
    </w:lvl>
  </w:abstractNum>
  <w:abstractNum w:abstractNumId="1">
    <w:nsid w:val="00000007"/>
    <w:multiLevelType w:val="multilevel"/>
    <w:tmpl w:val="00000007"/>
    <w:lvl w:ilvl="0" w:tentative="0">
      <w:start w:val="1"/>
      <w:numFmt w:val="decimal"/>
      <w:lvlText w:val="（%1）"/>
      <w:lvlJc w:val="left"/>
      <w:pPr>
        <w:tabs>
          <w:tab w:val="left" w:pos="1140"/>
        </w:tabs>
        <w:ind w:left="1140" w:hanging="720"/>
      </w:pPr>
      <w:rPr>
        <w:rFonts w:ascii="宋体" w:hAnsi="宋体" w:eastAsia="宋体" w:cs="Times New Roman"/>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embedTrueTypeFonts/>
  <w:saveSubsetFonts/>
  <w:bordersDoNotSurroundHeader w:val="0"/>
  <w:bordersDoNotSurroundFooter w:val="0"/>
  <w:hideSpellingErrors/>
  <w:revisionView w:markup="0"/>
  <w:documentProtection w:enforcement="0"/>
  <w:defaultTabStop w:val="420"/>
  <w:drawingGridHorizontalSpacing w:val="210"/>
  <w:drawingGridVerticalSpacing w:val="-794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cyOGU1ZTI2MmFhYjllM2NkMmUwOTA3Y2ViMWFhMDEifQ=="/>
    <w:docVar w:name="KSO_WPS_MARK_KEY" w:val="cc415a39-06a3-4dc9-aacc-f90bba6054fc"/>
  </w:docVars>
  <w:rsids>
    <w:rsidRoot w:val="00092860"/>
    <w:rsid w:val="00005EFD"/>
    <w:rsid w:val="00010BF3"/>
    <w:rsid w:val="000273CC"/>
    <w:rsid w:val="0003385D"/>
    <w:rsid w:val="00040261"/>
    <w:rsid w:val="00040F92"/>
    <w:rsid w:val="000433C1"/>
    <w:rsid w:val="00043F31"/>
    <w:rsid w:val="00047C64"/>
    <w:rsid w:val="0005490F"/>
    <w:rsid w:val="0006056C"/>
    <w:rsid w:val="0006204B"/>
    <w:rsid w:val="00066EBC"/>
    <w:rsid w:val="00073D4E"/>
    <w:rsid w:val="00092860"/>
    <w:rsid w:val="000B5BCA"/>
    <w:rsid w:val="000B701C"/>
    <w:rsid w:val="000B7547"/>
    <w:rsid w:val="000C1984"/>
    <w:rsid w:val="000C39D5"/>
    <w:rsid w:val="000E6FB9"/>
    <w:rsid w:val="001166DB"/>
    <w:rsid w:val="00116758"/>
    <w:rsid w:val="001256A7"/>
    <w:rsid w:val="001320E9"/>
    <w:rsid w:val="001328D2"/>
    <w:rsid w:val="00144379"/>
    <w:rsid w:val="00146066"/>
    <w:rsid w:val="00155351"/>
    <w:rsid w:val="00160495"/>
    <w:rsid w:val="00166007"/>
    <w:rsid w:val="00192E98"/>
    <w:rsid w:val="001949E5"/>
    <w:rsid w:val="001975A0"/>
    <w:rsid w:val="001A181B"/>
    <w:rsid w:val="001B61CD"/>
    <w:rsid w:val="001C0C05"/>
    <w:rsid w:val="001E11C8"/>
    <w:rsid w:val="00206CEE"/>
    <w:rsid w:val="002208DF"/>
    <w:rsid w:val="002235CA"/>
    <w:rsid w:val="0022459A"/>
    <w:rsid w:val="002346FE"/>
    <w:rsid w:val="002567D5"/>
    <w:rsid w:val="0026013C"/>
    <w:rsid w:val="002615F8"/>
    <w:rsid w:val="0026408B"/>
    <w:rsid w:val="00273835"/>
    <w:rsid w:val="00275094"/>
    <w:rsid w:val="002A0A42"/>
    <w:rsid w:val="002D06FD"/>
    <w:rsid w:val="002D51E2"/>
    <w:rsid w:val="002E1317"/>
    <w:rsid w:val="002E1352"/>
    <w:rsid w:val="002E5D76"/>
    <w:rsid w:val="002E5E75"/>
    <w:rsid w:val="002F7FBA"/>
    <w:rsid w:val="00303F39"/>
    <w:rsid w:val="003133C7"/>
    <w:rsid w:val="00323940"/>
    <w:rsid w:val="00332988"/>
    <w:rsid w:val="00334D42"/>
    <w:rsid w:val="00343249"/>
    <w:rsid w:val="003438A9"/>
    <w:rsid w:val="00352BD7"/>
    <w:rsid w:val="00362A7A"/>
    <w:rsid w:val="00383848"/>
    <w:rsid w:val="003A33A9"/>
    <w:rsid w:val="003B0490"/>
    <w:rsid w:val="003B3F39"/>
    <w:rsid w:val="003C0DF2"/>
    <w:rsid w:val="003D2DC5"/>
    <w:rsid w:val="003F2D8B"/>
    <w:rsid w:val="003F6450"/>
    <w:rsid w:val="00404521"/>
    <w:rsid w:val="00404A75"/>
    <w:rsid w:val="0041040E"/>
    <w:rsid w:val="00410CC3"/>
    <w:rsid w:val="00410D76"/>
    <w:rsid w:val="00413E2E"/>
    <w:rsid w:val="00416146"/>
    <w:rsid w:val="004230D0"/>
    <w:rsid w:val="00425E61"/>
    <w:rsid w:val="0043145C"/>
    <w:rsid w:val="004322CC"/>
    <w:rsid w:val="004341BF"/>
    <w:rsid w:val="00442B1D"/>
    <w:rsid w:val="00451EC7"/>
    <w:rsid w:val="00457796"/>
    <w:rsid w:val="0047417A"/>
    <w:rsid w:val="004766C4"/>
    <w:rsid w:val="00490327"/>
    <w:rsid w:val="00490D6E"/>
    <w:rsid w:val="00492DB5"/>
    <w:rsid w:val="00497589"/>
    <w:rsid w:val="004A4DAC"/>
    <w:rsid w:val="004B0D73"/>
    <w:rsid w:val="004B7F40"/>
    <w:rsid w:val="004C57B1"/>
    <w:rsid w:val="004D2DE8"/>
    <w:rsid w:val="004D349F"/>
    <w:rsid w:val="004D7C80"/>
    <w:rsid w:val="004E0BEA"/>
    <w:rsid w:val="004E4CAE"/>
    <w:rsid w:val="004F0BE8"/>
    <w:rsid w:val="00501AF1"/>
    <w:rsid w:val="00506186"/>
    <w:rsid w:val="00521698"/>
    <w:rsid w:val="00537C28"/>
    <w:rsid w:val="00541035"/>
    <w:rsid w:val="005425F1"/>
    <w:rsid w:val="0057493F"/>
    <w:rsid w:val="00577B6C"/>
    <w:rsid w:val="005B44CD"/>
    <w:rsid w:val="005C1A10"/>
    <w:rsid w:val="005C5EDB"/>
    <w:rsid w:val="005D39C3"/>
    <w:rsid w:val="005D4278"/>
    <w:rsid w:val="005E055C"/>
    <w:rsid w:val="005E19AB"/>
    <w:rsid w:val="005E2083"/>
    <w:rsid w:val="005F097E"/>
    <w:rsid w:val="005F2507"/>
    <w:rsid w:val="005F3021"/>
    <w:rsid w:val="005F3916"/>
    <w:rsid w:val="00604B77"/>
    <w:rsid w:val="0062026B"/>
    <w:rsid w:val="00621A42"/>
    <w:rsid w:val="00640E1C"/>
    <w:rsid w:val="00642E60"/>
    <w:rsid w:val="006469AF"/>
    <w:rsid w:val="00657C4E"/>
    <w:rsid w:val="00671656"/>
    <w:rsid w:val="006746F4"/>
    <w:rsid w:val="00682DF8"/>
    <w:rsid w:val="00684132"/>
    <w:rsid w:val="00690C83"/>
    <w:rsid w:val="006911F9"/>
    <w:rsid w:val="0069357D"/>
    <w:rsid w:val="006944A6"/>
    <w:rsid w:val="006948F4"/>
    <w:rsid w:val="006A2183"/>
    <w:rsid w:val="006A243D"/>
    <w:rsid w:val="006A559B"/>
    <w:rsid w:val="006A7F25"/>
    <w:rsid w:val="006B14A1"/>
    <w:rsid w:val="006C299A"/>
    <w:rsid w:val="006C30EA"/>
    <w:rsid w:val="006D1017"/>
    <w:rsid w:val="006D1A81"/>
    <w:rsid w:val="006D315D"/>
    <w:rsid w:val="006D3425"/>
    <w:rsid w:val="006E208F"/>
    <w:rsid w:val="006F4B7F"/>
    <w:rsid w:val="006F5C1E"/>
    <w:rsid w:val="006F674C"/>
    <w:rsid w:val="006F7BDE"/>
    <w:rsid w:val="00704EE0"/>
    <w:rsid w:val="0070732A"/>
    <w:rsid w:val="00714F4A"/>
    <w:rsid w:val="00715CF3"/>
    <w:rsid w:val="007259C4"/>
    <w:rsid w:val="00731D95"/>
    <w:rsid w:val="00733E26"/>
    <w:rsid w:val="00736635"/>
    <w:rsid w:val="0074115E"/>
    <w:rsid w:val="00745B91"/>
    <w:rsid w:val="00746AAA"/>
    <w:rsid w:val="00785895"/>
    <w:rsid w:val="007A5708"/>
    <w:rsid w:val="007B3E60"/>
    <w:rsid w:val="007C1F83"/>
    <w:rsid w:val="007C7266"/>
    <w:rsid w:val="007D02E4"/>
    <w:rsid w:val="007D33CA"/>
    <w:rsid w:val="007E170F"/>
    <w:rsid w:val="007E5F9C"/>
    <w:rsid w:val="007F455A"/>
    <w:rsid w:val="00800818"/>
    <w:rsid w:val="00813797"/>
    <w:rsid w:val="00857746"/>
    <w:rsid w:val="00866160"/>
    <w:rsid w:val="00866A3A"/>
    <w:rsid w:val="00872E05"/>
    <w:rsid w:val="00886F11"/>
    <w:rsid w:val="00891BE8"/>
    <w:rsid w:val="00891D19"/>
    <w:rsid w:val="00897E52"/>
    <w:rsid w:val="008A06A8"/>
    <w:rsid w:val="008A1868"/>
    <w:rsid w:val="008A7DA6"/>
    <w:rsid w:val="008B62D3"/>
    <w:rsid w:val="008D09DB"/>
    <w:rsid w:val="008D6905"/>
    <w:rsid w:val="008F08F7"/>
    <w:rsid w:val="00903A7C"/>
    <w:rsid w:val="009067C1"/>
    <w:rsid w:val="00924691"/>
    <w:rsid w:val="00927301"/>
    <w:rsid w:val="00932E35"/>
    <w:rsid w:val="009354A9"/>
    <w:rsid w:val="009370C0"/>
    <w:rsid w:val="00944E5A"/>
    <w:rsid w:val="0094544D"/>
    <w:rsid w:val="00954A17"/>
    <w:rsid w:val="00964401"/>
    <w:rsid w:val="00974C77"/>
    <w:rsid w:val="0099095F"/>
    <w:rsid w:val="00991794"/>
    <w:rsid w:val="00993EAC"/>
    <w:rsid w:val="009A0D3C"/>
    <w:rsid w:val="009A241A"/>
    <w:rsid w:val="009A7605"/>
    <w:rsid w:val="009C1A32"/>
    <w:rsid w:val="009C643F"/>
    <w:rsid w:val="009D331B"/>
    <w:rsid w:val="009E1B7A"/>
    <w:rsid w:val="009E5340"/>
    <w:rsid w:val="00A10BE4"/>
    <w:rsid w:val="00A3709A"/>
    <w:rsid w:val="00A4717F"/>
    <w:rsid w:val="00A543B2"/>
    <w:rsid w:val="00A549DD"/>
    <w:rsid w:val="00A65789"/>
    <w:rsid w:val="00A72626"/>
    <w:rsid w:val="00A907CB"/>
    <w:rsid w:val="00A93131"/>
    <w:rsid w:val="00AA2AE0"/>
    <w:rsid w:val="00AA3904"/>
    <w:rsid w:val="00AB3CBD"/>
    <w:rsid w:val="00AB65BD"/>
    <w:rsid w:val="00AD425F"/>
    <w:rsid w:val="00AF00B1"/>
    <w:rsid w:val="00B144E7"/>
    <w:rsid w:val="00B20EA5"/>
    <w:rsid w:val="00B23A9C"/>
    <w:rsid w:val="00B243DA"/>
    <w:rsid w:val="00B27F7B"/>
    <w:rsid w:val="00B30ABD"/>
    <w:rsid w:val="00B320CD"/>
    <w:rsid w:val="00B47648"/>
    <w:rsid w:val="00B5550B"/>
    <w:rsid w:val="00B567E9"/>
    <w:rsid w:val="00B75770"/>
    <w:rsid w:val="00B87A8B"/>
    <w:rsid w:val="00B96B17"/>
    <w:rsid w:val="00BA110F"/>
    <w:rsid w:val="00BB1996"/>
    <w:rsid w:val="00BC3A1F"/>
    <w:rsid w:val="00BD63A3"/>
    <w:rsid w:val="00BE144F"/>
    <w:rsid w:val="00BF03CF"/>
    <w:rsid w:val="00BF2141"/>
    <w:rsid w:val="00BF6AB3"/>
    <w:rsid w:val="00C01C69"/>
    <w:rsid w:val="00C23077"/>
    <w:rsid w:val="00C51A0F"/>
    <w:rsid w:val="00C53945"/>
    <w:rsid w:val="00C6393B"/>
    <w:rsid w:val="00C7117D"/>
    <w:rsid w:val="00C761DB"/>
    <w:rsid w:val="00C77F95"/>
    <w:rsid w:val="00C80FAE"/>
    <w:rsid w:val="00C90C30"/>
    <w:rsid w:val="00C932F3"/>
    <w:rsid w:val="00CA24B8"/>
    <w:rsid w:val="00CA40DD"/>
    <w:rsid w:val="00CB1BD0"/>
    <w:rsid w:val="00CB43A4"/>
    <w:rsid w:val="00CC084B"/>
    <w:rsid w:val="00CC741B"/>
    <w:rsid w:val="00CD6EFC"/>
    <w:rsid w:val="00CE369E"/>
    <w:rsid w:val="00D01581"/>
    <w:rsid w:val="00D16330"/>
    <w:rsid w:val="00D1692A"/>
    <w:rsid w:val="00D20482"/>
    <w:rsid w:val="00D25502"/>
    <w:rsid w:val="00D27548"/>
    <w:rsid w:val="00D27864"/>
    <w:rsid w:val="00D33CB5"/>
    <w:rsid w:val="00D37BA9"/>
    <w:rsid w:val="00D424A0"/>
    <w:rsid w:val="00D4271F"/>
    <w:rsid w:val="00D43ECA"/>
    <w:rsid w:val="00D5590B"/>
    <w:rsid w:val="00D60F26"/>
    <w:rsid w:val="00D60F48"/>
    <w:rsid w:val="00D6155B"/>
    <w:rsid w:val="00D67588"/>
    <w:rsid w:val="00D75E51"/>
    <w:rsid w:val="00D8314B"/>
    <w:rsid w:val="00DA1555"/>
    <w:rsid w:val="00DB0CD8"/>
    <w:rsid w:val="00DC086B"/>
    <w:rsid w:val="00DD2A79"/>
    <w:rsid w:val="00DE6753"/>
    <w:rsid w:val="00E02572"/>
    <w:rsid w:val="00E06334"/>
    <w:rsid w:val="00E0684F"/>
    <w:rsid w:val="00E25E36"/>
    <w:rsid w:val="00E37598"/>
    <w:rsid w:val="00E52EA4"/>
    <w:rsid w:val="00E60F72"/>
    <w:rsid w:val="00E73C5C"/>
    <w:rsid w:val="00E75E67"/>
    <w:rsid w:val="00E764AF"/>
    <w:rsid w:val="00E7665F"/>
    <w:rsid w:val="00E77C6C"/>
    <w:rsid w:val="00E80839"/>
    <w:rsid w:val="00E90D51"/>
    <w:rsid w:val="00E93F6B"/>
    <w:rsid w:val="00EA6B38"/>
    <w:rsid w:val="00EA74E9"/>
    <w:rsid w:val="00EA7EFA"/>
    <w:rsid w:val="00EB20A0"/>
    <w:rsid w:val="00EC1B3B"/>
    <w:rsid w:val="00EC2F8A"/>
    <w:rsid w:val="00EC67C9"/>
    <w:rsid w:val="00ED56BD"/>
    <w:rsid w:val="00F04877"/>
    <w:rsid w:val="00F1001B"/>
    <w:rsid w:val="00F118ED"/>
    <w:rsid w:val="00F13DF3"/>
    <w:rsid w:val="00F252A3"/>
    <w:rsid w:val="00F319A0"/>
    <w:rsid w:val="00F31C39"/>
    <w:rsid w:val="00F42A56"/>
    <w:rsid w:val="00F51A7C"/>
    <w:rsid w:val="00F5789B"/>
    <w:rsid w:val="00F62E2E"/>
    <w:rsid w:val="00F7092F"/>
    <w:rsid w:val="00F8334F"/>
    <w:rsid w:val="00F90CD4"/>
    <w:rsid w:val="00F91962"/>
    <w:rsid w:val="00FA6902"/>
    <w:rsid w:val="00FB0D73"/>
    <w:rsid w:val="00FB2B5A"/>
    <w:rsid w:val="00FB73A5"/>
    <w:rsid w:val="00FC144D"/>
    <w:rsid w:val="00FC24C0"/>
    <w:rsid w:val="00FD094F"/>
    <w:rsid w:val="00FD1A00"/>
    <w:rsid w:val="00FF2382"/>
    <w:rsid w:val="00FF3DE7"/>
    <w:rsid w:val="00FF6C19"/>
    <w:rsid w:val="01001B5E"/>
    <w:rsid w:val="010A7EEC"/>
    <w:rsid w:val="010B22B0"/>
    <w:rsid w:val="010F66F4"/>
    <w:rsid w:val="011C44BE"/>
    <w:rsid w:val="011E3158"/>
    <w:rsid w:val="01300925"/>
    <w:rsid w:val="01395249"/>
    <w:rsid w:val="01487061"/>
    <w:rsid w:val="014B7C8C"/>
    <w:rsid w:val="01501A81"/>
    <w:rsid w:val="0154182C"/>
    <w:rsid w:val="01592BA7"/>
    <w:rsid w:val="015F1C90"/>
    <w:rsid w:val="015F6672"/>
    <w:rsid w:val="017460A8"/>
    <w:rsid w:val="0178768B"/>
    <w:rsid w:val="017A355E"/>
    <w:rsid w:val="0182066A"/>
    <w:rsid w:val="01830099"/>
    <w:rsid w:val="01872D0B"/>
    <w:rsid w:val="019C279E"/>
    <w:rsid w:val="01A465D8"/>
    <w:rsid w:val="01AF481A"/>
    <w:rsid w:val="01C35E5B"/>
    <w:rsid w:val="01CA216C"/>
    <w:rsid w:val="01D05436"/>
    <w:rsid w:val="01D1645A"/>
    <w:rsid w:val="01D5464B"/>
    <w:rsid w:val="01DF5C17"/>
    <w:rsid w:val="01E834DD"/>
    <w:rsid w:val="01E90AC8"/>
    <w:rsid w:val="01F176F8"/>
    <w:rsid w:val="01FB1A92"/>
    <w:rsid w:val="01FC3C59"/>
    <w:rsid w:val="02031D61"/>
    <w:rsid w:val="02050B62"/>
    <w:rsid w:val="02095F36"/>
    <w:rsid w:val="020975D5"/>
    <w:rsid w:val="020F2B24"/>
    <w:rsid w:val="02160F0D"/>
    <w:rsid w:val="0216715F"/>
    <w:rsid w:val="02195828"/>
    <w:rsid w:val="02210711"/>
    <w:rsid w:val="0227275A"/>
    <w:rsid w:val="02290C40"/>
    <w:rsid w:val="02291C3C"/>
    <w:rsid w:val="022C0375"/>
    <w:rsid w:val="02310013"/>
    <w:rsid w:val="0233386D"/>
    <w:rsid w:val="02352197"/>
    <w:rsid w:val="02377801"/>
    <w:rsid w:val="024617F2"/>
    <w:rsid w:val="024A6B8B"/>
    <w:rsid w:val="025603E8"/>
    <w:rsid w:val="0259781F"/>
    <w:rsid w:val="025C0116"/>
    <w:rsid w:val="025F4CFF"/>
    <w:rsid w:val="02624152"/>
    <w:rsid w:val="02664218"/>
    <w:rsid w:val="02682A24"/>
    <w:rsid w:val="026B50D9"/>
    <w:rsid w:val="02751C08"/>
    <w:rsid w:val="0276345F"/>
    <w:rsid w:val="027C3B3D"/>
    <w:rsid w:val="027C7A91"/>
    <w:rsid w:val="027D2BA4"/>
    <w:rsid w:val="0281282A"/>
    <w:rsid w:val="028206E0"/>
    <w:rsid w:val="02894ACC"/>
    <w:rsid w:val="02A272AC"/>
    <w:rsid w:val="02B32636"/>
    <w:rsid w:val="02B40E52"/>
    <w:rsid w:val="02BA5D3C"/>
    <w:rsid w:val="02C1356F"/>
    <w:rsid w:val="02C40969"/>
    <w:rsid w:val="02DA33A9"/>
    <w:rsid w:val="02DE5ECF"/>
    <w:rsid w:val="02E31FD2"/>
    <w:rsid w:val="02F06E79"/>
    <w:rsid w:val="0306222B"/>
    <w:rsid w:val="0306705D"/>
    <w:rsid w:val="030B47EA"/>
    <w:rsid w:val="030D5636"/>
    <w:rsid w:val="03165668"/>
    <w:rsid w:val="031A4A2D"/>
    <w:rsid w:val="031C07A5"/>
    <w:rsid w:val="03255414"/>
    <w:rsid w:val="03305FFE"/>
    <w:rsid w:val="034A5312"/>
    <w:rsid w:val="034E0E7E"/>
    <w:rsid w:val="03591AE1"/>
    <w:rsid w:val="03597213"/>
    <w:rsid w:val="03597303"/>
    <w:rsid w:val="036050B1"/>
    <w:rsid w:val="03605F71"/>
    <w:rsid w:val="036B1176"/>
    <w:rsid w:val="036B2DF9"/>
    <w:rsid w:val="036D2884"/>
    <w:rsid w:val="03722553"/>
    <w:rsid w:val="0374238F"/>
    <w:rsid w:val="03770D13"/>
    <w:rsid w:val="03771E7F"/>
    <w:rsid w:val="038D1B2B"/>
    <w:rsid w:val="03AE795E"/>
    <w:rsid w:val="03B62829"/>
    <w:rsid w:val="03B64756"/>
    <w:rsid w:val="03B804CE"/>
    <w:rsid w:val="03B86720"/>
    <w:rsid w:val="03BA76B1"/>
    <w:rsid w:val="03C03826"/>
    <w:rsid w:val="03C37AEA"/>
    <w:rsid w:val="03DB2306"/>
    <w:rsid w:val="03E2379C"/>
    <w:rsid w:val="03E72B61"/>
    <w:rsid w:val="03EE57A7"/>
    <w:rsid w:val="03F24074"/>
    <w:rsid w:val="03FA155C"/>
    <w:rsid w:val="03FA5235"/>
    <w:rsid w:val="040C4BE3"/>
    <w:rsid w:val="040F20B8"/>
    <w:rsid w:val="041B0FFD"/>
    <w:rsid w:val="04243DB5"/>
    <w:rsid w:val="04267B2D"/>
    <w:rsid w:val="04273B9C"/>
    <w:rsid w:val="042E253E"/>
    <w:rsid w:val="04372719"/>
    <w:rsid w:val="043E4F7B"/>
    <w:rsid w:val="04406715"/>
    <w:rsid w:val="04412E4D"/>
    <w:rsid w:val="044A30F0"/>
    <w:rsid w:val="044A3F41"/>
    <w:rsid w:val="044B1342"/>
    <w:rsid w:val="044C0C16"/>
    <w:rsid w:val="044C5900"/>
    <w:rsid w:val="044E4D6E"/>
    <w:rsid w:val="04561706"/>
    <w:rsid w:val="04561A95"/>
    <w:rsid w:val="045C19CE"/>
    <w:rsid w:val="04612AD6"/>
    <w:rsid w:val="04631C14"/>
    <w:rsid w:val="0464595D"/>
    <w:rsid w:val="046B3DBE"/>
    <w:rsid w:val="047F71D1"/>
    <w:rsid w:val="048A01C3"/>
    <w:rsid w:val="048A426A"/>
    <w:rsid w:val="048C6987"/>
    <w:rsid w:val="048D2882"/>
    <w:rsid w:val="04926F71"/>
    <w:rsid w:val="04932458"/>
    <w:rsid w:val="04961A1A"/>
    <w:rsid w:val="04B0082C"/>
    <w:rsid w:val="04B50EB1"/>
    <w:rsid w:val="04B8274F"/>
    <w:rsid w:val="04C9670A"/>
    <w:rsid w:val="04CD4BA2"/>
    <w:rsid w:val="04D53301"/>
    <w:rsid w:val="04D56E5D"/>
    <w:rsid w:val="04D70DAB"/>
    <w:rsid w:val="04E452F2"/>
    <w:rsid w:val="04E470A0"/>
    <w:rsid w:val="04E5492A"/>
    <w:rsid w:val="04E946B7"/>
    <w:rsid w:val="04E95DFE"/>
    <w:rsid w:val="04EB5E13"/>
    <w:rsid w:val="04F044F7"/>
    <w:rsid w:val="04FC6AE0"/>
    <w:rsid w:val="050713FA"/>
    <w:rsid w:val="05143E03"/>
    <w:rsid w:val="05152A51"/>
    <w:rsid w:val="051D2612"/>
    <w:rsid w:val="051E0804"/>
    <w:rsid w:val="05233B0B"/>
    <w:rsid w:val="05240B21"/>
    <w:rsid w:val="052FD521"/>
    <w:rsid w:val="05342E8E"/>
    <w:rsid w:val="0534786B"/>
    <w:rsid w:val="05353DA0"/>
    <w:rsid w:val="05381E09"/>
    <w:rsid w:val="05390436"/>
    <w:rsid w:val="05420BC4"/>
    <w:rsid w:val="05461B09"/>
    <w:rsid w:val="054B35C3"/>
    <w:rsid w:val="054E2033"/>
    <w:rsid w:val="055204AE"/>
    <w:rsid w:val="05544226"/>
    <w:rsid w:val="056060E7"/>
    <w:rsid w:val="0560691E"/>
    <w:rsid w:val="056106F1"/>
    <w:rsid w:val="05622C5A"/>
    <w:rsid w:val="0565674B"/>
    <w:rsid w:val="05694637"/>
    <w:rsid w:val="058306A8"/>
    <w:rsid w:val="0586370B"/>
    <w:rsid w:val="0590302E"/>
    <w:rsid w:val="05961E8B"/>
    <w:rsid w:val="059B20D3"/>
    <w:rsid w:val="05B222AB"/>
    <w:rsid w:val="05B63ADF"/>
    <w:rsid w:val="05B80C59"/>
    <w:rsid w:val="05B9052D"/>
    <w:rsid w:val="05C0366A"/>
    <w:rsid w:val="05C1044E"/>
    <w:rsid w:val="05CB200E"/>
    <w:rsid w:val="05D10BE5"/>
    <w:rsid w:val="05D40B8B"/>
    <w:rsid w:val="05D76C05"/>
    <w:rsid w:val="05DC336A"/>
    <w:rsid w:val="05E17F94"/>
    <w:rsid w:val="05E477F8"/>
    <w:rsid w:val="05EF5161"/>
    <w:rsid w:val="05F63235"/>
    <w:rsid w:val="05F85C16"/>
    <w:rsid w:val="06082D94"/>
    <w:rsid w:val="060D53F2"/>
    <w:rsid w:val="061D52B0"/>
    <w:rsid w:val="06304C93"/>
    <w:rsid w:val="06361B7E"/>
    <w:rsid w:val="0639341C"/>
    <w:rsid w:val="063C4326"/>
    <w:rsid w:val="065822D0"/>
    <w:rsid w:val="065B0AAE"/>
    <w:rsid w:val="065E1E3A"/>
    <w:rsid w:val="06693D01"/>
    <w:rsid w:val="067032E2"/>
    <w:rsid w:val="068059CA"/>
    <w:rsid w:val="068154EF"/>
    <w:rsid w:val="06826B71"/>
    <w:rsid w:val="06887A8C"/>
    <w:rsid w:val="069845E6"/>
    <w:rsid w:val="06A616F4"/>
    <w:rsid w:val="06AB172E"/>
    <w:rsid w:val="06B11926"/>
    <w:rsid w:val="06B51059"/>
    <w:rsid w:val="06BB2083"/>
    <w:rsid w:val="06BE352D"/>
    <w:rsid w:val="06C615A2"/>
    <w:rsid w:val="06C75A8A"/>
    <w:rsid w:val="06CD1F21"/>
    <w:rsid w:val="06D4416C"/>
    <w:rsid w:val="06D66EBD"/>
    <w:rsid w:val="06E00EB1"/>
    <w:rsid w:val="06E45CC9"/>
    <w:rsid w:val="06E577B0"/>
    <w:rsid w:val="06F04498"/>
    <w:rsid w:val="06F06595"/>
    <w:rsid w:val="06F233B8"/>
    <w:rsid w:val="06F278E4"/>
    <w:rsid w:val="06F8632A"/>
    <w:rsid w:val="07043A2A"/>
    <w:rsid w:val="070D5F42"/>
    <w:rsid w:val="07117EF5"/>
    <w:rsid w:val="071579E5"/>
    <w:rsid w:val="071661B3"/>
    <w:rsid w:val="071836A4"/>
    <w:rsid w:val="07197625"/>
    <w:rsid w:val="071F6AB6"/>
    <w:rsid w:val="07261BF2"/>
    <w:rsid w:val="072A628A"/>
    <w:rsid w:val="072F0AE6"/>
    <w:rsid w:val="073C1416"/>
    <w:rsid w:val="073E14AB"/>
    <w:rsid w:val="0742552D"/>
    <w:rsid w:val="07452AC7"/>
    <w:rsid w:val="07456CFC"/>
    <w:rsid w:val="074A5B49"/>
    <w:rsid w:val="075C478E"/>
    <w:rsid w:val="075E38AF"/>
    <w:rsid w:val="076A34BE"/>
    <w:rsid w:val="077F1C30"/>
    <w:rsid w:val="07886409"/>
    <w:rsid w:val="078A4F34"/>
    <w:rsid w:val="079202CD"/>
    <w:rsid w:val="07921036"/>
    <w:rsid w:val="07927288"/>
    <w:rsid w:val="07946EBC"/>
    <w:rsid w:val="079A4A26"/>
    <w:rsid w:val="07A0431A"/>
    <w:rsid w:val="07A86AAB"/>
    <w:rsid w:val="07B376E6"/>
    <w:rsid w:val="07B524DC"/>
    <w:rsid w:val="07B76CEE"/>
    <w:rsid w:val="07BC60B3"/>
    <w:rsid w:val="07C9098B"/>
    <w:rsid w:val="07CA4C73"/>
    <w:rsid w:val="07CD098C"/>
    <w:rsid w:val="07CD3845"/>
    <w:rsid w:val="07CF0D49"/>
    <w:rsid w:val="07D6030C"/>
    <w:rsid w:val="07E212EE"/>
    <w:rsid w:val="07F67816"/>
    <w:rsid w:val="07F7358F"/>
    <w:rsid w:val="07FC379F"/>
    <w:rsid w:val="08083351"/>
    <w:rsid w:val="08144141"/>
    <w:rsid w:val="08191757"/>
    <w:rsid w:val="08265711"/>
    <w:rsid w:val="08275C22"/>
    <w:rsid w:val="082E2B4C"/>
    <w:rsid w:val="08471E20"/>
    <w:rsid w:val="084D5698"/>
    <w:rsid w:val="084E3F07"/>
    <w:rsid w:val="08530936"/>
    <w:rsid w:val="085F389E"/>
    <w:rsid w:val="08610876"/>
    <w:rsid w:val="086C6281"/>
    <w:rsid w:val="086D6B98"/>
    <w:rsid w:val="086E55FF"/>
    <w:rsid w:val="087679A3"/>
    <w:rsid w:val="087B4F29"/>
    <w:rsid w:val="087E1C14"/>
    <w:rsid w:val="0881106A"/>
    <w:rsid w:val="0884014E"/>
    <w:rsid w:val="089C7BA1"/>
    <w:rsid w:val="089F5020"/>
    <w:rsid w:val="08A10513"/>
    <w:rsid w:val="08A1785D"/>
    <w:rsid w:val="08A30319"/>
    <w:rsid w:val="08B3366A"/>
    <w:rsid w:val="08B7174F"/>
    <w:rsid w:val="08BB280E"/>
    <w:rsid w:val="08BC612A"/>
    <w:rsid w:val="08BD6586"/>
    <w:rsid w:val="08BD66F4"/>
    <w:rsid w:val="08C276F9"/>
    <w:rsid w:val="08CF045B"/>
    <w:rsid w:val="08D819CB"/>
    <w:rsid w:val="08E37B9C"/>
    <w:rsid w:val="08EA296F"/>
    <w:rsid w:val="08EB05D9"/>
    <w:rsid w:val="08F051EE"/>
    <w:rsid w:val="0900512E"/>
    <w:rsid w:val="09063A89"/>
    <w:rsid w:val="0926701B"/>
    <w:rsid w:val="092C2D7B"/>
    <w:rsid w:val="09336D88"/>
    <w:rsid w:val="09495EE2"/>
    <w:rsid w:val="09532A47"/>
    <w:rsid w:val="095337FE"/>
    <w:rsid w:val="095835C8"/>
    <w:rsid w:val="09617865"/>
    <w:rsid w:val="09622B61"/>
    <w:rsid w:val="09667139"/>
    <w:rsid w:val="096B114E"/>
    <w:rsid w:val="096B707E"/>
    <w:rsid w:val="09714AB2"/>
    <w:rsid w:val="09755E6F"/>
    <w:rsid w:val="097D5E41"/>
    <w:rsid w:val="09811671"/>
    <w:rsid w:val="098130BA"/>
    <w:rsid w:val="09827358"/>
    <w:rsid w:val="098923DA"/>
    <w:rsid w:val="09915E2D"/>
    <w:rsid w:val="0995305F"/>
    <w:rsid w:val="099948FD"/>
    <w:rsid w:val="099A3172"/>
    <w:rsid w:val="09AA0D56"/>
    <w:rsid w:val="09C15C02"/>
    <w:rsid w:val="09C35CCB"/>
    <w:rsid w:val="09C94DFF"/>
    <w:rsid w:val="09CB08A8"/>
    <w:rsid w:val="09CB21DA"/>
    <w:rsid w:val="09CD0A4B"/>
    <w:rsid w:val="09D4375A"/>
    <w:rsid w:val="09D508CE"/>
    <w:rsid w:val="09D678FF"/>
    <w:rsid w:val="09DC01FC"/>
    <w:rsid w:val="09E518F1"/>
    <w:rsid w:val="09FA01B7"/>
    <w:rsid w:val="0A0D52EB"/>
    <w:rsid w:val="0A183D92"/>
    <w:rsid w:val="0A18657B"/>
    <w:rsid w:val="0A1E54BE"/>
    <w:rsid w:val="0A20501F"/>
    <w:rsid w:val="0A207B6A"/>
    <w:rsid w:val="0A297634"/>
    <w:rsid w:val="0A321B2F"/>
    <w:rsid w:val="0A391F9C"/>
    <w:rsid w:val="0A3D48EC"/>
    <w:rsid w:val="0A440EE2"/>
    <w:rsid w:val="0A442FC6"/>
    <w:rsid w:val="0A48656D"/>
    <w:rsid w:val="0A4A209B"/>
    <w:rsid w:val="0A5239AD"/>
    <w:rsid w:val="0A535FEE"/>
    <w:rsid w:val="0A5C7260"/>
    <w:rsid w:val="0A5D3B7D"/>
    <w:rsid w:val="0A6961D7"/>
    <w:rsid w:val="0A6D7B38"/>
    <w:rsid w:val="0A6E76F5"/>
    <w:rsid w:val="0A6E77AA"/>
    <w:rsid w:val="0A7575A6"/>
    <w:rsid w:val="0A7C6B3F"/>
    <w:rsid w:val="0A8050FD"/>
    <w:rsid w:val="0A8F05F3"/>
    <w:rsid w:val="0A960D5F"/>
    <w:rsid w:val="0A975339"/>
    <w:rsid w:val="0AA572D2"/>
    <w:rsid w:val="0AA84A7A"/>
    <w:rsid w:val="0AA96DC2"/>
    <w:rsid w:val="0AAC68B2"/>
    <w:rsid w:val="0AB17BDE"/>
    <w:rsid w:val="0AB319EF"/>
    <w:rsid w:val="0ABB4D47"/>
    <w:rsid w:val="0ABE2142"/>
    <w:rsid w:val="0ABF2050"/>
    <w:rsid w:val="0AC02B81"/>
    <w:rsid w:val="0AC917B7"/>
    <w:rsid w:val="0ACE2BAA"/>
    <w:rsid w:val="0ACE6829"/>
    <w:rsid w:val="0AE54372"/>
    <w:rsid w:val="0AE778EA"/>
    <w:rsid w:val="0AF12355"/>
    <w:rsid w:val="0AFA0A3D"/>
    <w:rsid w:val="0AFA33CD"/>
    <w:rsid w:val="0B112BB9"/>
    <w:rsid w:val="0B1247E5"/>
    <w:rsid w:val="0B1518C9"/>
    <w:rsid w:val="0B1D0203"/>
    <w:rsid w:val="0B1D3A5D"/>
    <w:rsid w:val="0B260413"/>
    <w:rsid w:val="0B3072B3"/>
    <w:rsid w:val="0B3B24B4"/>
    <w:rsid w:val="0B3C4E9E"/>
    <w:rsid w:val="0B3D750A"/>
    <w:rsid w:val="0B417214"/>
    <w:rsid w:val="0B417BA7"/>
    <w:rsid w:val="0B445C63"/>
    <w:rsid w:val="0B460BF8"/>
    <w:rsid w:val="0B4877C7"/>
    <w:rsid w:val="0B4C6367"/>
    <w:rsid w:val="0B514107"/>
    <w:rsid w:val="0B6727D9"/>
    <w:rsid w:val="0B6A45AB"/>
    <w:rsid w:val="0B6E3C03"/>
    <w:rsid w:val="0B751E8F"/>
    <w:rsid w:val="0B756C9E"/>
    <w:rsid w:val="0B78703F"/>
    <w:rsid w:val="0B7A075E"/>
    <w:rsid w:val="0B7A42BB"/>
    <w:rsid w:val="0B813DCE"/>
    <w:rsid w:val="0B877E8E"/>
    <w:rsid w:val="0B8B6D44"/>
    <w:rsid w:val="0B8C0389"/>
    <w:rsid w:val="0B8E015B"/>
    <w:rsid w:val="0B8E40F7"/>
    <w:rsid w:val="0B9E1E32"/>
    <w:rsid w:val="0B9F3D21"/>
    <w:rsid w:val="0BA34615"/>
    <w:rsid w:val="0BAB0918"/>
    <w:rsid w:val="0BAC1C8B"/>
    <w:rsid w:val="0BB66F9D"/>
    <w:rsid w:val="0BB67A76"/>
    <w:rsid w:val="0BB923B2"/>
    <w:rsid w:val="0BC27606"/>
    <w:rsid w:val="0BC578BF"/>
    <w:rsid w:val="0BC66A15"/>
    <w:rsid w:val="0BC96FF0"/>
    <w:rsid w:val="0BD4059E"/>
    <w:rsid w:val="0BDB744F"/>
    <w:rsid w:val="0BDE2E8D"/>
    <w:rsid w:val="0BE55429"/>
    <w:rsid w:val="0BED2CDE"/>
    <w:rsid w:val="0BEF2F28"/>
    <w:rsid w:val="0BF12E98"/>
    <w:rsid w:val="0C0544CC"/>
    <w:rsid w:val="0C0B13B7"/>
    <w:rsid w:val="0C0F1C38"/>
    <w:rsid w:val="0C130A20"/>
    <w:rsid w:val="0C1E558E"/>
    <w:rsid w:val="0C281F69"/>
    <w:rsid w:val="0C2C3397"/>
    <w:rsid w:val="0C2E4385"/>
    <w:rsid w:val="0C3C5A98"/>
    <w:rsid w:val="0C3E0A8E"/>
    <w:rsid w:val="0C416373"/>
    <w:rsid w:val="0C430B50"/>
    <w:rsid w:val="0C436DA2"/>
    <w:rsid w:val="0C582584"/>
    <w:rsid w:val="0C6336FA"/>
    <w:rsid w:val="0C677F79"/>
    <w:rsid w:val="0C68698A"/>
    <w:rsid w:val="0C6D0CE9"/>
    <w:rsid w:val="0C6E6138"/>
    <w:rsid w:val="0C7E1085"/>
    <w:rsid w:val="0C831895"/>
    <w:rsid w:val="0C85560D"/>
    <w:rsid w:val="0C8B04F4"/>
    <w:rsid w:val="0C923886"/>
    <w:rsid w:val="0C9413AC"/>
    <w:rsid w:val="0C9E2876"/>
    <w:rsid w:val="0CA03088"/>
    <w:rsid w:val="0CA569E8"/>
    <w:rsid w:val="0CBD4DA7"/>
    <w:rsid w:val="0CC26F2D"/>
    <w:rsid w:val="0CC56899"/>
    <w:rsid w:val="0CCB090C"/>
    <w:rsid w:val="0CD86312"/>
    <w:rsid w:val="0CDA0A92"/>
    <w:rsid w:val="0CDA7707"/>
    <w:rsid w:val="0CDD0FA5"/>
    <w:rsid w:val="0CDE6EB8"/>
    <w:rsid w:val="0CE07FC0"/>
    <w:rsid w:val="0CE7664A"/>
    <w:rsid w:val="0CEC11E8"/>
    <w:rsid w:val="0CED019B"/>
    <w:rsid w:val="0CEE2E7D"/>
    <w:rsid w:val="0CF213D5"/>
    <w:rsid w:val="0CFA1A3F"/>
    <w:rsid w:val="0CFF2150"/>
    <w:rsid w:val="0D0522AA"/>
    <w:rsid w:val="0D091D9A"/>
    <w:rsid w:val="0D093B48"/>
    <w:rsid w:val="0D0A574D"/>
    <w:rsid w:val="0D10137A"/>
    <w:rsid w:val="0D15207F"/>
    <w:rsid w:val="0D1F511A"/>
    <w:rsid w:val="0D2070E4"/>
    <w:rsid w:val="0D267E76"/>
    <w:rsid w:val="0D330BC5"/>
    <w:rsid w:val="0D340ECF"/>
    <w:rsid w:val="0D3816F5"/>
    <w:rsid w:val="0D42705A"/>
    <w:rsid w:val="0D4442C3"/>
    <w:rsid w:val="0D48462F"/>
    <w:rsid w:val="0D525347"/>
    <w:rsid w:val="0D58062B"/>
    <w:rsid w:val="0D6A7602"/>
    <w:rsid w:val="0D6D238D"/>
    <w:rsid w:val="0D7D775A"/>
    <w:rsid w:val="0D8473F8"/>
    <w:rsid w:val="0D857C63"/>
    <w:rsid w:val="0D8F75D2"/>
    <w:rsid w:val="0D9753E1"/>
    <w:rsid w:val="0D9B4A10"/>
    <w:rsid w:val="0D9F4569"/>
    <w:rsid w:val="0DA14F4D"/>
    <w:rsid w:val="0DAD4E1B"/>
    <w:rsid w:val="0DB25F8E"/>
    <w:rsid w:val="0DB56F4F"/>
    <w:rsid w:val="0DB937C0"/>
    <w:rsid w:val="0DBB5BB5"/>
    <w:rsid w:val="0DBD0635"/>
    <w:rsid w:val="0DC84865"/>
    <w:rsid w:val="0DC926D5"/>
    <w:rsid w:val="0DD04666"/>
    <w:rsid w:val="0DD20498"/>
    <w:rsid w:val="0DD75714"/>
    <w:rsid w:val="0DDE7ADD"/>
    <w:rsid w:val="0DDF6F9F"/>
    <w:rsid w:val="0DE47945"/>
    <w:rsid w:val="0DEA1BCB"/>
    <w:rsid w:val="0DEB70FE"/>
    <w:rsid w:val="0DF26CD2"/>
    <w:rsid w:val="0DF75B9A"/>
    <w:rsid w:val="0DF82F6C"/>
    <w:rsid w:val="0DFA6F3A"/>
    <w:rsid w:val="0DFE34F8"/>
    <w:rsid w:val="0E003674"/>
    <w:rsid w:val="0E022321"/>
    <w:rsid w:val="0E0367E9"/>
    <w:rsid w:val="0E1979D4"/>
    <w:rsid w:val="0E220612"/>
    <w:rsid w:val="0E2F3F20"/>
    <w:rsid w:val="0E335B97"/>
    <w:rsid w:val="0E3C04AA"/>
    <w:rsid w:val="0E4532A6"/>
    <w:rsid w:val="0E4C6A52"/>
    <w:rsid w:val="0E54101D"/>
    <w:rsid w:val="0E63197E"/>
    <w:rsid w:val="0E725B97"/>
    <w:rsid w:val="0E75110F"/>
    <w:rsid w:val="0E7556DE"/>
    <w:rsid w:val="0E8B67DF"/>
    <w:rsid w:val="0E8E68FD"/>
    <w:rsid w:val="0E917CA2"/>
    <w:rsid w:val="0E95498B"/>
    <w:rsid w:val="0E9A6F2A"/>
    <w:rsid w:val="0EA659C4"/>
    <w:rsid w:val="0EB2020F"/>
    <w:rsid w:val="0EBE0962"/>
    <w:rsid w:val="0EC273AC"/>
    <w:rsid w:val="0EC538FB"/>
    <w:rsid w:val="0ED40186"/>
    <w:rsid w:val="0EDB59B8"/>
    <w:rsid w:val="0EE83B52"/>
    <w:rsid w:val="0EF01944"/>
    <w:rsid w:val="0EF63231"/>
    <w:rsid w:val="0EF90D99"/>
    <w:rsid w:val="0EFF314B"/>
    <w:rsid w:val="0F00618D"/>
    <w:rsid w:val="0F0A3BA7"/>
    <w:rsid w:val="0F0F6F17"/>
    <w:rsid w:val="0F1737C0"/>
    <w:rsid w:val="0F1F58A5"/>
    <w:rsid w:val="0F2426DB"/>
    <w:rsid w:val="0F2949AA"/>
    <w:rsid w:val="0F311A2A"/>
    <w:rsid w:val="0F34255E"/>
    <w:rsid w:val="0F380715"/>
    <w:rsid w:val="0F393013"/>
    <w:rsid w:val="0F3E152F"/>
    <w:rsid w:val="0F4D74A9"/>
    <w:rsid w:val="0F544557"/>
    <w:rsid w:val="0F585C5E"/>
    <w:rsid w:val="0F591C76"/>
    <w:rsid w:val="0F640F87"/>
    <w:rsid w:val="0F6C145E"/>
    <w:rsid w:val="0F731279"/>
    <w:rsid w:val="0F77651E"/>
    <w:rsid w:val="0F790339"/>
    <w:rsid w:val="0F8A613A"/>
    <w:rsid w:val="0F8B118C"/>
    <w:rsid w:val="0F9241F6"/>
    <w:rsid w:val="0F9455C2"/>
    <w:rsid w:val="0F947250"/>
    <w:rsid w:val="0F956171"/>
    <w:rsid w:val="0F9C40C8"/>
    <w:rsid w:val="0FB104C7"/>
    <w:rsid w:val="0FB42576"/>
    <w:rsid w:val="0FBF6450"/>
    <w:rsid w:val="0FC4199E"/>
    <w:rsid w:val="0FC73841"/>
    <w:rsid w:val="0FC8036F"/>
    <w:rsid w:val="0FCB1589"/>
    <w:rsid w:val="0FCC660D"/>
    <w:rsid w:val="0FCF7645"/>
    <w:rsid w:val="0FD35D97"/>
    <w:rsid w:val="0FDD4C1D"/>
    <w:rsid w:val="0FE74ED2"/>
    <w:rsid w:val="0FEE7837"/>
    <w:rsid w:val="0FF75974"/>
    <w:rsid w:val="0FFA1E6E"/>
    <w:rsid w:val="100A11F9"/>
    <w:rsid w:val="1019154D"/>
    <w:rsid w:val="10255BBD"/>
    <w:rsid w:val="1027367B"/>
    <w:rsid w:val="102D0BE7"/>
    <w:rsid w:val="102F38FF"/>
    <w:rsid w:val="10354C54"/>
    <w:rsid w:val="104A5ED2"/>
    <w:rsid w:val="104D6255"/>
    <w:rsid w:val="10541BDE"/>
    <w:rsid w:val="10557F85"/>
    <w:rsid w:val="105636DD"/>
    <w:rsid w:val="10584BCC"/>
    <w:rsid w:val="106729EA"/>
    <w:rsid w:val="106A24C3"/>
    <w:rsid w:val="10741C20"/>
    <w:rsid w:val="10772C22"/>
    <w:rsid w:val="107A63E2"/>
    <w:rsid w:val="108160EB"/>
    <w:rsid w:val="108D3046"/>
    <w:rsid w:val="109220A6"/>
    <w:rsid w:val="10944FD2"/>
    <w:rsid w:val="109945F0"/>
    <w:rsid w:val="10A24A5C"/>
    <w:rsid w:val="10A50CAE"/>
    <w:rsid w:val="10AB5276"/>
    <w:rsid w:val="10B169D0"/>
    <w:rsid w:val="10B90CC1"/>
    <w:rsid w:val="10BE2E9B"/>
    <w:rsid w:val="10C304B2"/>
    <w:rsid w:val="10D0497D"/>
    <w:rsid w:val="10D25698"/>
    <w:rsid w:val="10DD5602"/>
    <w:rsid w:val="10E127DA"/>
    <w:rsid w:val="10E220ED"/>
    <w:rsid w:val="10E723F2"/>
    <w:rsid w:val="10EE3E65"/>
    <w:rsid w:val="1102390F"/>
    <w:rsid w:val="11024438"/>
    <w:rsid w:val="11097A4C"/>
    <w:rsid w:val="111366E5"/>
    <w:rsid w:val="111D4C3B"/>
    <w:rsid w:val="111F5232"/>
    <w:rsid w:val="11241962"/>
    <w:rsid w:val="11247572"/>
    <w:rsid w:val="112A5C06"/>
    <w:rsid w:val="11360C84"/>
    <w:rsid w:val="1136674A"/>
    <w:rsid w:val="11386BDA"/>
    <w:rsid w:val="113A28AC"/>
    <w:rsid w:val="1140560A"/>
    <w:rsid w:val="114535BD"/>
    <w:rsid w:val="11457119"/>
    <w:rsid w:val="114C374F"/>
    <w:rsid w:val="114D089C"/>
    <w:rsid w:val="114F14E4"/>
    <w:rsid w:val="11522B55"/>
    <w:rsid w:val="115832F0"/>
    <w:rsid w:val="11587AB6"/>
    <w:rsid w:val="115A7AB4"/>
    <w:rsid w:val="116416CC"/>
    <w:rsid w:val="116511AC"/>
    <w:rsid w:val="116F23E8"/>
    <w:rsid w:val="117B6FDE"/>
    <w:rsid w:val="118D658B"/>
    <w:rsid w:val="11910467"/>
    <w:rsid w:val="119B4F8B"/>
    <w:rsid w:val="11A170D1"/>
    <w:rsid w:val="11A34B4D"/>
    <w:rsid w:val="11A5685A"/>
    <w:rsid w:val="11AB78F8"/>
    <w:rsid w:val="11AD135C"/>
    <w:rsid w:val="11AE39AF"/>
    <w:rsid w:val="11B16C35"/>
    <w:rsid w:val="11B5429E"/>
    <w:rsid w:val="11C3225E"/>
    <w:rsid w:val="11C813B5"/>
    <w:rsid w:val="11CB5870"/>
    <w:rsid w:val="11D04827"/>
    <w:rsid w:val="11D277B2"/>
    <w:rsid w:val="11D9077C"/>
    <w:rsid w:val="11DA1F57"/>
    <w:rsid w:val="11E445AF"/>
    <w:rsid w:val="11E9219A"/>
    <w:rsid w:val="11EB1415"/>
    <w:rsid w:val="11ED31A7"/>
    <w:rsid w:val="11F02D62"/>
    <w:rsid w:val="11F336ED"/>
    <w:rsid w:val="11F3427E"/>
    <w:rsid w:val="120255E6"/>
    <w:rsid w:val="12041C48"/>
    <w:rsid w:val="12047890"/>
    <w:rsid w:val="12080872"/>
    <w:rsid w:val="120E109E"/>
    <w:rsid w:val="120E3BC4"/>
    <w:rsid w:val="12156E6D"/>
    <w:rsid w:val="12375093"/>
    <w:rsid w:val="123A1002"/>
    <w:rsid w:val="12490E8B"/>
    <w:rsid w:val="124B46DF"/>
    <w:rsid w:val="124E7C83"/>
    <w:rsid w:val="12541D09"/>
    <w:rsid w:val="1260352A"/>
    <w:rsid w:val="1265721A"/>
    <w:rsid w:val="126B1E04"/>
    <w:rsid w:val="126C3D3D"/>
    <w:rsid w:val="1270466B"/>
    <w:rsid w:val="128351DA"/>
    <w:rsid w:val="12842FB8"/>
    <w:rsid w:val="128F202C"/>
    <w:rsid w:val="128F3AA7"/>
    <w:rsid w:val="12991A5D"/>
    <w:rsid w:val="129E3422"/>
    <w:rsid w:val="12A80ADE"/>
    <w:rsid w:val="12AF3C04"/>
    <w:rsid w:val="12C0479A"/>
    <w:rsid w:val="12C56763"/>
    <w:rsid w:val="12CF69BA"/>
    <w:rsid w:val="12CF75E2"/>
    <w:rsid w:val="12D44BF8"/>
    <w:rsid w:val="12D869DF"/>
    <w:rsid w:val="12E21004"/>
    <w:rsid w:val="12E37F42"/>
    <w:rsid w:val="12EA7001"/>
    <w:rsid w:val="12F22C48"/>
    <w:rsid w:val="130765A1"/>
    <w:rsid w:val="13076D7C"/>
    <w:rsid w:val="130E7ECE"/>
    <w:rsid w:val="131A4D73"/>
    <w:rsid w:val="13214906"/>
    <w:rsid w:val="1326469B"/>
    <w:rsid w:val="1326677E"/>
    <w:rsid w:val="132A707B"/>
    <w:rsid w:val="133D0538"/>
    <w:rsid w:val="13515A70"/>
    <w:rsid w:val="13530882"/>
    <w:rsid w:val="1357071E"/>
    <w:rsid w:val="135D14AC"/>
    <w:rsid w:val="135E44C2"/>
    <w:rsid w:val="13653AA2"/>
    <w:rsid w:val="136C7FD9"/>
    <w:rsid w:val="13710699"/>
    <w:rsid w:val="137361BF"/>
    <w:rsid w:val="137A57A0"/>
    <w:rsid w:val="137D703E"/>
    <w:rsid w:val="13857CA0"/>
    <w:rsid w:val="13870AF5"/>
    <w:rsid w:val="13900717"/>
    <w:rsid w:val="13902C50"/>
    <w:rsid w:val="13934519"/>
    <w:rsid w:val="139B5716"/>
    <w:rsid w:val="13A823A0"/>
    <w:rsid w:val="13B76BA2"/>
    <w:rsid w:val="13B81E24"/>
    <w:rsid w:val="13B86A7D"/>
    <w:rsid w:val="13C32B34"/>
    <w:rsid w:val="13CF7ED0"/>
    <w:rsid w:val="13D047EB"/>
    <w:rsid w:val="13D529D6"/>
    <w:rsid w:val="13DB3F83"/>
    <w:rsid w:val="13E175CD"/>
    <w:rsid w:val="13E54EC3"/>
    <w:rsid w:val="13ED31C6"/>
    <w:rsid w:val="13F13588"/>
    <w:rsid w:val="13F3374D"/>
    <w:rsid w:val="13F54834"/>
    <w:rsid w:val="13F94750"/>
    <w:rsid w:val="13FB730F"/>
    <w:rsid w:val="13FC32BE"/>
    <w:rsid w:val="13FC47AB"/>
    <w:rsid w:val="13FD1F2D"/>
    <w:rsid w:val="13FE54A6"/>
    <w:rsid w:val="14021B87"/>
    <w:rsid w:val="140C2170"/>
    <w:rsid w:val="140E01AF"/>
    <w:rsid w:val="14101C60"/>
    <w:rsid w:val="14151024"/>
    <w:rsid w:val="14176DF2"/>
    <w:rsid w:val="14180B15"/>
    <w:rsid w:val="14270CF1"/>
    <w:rsid w:val="14283E94"/>
    <w:rsid w:val="142C06BC"/>
    <w:rsid w:val="142D2604"/>
    <w:rsid w:val="142F28B9"/>
    <w:rsid w:val="14396C44"/>
    <w:rsid w:val="14484E8D"/>
    <w:rsid w:val="14497349"/>
    <w:rsid w:val="1450092C"/>
    <w:rsid w:val="145359C0"/>
    <w:rsid w:val="14691370"/>
    <w:rsid w:val="146D1F6E"/>
    <w:rsid w:val="147069A8"/>
    <w:rsid w:val="14795A57"/>
    <w:rsid w:val="148B12E6"/>
    <w:rsid w:val="14AB460B"/>
    <w:rsid w:val="14AD3953"/>
    <w:rsid w:val="14C03BE3"/>
    <w:rsid w:val="14C82DE2"/>
    <w:rsid w:val="14D159F1"/>
    <w:rsid w:val="14D7452C"/>
    <w:rsid w:val="14DE23F8"/>
    <w:rsid w:val="14E32ED1"/>
    <w:rsid w:val="14E83491"/>
    <w:rsid w:val="14F0250E"/>
    <w:rsid w:val="14F21311"/>
    <w:rsid w:val="14F43BAE"/>
    <w:rsid w:val="14F7697C"/>
    <w:rsid w:val="14F876A6"/>
    <w:rsid w:val="14F90946"/>
    <w:rsid w:val="150A4901"/>
    <w:rsid w:val="1517646B"/>
    <w:rsid w:val="15205ED3"/>
    <w:rsid w:val="15214A13"/>
    <w:rsid w:val="1521711B"/>
    <w:rsid w:val="15235BEC"/>
    <w:rsid w:val="1529241D"/>
    <w:rsid w:val="152D417A"/>
    <w:rsid w:val="15364018"/>
    <w:rsid w:val="153951E6"/>
    <w:rsid w:val="154171BF"/>
    <w:rsid w:val="15451DDD"/>
    <w:rsid w:val="15455939"/>
    <w:rsid w:val="154B4D2D"/>
    <w:rsid w:val="154D34E6"/>
    <w:rsid w:val="15542020"/>
    <w:rsid w:val="1555339C"/>
    <w:rsid w:val="156264EB"/>
    <w:rsid w:val="15643BA8"/>
    <w:rsid w:val="15665BE5"/>
    <w:rsid w:val="156E38EE"/>
    <w:rsid w:val="15740080"/>
    <w:rsid w:val="157B57FF"/>
    <w:rsid w:val="1581422C"/>
    <w:rsid w:val="1582093B"/>
    <w:rsid w:val="15836462"/>
    <w:rsid w:val="15855917"/>
    <w:rsid w:val="1585667E"/>
    <w:rsid w:val="158A5836"/>
    <w:rsid w:val="158D7389"/>
    <w:rsid w:val="159F0E90"/>
    <w:rsid w:val="15A13EAF"/>
    <w:rsid w:val="15A96842"/>
    <w:rsid w:val="15AA5213"/>
    <w:rsid w:val="15AE6701"/>
    <w:rsid w:val="15B4486D"/>
    <w:rsid w:val="15B8610B"/>
    <w:rsid w:val="15BF56EC"/>
    <w:rsid w:val="15C40981"/>
    <w:rsid w:val="15CA0281"/>
    <w:rsid w:val="15CA39CC"/>
    <w:rsid w:val="15DA5A77"/>
    <w:rsid w:val="15DD358D"/>
    <w:rsid w:val="15DE2BEC"/>
    <w:rsid w:val="15E433A4"/>
    <w:rsid w:val="15ED1007"/>
    <w:rsid w:val="15F07B65"/>
    <w:rsid w:val="15F35395"/>
    <w:rsid w:val="15FB639C"/>
    <w:rsid w:val="15FD5FF7"/>
    <w:rsid w:val="15FF01DE"/>
    <w:rsid w:val="160A1F61"/>
    <w:rsid w:val="160F7CF5"/>
    <w:rsid w:val="16120462"/>
    <w:rsid w:val="16297009"/>
    <w:rsid w:val="16344AE2"/>
    <w:rsid w:val="1638724C"/>
    <w:rsid w:val="16390B2A"/>
    <w:rsid w:val="163A280C"/>
    <w:rsid w:val="163C6D3C"/>
    <w:rsid w:val="1644187B"/>
    <w:rsid w:val="16580EF6"/>
    <w:rsid w:val="165E63ED"/>
    <w:rsid w:val="16603CA5"/>
    <w:rsid w:val="166149F5"/>
    <w:rsid w:val="167504A0"/>
    <w:rsid w:val="167B6C0E"/>
    <w:rsid w:val="167D1103"/>
    <w:rsid w:val="168373DC"/>
    <w:rsid w:val="168626AD"/>
    <w:rsid w:val="168E0ABB"/>
    <w:rsid w:val="16923EC2"/>
    <w:rsid w:val="169313B8"/>
    <w:rsid w:val="169A3A63"/>
    <w:rsid w:val="16A36DBB"/>
    <w:rsid w:val="16B424D3"/>
    <w:rsid w:val="16B5089D"/>
    <w:rsid w:val="16C23E3D"/>
    <w:rsid w:val="16CD208A"/>
    <w:rsid w:val="16D84525"/>
    <w:rsid w:val="16DA0303"/>
    <w:rsid w:val="16DE7B91"/>
    <w:rsid w:val="16F44039"/>
    <w:rsid w:val="16F639D7"/>
    <w:rsid w:val="16FA5577"/>
    <w:rsid w:val="16FD49A4"/>
    <w:rsid w:val="1700759A"/>
    <w:rsid w:val="17074A4A"/>
    <w:rsid w:val="170A508C"/>
    <w:rsid w:val="170B5DEB"/>
    <w:rsid w:val="170F26A3"/>
    <w:rsid w:val="17143815"/>
    <w:rsid w:val="1715758D"/>
    <w:rsid w:val="17231CAA"/>
    <w:rsid w:val="172408E1"/>
    <w:rsid w:val="17286E7E"/>
    <w:rsid w:val="173C740E"/>
    <w:rsid w:val="17445A24"/>
    <w:rsid w:val="17514A69"/>
    <w:rsid w:val="1752433D"/>
    <w:rsid w:val="175B7696"/>
    <w:rsid w:val="17645ED5"/>
    <w:rsid w:val="176A406B"/>
    <w:rsid w:val="17715B9E"/>
    <w:rsid w:val="1772678E"/>
    <w:rsid w:val="17730677"/>
    <w:rsid w:val="177414B4"/>
    <w:rsid w:val="17780248"/>
    <w:rsid w:val="177A4014"/>
    <w:rsid w:val="177C52AB"/>
    <w:rsid w:val="17810C39"/>
    <w:rsid w:val="17870A6B"/>
    <w:rsid w:val="178C1678"/>
    <w:rsid w:val="179B7A41"/>
    <w:rsid w:val="17A50911"/>
    <w:rsid w:val="17A60604"/>
    <w:rsid w:val="17AA4179"/>
    <w:rsid w:val="17BD3EAD"/>
    <w:rsid w:val="17C112A1"/>
    <w:rsid w:val="17C70888"/>
    <w:rsid w:val="17C865A3"/>
    <w:rsid w:val="17D2367A"/>
    <w:rsid w:val="17D77D27"/>
    <w:rsid w:val="17D80CE7"/>
    <w:rsid w:val="17DB2585"/>
    <w:rsid w:val="17DB4333"/>
    <w:rsid w:val="17DB5DFB"/>
    <w:rsid w:val="17DE14ED"/>
    <w:rsid w:val="17E957EA"/>
    <w:rsid w:val="17EF33B1"/>
    <w:rsid w:val="17F12716"/>
    <w:rsid w:val="17F17FFA"/>
    <w:rsid w:val="17F56258"/>
    <w:rsid w:val="17F6116D"/>
    <w:rsid w:val="17F90C5D"/>
    <w:rsid w:val="180747C8"/>
    <w:rsid w:val="180C6E5D"/>
    <w:rsid w:val="180E567F"/>
    <w:rsid w:val="180E5F8F"/>
    <w:rsid w:val="18194E5B"/>
    <w:rsid w:val="181A2107"/>
    <w:rsid w:val="18360182"/>
    <w:rsid w:val="183A72AB"/>
    <w:rsid w:val="183B1AC3"/>
    <w:rsid w:val="183C0F38"/>
    <w:rsid w:val="183F48C2"/>
    <w:rsid w:val="184030B8"/>
    <w:rsid w:val="184719C8"/>
    <w:rsid w:val="18475A4E"/>
    <w:rsid w:val="184D6F0D"/>
    <w:rsid w:val="18510A99"/>
    <w:rsid w:val="185179BE"/>
    <w:rsid w:val="18616F2E"/>
    <w:rsid w:val="1867702A"/>
    <w:rsid w:val="18757EE5"/>
    <w:rsid w:val="18790B51"/>
    <w:rsid w:val="187C12F9"/>
    <w:rsid w:val="18847238"/>
    <w:rsid w:val="188925D5"/>
    <w:rsid w:val="188A479A"/>
    <w:rsid w:val="188E75F7"/>
    <w:rsid w:val="18925339"/>
    <w:rsid w:val="18983292"/>
    <w:rsid w:val="189B3AC2"/>
    <w:rsid w:val="189D2014"/>
    <w:rsid w:val="189F21ED"/>
    <w:rsid w:val="18A1416D"/>
    <w:rsid w:val="18A31624"/>
    <w:rsid w:val="18B232E6"/>
    <w:rsid w:val="18B3116F"/>
    <w:rsid w:val="18C06CCE"/>
    <w:rsid w:val="18C7778D"/>
    <w:rsid w:val="18CA0CDF"/>
    <w:rsid w:val="18D10BD7"/>
    <w:rsid w:val="18D17082"/>
    <w:rsid w:val="18D40218"/>
    <w:rsid w:val="18D70F9E"/>
    <w:rsid w:val="18D77C48"/>
    <w:rsid w:val="18D84350"/>
    <w:rsid w:val="18DC65B5"/>
    <w:rsid w:val="18E12EB6"/>
    <w:rsid w:val="18E2238F"/>
    <w:rsid w:val="18E35B95"/>
    <w:rsid w:val="18F605BC"/>
    <w:rsid w:val="18F97167"/>
    <w:rsid w:val="18F97A4B"/>
    <w:rsid w:val="18FC3F1D"/>
    <w:rsid w:val="19063631"/>
    <w:rsid w:val="191C1906"/>
    <w:rsid w:val="19297320"/>
    <w:rsid w:val="192A7D28"/>
    <w:rsid w:val="193A152D"/>
    <w:rsid w:val="195D708F"/>
    <w:rsid w:val="19693EF6"/>
    <w:rsid w:val="196D1903"/>
    <w:rsid w:val="196D233A"/>
    <w:rsid w:val="19702C51"/>
    <w:rsid w:val="19704F75"/>
    <w:rsid w:val="19866520"/>
    <w:rsid w:val="198C3906"/>
    <w:rsid w:val="199302C7"/>
    <w:rsid w:val="19934960"/>
    <w:rsid w:val="199413A3"/>
    <w:rsid w:val="199C70B5"/>
    <w:rsid w:val="19A82E33"/>
    <w:rsid w:val="19B0616D"/>
    <w:rsid w:val="19B539B2"/>
    <w:rsid w:val="19B72468"/>
    <w:rsid w:val="19BC1F42"/>
    <w:rsid w:val="19C71013"/>
    <w:rsid w:val="19D6018A"/>
    <w:rsid w:val="19D75D3B"/>
    <w:rsid w:val="19D76353"/>
    <w:rsid w:val="19DA7E6E"/>
    <w:rsid w:val="19DC4392"/>
    <w:rsid w:val="19EA6AAF"/>
    <w:rsid w:val="19EF0395"/>
    <w:rsid w:val="19F7593C"/>
    <w:rsid w:val="19FF62E5"/>
    <w:rsid w:val="19FF7C9C"/>
    <w:rsid w:val="1A00283B"/>
    <w:rsid w:val="1A134258"/>
    <w:rsid w:val="1A135034"/>
    <w:rsid w:val="1A146B50"/>
    <w:rsid w:val="1A174B1D"/>
    <w:rsid w:val="1A177F64"/>
    <w:rsid w:val="1A200723"/>
    <w:rsid w:val="1A27385F"/>
    <w:rsid w:val="1A2D76D8"/>
    <w:rsid w:val="1A387E91"/>
    <w:rsid w:val="1A3A40FB"/>
    <w:rsid w:val="1A3E56E2"/>
    <w:rsid w:val="1A405F82"/>
    <w:rsid w:val="1A4C19F4"/>
    <w:rsid w:val="1A525091"/>
    <w:rsid w:val="1A620D3B"/>
    <w:rsid w:val="1A6608F0"/>
    <w:rsid w:val="1A676026"/>
    <w:rsid w:val="1A685A24"/>
    <w:rsid w:val="1A6B5E42"/>
    <w:rsid w:val="1A7C55D5"/>
    <w:rsid w:val="1A8509E3"/>
    <w:rsid w:val="1A851F47"/>
    <w:rsid w:val="1A864037"/>
    <w:rsid w:val="1AA33D5D"/>
    <w:rsid w:val="1AA710FE"/>
    <w:rsid w:val="1AAA261B"/>
    <w:rsid w:val="1AAD4CCF"/>
    <w:rsid w:val="1AAE1CBA"/>
    <w:rsid w:val="1AAE3F81"/>
    <w:rsid w:val="1AB0206A"/>
    <w:rsid w:val="1AB07DF4"/>
    <w:rsid w:val="1AB8095B"/>
    <w:rsid w:val="1ABB35F7"/>
    <w:rsid w:val="1ABF7F3C"/>
    <w:rsid w:val="1AC45755"/>
    <w:rsid w:val="1AC90881"/>
    <w:rsid w:val="1ACB4B33"/>
    <w:rsid w:val="1AD31C97"/>
    <w:rsid w:val="1AD5554F"/>
    <w:rsid w:val="1ADA0516"/>
    <w:rsid w:val="1ADA6B24"/>
    <w:rsid w:val="1AE45BF4"/>
    <w:rsid w:val="1AFE120E"/>
    <w:rsid w:val="1B092502"/>
    <w:rsid w:val="1B0D514B"/>
    <w:rsid w:val="1B155DAE"/>
    <w:rsid w:val="1B193AF0"/>
    <w:rsid w:val="1B1C3714"/>
    <w:rsid w:val="1B1E1E1F"/>
    <w:rsid w:val="1B214753"/>
    <w:rsid w:val="1B2905E9"/>
    <w:rsid w:val="1B324BB2"/>
    <w:rsid w:val="1B3B0113"/>
    <w:rsid w:val="1B401415"/>
    <w:rsid w:val="1B402D0B"/>
    <w:rsid w:val="1B414DF5"/>
    <w:rsid w:val="1B445528"/>
    <w:rsid w:val="1B4924A4"/>
    <w:rsid w:val="1B4944AD"/>
    <w:rsid w:val="1B4A3CA9"/>
    <w:rsid w:val="1B4E547B"/>
    <w:rsid w:val="1B502E04"/>
    <w:rsid w:val="1B56062E"/>
    <w:rsid w:val="1B583F18"/>
    <w:rsid w:val="1B5A7C65"/>
    <w:rsid w:val="1B5C46A7"/>
    <w:rsid w:val="1B5E564F"/>
    <w:rsid w:val="1B5E7755"/>
    <w:rsid w:val="1B5F2182"/>
    <w:rsid w:val="1B6603B7"/>
    <w:rsid w:val="1B6A31E8"/>
    <w:rsid w:val="1B6A60FA"/>
    <w:rsid w:val="1B7D4BB4"/>
    <w:rsid w:val="1B842574"/>
    <w:rsid w:val="1B8D3B96"/>
    <w:rsid w:val="1B920970"/>
    <w:rsid w:val="1BA065DA"/>
    <w:rsid w:val="1BA22711"/>
    <w:rsid w:val="1BB11F7A"/>
    <w:rsid w:val="1BB6133F"/>
    <w:rsid w:val="1BB76E65"/>
    <w:rsid w:val="1BCB4BAB"/>
    <w:rsid w:val="1BDB1359"/>
    <w:rsid w:val="1BDF4030"/>
    <w:rsid w:val="1BE44639"/>
    <w:rsid w:val="1BE93C66"/>
    <w:rsid w:val="1BF25E0D"/>
    <w:rsid w:val="1BF3529E"/>
    <w:rsid w:val="1BF65BDF"/>
    <w:rsid w:val="1BF76192"/>
    <w:rsid w:val="1BF806F8"/>
    <w:rsid w:val="1BF9747E"/>
    <w:rsid w:val="1BFC4AC7"/>
    <w:rsid w:val="1C054074"/>
    <w:rsid w:val="1C084A7D"/>
    <w:rsid w:val="1C1027E3"/>
    <w:rsid w:val="1C1442B7"/>
    <w:rsid w:val="1C183DA8"/>
    <w:rsid w:val="1C185534"/>
    <w:rsid w:val="1C252706"/>
    <w:rsid w:val="1C2B32A2"/>
    <w:rsid w:val="1C3A460D"/>
    <w:rsid w:val="1C3F526D"/>
    <w:rsid w:val="1C3F7586"/>
    <w:rsid w:val="1C4238AC"/>
    <w:rsid w:val="1C46007A"/>
    <w:rsid w:val="1C5D2335"/>
    <w:rsid w:val="1C5D4318"/>
    <w:rsid w:val="1C5D582C"/>
    <w:rsid w:val="1C622307"/>
    <w:rsid w:val="1C646FED"/>
    <w:rsid w:val="1C665C29"/>
    <w:rsid w:val="1C68354F"/>
    <w:rsid w:val="1C6A2129"/>
    <w:rsid w:val="1C744D56"/>
    <w:rsid w:val="1C786E29"/>
    <w:rsid w:val="1C7D3C0B"/>
    <w:rsid w:val="1C805A94"/>
    <w:rsid w:val="1C84143D"/>
    <w:rsid w:val="1C877DEB"/>
    <w:rsid w:val="1C8A66C6"/>
    <w:rsid w:val="1C8B617A"/>
    <w:rsid w:val="1C925F1F"/>
    <w:rsid w:val="1C9E14BD"/>
    <w:rsid w:val="1CA23671"/>
    <w:rsid w:val="1CA24697"/>
    <w:rsid w:val="1CA3724C"/>
    <w:rsid w:val="1CA85AEC"/>
    <w:rsid w:val="1CAC6DB0"/>
    <w:rsid w:val="1CAD636B"/>
    <w:rsid w:val="1CB54E52"/>
    <w:rsid w:val="1CB6222B"/>
    <w:rsid w:val="1CBD440D"/>
    <w:rsid w:val="1CBE5341"/>
    <w:rsid w:val="1CC21590"/>
    <w:rsid w:val="1CCB3614"/>
    <w:rsid w:val="1CD06430"/>
    <w:rsid w:val="1CDD7D6D"/>
    <w:rsid w:val="1CE26164"/>
    <w:rsid w:val="1CEF4AC3"/>
    <w:rsid w:val="1CF366AD"/>
    <w:rsid w:val="1CF63E85"/>
    <w:rsid w:val="1CF71A94"/>
    <w:rsid w:val="1CFF2E0C"/>
    <w:rsid w:val="1D007DBF"/>
    <w:rsid w:val="1D012A8E"/>
    <w:rsid w:val="1D06060B"/>
    <w:rsid w:val="1D0C4210"/>
    <w:rsid w:val="1D253EFC"/>
    <w:rsid w:val="1D2A47E8"/>
    <w:rsid w:val="1D2C2906"/>
    <w:rsid w:val="1D2E3157"/>
    <w:rsid w:val="1D305121"/>
    <w:rsid w:val="1D320627"/>
    <w:rsid w:val="1D393A52"/>
    <w:rsid w:val="1D4626D5"/>
    <w:rsid w:val="1D4B05E0"/>
    <w:rsid w:val="1D4C1905"/>
    <w:rsid w:val="1D577807"/>
    <w:rsid w:val="1D5F77B4"/>
    <w:rsid w:val="1D6848BB"/>
    <w:rsid w:val="1D6A0633"/>
    <w:rsid w:val="1D6A5FF8"/>
    <w:rsid w:val="1D72471B"/>
    <w:rsid w:val="1D750703"/>
    <w:rsid w:val="1D7A1894"/>
    <w:rsid w:val="1D7B2840"/>
    <w:rsid w:val="1D8965DF"/>
    <w:rsid w:val="1DAD0DED"/>
    <w:rsid w:val="1DB4365C"/>
    <w:rsid w:val="1DB878B6"/>
    <w:rsid w:val="1DB94274"/>
    <w:rsid w:val="1DC878B0"/>
    <w:rsid w:val="1DCE20EE"/>
    <w:rsid w:val="1DD7559C"/>
    <w:rsid w:val="1DD91DFE"/>
    <w:rsid w:val="1DD942EA"/>
    <w:rsid w:val="1DDB32DF"/>
    <w:rsid w:val="1DDB508D"/>
    <w:rsid w:val="1DDC7057"/>
    <w:rsid w:val="1DE15259"/>
    <w:rsid w:val="1DE226E0"/>
    <w:rsid w:val="1DE627B1"/>
    <w:rsid w:val="1DF11408"/>
    <w:rsid w:val="1DF42A93"/>
    <w:rsid w:val="1DF632FD"/>
    <w:rsid w:val="1DFE6FCD"/>
    <w:rsid w:val="1DFE7AF7"/>
    <w:rsid w:val="1E002D45"/>
    <w:rsid w:val="1E032835"/>
    <w:rsid w:val="1E043420"/>
    <w:rsid w:val="1E0D0FBE"/>
    <w:rsid w:val="1E11113D"/>
    <w:rsid w:val="1E1862E1"/>
    <w:rsid w:val="1E200CF1"/>
    <w:rsid w:val="1E271599"/>
    <w:rsid w:val="1E2B1BA1"/>
    <w:rsid w:val="1E2D0A51"/>
    <w:rsid w:val="1E2E1439"/>
    <w:rsid w:val="1E30165C"/>
    <w:rsid w:val="1E30247B"/>
    <w:rsid w:val="1E321C18"/>
    <w:rsid w:val="1E360515"/>
    <w:rsid w:val="1E380731"/>
    <w:rsid w:val="1E3A4B95"/>
    <w:rsid w:val="1E3F65B7"/>
    <w:rsid w:val="1E49223F"/>
    <w:rsid w:val="1E4C0F19"/>
    <w:rsid w:val="1E4C42AC"/>
    <w:rsid w:val="1E5113F5"/>
    <w:rsid w:val="1E5135A1"/>
    <w:rsid w:val="1E522E75"/>
    <w:rsid w:val="1E630D5B"/>
    <w:rsid w:val="1E6A0379"/>
    <w:rsid w:val="1E6A634A"/>
    <w:rsid w:val="1E6C3F37"/>
    <w:rsid w:val="1E6E7D5B"/>
    <w:rsid w:val="1E763007"/>
    <w:rsid w:val="1E7F2573"/>
    <w:rsid w:val="1E816029"/>
    <w:rsid w:val="1E851C27"/>
    <w:rsid w:val="1E897206"/>
    <w:rsid w:val="1E8B3729"/>
    <w:rsid w:val="1E8F40C9"/>
    <w:rsid w:val="1E912BAE"/>
    <w:rsid w:val="1E990AA4"/>
    <w:rsid w:val="1E9B4FE9"/>
    <w:rsid w:val="1E9D68F4"/>
    <w:rsid w:val="1EA34647"/>
    <w:rsid w:val="1EAB0F03"/>
    <w:rsid w:val="1EB6383B"/>
    <w:rsid w:val="1EBD2C19"/>
    <w:rsid w:val="1EC43D00"/>
    <w:rsid w:val="1EC61011"/>
    <w:rsid w:val="1ED3045A"/>
    <w:rsid w:val="1ED97035"/>
    <w:rsid w:val="1EDC02F8"/>
    <w:rsid w:val="1EDF036D"/>
    <w:rsid w:val="1EDF295B"/>
    <w:rsid w:val="1EE420D4"/>
    <w:rsid w:val="1EE60593"/>
    <w:rsid w:val="1EE61F3B"/>
    <w:rsid w:val="1EEB19BE"/>
    <w:rsid w:val="1EF51055"/>
    <w:rsid w:val="1EF80270"/>
    <w:rsid w:val="1EFE5426"/>
    <w:rsid w:val="1F0008D5"/>
    <w:rsid w:val="1F015CC1"/>
    <w:rsid w:val="1F046E36"/>
    <w:rsid w:val="1F0900D7"/>
    <w:rsid w:val="1F114ADE"/>
    <w:rsid w:val="1F1545CE"/>
    <w:rsid w:val="1F1668B5"/>
    <w:rsid w:val="1F183CCC"/>
    <w:rsid w:val="1F1E78F8"/>
    <w:rsid w:val="1F283942"/>
    <w:rsid w:val="1F29007A"/>
    <w:rsid w:val="1F2A57C2"/>
    <w:rsid w:val="1F313114"/>
    <w:rsid w:val="1F3C4921"/>
    <w:rsid w:val="1F3D3DDB"/>
    <w:rsid w:val="1F51174B"/>
    <w:rsid w:val="1F5D2DC6"/>
    <w:rsid w:val="1F5F7CA0"/>
    <w:rsid w:val="1F625134"/>
    <w:rsid w:val="1F6462FD"/>
    <w:rsid w:val="1F785B03"/>
    <w:rsid w:val="1F901EA7"/>
    <w:rsid w:val="1F946E5A"/>
    <w:rsid w:val="1F971487"/>
    <w:rsid w:val="1F977874"/>
    <w:rsid w:val="1F9E20F1"/>
    <w:rsid w:val="1F9E45C4"/>
    <w:rsid w:val="1FA32CFD"/>
    <w:rsid w:val="1FAB0BCE"/>
    <w:rsid w:val="1FB16E1F"/>
    <w:rsid w:val="1FB7272B"/>
    <w:rsid w:val="1FBB2005"/>
    <w:rsid w:val="1FBB2376"/>
    <w:rsid w:val="1FC22195"/>
    <w:rsid w:val="1FC63B1B"/>
    <w:rsid w:val="1FD71884"/>
    <w:rsid w:val="1FD754F6"/>
    <w:rsid w:val="1FDC5BA1"/>
    <w:rsid w:val="1FEA7809"/>
    <w:rsid w:val="1FF17B8E"/>
    <w:rsid w:val="1FF24910"/>
    <w:rsid w:val="1FF46854"/>
    <w:rsid w:val="1FFB0FBF"/>
    <w:rsid w:val="1FFF97F9"/>
    <w:rsid w:val="20124FB2"/>
    <w:rsid w:val="20150688"/>
    <w:rsid w:val="201E3957"/>
    <w:rsid w:val="202905E5"/>
    <w:rsid w:val="202A50E6"/>
    <w:rsid w:val="202D76F6"/>
    <w:rsid w:val="20373E1B"/>
    <w:rsid w:val="203A07BB"/>
    <w:rsid w:val="203D65D3"/>
    <w:rsid w:val="2040567B"/>
    <w:rsid w:val="204C2871"/>
    <w:rsid w:val="20562900"/>
    <w:rsid w:val="205F1D91"/>
    <w:rsid w:val="206343C7"/>
    <w:rsid w:val="207115C6"/>
    <w:rsid w:val="207169C0"/>
    <w:rsid w:val="207B1DBD"/>
    <w:rsid w:val="2086299A"/>
    <w:rsid w:val="20936695"/>
    <w:rsid w:val="20A0436C"/>
    <w:rsid w:val="20AA6F98"/>
    <w:rsid w:val="20AE6A88"/>
    <w:rsid w:val="20B35EED"/>
    <w:rsid w:val="20B802FC"/>
    <w:rsid w:val="20BD316F"/>
    <w:rsid w:val="20BD7F29"/>
    <w:rsid w:val="20C0056A"/>
    <w:rsid w:val="20C067BC"/>
    <w:rsid w:val="20C229C0"/>
    <w:rsid w:val="20C77B4A"/>
    <w:rsid w:val="20CB68DC"/>
    <w:rsid w:val="20D41501"/>
    <w:rsid w:val="20D64231"/>
    <w:rsid w:val="20D81D57"/>
    <w:rsid w:val="20D96253"/>
    <w:rsid w:val="20DA787E"/>
    <w:rsid w:val="20DB53A4"/>
    <w:rsid w:val="20DD0861"/>
    <w:rsid w:val="20E07BCB"/>
    <w:rsid w:val="20E57500"/>
    <w:rsid w:val="20EA0D61"/>
    <w:rsid w:val="20EE157B"/>
    <w:rsid w:val="20F04671"/>
    <w:rsid w:val="20F85D62"/>
    <w:rsid w:val="20FD6926"/>
    <w:rsid w:val="20FE0563"/>
    <w:rsid w:val="210112AE"/>
    <w:rsid w:val="21075377"/>
    <w:rsid w:val="21093B95"/>
    <w:rsid w:val="210F1FED"/>
    <w:rsid w:val="2110329F"/>
    <w:rsid w:val="21172449"/>
    <w:rsid w:val="21181C91"/>
    <w:rsid w:val="21184C84"/>
    <w:rsid w:val="211A77AC"/>
    <w:rsid w:val="211C688E"/>
    <w:rsid w:val="211E071F"/>
    <w:rsid w:val="21205F33"/>
    <w:rsid w:val="21233C69"/>
    <w:rsid w:val="21235044"/>
    <w:rsid w:val="21250ADE"/>
    <w:rsid w:val="212A43D4"/>
    <w:rsid w:val="212A69C6"/>
    <w:rsid w:val="212C6029"/>
    <w:rsid w:val="212F1C2E"/>
    <w:rsid w:val="21323F64"/>
    <w:rsid w:val="21370DA4"/>
    <w:rsid w:val="213760C2"/>
    <w:rsid w:val="213827F6"/>
    <w:rsid w:val="21442C28"/>
    <w:rsid w:val="21471BB1"/>
    <w:rsid w:val="21577120"/>
    <w:rsid w:val="215A451A"/>
    <w:rsid w:val="215E38F0"/>
    <w:rsid w:val="215F48E6"/>
    <w:rsid w:val="215F7CC0"/>
    <w:rsid w:val="216D06F2"/>
    <w:rsid w:val="2174123C"/>
    <w:rsid w:val="21742C26"/>
    <w:rsid w:val="217750CC"/>
    <w:rsid w:val="21843D65"/>
    <w:rsid w:val="218B5F26"/>
    <w:rsid w:val="218C47D6"/>
    <w:rsid w:val="219B044F"/>
    <w:rsid w:val="219E4D4F"/>
    <w:rsid w:val="219F7C09"/>
    <w:rsid w:val="21A31CED"/>
    <w:rsid w:val="21A46BEE"/>
    <w:rsid w:val="21B1594D"/>
    <w:rsid w:val="21B77BBF"/>
    <w:rsid w:val="21BB50A7"/>
    <w:rsid w:val="21C22773"/>
    <w:rsid w:val="21C30312"/>
    <w:rsid w:val="21C916A0"/>
    <w:rsid w:val="21D4251F"/>
    <w:rsid w:val="21D82128"/>
    <w:rsid w:val="21D83489"/>
    <w:rsid w:val="21D91E5A"/>
    <w:rsid w:val="21DA62E3"/>
    <w:rsid w:val="21DC73B6"/>
    <w:rsid w:val="21E32145"/>
    <w:rsid w:val="21EA1D42"/>
    <w:rsid w:val="21EB11BF"/>
    <w:rsid w:val="21F64917"/>
    <w:rsid w:val="22090939"/>
    <w:rsid w:val="2228602E"/>
    <w:rsid w:val="223929A7"/>
    <w:rsid w:val="22400361"/>
    <w:rsid w:val="224D21AE"/>
    <w:rsid w:val="2250591D"/>
    <w:rsid w:val="2251554A"/>
    <w:rsid w:val="22571B51"/>
    <w:rsid w:val="22584151"/>
    <w:rsid w:val="22636561"/>
    <w:rsid w:val="22642175"/>
    <w:rsid w:val="22761828"/>
    <w:rsid w:val="22764103"/>
    <w:rsid w:val="227D2267"/>
    <w:rsid w:val="227E17DF"/>
    <w:rsid w:val="22857CBD"/>
    <w:rsid w:val="228A52D3"/>
    <w:rsid w:val="228C2DF9"/>
    <w:rsid w:val="228D6B72"/>
    <w:rsid w:val="22913D4B"/>
    <w:rsid w:val="2291647A"/>
    <w:rsid w:val="229575D0"/>
    <w:rsid w:val="22981F9C"/>
    <w:rsid w:val="229A778D"/>
    <w:rsid w:val="22AC4010"/>
    <w:rsid w:val="22AE6174"/>
    <w:rsid w:val="22AF4D3A"/>
    <w:rsid w:val="22B12860"/>
    <w:rsid w:val="22B83BB3"/>
    <w:rsid w:val="22BD15A2"/>
    <w:rsid w:val="22C11246"/>
    <w:rsid w:val="22C16172"/>
    <w:rsid w:val="22C213F6"/>
    <w:rsid w:val="22C400BC"/>
    <w:rsid w:val="22C65A35"/>
    <w:rsid w:val="22C67910"/>
    <w:rsid w:val="22C75BE0"/>
    <w:rsid w:val="22CF1D97"/>
    <w:rsid w:val="22CF36C0"/>
    <w:rsid w:val="22D66761"/>
    <w:rsid w:val="22DA2ABA"/>
    <w:rsid w:val="22DB0A7C"/>
    <w:rsid w:val="22DD12A0"/>
    <w:rsid w:val="22E83BB5"/>
    <w:rsid w:val="22F25374"/>
    <w:rsid w:val="22F64717"/>
    <w:rsid w:val="22FA4207"/>
    <w:rsid w:val="23152BE8"/>
    <w:rsid w:val="231B3691"/>
    <w:rsid w:val="231B417D"/>
    <w:rsid w:val="232474D6"/>
    <w:rsid w:val="232C1EE7"/>
    <w:rsid w:val="232E1824"/>
    <w:rsid w:val="233252EB"/>
    <w:rsid w:val="23363127"/>
    <w:rsid w:val="23377EE9"/>
    <w:rsid w:val="233A2855"/>
    <w:rsid w:val="234073B7"/>
    <w:rsid w:val="23526EAE"/>
    <w:rsid w:val="235A7381"/>
    <w:rsid w:val="235D268C"/>
    <w:rsid w:val="2361787B"/>
    <w:rsid w:val="23647A3F"/>
    <w:rsid w:val="23716E78"/>
    <w:rsid w:val="23720081"/>
    <w:rsid w:val="237613B4"/>
    <w:rsid w:val="237815D0"/>
    <w:rsid w:val="23790C1F"/>
    <w:rsid w:val="237925D6"/>
    <w:rsid w:val="237F017D"/>
    <w:rsid w:val="238166D6"/>
    <w:rsid w:val="23843AD1"/>
    <w:rsid w:val="238702C2"/>
    <w:rsid w:val="238C6E29"/>
    <w:rsid w:val="23916F72"/>
    <w:rsid w:val="23975495"/>
    <w:rsid w:val="23AC621F"/>
    <w:rsid w:val="23AE0B4E"/>
    <w:rsid w:val="23B02B18"/>
    <w:rsid w:val="23B1019C"/>
    <w:rsid w:val="23D2079E"/>
    <w:rsid w:val="23DC390D"/>
    <w:rsid w:val="23E206C1"/>
    <w:rsid w:val="23E26A49"/>
    <w:rsid w:val="23E66539"/>
    <w:rsid w:val="23E80E96"/>
    <w:rsid w:val="23F9568A"/>
    <w:rsid w:val="24012941"/>
    <w:rsid w:val="240B21EF"/>
    <w:rsid w:val="24125580"/>
    <w:rsid w:val="24173588"/>
    <w:rsid w:val="2423153B"/>
    <w:rsid w:val="24236C43"/>
    <w:rsid w:val="242729A8"/>
    <w:rsid w:val="242C3DBC"/>
    <w:rsid w:val="24355DF3"/>
    <w:rsid w:val="2436154C"/>
    <w:rsid w:val="24367605"/>
    <w:rsid w:val="243D75F3"/>
    <w:rsid w:val="24443DC5"/>
    <w:rsid w:val="244761E2"/>
    <w:rsid w:val="24480FA2"/>
    <w:rsid w:val="2452597D"/>
    <w:rsid w:val="24554B9B"/>
    <w:rsid w:val="245F6F8B"/>
    <w:rsid w:val="24686EA0"/>
    <w:rsid w:val="24697EBD"/>
    <w:rsid w:val="246B4C91"/>
    <w:rsid w:val="246D0A09"/>
    <w:rsid w:val="246D4CE6"/>
    <w:rsid w:val="247535C1"/>
    <w:rsid w:val="247564E8"/>
    <w:rsid w:val="247E49C4"/>
    <w:rsid w:val="2480698E"/>
    <w:rsid w:val="248156CC"/>
    <w:rsid w:val="24873565"/>
    <w:rsid w:val="248F097F"/>
    <w:rsid w:val="24A24B56"/>
    <w:rsid w:val="24A361D8"/>
    <w:rsid w:val="24A7216D"/>
    <w:rsid w:val="24AA2C10"/>
    <w:rsid w:val="24AA57B9"/>
    <w:rsid w:val="24B766BA"/>
    <w:rsid w:val="24C034CB"/>
    <w:rsid w:val="24C05AB6"/>
    <w:rsid w:val="24CC1BD3"/>
    <w:rsid w:val="24D264B5"/>
    <w:rsid w:val="24DA1B49"/>
    <w:rsid w:val="24DC16EA"/>
    <w:rsid w:val="24DC6BA4"/>
    <w:rsid w:val="24EB7C26"/>
    <w:rsid w:val="24EF7A0D"/>
    <w:rsid w:val="24F114D3"/>
    <w:rsid w:val="24F34D4B"/>
    <w:rsid w:val="2503311B"/>
    <w:rsid w:val="2506065B"/>
    <w:rsid w:val="25125BE6"/>
    <w:rsid w:val="25137802"/>
    <w:rsid w:val="25183210"/>
    <w:rsid w:val="25294EDE"/>
    <w:rsid w:val="252C4610"/>
    <w:rsid w:val="252C6B6B"/>
    <w:rsid w:val="252E0845"/>
    <w:rsid w:val="252F5CBE"/>
    <w:rsid w:val="2532716E"/>
    <w:rsid w:val="253378E2"/>
    <w:rsid w:val="25370978"/>
    <w:rsid w:val="25393838"/>
    <w:rsid w:val="253A47ED"/>
    <w:rsid w:val="25420D70"/>
    <w:rsid w:val="25473008"/>
    <w:rsid w:val="25485291"/>
    <w:rsid w:val="254B0C06"/>
    <w:rsid w:val="254C6870"/>
    <w:rsid w:val="254E083A"/>
    <w:rsid w:val="25565941"/>
    <w:rsid w:val="256007B2"/>
    <w:rsid w:val="256447BA"/>
    <w:rsid w:val="256471D1"/>
    <w:rsid w:val="25747400"/>
    <w:rsid w:val="25755FF2"/>
    <w:rsid w:val="2576760F"/>
    <w:rsid w:val="2586094A"/>
    <w:rsid w:val="25911A7F"/>
    <w:rsid w:val="25975B6C"/>
    <w:rsid w:val="259B64A6"/>
    <w:rsid w:val="259D7324"/>
    <w:rsid w:val="25A0096A"/>
    <w:rsid w:val="25A032F9"/>
    <w:rsid w:val="25A30060"/>
    <w:rsid w:val="25A445B6"/>
    <w:rsid w:val="25A466AC"/>
    <w:rsid w:val="25AF5431"/>
    <w:rsid w:val="25B05051"/>
    <w:rsid w:val="25BD2178"/>
    <w:rsid w:val="25CB59E7"/>
    <w:rsid w:val="25CC1FEA"/>
    <w:rsid w:val="25CD07AC"/>
    <w:rsid w:val="25D11CFD"/>
    <w:rsid w:val="25D20619"/>
    <w:rsid w:val="25D30D3F"/>
    <w:rsid w:val="25E17ECF"/>
    <w:rsid w:val="25E46AA9"/>
    <w:rsid w:val="25EE1820"/>
    <w:rsid w:val="25EE5B79"/>
    <w:rsid w:val="25F07580"/>
    <w:rsid w:val="25F47AC3"/>
    <w:rsid w:val="25F652D5"/>
    <w:rsid w:val="25FD5DBC"/>
    <w:rsid w:val="26030548"/>
    <w:rsid w:val="260565B3"/>
    <w:rsid w:val="260A4F6A"/>
    <w:rsid w:val="26123616"/>
    <w:rsid w:val="262F241A"/>
    <w:rsid w:val="26307F40"/>
    <w:rsid w:val="26321F0A"/>
    <w:rsid w:val="26323CB8"/>
    <w:rsid w:val="2637724E"/>
    <w:rsid w:val="26427FE4"/>
    <w:rsid w:val="264834DB"/>
    <w:rsid w:val="26490DAB"/>
    <w:rsid w:val="264F486A"/>
    <w:rsid w:val="265005E2"/>
    <w:rsid w:val="26585DBB"/>
    <w:rsid w:val="265912DF"/>
    <w:rsid w:val="265E0E27"/>
    <w:rsid w:val="265E4AAD"/>
    <w:rsid w:val="26640EB0"/>
    <w:rsid w:val="26673500"/>
    <w:rsid w:val="266876DA"/>
    <w:rsid w:val="26760048"/>
    <w:rsid w:val="2676053D"/>
    <w:rsid w:val="26797B39"/>
    <w:rsid w:val="267E14C1"/>
    <w:rsid w:val="267E514F"/>
    <w:rsid w:val="26933183"/>
    <w:rsid w:val="26963FCB"/>
    <w:rsid w:val="269D4696"/>
    <w:rsid w:val="269D5C08"/>
    <w:rsid w:val="26A255C2"/>
    <w:rsid w:val="26A61FB0"/>
    <w:rsid w:val="26AF41D9"/>
    <w:rsid w:val="26AF46AA"/>
    <w:rsid w:val="26B27FFE"/>
    <w:rsid w:val="26B364B1"/>
    <w:rsid w:val="26B474A7"/>
    <w:rsid w:val="26B923C6"/>
    <w:rsid w:val="26BA7F2B"/>
    <w:rsid w:val="26C04761"/>
    <w:rsid w:val="26C076C9"/>
    <w:rsid w:val="26C44A92"/>
    <w:rsid w:val="26C82234"/>
    <w:rsid w:val="26DD7C5F"/>
    <w:rsid w:val="26EB02F3"/>
    <w:rsid w:val="26ED60F4"/>
    <w:rsid w:val="26EF2F1C"/>
    <w:rsid w:val="26EF40E8"/>
    <w:rsid w:val="26EF59C2"/>
    <w:rsid w:val="26F02336"/>
    <w:rsid w:val="26F7412E"/>
    <w:rsid w:val="26F8053B"/>
    <w:rsid w:val="26FC3E21"/>
    <w:rsid w:val="270005DE"/>
    <w:rsid w:val="27006A08"/>
    <w:rsid w:val="27050C6B"/>
    <w:rsid w:val="271214F2"/>
    <w:rsid w:val="27196C26"/>
    <w:rsid w:val="27217B94"/>
    <w:rsid w:val="27252803"/>
    <w:rsid w:val="272A6282"/>
    <w:rsid w:val="27310BFB"/>
    <w:rsid w:val="27315D1D"/>
    <w:rsid w:val="274C6FFB"/>
    <w:rsid w:val="2750640D"/>
    <w:rsid w:val="275250B3"/>
    <w:rsid w:val="27526A06"/>
    <w:rsid w:val="275335A0"/>
    <w:rsid w:val="27594A58"/>
    <w:rsid w:val="27595504"/>
    <w:rsid w:val="276131A6"/>
    <w:rsid w:val="27660328"/>
    <w:rsid w:val="276D6179"/>
    <w:rsid w:val="276E0D20"/>
    <w:rsid w:val="276F1C0A"/>
    <w:rsid w:val="276F4797"/>
    <w:rsid w:val="27790C19"/>
    <w:rsid w:val="277A3E04"/>
    <w:rsid w:val="27840543"/>
    <w:rsid w:val="278B1FE5"/>
    <w:rsid w:val="27912C60"/>
    <w:rsid w:val="27925AC8"/>
    <w:rsid w:val="27953E69"/>
    <w:rsid w:val="27982240"/>
    <w:rsid w:val="27A056B0"/>
    <w:rsid w:val="27A120BD"/>
    <w:rsid w:val="27A24025"/>
    <w:rsid w:val="27A97DEB"/>
    <w:rsid w:val="27AC7A9A"/>
    <w:rsid w:val="27B65DA8"/>
    <w:rsid w:val="27BD3A55"/>
    <w:rsid w:val="27C272BD"/>
    <w:rsid w:val="27C711DE"/>
    <w:rsid w:val="27CC1EEA"/>
    <w:rsid w:val="27D019DA"/>
    <w:rsid w:val="27D029C5"/>
    <w:rsid w:val="27D52B4D"/>
    <w:rsid w:val="27D61CCF"/>
    <w:rsid w:val="27DF3D04"/>
    <w:rsid w:val="27E2526A"/>
    <w:rsid w:val="27FD32DC"/>
    <w:rsid w:val="27FF7BCA"/>
    <w:rsid w:val="280451E0"/>
    <w:rsid w:val="28075FC6"/>
    <w:rsid w:val="280D678A"/>
    <w:rsid w:val="28247630"/>
    <w:rsid w:val="282870EB"/>
    <w:rsid w:val="282D64B7"/>
    <w:rsid w:val="283006CB"/>
    <w:rsid w:val="28312D16"/>
    <w:rsid w:val="28374E01"/>
    <w:rsid w:val="283B5FDF"/>
    <w:rsid w:val="28444B01"/>
    <w:rsid w:val="28457743"/>
    <w:rsid w:val="284B2C52"/>
    <w:rsid w:val="284E4D40"/>
    <w:rsid w:val="284F6DA3"/>
    <w:rsid w:val="28525824"/>
    <w:rsid w:val="28575A54"/>
    <w:rsid w:val="285C301A"/>
    <w:rsid w:val="285C501C"/>
    <w:rsid w:val="28683E25"/>
    <w:rsid w:val="286D547B"/>
    <w:rsid w:val="287A4744"/>
    <w:rsid w:val="287D7A19"/>
    <w:rsid w:val="28852FC8"/>
    <w:rsid w:val="28891DCC"/>
    <w:rsid w:val="288B11F3"/>
    <w:rsid w:val="28912087"/>
    <w:rsid w:val="28956565"/>
    <w:rsid w:val="28991214"/>
    <w:rsid w:val="289E170C"/>
    <w:rsid w:val="28AB15F7"/>
    <w:rsid w:val="28AD4943"/>
    <w:rsid w:val="28B05758"/>
    <w:rsid w:val="28B378BA"/>
    <w:rsid w:val="28B47FB3"/>
    <w:rsid w:val="28B53785"/>
    <w:rsid w:val="28B77537"/>
    <w:rsid w:val="28B83071"/>
    <w:rsid w:val="28B96069"/>
    <w:rsid w:val="28BD1316"/>
    <w:rsid w:val="28C3509B"/>
    <w:rsid w:val="28C50E13"/>
    <w:rsid w:val="28C54672"/>
    <w:rsid w:val="28C606E7"/>
    <w:rsid w:val="28C80F21"/>
    <w:rsid w:val="28D23530"/>
    <w:rsid w:val="28D80422"/>
    <w:rsid w:val="28DE12D6"/>
    <w:rsid w:val="28E02ADB"/>
    <w:rsid w:val="28E459F8"/>
    <w:rsid w:val="28E62B38"/>
    <w:rsid w:val="28EB37CC"/>
    <w:rsid w:val="28EF17A9"/>
    <w:rsid w:val="28F1279C"/>
    <w:rsid w:val="28F4063B"/>
    <w:rsid w:val="29086F52"/>
    <w:rsid w:val="290A2CCA"/>
    <w:rsid w:val="290A5ABC"/>
    <w:rsid w:val="290B2CB8"/>
    <w:rsid w:val="29132A40"/>
    <w:rsid w:val="291A3A54"/>
    <w:rsid w:val="292559B5"/>
    <w:rsid w:val="292D4C11"/>
    <w:rsid w:val="29304070"/>
    <w:rsid w:val="29347D47"/>
    <w:rsid w:val="29363ABF"/>
    <w:rsid w:val="29437F8A"/>
    <w:rsid w:val="29487179"/>
    <w:rsid w:val="29496622"/>
    <w:rsid w:val="294A30C6"/>
    <w:rsid w:val="294A57BC"/>
    <w:rsid w:val="294C6E3F"/>
    <w:rsid w:val="294D3605"/>
    <w:rsid w:val="29682F6C"/>
    <w:rsid w:val="29706E93"/>
    <w:rsid w:val="297445E7"/>
    <w:rsid w:val="29751076"/>
    <w:rsid w:val="297B5976"/>
    <w:rsid w:val="297D524A"/>
    <w:rsid w:val="29873689"/>
    <w:rsid w:val="29882031"/>
    <w:rsid w:val="298E088F"/>
    <w:rsid w:val="299C4E7C"/>
    <w:rsid w:val="29A042F6"/>
    <w:rsid w:val="29A32B13"/>
    <w:rsid w:val="29B56A5C"/>
    <w:rsid w:val="29B570DA"/>
    <w:rsid w:val="29C27101"/>
    <w:rsid w:val="29C739E8"/>
    <w:rsid w:val="29D97CF9"/>
    <w:rsid w:val="29DA0519"/>
    <w:rsid w:val="29DD218D"/>
    <w:rsid w:val="29DF0BF3"/>
    <w:rsid w:val="29F23E8A"/>
    <w:rsid w:val="29F41ED4"/>
    <w:rsid w:val="29F67CE3"/>
    <w:rsid w:val="2A067935"/>
    <w:rsid w:val="2A0B0AA8"/>
    <w:rsid w:val="2A1A0CEB"/>
    <w:rsid w:val="2A3719D1"/>
    <w:rsid w:val="2A3B6774"/>
    <w:rsid w:val="2A3E2071"/>
    <w:rsid w:val="2A3F40EE"/>
    <w:rsid w:val="2A420242"/>
    <w:rsid w:val="2A4D29A2"/>
    <w:rsid w:val="2A514DFD"/>
    <w:rsid w:val="2A533306"/>
    <w:rsid w:val="2A54453D"/>
    <w:rsid w:val="2A545350"/>
    <w:rsid w:val="2A547601"/>
    <w:rsid w:val="2A551074"/>
    <w:rsid w:val="2A5906FD"/>
    <w:rsid w:val="2A696F29"/>
    <w:rsid w:val="2A721503"/>
    <w:rsid w:val="2A765AFD"/>
    <w:rsid w:val="2A7E7460"/>
    <w:rsid w:val="2A836DE7"/>
    <w:rsid w:val="2A8A2748"/>
    <w:rsid w:val="2A9071FF"/>
    <w:rsid w:val="2A9C2048"/>
    <w:rsid w:val="2AA42CAA"/>
    <w:rsid w:val="2AA909A7"/>
    <w:rsid w:val="2AAD001C"/>
    <w:rsid w:val="2AB23A66"/>
    <w:rsid w:val="2AB32EED"/>
    <w:rsid w:val="2AB467A5"/>
    <w:rsid w:val="2ABC6246"/>
    <w:rsid w:val="2AC31382"/>
    <w:rsid w:val="2AC670C5"/>
    <w:rsid w:val="2AC82313"/>
    <w:rsid w:val="2AD6088E"/>
    <w:rsid w:val="2AD97A80"/>
    <w:rsid w:val="2ADE61BC"/>
    <w:rsid w:val="2AE82B97"/>
    <w:rsid w:val="2AE83B8F"/>
    <w:rsid w:val="2AEC7648"/>
    <w:rsid w:val="2AED28A3"/>
    <w:rsid w:val="2AF531D1"/>
    <w:rsid w:val="2AF633B8"/>
    <w:rsid w:val="2AF858C0"/>
    <w:rsid w:val="2AFD7F03"/>
    <w:rsid w:val="2AFF598A"/>
    <w:rsid w:val="2B0B4625"/>
    <w:rsid w:val="2B1716CE"/>
    <w:rsid w:val="2B1B56BB"/>
    <w:rsid w:val="2B1C274A"/>
    <w:rsid w:val="2B1C2A55"/>
    <w:rsid w:val="2B2142FB"/>
    <w:rsid w:val="2B25527B"/>
    <w:rsid w:val="2B28102B"/>
    <w:rsid w:val="2B294AB2"/>
    <w:rsid w:val="2B2B6F28"/>
    <w:rsid w:val="2B2D4A4E"/>
    <w:rsid w:val="2B327EC3"/>
    <w:rsid w:val="2B365FF8"/>
    <w:rsid w:val="2B380887"/>
    <w:rsid w:val="2B3A36BA"/>
    <w:rsid w:val="2B3B52BF"/>
    <w:rsid w:val="2B441827"/>
    <w:rsid w:val="2B4D7FEA"/>
    <w:rsid w:val="2B4F2C16"/>
    <w:rsid w:val="2B5A30BA"/>
    <w:rsid w:val="2B5C5333"/>
    <w:rsid w:val="2B726905"/>
    <w:rsid w:val="2B797C93"/>
    <w:rsid w:val="2B7B3A0B"/>
    <w:rsid w:val="2B8102D9"/>
    <w:rsid w:val="2B842835"/>
    <w:rsid w:val="2B886128"/>
    <w:rsid w:val="2B897E99"/>
    <w:rsid w:val="2B8D373E"/>
    <w:rsid w:val="2B8E237F"/>
    <w:rsid w:val="2B973D23"/>
    <w:rsid w:val="2B9916AB"/>
    <w:rsid w:val="2B9C499C"/>
    <w:rsid w:val="2B9C596C"/>
    <w:rsid w:val="2BA03472"/>
    <w:rsid w:val="2BA054AC"/>
    <w:rsid w:val="2BA107C5"/>
    <w:rsid w:val="2BA5117D"/>
    <w:rsid w:val="2BA660F3"/>
    <w:rsid w:val="2BAF13B9"/>
    <w:rsid w:val="2BBC3AB5"/>
    <w:rsid w:val="2BBE1B4A"/>
    <w:rsid w:val="2BC07A83"/>
    <w:rsid w:val="2BC2145B"/>
    <w:rsid w:val="2BCF61A2"/>
    <w:rsid w:val="2BD15D21"/>
    <w:rsid w:val="2BDD6474"/>
    <w:rsid w:val="2BDF216D"/>
    <w:rsid w:val="2BEB387C"/>
    <w:rsid w:val="2BEB6DE3"/>
    <w:rsid w:val="2BF02522"/>
    <w:rsid w:val="2BF04FEE"/>
    <w:rsid w:val="2BFB3CA8"/>
    <w:rsid w:val="2C01411F"/>
    <w:rsid w:val="2C016606"/>
    <w:rsid w:val="2C09185D"/>
    <w:rsid w:val="2C093973"/>
    <w:rsid w:val="2C0F477D"/>
    <w:rsid w:val="2C114EFC"/>
    <w:rsid w:val="2C126E14"/>
    <w:rsid w:val="2C192067"/>
    <w:rsid w:val="2C1F6386"/>
    <w:rsid w:val="2C39267F"/>
    <w:rsid w:val="2C3B0094"/>
    <w:rsid w:val="2C3B112F"/>
    <w:rsid w:val="2C3D2F50"/>
    <w:rsid w:val="2C3D700C"/>
    <w:rsid w:val="2C43445B"/>
    <w:rsid w:val="2C4523DC"/>
    <w:rsid w:val="2C4604BD"/>
    <w:rsid w:val="2C4B7881"/>
    <w:rsid w:val="2C522220"/>
    <w:rsid w:val="2C534988"/>
    <w:rsid w:val="2C5C5E88"/>
    <w:rsid w:val="2C5E1A1C"/>
    <w:rsid w:val="2C63798B"/>
    <w:rsid w:val="2C700266"/>
    <w:rsid w:val="2C722EF3"/>
    <w:rsid w:val="2C752395"/>
    <w:rsid w:val="2C761EC6"/>
    <w:rsid w:val="2C784EAD"/>
    <w:rsid w:val="2C8427DC"/>
    <w:rsid w:val="2C8C74BC"/>
    <w:rsid w:val="2C8F095A"/>
    <w:rsid w:val="2C921B0A"/>
    <w:rsid w:val="2C9C632F"/>
    <w:rsid w:val="2CA927F3"/>
    <w:rsid w:val="2CB20151"/>
    <w:rsid w:val="2CB50062"/>
    <w:rsid w:val="2CBD400F"/>
    <w:rsid w:val="2CBD4D74"/>
    <w:rsid w:val="2CC226F3"/>
    <w:rsid w:val="2CC34063"/>
    <w:rsid w:val="2CC47634"/>
    <w:rsid w:val="2CC65AEC"/>
    <w:rsid w:val="2CC74648"/>
    <w:rsid w:val="2CC80D03"/>
    <w:rsid w:val="2CCA3FCE"/>
    <w:rsid w:val="2CCA4130"/>
    <w:rsid w:val="2CCF457C"/>
    <w:rsid w:val="2CD26DA1"/>
    <w:rsid w:val="2CDE3600"/>
    <w:rsid w:val="2CE657FC"/>
    <w:rsid w:val="2CEB2BB0"/>
    <w:rsid w:val="2CFB1FBE"/>
    <w:rsid w:val="2D047A30"/>
    <w:rsid w:val="2D06518C"/>
    <w:rsid w:val="2D067C4C"/>
    <w:rsid w:val="2D0F6B01"/>
    <w:rsid w:val="2D134149"/>
    <w:rsid w:val="2D173C07"/>
    <w:rsid w:val="2D1A5245"/>
    <w:rsid w:val="2D1B1014"/>
    <w:rsid w:val="2D214A86"/>
    <w:rsid w:val="2D2F6D65"/>
    <w:rsid w:val="2D483DC1"/>
    <w:rsid w:val="2D4A35A6"/>
    <w:rsid w:val="2D4A381D"/>
    <w:rsid w:val="2D4F3EFB"/>
    <w:rsid w:val="2D552DF9"/>
    <w:rsid w:val="2D594080"/>
    <w:rsid w:val="2D5979AF"/>
    <w:rsid w:val="2D5E5C4E"/>
    <w:rsid w:val="2D6055AE"/>
    <w:rsid w:val="2D70202E"/>
    <w:rsid w:val="2D720219"/>
    <w:rsid w:val="2D775B8D"/>
    <w:rsid w:val="2D7F67F7"/>
    <w:rsid w:val="2D8017AD"/>
    <w:rsid w:val="2D857E7C"/>
    <w:rsid w:val="2D8940A1"/>
    <w:rsid w:val="2D8D0BF1"/>
    <w:rsid w:val="2D9123C1"/>
    <w:rsid w:val="2D9237DB"/>
    <w:rsid w:val="2D980F32"/>
    <w:rsid w:val="2D9A732D"/>
    <w:rsid w:val="2D9F430A"/>
    <w:rsid w:val="2DA01E4F"/>
    <w:rsid w:val="2DA318B3"/>
    <w:rsid w:val="2DA4527D"/>
    <w:rsid w:val="2DA73053"/>
    <w:rsid w:val="2DAE4E29"/>
    <w:rsid w:val="2DAF2C95"/>
    <w:rsid w:val="2DB66F59"/>
    <w:rsid w:val="2DBE22D5"/>
    <w:rsid w:val="2DC81391"/>
    <w:rsid w:val="2DCF1D53"/>
    <w:rsid w:val="2DD02CED"/>
    <w:rsid w:val="2DD37B2E"/>
    <w:rsid w:val="2DD41AF8"/>
    <w:rsid w:val="2DD613CD"/>
    <w:rsid w:val="2DF14458"/>
    <w:rsid w:val="2DF55124"/>
    <w:rsid w:val="2DF83A39"/>
    <w:rsid w:val="2DF857E7"/>
    <w:rsid w:val="2E1645B4"/>
    <w:rsid w:val="2E1F0FC6"/>
    <w:rsid w:val="2E1F73FD"/>
    <w:rsid w:val="2E207FA0"/>
    <w:rsid w:val="2E23315A"/>
    <w:rsid w:val="2E2C6E9B"/>
    <w:rsid w:val="2E2E5D1F"/>
    <w:rsid w:val="2E3569FF"/>
    <w:rsid w:val="2E3A195C"/>
    <w:rsid w:val="2E41718E"/>
    <w:rsid w:val="2E4C5B33"/>
    <w:rsid w:val="2E4E3659"/>
    <w:rsid w:val="2E5875EE"/>
    <w:rsid w:val="2E5F1BB2"/>
    <w:rsid w:val="2E601599"/>
    <w:rsid w:val="2E6469D8"/>
    <w:rsid w:val="2E660AA3"/>
    <w:rsid w:val="2E671F0E"/>
    <w:rsid w:val="2E6C27D1"/>
    <w:rsid w:val="2E730AF8"/>
    <w:rsid w:val="2E743721"/>
    <w:rsid w:val="2E7A4BDE"/>
    <w:rsid w:val="2E7F7CB6"/>
    <w:rsid w:val="2E8125F6"/>
    <w:rsid w:val="2E840A7A"/>
    <w:rsid w:val="2E877F96"/>
    <w:rsid w:val="2E894691"/>
    <w:rsid w:val="2E9279E9"/>
    <w:rsid w:val="2EA25753"/>
    <w:rsid w:val="2EA3335C"/>
    <w:rsid w:val="2EA43279"/>
    <w:rsid w:val="2EAB2859"/>
    <w:rsid w:val="2EAD3047"/>
    <w:rsid w:val="2EAD4823"/>
    <w:rsid w:val="2EAD65D1"/>
    <w:rsid w:val="2EC07B78"/>
    <w:rsid w:val="2EC11995"/>
    <w:rsid w:val="2ECC350D"/>
    <w:rsid w:val="2ECC3F84"/>
    <w:rsid w:val="2ECD0A22"/>
    <w:rsid w:val="2ED022C0"/>
    <w:rsid w:val="2ED46611"/>
    <w:rsid w:val="2EDE6FCE"/>
    <w:rsid w:val="2EDF2503"/>
    <w:rsid w:val="2EE13983"/>
    <w:rsid w:val="2EE67D35"/>
    <w:rsid w:val="2EEB67FF"/>
    <w:rsid w:val="2EEC4152"/>
    <w:rsid w:val="2EF02962"/>
    <w:rsid w:val="2F02488C"/>
    <w:rsid w:val="2F032695"/>
    <w:rsid w:val="2F0C1856"/>
    <w:rsid w:val="2F19594C"/>
    <w:rsid w:val="2F1F1AC1"/>
    <w:rsid w:val="2F2465CF"/>
    <w:rsid w:val="2F2E6BC3"/>
    <w:rsid w:val="2F3E46EF"/>
    <w:rsid w:val="2F40430A"/>
    <w:rsid w:val="2F462582"/>
    <w:rsid w:val="2F4B1946"/>
    <w:rsid w:val="2F4D0A34"/>
    <w:rsid w:val="2F533BAE"/>
    <w:rsid w:val="2F61116A"/>
    <w:rsid w:val="2F631386"/>
    <w:rsid w:val="2F696CEF"/>
    <w:rsid w:val="2F6B22AB"/>
    <w:rsid w:val="2F6E2D27"/>
    <w:rsid w:val="2F7133A5"/>
    <w:rsid w:val="2F7F4524"/>
    <w:rsid w:val="2F825507"/>
    <w:rsid w:val="2F8D45DF"/>
    <w:rsid w:val="2F9037FD"/>
    <w:rsid w:val="2FA47C9A"/>
    <w:rsid w:val="2FA650DD"/>
    <w:rsid w:val="2FA83F6C"/>
    <w:rsid w:val="2FB15C4D"/>
    <w:rsid w:val="2FC00586"/>
    <w:rsid w:val="2FC13683"/>
    <w:rsid w:val="2FC702CC"/>
    <w:rsid w:val="2FD35801"/>
    <w:rsid w:val="2FD45DE0"/>
    <w:rsid w:val="2FD52E71"/>
    <w:rsid w:val="2FD75997"/>
    <w:rsid w:val="2FD86DD6"/>
    <w:rsid w:val="2FDE3A6E"/>
    <w:rsid w:val="2FDE6C5E"/>
    <w:rsid w:val="2FE34799"/>
    <w:rsid w:val="2FE36023"/>
    <w:rsid w:val="2FE51A44"/>
    <w:rsid w:val="2FE9188B"/>
    <w:rsid w:val="2FEA115F"/>
    <w:rsid w:val="2FEA5603"/>
    <w:rsid w:val="2FF0726B"/>
    <w:rsid w:val="2FF36512"/>
    <w:rsid w:val="2FF52573"/>
    <w:rsid w:val="30073ABF"/>
    <w:rsid w:val="300A35B0"/>
    <w:rsid w:val="30142680"/>
    <w:rsid w:val="301434E7"/>
    <w:rsid w:val="301A5C95"/>
    <w:rsid w:val="301A61B0"/>
    <w:rsid w:val="301D445D"/>
    <w:rsid w:val="30201025"/>
    <w:rsid w:val="30273D1D"/>
    <w:rsid w:val="302A6106"/>
    <w:rsid w:val="302C5A84"/>
    <w:rsid w:val="30305216"/>
    <w:rsid w:val="30360E95"/>
    <w:rsid w:val="3038636F"/>
    <w:rsid w:val="303921D6"/>
    <w:rsid w:val="30393E95"/>
    <w:rsid w:val="303D5733"/>
    <w:rsid w:val="30422D49"/>
    <w:rsid w:val="30444D13"/>
    <w:rsid w:val="304A60A2"/>
    <w:rsid w:val="30535376"/>
    <w:rsid w:val="30536D05"/>
    <w:rsid w:val="305554E6"/>
    <w:rsid w:val="3057354C"/>
    <w:rsid w:val="30696528"/>
    <w:rsid w:val="306B309F"/>
    <w:rsid w:val="306F381A"/>
    <w:rsid w:val="3077629F"/>
    <w:rsid w:val="30835D5B"/>
    <w:rsid w:val="30847806"/>
    <w:rsid w:val="308B7312"/>
    <w:rsid w:val="308C7CB0"/>
    <w:rsid w:val="309C4B4F"/>
    <w:rsid w:val="309D08C8"/>
    <w:rsid w:val="30A97210"/>
    <w:rsid w:val="30AD1E04"/>
    <w:rsid w:val="30AF621C"/>
    <w:rsid w:val="30B10DD9"/>
    <w:rsid w:val="30B60B19"/>
    <w:rsid w:val="30BD4AC6"/>
    <w:rsid w:val="30C90309"/>
    <w:rsid w:val="30CB3E03"/>
    <w:rsid w:val="30CB5BB2"/>
    <w:rsid w:val="30E47124"/>
    <w:rsid w:val="30EE4C7F"/>
    <w:rsid w:val="31157B44"/>
    <w:rsid w:val="312F460F"/>
    <w:rsid w:val="313509A7"/>
    <w:rsid w:val="31350B00"/>
    <w:rsid w:val="313B1DF4"/>
    <w:rsid w:val="31424616"/>
    <w:rsid w:val="314357CE"/>
    <w:rsid w:val="31490108"/>
    <w:rsid w:val="314D13D7"/>
    <w:rsid w:val="31510D77"/>
    <w:rsid w:val="31554CFE"/>
    <w:rsid w:val="31564310"/>
    <w:rsid w:val="315A12DA"/>
    <w:rsid w:val="315C3DD2"/>
    <w:rsid w:val="315E137A"/>
    <w:rsid w:val="315F080E"/>
    <w:rsid w:val="316025BD"/>
    <w:rsid w:val="316D2E95"/>
    <w:rsid w:val="317621BF"/>
    <w:rsid w:val="31786774"/>
    <w:rsid w:val="317E15FD"/>
    <w:rsid w:val="317E1A26"/>
    <w:rsid w:val="31815BF7"/>
    <w:rsid w:val="3182167E"/>
    <w:rsid w:val="31842302"/>
    <w:rsid w:val="318B0B72"/>
    <w:rsid w:val="318B746D"/>
    <w:rsid w:val="31927902"/>
    <w:rsid w:val="31A37010"/>
    <w:rsid w:val="31A4385D"/>
    <w:rsid w:val="31C31664"/>
    <w:rsid w:val="31C53C32"/>
    <w:rsid w:val="31D06FF4"/>
    <w:rsid w:val="31EC0825"/>
    <w:rsid w:val="31EC5C7C"/>
    <w:rsid w:val="31EF6F01"/>
    <w:rsid w:val="31F43D52"/>
    <w:rsid w:val="31FF6FD9"/>
    <w:rsid w:val="32013E16"/>
    <w:rsid w:val="320317D2"/>
    <w:rsid w:val="32070BD8"/>
    <w:rsid w:val="320E61BF"/>
    <w:rsid w:val="32144BB9"/>
    <w:rsid w:val="3218038D"/>
    <w:rsid w:val="3226468B"/>
    <w:rsid w:val="32282AE2"/>
    <w:rsid w:val="322C5A5F"/>
    <w:rsid w:val="323375A9"/>
    <w:rsid w:val="323D6CA1"/>
    <w:rsid w:val="32425283"/>
    <w:rsid w:val="324C5B40"/>
    <w:rsid w:val="324E3C27"/>
    <w:rsid w:val="32620D2C"/>
    <w:rsid w:val="326B5F1F"/>
    <w:rsid w:val="326E300F"/>
    <w:rsid w:val="327318E0"/>
    <w:rsid w:val="327411B4"/>
    <w:rsid w:val="327D7A47"/>
    <w:rsid w:val="32806231"/>
    <w:rsid w:val="32807B59"/>
    <w:rsid w:val="328837B1"/>
    <w:rsid w:val="32893942"/>
    <w:rsid w:val="328C4750"/>
    <w:rsid w:val="32984499"/>
    <w:rsid w:val="329C2BEC"/>
    <w:rsid w:val="32A00B15"/>
    <w:rsid w:val="32A334CA"/>
    <w:rsid w:val="32A53E13"/>
    <w:rsid w:val="32AB107A"/>
    <w:rsid w:val="32AC4BAF"/>
    <w:rsid w:val="32B729F1"/>
    <w:rsid w:val="32B83797"/>
    <w:rsid w:val="32BB6DE3"/>
    <w:rsid w:val="32C361BD"/>
    <w:rsid w:val="32C43EEA"/>
    <w:rsid w:val="32CD0B24"/>
    <w:rsid w:val="32CD5FFE"/>
    <w:rsid w:val="32D3412D"/>
    <w:rsid w:val="32D8566D"/>
    <w:rsid w:val="32D9B601"/>
    <w:rsid w:val="32DC54F1"/>
    <w:rsid w:val="32DD144F"/>
    <w:rsid w:val="32DD31FD"/>
    <w:rsid w:val="32ED1692"/>
    <w:rsid w:val="330A4F4E"/>
    <w:rsid w:val="330C524D"/>
    <w:rsid w:val="33136C1F"/>
    <w:rsid w:val="3317670F"/>
    <w:rsid w:val="331F746E"/>
    <w:rsid w:val="33266D1D"/>
    <w:rsid w:val="334761B1"/>
    <w:rsid w:val="334D0383"/>
    <w:rsid w:val="33543A27"/>
    <w:rsid w:val="33550FE6"/>
    <w:rsid w:val="336A1A14"/>
    <w:rsid w:val="336D1314"/>
    <w:rsid w:val="33707BCD"/>
    <w:rsid w:val="33730803"/>
    <w:rsid w:val="337771AE"/>
    <w:rsid w:val="337C5C82"/>
    <w:rsid w:val="338922E0"/>
    <w:rsid w:val="33913619"/>
    <w:rsid w:val="339733AC"/>
    <w:rsid w:val="339E135D"/>
    <w:rsid w:val="33AE08E1"/>
    <w:rsid w:val="33B71CA0"/>
    <w:rsid w:val="33BE25A0"/>
    <w:rsid w:val="33C32D7B"/>
    <w:rsid w:val="33C61EE3"/>
    <w:rsid w:val="33C63042"/>
    <w:rsid w:val="33C975B7"/>
    <w:rsid w:val="33CC7436"/>
    <w:rsid w:val="33D91C17"/>
    <w:rsid w:val="33D956B7"/>
    <w:rsid w:val="33DD3B07"/>
    <w:rsid w:val="33E75BAC"/>
    <w:rsid w:val="33FA42C8"/>
    <w:rsid w:val="33FB57E7"/>
    <w:rsid w:val="33FE5081"/>
    <w:rsid w:val="34007CCC"/>
    <w:rsid w:val="34095C7C"/>
    <w:rsid w:val="340D5F26"/>
    <w:rsid w:val="3411237B"/>
    <w:rsid w:val="34120C85"/>
    <w:rsid w:val="34190265"/>
    <w:rsid w:val="341E3ACD"/>
    <w:rsid w:val="341E7629"/>
    <w:rsid w:val="34246A76"/>
    <w:rsid w:val="34277FD4"/>
    <w:rsid w:val="34356023"/>
    <w:rsid w:val="343B4D4B"/>
    <w:rsid w:val="343B63C8"/>
    <w:rsid w:val="344C0532"/>
    <w:rsid w:val="34535BF5"/>
    <w:rsid w:val="34552F55"/>
    <w:rsid w:val="345D7A29"/>
    <w:rsid w:val="345E3486"/>
    <w:rsid w:val="3479242B"/>
    <w:rsid w:val="348002E4"/>
    <w:rsid w:val="348409EA"/>
    <w:rsid w:val="348E0237"/>
    <w:rsid w:val="348E2DDB"/>
    <w:rsid w:val="34916523"/>
    <w:rsid w:val="34993CEF"/>
    <w:rsid w:val="349A22D7"/>
    <w:rsid w:val="349A75F8"/>
    <w:rsid w:val="349B3370"/>
    <w:rsid w:val="34A306BD"/>
    <w:rsid w:val="34A33E6E"/>
    <w:rsid w:val="34A50F54"/>
    <w:rsid w:val="34AF2977"/>
    <w:rsid w:val="34B61F58"/>
    <w:rsid w:val="34C070A8"/>
    <w:rsid w:val="34C1798C"/>
    <w:rsid w:val="34C6455E"/>
    <w:rsid w:val="34C77CC1"/>
    <w:rsid w:val="34E15227"/>
    <w:rsid w:val="34E47D21"/>
    <w:rsid w:val="34F0546A"/>
    <w:rsid w:val="34F76BEF"/>
    <w:rsid w:val="350E51B1"/>
    <w:rsid w:val="351153E0"/>
    <w:rsid w:val="351C3430"/>
    <w:rsid w:val="35212EA4"/>
    <w:rsid w:val="35231BAF"/>
    <w:rsid w:val="35262C3A"/>
    <w:rsid w:val="3529097C"/>
    <w:rsid w:val="353177BD"/>
    <w:rsid w:val="35373099"/>
    <w:rsid w:val="35373AB4"/>
    <w:rsid w:val="355552CD"/>
    <w:rsid w:val="355B4B96"/>
    <w:rsid w:val="355C7D01"/>
    <w:rsid w:val="355E6877"/>
    <w:rsid w:val="356279EA"/>
    <w:rsid w:val="3563644D"/>
    <w:rsid w:val="35637F9E"/>
    <w:rsid w:val="356601D1"/>
    <w:rsid w:val="35692105"/>
    <w:rsid w:val="356A0394"/>
    <w:rsid w:val="356F06AA"/>
    <w:rsid w:val="35735382"/>
    <w:rsid w:val="35773A99"/>
    <w:rsid w:val="35782FF5"/>
    <w:rsid w:val="357C0AAC"/>
    <w:rsid w:val="357C1D40"/>
    <w:rsid w:val="357C6BE3"/>
    <w:rsid w:val="35817149"/>
    <w:rsid w:val="35845539"/>
    <w:rsid w:val="35903770"/>
    <w:rsid w:val="35945451"/>
    <w:rsid w:val="359B6AF0"/>
    <w:rsid w:val="359B7B1C"/>
    <w:rsid w:val="35A63B38"/>
    <w:rsid w:val="35A973C7"/>
    <w:rsid w:val="35AE2C2F"/>
    <w:rsid w:val="35B45818"/>
    <w:rsid w:val="35C06250"/>
    <w:rsid w:val="35C661CB"/>
    <w:rsid w:val="35C80866"/>
    <w:rsid w:val="35C91BB8"/>
    <w:rsid w:val="35DE3514"/>
    <w:rsid w:val="35DE7D7F"/>
    <w:rsid w:val="35E0477D"/>
    <w:rsid w:val="35E11256"/>
    <w:rsid w:val="35E6061B"/>
    <w:rsid w:val="35EE0F86"/>
    <w:rsid w:val="35FD1252"/>
    <w:rsid w:val="361138EA"/>
    <w:rsid w:val="36162CAE"/>
    <w:rsid w:val="363348B4"/>
    <w:rsid w:val="363730BF"/>
    <w:rsid w:val="363D4CA5"/>
    <w:rsid w:val="3646710F"/>
    <w:rsid w:val="364855D2"/>
    <w:rsid w:val="36524514"/>
    <w:rsid w:val="365246A6"/>
    <w:rsid w:val="36537489"/>
    <w:rsid w:val="36541A28"/>
    <w:rsid w:val="36587F2B"/>
    <w:rsid w:val="365B1B97"/>
    <w:rsid w:val="366859E7"/>
    <w:rsid w:val="367227F7"/>
    <w:rsid w:val="36777DDB"/>
    <w:rsid w:val="3679323D"/>
    <w:rsid w:val="36805EF0"/>
    <w:rsid w:val="36940904"/>
    <w:rsid w:val="36A5516C"/>
    <w:rsid w:val="36A91D74"/>
    <w:rsid w:val="36AA6330"/>
    <w:rsid w:val="36AD61B6"/>
    <w:rsid w:val="36AF3103"/>
    <w:rsid w:val="36B6091B"/>
    <w:rsid w:val="36BD7183"/>
    <w:rsid w:val="36C00E6C"/>
    <w:rsid w:val="36CF0423"/>
    <w:rsid w:val="36D8791B"/>
    <w:rsid w:val="36D956AC"/>
    <w:rsid w:val="36E42DAC"/>
    <w:rsid w:val="36E65CC4"/>
    <w:rsid w:val="36E903C3"/>
    <w:rsid w:val="36EE60C1"/>
    <w:rsid w:val="370D5A59"/>
    <w:rsid w:val="3715771D"/>
    <w:rsid w:val="37296A11"/>
    <w:rsid w:val="373D24BC"/>
    <w:rsid w:val="373E6129"/>
    <w:rsid w:val="37413947"/>
    <w:rsid w:val="375B2A83"/>
    <w:rsid w:val="37607DE1"/>
    <w:rsid w:val="37621F23"/>
    <w:rsid w:val="3763586F"/>
    <w:rsid w:val="376D5388"/>
    <w:rsid w:val="3775557C"/>
    <w:rsid w:val="377957B0"/>
    <w:rsid w:val="377A4097"/>
    <w:rsid w:val="37800E75"/>
    <w:rsid w:val="37805A0F"/>
    <w:rsid w:val="37897CF5"/>
    <w:rsid w:val="3799396F"/>
    <w:rsid w:val="379F3789"/>
    <w:rsid w:val="37A32B62"/>
    <w:rsid w:val="37A74027"/>
    <w:rsid w:val="37A75B88"/>
    <w:rsid w:val="37B13ADA"/>
    <w:rsid w:val="37BA1510"/>
    <w:rsid w:val="37BA1D5F"/>
    <w:rsid w:val="37BC5AD7"/>
    <w:rsid w:val="37C16C4A"/>
    <w:rsid w:val="37C3396C"/>
    <w:rsid w:val="37C47C31"/>
    <w:rsid w:val="37C519FF"/>
    <w:rsid w:val="37C72209"/>
    <w:rsid w:val="37C83914"/>
    <w:rsid w:val="37CE75B8"/>
    <w:rsid w:val="37DE3EDF"/>
    <w:rsid w:val="37DF256A"/>
    <w:rsid w:val="37E869E3"/>
    <w:rsid w:val="37EF0D06"/>
    <w:rsid w:val="37F60F9E"/>
    <w:rsid w:val="37F708BD"/>
    <w:rsid w:val="37FD609C"/>
    <w:rsid w:val="37FE7E9E"/>
    <w:rsid w:val="38084878"/>
    <w:rsid w:val="380878B9"/>
    <w:rsid w:val="380A746A"/>
    <w:rsid w:val="38173F9E"/>
    <w:rsid w:val="38194CD8"/>
    <w:rsid w:val="382B67B9"/>
    <w:rsid w:val="3833304A"/>
    <w:rsid w:val="383B4604"/>
    <w:rsid w:val="383E64EC"/>
    <w:rsid w:val="384C4558"/>
    <w:rsid w:val="38521F98"/>
    <w:rsid w:val="38525CFB"/>
    <w:rsid w:val="385626AD"/>
    <w:rsid w:val="385E4095"/>
    <w:rsid w:val="386A108F"/>
    <w:rsid w:val="388D78B9"/>
    <w:rsid w:val="38980E69"/>
    <w:rsid w:val="389D3961"/>
    <w:rsid w:val="38A67EE9"/>
    <w:rsid w:val="38A91D21"/>
    <w:rsid w:val="38A9745A"/>
    <w:rsid w:val="38AA5930"/>
    <w:rsid w:val="38BB18EB"/>
    <w:rsid w:val="38BE13DB"/>
    <w:rsid w:val="38C00076"/>
    <w:rsid w:val="38D1499A"/>
    <w:rsid w:val="38D44413"/>
    <w:rsid w:val="38DB2AC2"/>
    <w:rsid w:val="38DD23A1"/>
    <w:rsid w:val="38DE55D9"/>
    <w:rsid w:val="38E2156D"/>
    <w:rsid w:val="38E2640A"/>
    <w:rsid w:val="38EC3078"/>
    <w:rsid w:val="38F848ED"/>
    <w:rsid w:val="38FC469D"/>
    <w:rsid w:val="38FD0155"/>
    <w:rsid w:val="38FE5C7B"/>
    <w:rsid w:val="39083A02"/>
    <w:rsid w:val="39237490"/>
    <w:rsid w:val="39253319"/>
    <w:rsid w:val="392E6561"/>
    <w:rsid w:val="39362D77"/>
    <w:rsid w:val="39371992"/>
    <w:rsid w:val="39387D98"/>
    <w:rsid w:val="393F1E98"/>
    <w:rsid w:val="393F3623"/>
    <w:rsid w:val="394F2FD2"/>
    <w:rsid w:val="39551659"/>
    <w:rsid w:val="396211FC"/>
    <w:rsid w:val="39673821"/>
    <w:rsid w:val="396C5D31"/>
    <w:rsid w:val="397118B4"/>
    <w:rsid w:val="397638FE"/>
    <w:rsid w:val="39787B87"/>
    <w:rsid w:val="397B107A"/>
    <w:rsid w:val="397F40BE"/>
    <w:rsid w:val="3981136D"/>
    <w:rsid w:val="39822409"/>
    <w:rsid w:val="398720B8"/>
    <w:rsid w:val="398A0125"/>
    <w:rsid w:val="398D772B"/>
    <w:rsid w:val="39902D77"/>
    <w:rsid w:val="39916AF0"/>
    <w:rsid w:val="399565E0"/>
    <w:rsid w:val="39972358"/>
    <w:rsid w:val="399A318C"/>
    <w:rsid w:val="39A51A82"/>
    <w:rsid w:val="39A549E1"/>
    <w:rsid w:val="39AD62B5"/>
    <w:rsid w:val="39C16EF4"/>
    <w:rsid w:val="39C40C73"/>
    <w:rsid w:val="39C552A9"/>
    <w:rsid w:val="39C840EA"/>
    <w:rsid w:val="39C944DB"/>
    <w:rsid w:val="39D0733C"/>
    <w:rsid w:val="39D508B4"/>
    <w:rsid w:val="39D777AE"/>
    <w:rsid w:val="39D864CC"/>
    <w:rsid w:val="39D93862"/>
    <w:rsid w:val="39DC3DFF"/>
    <w:rsid w:val="39E210F9"/>
    <w:rsid w:val="39E3734B"/>
    <w:rsid w:val="39E855C0"/>
    <w:rsid w:val="39EC3D26"/>
    <w:rsid w:val="39EE3059"/>
    <w:rsid w:val="39FA4695"/>
    <w:rsid w:val="3A0D539C"/>
    <w:rsid w:val="3A1514CF"/>
    <w:rsid w:val="3A18450B"/>
    <w:rsid w:val="3A1954F0"/>
    <w:rsid w:val="3A1A77B0"/>
    <w:rsid w:val="3A2428FE"/>
    <w:rsid w:val="3A255BB6"/>
    <w:rsid w:val="3A2B58BA"/>
    <w:rsid w:val="3A326AE9"/>
    <w:rsid w:val="3A3F02FA"/>
    <w:rsid w:val="3A3F42AC"/>
    <w:rsid w:val="3A4122C4"/>
    <w:rsid w:val="3A461B40"/>
    <w:rsid w:val="3A494E5A"/>
    <w:rsid w:val="3A4C200A"/>
    <w:rsid w:val="3A4E1904"/>
    <w:rsid w:val="3A4F49E1"/>
    <w:rsid w:val="3A502507"/>
    <w:rsid w:val="3A507D03"/>
    <w:rsid w:val="3A5913BB"/>
    <w:rsid w:val="3A5974EF"/>
    <w:rsid w:val="3A5B1DFC"/>
    <w:rsid w:val="3A6D30B9"/>
    <w:rsid w:val="3A6F2921"/>
    <w:rsid w:val="3A742699"/>
    <w:rsid w:val="3A7A7AD1"/>
    <w:rsid w:val="3A7B0598"/>
    <w:rsid w:val="3A7E19E0"/>
    <w:rsid w:val="3A8148E3"/>
    <w:rsid w:val="3A8613E7"/>
    <w:rsid w:val="3AA02F76"/>
    <w:rsid w:val="3AAE2AD3"/>
    <w:rsid w:val="3AB116BB"/>
    <w:rsid w:val="3AC56A51"/>
    <w:rsid w:val="3AD259A1"/>
    <w:rsid w:val="3AD31550"/>
    <w:rsid w:val="3AEE26D9"/>
    <w:rsid w:val="3AF439F8"/>
    <w:rsid w:val="3B080AEA"/>
    <w:rsid w:val="3B102C79"/>
    <w:rsid w:val="3B112D70"/>
    <w:rsid w:val="3B140358"/>
    <w:rsid w:val="3B1479D8"/>
    <w:rsid w:val="3B160EF5"/>
    <w:rsid w:val="3B163570"/>
    <w:rsid w:val="3B1A3ABE"/>
    <w:rsid w:val="3B232DC8"/>
    <w:rsid w:val="3B2C3654"/>
    <w:rsid w:val="3B2E0A9A"/>
    <w:rsid w:val="3B3360B0"/>
    <w:rsid w:val="3B471B5C"/>
    <w:rsid w:val="3B497682"/>
    <w:rsid w:val="3B4E15CE"/>
    <w:rsid w:val="3B506C62"/>
    <w:rsid w:val="3B542287"/>
    <w:rsid w:val="3B605EC0"/>
    <w:rsid w:val="3B607DD8"/>
    <w:rsid w:val="3B627439"/>
    <w:rsid w:val="3B6C3370"/>
    <w:rsid w:val="3B6F6E58"/>
    <w:rsid w:val="3B717470"/>
    <w:rsid w:val="3B7641EF"/>
    <w:rsid w:val="3B7732BF"/>
    <w:rsid w:val="3B7857D5"/>
    <w:rsid w:val="3B800BCA"/>
    <w:rsid w:val="3B856C9C"/>
    <w:rsid w:val="3B8F4148"/>
    <w:rsid w:val="3B950FFC"/>
    <w:rsid w:val="3B9B6E62"/>
    <w:rsid w:val="3BA43445"/>
    <w:rsid w:val="3BB0325D"/>
    <w:rsid w:val="3BB30F9F"/>
    <w:rsid w:val="3BBD597A"/>
    <w:rsid w:val="3BD51050"/>
    <w:rsid w:val="3BD61665"/>
    <w:rsid w:val="3BD677BA"/>
    <w:rsid w:val="3BD71548"/>
    <w:rsid w:val="3BDF7FE6"/>
    <w:rsid w:val="3BE949C1"/>
    <w:rsid w:val="3BEC7F04"/>
    <w:rsid w:val="3BF410C6"/>
    <w:rsid w:val="3BF63A35"/>
    <w:rsid w:val="3BF839C6"/>
    <w:rsid w:val="3C01043E"/>
    <w:rsid w:val="3C047A4D"/>
    <w:rsid w:val="3C0637C5"/>
    <w:rsid w:val="3C067321"/>
    <w:rsid w:val="3C073099"/>
    <w:rsid w:val="3C095A76"/>
    <w:rsid w:val="3C0A20E8"/>
    <w:rsid w:val="3C1001A0"/>
    <w:rsid w:val="3C116F0F"/>
    <w:rsid w:val="3C141EF6"/>
    <w:rsid w:val="3C143771"/>
    <w:rsid w:val="3C144568"/>
    <w:rsid w:val="3C145EE2"/>
    <w:rsid w:val="3C1B372E"/>
    <w:rsid w:val="3C241E9D"/>
    <w:rsid w:val="3C2E5D9B"/>
    <w:rsid w:val="3C3178FE"/>
    <w:rsid w:val="3C410359"/>
    <w:rsid w:val="3C5B7335"/>
    <w:rsid w:val="3C5D748C"/>
    <w:rsid w:val="3C697A9B"/>
    <w:rsid w:val="3C6B29AE"/>
    <w:rsid w:val="3C74072E"/>
    <w:rsid w:val="3C7E2106"/>
    <w:rsid w:val="3C87761C"/>
    <w:rsid w:val="3C882D21"/>
    <w:rsid w:val="3C9A442B"/>
    <w:rsid w:val="3CA01523"/>
    <w:rsid w:val="3CAD1E92"/>
    <w:rsid w:val="3CB322FE"/>
    <w:rsid w:val="3CBA38CF"/>
    <w:rsid w:val="3CBC7531"/>
    <w:rsid w:val="3CBE0D7A"/>
    <w:rsid w:val="3CC80A7A"/>
    <w:rsid w:val="3CCA2756"/>
    <w:rsid w:val="3CD27ED4"/>
    <w:rsid w:val="3CD65A21"/>
    <w:rsid w:val="3CD80572"/>
    <w:rsid w:val="3CDA605D"/>
    <w:rsid w:val="3CDC023F"/>
    <w:rsid w:val="3CE24225"/>
    <w:rsid w:val="3CE53EEB"/>
    <w:rsid w:val="3CED6D57"/>
    <w:rsid w:val="3CF578B9"/>
    <w:rsid w:val="3CFC5061"/>
    <w:rsid w:val="3D046A03"/>
    <w:rsid w:val="3D197528"/>
    <w:rsid w:val="3D1B1645"/>
    <w:rsid w:val="3D1E02F6"/>
    <w:rsid w:val="3D1E2718"/>
    <w:rsid w:val="3D2317C1"/>
    <w:rsid w:val="3D270F62"/>
    <w:rsid w:val="3D2846E2"/>
    <w:rsid w:val="3D2A5291"/>
    <w:rsid w:val="3D2F2836"/>
    <w:rsid w:val="3D2F28A7"/>
    <w:rsid w:val="3D362BD2"/>
    <w:rsid w:val="3D421221"/>
    <w:rsid w:val="3D4527F4"/>
    <w:rsid w:val="3D4A58EF"/>
    <w:rsid w:val="3D531B62"/>
    <w:rsid w:val="3D5D11C3"/>
    <w:rsid w:val="3D6C00EB"/>
    <w:rsid w:val="3D7309E6"/>
    <w:rsid w:val="3D7D3613"/>
    <w:rsid w:val="3D7F2E78"/>
    <w:rsid w:val="3D7F5B7C"/>
    <w:rsid w:val="3D7F614C"/>
    <w:rsid w:val="3D850719"/>
    <w:rsid w:val="3D8B05D6"/>
    <w:rsid w:val="3D8E4BD4"/>
    <w:rsid w:val="3D982B1C"/>
    <w:rsid w:val="3D9B618F"/>
    <w:rsid w:val="3DA3607C"/>
    <w:rsid w:val="3DA62AE3"/>
    <w:rsid w:val="3DA80A22"/>
    <w:rsid w:val="3DAA0180"/>
    <w:rsid w:val="3DB039E8"/>
    <w:rsid w:val="3DB64D77"/>
    <w:rsid w:val="3DB66B25"/>
    <w:rsid w:val="3DBB1392"/>
    <w:rsid w:val="3DC06D71"/>
    <w:rsid w:val="3DC5744E"/>
    <w:rsid w:val="3DCE0312"/>
    <w:rsid w:val="3DDA30F7"/>
    <w:rsid w:val="3DDA6CB7"/>
    <w:rsid w:val="3DE43692"/>
    <w:rsid w:val="3DE94630"/>
    <w:rsid w:val="3DE96E40"/>
    <w:rsid w:val="3DF21C73"/>
    <w:rsid w:val="3DF53AF1"/>
    <w:rsid w:val="3DF53DC1"/>
    <w:rsid w:val="3E043D34"/>
    <w:rsid w:val="3E057A17"/>
    <w:rsid w:val="3E062111"/>
    <w:rsid w:val="3E097590"/>
    <w:rsid w:val="3E135D25"/>
    <w:rsid w:val="3E167319"/>
    <w:rsid w:val="3E17301D"/>
    <w:rsid w:val="3E1932D9"/>
    <w:rsid w:val="3E1D38D2"/>
    <w:rsid w:val="3E1F5C45"/>
    <w:rsid w:val="3E23569F"/>
    <w:rsid w:val="3E334074"/>
    <w:rsid w:val="3E412892"/>
    <w:rsid w:val="3E45B04A"/>
    <w:rsid w:val="3E476B1C"/>
    <w:rsid w:val="3E4B51D7"/>
    <w:rsid w:val="3E500D27"/>
    <w:rsid w:val="3E53378E"/>
    <w:rsid w:val="3E5A6F43"/>
    <w:rsid w:val="3E5F5B84"/>
    <w:rsid w:val="3E684F43"/>
    <w:rsid w:val="3E6C67AA"/>
    <w:rsid w:val="3E6D5506"/>
    <w:rsid w:val="3E7A2248"/>
    <w:rsid w:val="3E817035"/>
    <w:rsid w:val="3E860BED"/>
    <w:rsid w:val="3EA13331"/>
    <w:rsid w:val="3EA2482C"/>
    <w:rsid w:val="3EA42E21"/>
    <w:rsid w:val="3EB8671E"/>
    <w:rsid w:val="3EDC6A5F"/>
    <w:rsid w:val="3EE020AB"/>
    <w:rsid w:val="3EE212C3"/>
    <w:rsid w:val="3EE6343A"/>
    <w:rsid w:val="3EED2916"/>
    <w:rsid w:val="3EED2C60"/>
    <w:rsid w:val="3EF26A86"/>
    <w:rsid w:val="3EFF16F7"/>
    <w:rsid w:val="3F05056B"/>
    <w:rsid w:val="3F087854"/>
    <w:rsid w:val="3F0D17FC"/>
    <w:rsid w:val="3F165ACD"/>
    <w:rsid w:val="3F186D6D"/>
    <w:rsid w:val="3F1E2E26"/>
    <w:rsid w:val="3F230DEE"/>
    <w:rsid w:val="3F231BA4"/>
    <w:rsid w:val="3F2521B4"/>
    <w:rsid w:val="3F277CDA"/>
    <w:rsid w:val="3F283616"/>
    <w:rsid w:val="3F3271BB"/>
    <w:rsid w:val="3F3754B7"/>
    <w:rsid w:val="3F395C5F"/>
    <w:rsid w:val="3F3B4506"/>
    <w:rsid w:val="3F444158"/>
    <w:rsid w:val="3F536D21"/>
    <w:rsid w:val="3F734844"/>
    <w:rsid w:val="3F773E18"/>
    <w:rsid w:val="3F79605C"/>
    <w:rsid w:val="3F7D5B4C"/>
    <w:rsid w:val="3F8835C0"/>
    <w:rsid w:val="3F890995"/>
    <w:rsid w:val="3F8A64BB"/>
    <w:rsid w:val="3F9F6674"/>
    <w:rsid w:val="3FAB2A66"/>
    <w:rsid w:val="3FB04EB5"/>
    <w:rsid w:val="3FC63C61"/>
    <w:rsid w:val="3FCA68B7"/>
    <w:rsid w:val="3FD3162A"/>
    <w:rsid w:val="3FDD245A"/>
    <w:rsid w:val="3FDE52AE"/>
    <w:rsid w:val="3FDF6807"/>
    <w:rsid w:val="3FF302A3"/>
    <w:rsid w:val="3FFD5BA9"/>
    <w:rsid w:val="4013025E"/>
    <w:rsid w:val="401458C1"/>
    <w:rsid w:val="401905CE"/>
    <w:rsid w:val="401C35B7"/>
    <w:rsid w:val="401F30A7"/>
    <w:rsid w:val="402362FA"/>
    <w:rsid w:val="40254A9D"/>
    <w:rsid w:val="402A0761"/>
    <w:rsid w:val="402A48D4"/>
    <w:rsid w:val="402F4E97"/>
    <w:rsid w:val="402F6255"/>
    <w:rsid w:val="40381A73"/>
    <w:rsid w:val="404109BB"/>
    <w:rsid w:val="404A70F2"/>
    <w:rsid w:val="404D3F07"/>
    <w:rsid w:val="404F6D3C"/>
    <w:rsid w:val="40503261"/>
    <w:rsid w:val="40544799"/>
    <w:rsid w:val="405753F3"/>
    <w:rsid w:val="405D772B"/>
    <w:rsid w:val="405F6A2C"/>
    <w:rsid w:val="4061262B"/>
    <w:rsid w:val="406A39EB"/>
    <w:rsid w:val="406D3E12"/>
    <w:rsid w:val="40701293"/>
    <w:rsid w:val="40853C31"/>
    <w:rsid w:val="408B0022"/>
    <w:rsid w:val="4090365D"/>
    <w:rsid w:val="40AA07A9"/>
    <w:rsid w:val="40C26D6E"/>
    <w:rsid w:val="40C837BC"/>
    <w:rsid w:val="40D36688"/>
    <w:rsid w:val="40DD0B95"/>
    <w:rsid w:val="40E829D4"/>
    <w:rsid w:val="40EF6FED"/>
    <w:rsid w:val="41044302"/>
    <w:rsid w:val="4105229D"/>
    <w:rsid w:val="41084141"/>
    <w:rsid w:val="410A1661"/>
    <w:rsid w:val="410E722C"/>
    <w:rsid w:val="410F6C78"/>
    <w:rsid w:val="411855B1"/>
    <w:rsid w:val="411C4354"/>
    <w:rsid w:val="411E1C2C"/>
    <w:rsid w:val="411E6C03"/>
    <w:rsid w:val="412C5A7C"/>
    <w:rsid w:val="4137363C"/>
    <w:rsid w:val="41395AA3"/>
    <w:rsid w:val="413A1661"/>
    <w:rsid w:val="413A4BE8"/>
    <w:rsid w:val="414A56C0"/>
    <w:rsid w:val="414A70F3"/>
    <w:rsid w:val="415070CB"/>
    <w:rsid w:val="41566655"/>
    <w:rsid w:val="415840B6"/>
    <w:rsid w:val="4163028E"/>
    <w:rsid w:val="41653C86"/>
    <w:rsid w:val="416C40CA"/>
    <w:rsid w:val="417906E9"/>
    <w:rsid w:val="418238EE"/>
    <w:rsid w:val="4183075F"/>
    <w:rsid w:val="418412D1"/>
    <w:rsid w:val="41866D93"/>
    <w:rsid w:val="41917B60"/>
    <w:rsid w:val="41987C6E"/>
    <w:rsid w:val="41A340F2"/>
    <w:rsid w:val="41A44BC3"/>
    <w:rsid w:val="41B26AD1"/>
    <w:rsid w:val="41D8350E"/>
    <w:rsid w:val="41E371DD"/>
    <w:rsid w:val="41E658BD"/>
    <w:rsid w:val="41EB37AC"/>
    <w:rsid w:val="41EE20D7"/>
    <w:rsid w:val="41F6765C"/>
    <w:rsid w:val="41F7233C"/>
    <w:rsid w:val="41FA2F23"/>
    <w:rsid w:val="42010CB6"/>
    <w:rsid w:val="4203279D"/>
    <w:rsid w:val="42033343"/>
    <w:rsid w:val="420E6F2F"/>
    <w:rsid w:val="421011B4"/>
    <w:rsid w:val="42116A20"/>
    <w:rsid w:val="421A17F2"/>
    <w:rsid w:val="421B6683"/>
    <w:rsid w:val="42244DBA"/>
    <w:rsid w:val="4226593D"/>
    <w:rsid w:val="422B7AE1"/>
    <w:rsid w:val="423B0A8D"/>
    <w:rsid w:val="423C28F8"/>
    <w:rsid w:val="423F1A36"/>
    <w:rsid w:val="42466DB1"/>
    <w:rsid w:val="424C4720"/>
    <w:rsid w:val="424D6082"/>
    <w:rsid w:val="42546990"/>
    <w:rsid w:val="425A6618"/>
    <w:rsid w:val="425D0157"/>
    <w:rsid w:val="425D1C65"/>
    <w:rsid w:val="4262727B"/>
    <w:rsid w:val="426973B0"/>
    <w:rsid w:val="426976B5"/>
    <w:rsid w:val="42710AB4"/>
    <w:rsid w:val="42722BCF"/>
    <w:rsid w:val="427576B8"/>
    <w:rsid w:val="4278084D"/>
    <w:rsid w:val="427D578B"/>
    <w:rsid w:val="42831D8E"/>
    <w:rsid w:val="428760F1"/>
    <w:rsid w:val="42890CAC"/>
    <w:rsid w:val="428C52FB"/>
    <w:rsid w:val="42944A2F"/>
    <w:rsid w:val="42984E79"/>
    <w:rsid w:val="42A5007F"/>
    <w:rsid w:val="42AB5699"/>
    <w:rsid w:val="42AF1EA7"/>
    <w:rsid w:val="42AF2239"/>
    <w:rsid w:val="42BA09EA"/>
    <w:rsid w:val="42BA0A8F"/>
    <w:rsid w:val="42BA550C"/>
    <w:rsid w:val="42C376FE"/>
    <w:rsid w:val="42C44856"/>
    <w:rsid w:val="42C74678"/>
    <w:rsid w:val="42CB7DD0"/>
    <w:rsid w:val="42CC74D0"/>
    <w:rsid w:val="42D02437"/>
    <w:rsid w:val="42D04C1A"/>
    <w:rsid w:val="42D5354C"/>
    <w:rsid w:val="42D93FD0"/>
    <w:rsid w:val="42DA32B5"/>
    <w:rsid w:val="42E2343E"/>
    <w:rsid w:val="42EF3C6F"/>
    <w:rsid w:val="42F30902"/>
    <w:rsid w:val="42F500EF"/>
    <w:rsid w:val="42FC76D0"/>
    <w:rsid w:val="43052501"/>
    <w:rsid w:val="430A310A"/>
    <w:rsid w:val="4314053C"/>
    <w:rsid w:val="4325415A"/>
    <w:rsid w:val="433169DA"/>
    <w:rsid w:val="43365456"/>
    <w:rsid w:val="433F67BF"/>
    <w:rsid w:val="43446933"/>
    <w:rsid w:val="43456981"/>
    <w:rsid w:val="434A043B"/>
    <w:rsid w:val="434C3A5B"/>
    <w:rsid w:val="434C5259"/>
    <w:rsid w:val="43503578"/>
    <w:rsid w:val="435732A9"/>
    <w:rsid w:val="43591754"/>
    <w:rsid w:val="4360054D"/>
    <w:rsid w:val="43660DE7"/>
    <w:rsid w:val="436942D4"/>
    <w:rsid w:val="437D62C0"/>
    <w:rsid w:val="438020AF"/>
    <w:rsid w:val="43922877"/>
    <w:rsid w:val="43951D96"/>
    <w:rsid w:val="43955308"/>
    <w:rsid w:val="43992BE7"/>
    <w:rsid w:val="43A460B5"/>
    <w:rsid w:val="43AA237A"/>
    <w:rsid w:val="43AF029E"/>
    <w:rsid w:val="43B50C33"/>
    <w:rsid w:val="43B864F2"/>
    <w:rsid w:val="43BB57E7"/>
    <w:rsid w:val="43BD6E5F"/>
    <w:rsid w:val="43C13821"/>
    <w:rsid w:val="43C653C7"/>
    <w:rsid w:val="43C72598"/>
    <w:rsid w:val="43C96710"/>
    <w:rsid w:val="43CC7AED"/>
    <w:rsid w:val="43CF26EE"/>
    <w:rsid w:val="43D132D2"/>
    <w:rsid w:val="43D65C3D"/>
    <w:rsid w:val="43D91F6F"/>
    <w:rsid w:val="43DE0B3E"/>
    <w:rsid w:val="43DF5027"/>
    <w:rsid w:val="43F54742"/>
    <w:rsid w:val="43F92B48"/>
    <w:rsid w:val="43FC61F4"/>
    <w:rsid w:val="43FD725B"/>
    <w:rsid w:val="43FE2FD4"/>
    <w:rsid w:val="440305EA"/>
    <w:rsid w:val="4411433C"/>
    <w:rsid w:val="44121094"/>
    <w:rsid w:val="44123B2B"/>
    <w:rsid w:val="44132AE2"/>
    <w:rsid w:val="44136FD5"/>
    <w:rsid w:val="4416031D"/>
    <w:rsid w:val="44184095"/>
    <w:rsid w:val="441B66A3"/>
    <w:rsid w:val="44242A3A"/>
    <w:rsid w:val="44264774"/>
    <w:rsid w:val="442A4C48"/>
    <w:rsid w:val="442D2704"/>
    <w:rsid w:val="44332C7D"/>
    <w:rsid w:val="44364143"/>
    <w:rsid w:val="443D2366"/>
    <w:rsid w:val="44445A2C"/>
    <w:rsid w:val="444529B0"/>
    <w:rsid w:val="44507A88"/>
    <w:rsid w:val="44516F6C"/>
    <w:rsid w:val="44562DB3"/>
    <w:rsid w:val="445B0426"/>
    <w:rsid w:val="44607A6E"/>
    <w:rsid w:val="44612749"/>
    <w:rsid w:val="4473751E"/>
    <w:rsid w:val="44746709"/>
    <w:rsid w:val="44781916"/>
    <w:rsid w:val="44786B45"/>
    <w:rsid w:val="447B69B3"/>
    <w:rsid w:val="44805B35"/>
    <w:rsid w:val="448355E4"/>
    <w:rsid w:val="44865978"/>
    <w:rsid w:val="448A62F2"/>
    <w:rsid w:val="449053BE"/>
    <w:rsid w:val="4494346C"/>
    <w:rsid w:val="449D459A"/>
    <w:rsid w:val="449F0313"/>
    <w:rsid w:val="449F47B6"/>
    <w:rsid w:val="44A358F9"/>
    <w:rsid w:val="44A8366B"/>
    <w:rsid w:val="44AB4F09"/>
    <w:rsid w:val="44AB6CB7"/>
    <w:rsid w:val="44AC578C"/>
    <w:rsid w:val="44BC6E13"/>
    <w:rsid w:val="44BE5E0A"/>
    <w:rsid w:val="44D446E7"/>
    <w:rsid w:val="44D51F86"/>
    <w:rsid w:val="44D73878"/>
    <w:rsid w:val="44E1092B"/>
    <w:rsid w:val="44E623E5"/>
    <w:rsid w:val="44EB382A"/>
    <w:rsid w:val="44F3240C"/>
    <w:rsid w:val="4512648B"/>
    <w:rsid w:val="45140D01"/>
    <w:rsid w:val="4517041B"/>
    <w:rsid w:val="45181E73"/>
    <w:rsid w:val="45262197"/>
    <w:rsid w:val="45356EC9"/>
    <w:rsid w:val="4537679D"/>
    <w:rsid w:val="453D1D4A"/>
    <w:rsid w:val="454348E8"/>
    <w:rsid w:val="45455340"/>
    <w:rsid w:val="455255ED"/>
    <w:rsid w:val="45577096"/>
    <w:rsid w:val="45605CF4"/>
    <w:rsid w:val="45687B0A"/>
    <w:rsid w:val="45694804"/>
    <w:rsid w:val="45696229"/>
    <w:rsid w:val="456B2E2E"/>
    <w:rsid w:val="457A00E6"/>
    <w:rsid w:val="457A2DF0"/>
    <w:rsid w:val="458F0387"/>
    <w:rsid w:val="45903F48"/>
    <w:rsid w:val="45AC718B"/>
    <w:rsid w:val="45AD4CB1"/>
    <w:rsid w:val="45AF4585"/>
    <w:rsid w:val="45B95404"/>
    <w:rsid w:val="45BC5CD1"/>
    <w:rsid w:val="45C50B81"/>
    <w:rsid w:val="45C84F36"/>
    <w:rsid w:val="45CE5353"/>
    <w:rsid w:val="45D01C84"/>
    <w:rsid w:val="45E00D08"/>
    <w:rsid w:val="45E84276"/>
    <w:rsid w:val="45F547E0"/>
    <w:rsid w:val="45F6537A"/>
    <w:rsid w:val="46052D96"/>
    <w:rsid w:val="46113492"/>
    <w:rsid w:val="461865CE"/>
    <w:rsid w:val="461F5BAF"/>
    <w:rsid w:val="462705C0"/>
    <w:rsid w:val="46276812"/>
    <w:rsid w:val="46305AFE"/>
    <w:rsid w:val="46333408"/>
    <w:rsid w:val="46407F04"/>
    <w:rsid w:val="46431172"/>
    <w:rsid w:val="464A59F6"/>
    <w:rsid w:val="46515AE5"/>
    <w:rsid w:val="465A4F2F"/>
    <w:rsid w:val="465C35C1"/>
    <w:rsid w:val="46684807"/>
    <w:rsid w:val="466C1CBE"/>
    <w:rsid w:val="466E61EE"/>
    <w:rsid w:val="46733645"/>
    <w:rsid w:val="46750B97"/>
    <w:rsid w:val="46792157"/>
    <w:rsid w:val="46794B93"/>
    <w:rsid w:val="468872F7"/>
    <w:rsid w:val="46A9191C"/>
    <w:rsid w:val="46AA2F9F"/>
    <w:rsid w:val="46AE2A8F"/>
    <w:rsid w:val="46B30481"/>
    <w:rsid w:val="46B91B8C"/>
    <w:rsid w:val="46BD7176"/>
    <w:rsid w:val="46C40504"/>
    <w:rsid w:val="46CE3131"/>
    <w:rsid w:val="46D00C57"/>
    <w:rsid w:val="46D149CF"/>
    <w:rsid w:val="46D16F6D"/>
    <w:rsid w:val="46DC2693"/>
    <w:rsid w:val="46EB41EB"/>
    <w:rsid w:val="46F12B41"/>
    <w:rsid w:val="46F25987"/>
    <w:rsid w:val="46F856A4"/>
    <w:rsid w:val="47001DE8"/>
    <w:rsid w:val="47021329"/>
    <w:rsid w:val="47087C9A"/>
    <w:rsid w:val="47090B24"/>
    <w:rsid w:val="47101367"/>
    <w:rsid w:val="471072A6"/>
    <w:rsid w:val="47121221"/>
    <w:rsid w:val="471F16AB"/>
    <w:rsid w:val="472112F7"/>
    <w:rsid w:val="472A0F4D"/>
    <w:rsid w:val="472D42FC"/>
    <w:rsid w:val="47321B2B"/>
    <w:rsid w:val="47356D0C"/>
    <w:rsid w:val="473612DD"/>
    <w:rsid w:val="47442DE2"/>
    <w:rsid w:val="4751520E"/>
    <w:rsid w:val="47544D23"/>
    <w:rsid w:val="47554B64"/>
    <w:rsid w:val="47576EE0"/>
    <w:rsid w:val="4758219B"/>
    <w:rsid w:val="475C073D"/>
    <w:rsid w:val="476301C5"/>
    <w:rsid w:val="476669C6"/>
    <w:rsid w:val="476A2E5A"/>
    <w:rsid w:val="477517FF"/>
    <w:rsid w:val="477B5067"/>
    <w:rsid w:val="477E0BCB"/>
    <w:rsid w:val="477F1D6D"/>
    <w:rsid w:val="47830694"/>
    <w:rsid w:val="47863A0C"/>
    <w:rsid w:val="47906638"/>
    <w:rsid w:val="4793669A"/>
    <w:rsid w:val="47936A47"/>
    <w:rsid w:val="4799729B"/>
    <w:rsid w:val="479E2B56"/>
    <w:rsid w:val="47A16F94"/>
    <w:rsid w:val="47A367A5"/>
    <w:rsid w:val="47AB5938"/>
    <w:rsid w:val="47AF00A4"/>
    <w:rsid w:val="47B440D5"/>
    <w:rsid w:val="47B6420E"/>
    <w:rsid w:val="47BA5463"/>
    <w:rsid w:val="47CA1B4A"/>
    <w:rsid w:val="47DB78B4"/>
    <w:rsid w:val="47E02B70"/>
    <w:rsid w:val="47F43FCB"/>
    <w:rsid w:val="47F711E9"/>
    <w:rsid w:val="47FD564F"/>
    <w:rsid w:val="47FE6991"/>
    <w:rsid w:val="48055032"/>
    <w:rsid w:val="48066D69"/>
    <w:rsid w:val="480D021F"/>
    <w:rsid w:val="481539A3"/>
    <w:rsid w:val="48190910"/>
    <w:rsid w:val="482051F9"/>
    <w:rsid w:val="48205915"/>
    <w:rsid w:val="48256D81"/>
    <w:rsid w:val="482864A2"/>
    <w:rsid w:val="482A083B"/>
    <w:rsid w:val="482C72A3"/>
    <w:rsid w:val="4839282C"/>
    <w:rsid w:val="483E7E42"/>
    <w:rsid w:val="48427933"/>
    <w:rsid w:val="484C3986"/>
    <w:rsid w:val="484E328B"/>
    <w:rsid w:val="48542492"/>
    <w:rsid w:val="485460B3"/>
    <w:rsid w:val="48587156"/>
    <w:rsid w:val="485965F5"/>
    <w:rsid w:val="486077A3"/>
    <w:rsid w:val="48774BBF"/>
    <w:rsid w:val="48783354"/>
    <w:rsid w:val="487B004A"/>
    <w:rsid w:val="487B57FD"/>
    <w:rsid w:val="487D485E"/>
    <w:rsid w:val="4881622C"/>
    <w:rsid w:val="488717E9"/>
    <w:rsid w:val="48914416"/>
    <w:rsid w:val="489A776F"/>
    <w:rsid w:val="48A56114"/>
    <w:rsid w:val="48A67448"/>
    <w:rsid w:val="48A90CC3"/>
    <w:rsid w:val="48AB55FB"/>
    <w:rsid w:val="48AC0690"/>
    <w:rsid w:val="48AC1250"/>
    <w:rsid w:val="48AC275F"/>
    <w:rsid w:val="48AD113E"/>
    <w:rsid w:val="48B350B4"/>
    <w:rsid w:val="48C259BD"/>
    <w:rsid w:val="48C37200"/>
    <w:rsid w:val="48D33786"/>
    <w:rsid w:val="48D40079"/>
    <w:rsid w:val="48D64ED6"/>
    <w:rsid w:val="48DA500C"/>
    <w:rsid w:val="48DA7B6B"/>
    <w:rsid w:val="48DD3AFF"/>
    <w:rsid w:val="48E852E0"/>
    <w:rsid w:val="48E97999"/>
    <w:rsid w:val="48F21359"/>
    <w:rsid w:val="48F338F7"/>
    <w:rsid w:val="48F84495"/>
    <w:rsid w:val="48F86243"/>
    <w:rsid w:val="49080B7C"/>
    <w:rsid w:val="490878C6"/>
    <w:rsid w:val="490B5F77"/>
    <w:rsid w:val="4911426B"/>
    <w:rsid w:val="491744FA"/>
    <w:rsid w:val="49187318"/>
    <w:rsid w:val="49202EED"/>
    <w:rsid w:val="49247038"/>
    <w:rsid w:val="49276B29"/>
    <w:rsid w:val="492928A1"/>
    <w:rsid w:val="493A4AAE"/>
    <w:rsid w:val="493E459E"/>
    <w:rsid w:val="49450F20"/>
    <w:rsid w:val="49542533"/>
    <w:rsid w:val="495711BC"/>
    <w:rsid w:val="495A6EFE"/>
    <w:rsid w:val="49677321"/>
    <w:rsid w:val="496A763E"/>
    <w:rsid w:val="496C1A8F"/>
    <w:rsid w:val="496C598B"/>
    <w:rsid w:val="496E6505"/>
    <w:rsid w:val="497077D6"/>
    <w:rsid w:val="49726EB9"/>
    <w:rsid w:val="49773C28"/>
    <w:rsid w:val="49774939"/>
    <w:rsid w:val="497A1012"/>
    <w:rsid w:val="497B2B06"/>
    <w:rsid w:val="49836455"/>
    <w:rsid w:val="4999217F"/>
    <w:rsid w:val="499D423E"/>
    <w:rsid w:val="499E6DEB"/>
    <w:rsid w:val="49AB775A"/>
    <w:rsid w:val="49AD702E"/>
    <w:rsid w:val="49AF5C87"/>
    <w:rsid w:val="49B55517"/>
    <w:rsid w:val="49B72A9C"/>
    <w:rsid w:val="49BB05BF"/>
    <w:rsid w:val="49BF6D61"/>
    <w:rsid w:val="49CD051B"/>
    <w:rsid w:val="49CD0ECC"/>
    <w:rsid w:val="49D46CB0"/>
    <w:rsid w:val="49D51486"/>
    <w:rsid w:val="49DC5B65"/>
    <w:rsid w:val="49E328B0"/>
    <w:rsid w:val="49EA0282"/>
    <w:rsid w:val="49F20EE5"/>
    <w:rsid w:val="49FC7FB5"/>
    <w:rsid w:val="49FD772E"/>
    <w:rsid w:val="4A003FE9"/>
    <w:rsid w:val="4A050C18"/>
    <w:rsid w:val="4A0550BC"/>
    <w:rsid w:val="4A080708"/>
    <w:rsid w:val="4A0B351A"/>
    <w:rsid w:val="4A14434A"/>
    <w:rsid w:val="4A292E59"/>
    <w:rsid w:val="4A363525"/>
    <w:rsid w:val="4A392BEC"/>
    <w:rsid w:val="4A3C6604"/>
    <w:rsid w:val="4A3E275F"/>
    <w:rsid w:val="4A3E37CF"/>
    <w:rsid w:val="4A4F2914"/>
    <w:rsid w:val="4A522E15"/>
    <w:rsid w:val="4A550BDA"/>
    <w:rsid w:val="4A5B4CDC"/>
    <w:rsid w:val="4A63300C"/>
    <w:rsid w:val="4A6B3BF3"/>
    <w:rsid w:val="4A7629B7"/>
    <w:rsid w:val="4A7C285B"/>
    <w:rsid w:val="4A8F7F71"/>
    <w:rsid w:val="4A90381C"/>
    <w:rsid w:val="4A914BA1"/>
    <w:rsid w:val="4A985F30"/>
    <w:rsid w:val="4A9B77CE"/>
    <w:rsid w:val="4AA2290B"/>
    <w:rsid w:val="4AA56CAA"/>
    <w:rsid w:val="4AAE6DC8"/>
    <w:rsid w:val="4AAF4334"/>
    <w:rsid w:val="4AB54787"/>
    <w:rsid w:val="4AB87570"/>
    <w:rsid w:val="4ABA7C9E"/>
    <w:rsid w:val="4AC2775A"/>
    <w:rsid w:val="4AC35772"/>
    <w:rsid w:val="4AC65027"/>
    <w:rsid w:val="4AC7411F"/>
    <w:rsid w:val="4AE345D3"/>
    <w:rsid w:val="4AE747C1"/>
    <w:rsid w:val="4AF225DA"/>
    <w:rsid w:val="4AF54207"/>
    <w:rsid w:val="4AF56EDE"/>
    <w:rsid w:val="4AF81219"/>
    <w:rsid w:val="4B0408A1"/>
    <w:rsid w:val="4B0A6930"/>
    <w:rsid w:val="4B0B6702"/>
    <w:rsid w:val="4B150627"/>
    <w:rsid w:val="4B1530DD"/>
    <w:rsid w:val="4B223A4B"/>
    <w:rsid w:val="4B28025D"/>
    <w:rsid w:val="4B2B6F13"/>
    <w:rsid w:val="4B2C1386"/>
    <w:rsid w:val="4B2F3620"/>
    <w:rsid w:val="4B2F518D"/>
    <w:rsid w:val="4B300210"/>
    <w:rsid w:val="4B3760A7"/>
    <w:rsid w:val="4B3B666B"/>
    <w:rsid w:val="4B4D496C"/>
    <w:rsid w:val="4B5310D8"/>
    <w:rsid w:val="4B55797D"/>
    <w:rsid w:val="4B5D2CD5"/>
    <w:rsid w:val="4B5F25AA"/>
    <w:rsid w:val="4B6776B0"/>
    <w:rsid w:val="4B695E19"/>
    <w:rsid w:val="4B6C4CC7"/>
    <w:rsid w:val="4B6E6C91"/>
    <w:rsid w:val="4B7342A7"/>
    <w:rsid w:val="4B74553E"/>
    <w:rsid w:val="4B943D60"/>
    <w:rsid w:val="4B990106"/>
    <w:rsid w:val="4B9F6E4A"/>
    <w:rsid w:val="4BB5666E"/>
    <w:rsid w:val="4BBA4715"/>
    <w:rsid w:val="4BBE277F"/>
    <w:rsid w:val="4BBE3774"/>
    <w:rsid w:val="4BC0573E"/>
    <w:rsid w:val="4BC47944"/>
    <w:rsid w:val="4BC959E4"/>
    <w:rsid w:val="4BCD55DC"/>
    <w:rsid w:val="4BDE3E16"/>
    <w:rsid w:val="4BE856F7"/>
    <w:rsid w:val="4BF20760"/>
    <w:rsid w:val="4C0104E3"/>
    <w:rsid w:val="4C203779"/>
    <w:rsid w:val="4C230DBB"/>
    <w:rsid w:val="4C231829"/>
    <w:rsid w:val="4C293CDF"/>
    <w:rsid w:val="4C2D72F8"/>
    <w:rsid w:val="4C3432B4"/>
    <w:rsid w:val="4C343A36"/>
    <w:rsid w:val="4C351555"/>
    <w:rsid w:val="4C455C43"/>
    <w:rsid w:val="4C475409"/>
    <w:rsid w:val="4C4F1E39"/>
    <w:rsid w:val="4C502F9B"/>
    <w:rsid w:val="4C515657"/>
    <w:rsid w:val="4C52210E"/>
    <w:rsid w:val="4C567E51"/>
    <w:rsid w:val="4C583BC9"/>
    <w:rsid w:val="4C5B0F68"/>
    <w:rsid w:val="4C5C4207"/>
    <w:rsid w:val="4C5C4D3B"/>
    <w:rsid w:val="4C676A1C"/>
    <w:rsid w:val="4C687565"/>
    <w:rsid w:val="4C733CFF"/>
    <w:rsid w:val="4C781120"/>
    <w:rsid w:val="4C787E88"/>
    <w:rsid w:val="4C7D6434"/>
    <w:rsid w:val="4C831317"/>
    <w:rsid w:val="4C991AEB"/>
    <w:rsid w:val="4C9A2375"/>
    <w:rsid w:val="4CA26BF2"/>
    <w:rsid w:val="4CB16E35"/>
    <w:rsid w:val="4CBD289F"/>
    <w:rsid w:val="4CC219A1"/>
    <w:rsid w:val="4CC37A37"/>
    <w:rsid w:val="4CC76658"/>
    <w:rsid w:val="4CC941EF"/>
    <w:rsid w:val="4CD104FC"/>
    <w:rsid w:val="4CD3309A"/>
    <w:rsid w:val="4CD56832"/>
    <w:rsid w:val="4CDA7328"/>
    <w:rsid w:val="4CDB07FE"/>
    <w:rsid w:val="4CDF1BF4"/>
    <w:rsid w:val="4CE10AA6"/>
    <w:rsid w:val="4CE25352"/>
    <w:rsid w:val="4CE730E0"/>
    <w:rsid w:val="4CE76CFB"/>
    <w:rsid w:val="4CEC4311"/>
    <w:rsid w:val="4CEEB104"/>
    <w:rsid w:val="4CEF2EF3"/>
    <w:rsid w:val="4CF117C2"/>
    <w:rsid w:val="4CF338F1"/>
    <w:rsid w:val="4CFD02CC"/>
    <w:rsid w:val="4CFF4044"/>
    <w:rsid w:val="4D186F1E"/>
    <w:rsid w:val="4D1B63CD"/>
    <w:rsid w:val="4D1C2677"/>
    <w:rsid w:val="4D214CC1"/>
    <w:rsid w:val="4D2E2B7B"/>
    <w:rsid w:val="4D2E3170"/>
    <w:rsid w:val="4D312395"/>
    <w:rsid w:val="4D357576"/>
    <w:rsid w:val="4D382F3D"/>
    <w:rsid w:val="4D387556"/>
    <w:rsid w:val="4D3A32CE"/>
    <w:rsid w:val="4D3C7046"/>
    <w:rsid w:val="4D4101F8"/>
    <w:rsid w:val="4D4203D5"/>
    <w:rsid w:val="4D631B43"/>
    <w:rsid w:val="4D6B792C"/>
    <w:rsid w:val="4D6D065E"/>
    <w:rsid w:val="4D6F29BB"/>
    <w:rsid w:val="4D780D34"/>
    <w:rsid w:val="4D845D14"/>
    <w:rsid w:val="4D8637D0"/>
    <w:rsid w:val="4D970721"/>
    <w:rsid w:val="4D9725D8"/>
    <w:rsid w:val="4D9736C9"/>
    <w:rsid w:val="4D98594B"/>
    <w:rsid w:val="4D9D459A"/>
    <w:rsid w:val="4DAE20A0"/>
    <w:rsid w:val="4DB7190B"/>
    <w:rsid w:val="4DB95832"/>
    <w:rsid w:val="4DBC7C6A"/>
    <w:rsid w:val="4DC64783"/>
    <w:rsid w:val="4DC92CAF"/>
    <w:rsid w:val="4DCB03CA"/>
    <w:rsid w:val="4DD1058F"/>
    <w:rsid w:val="4DD931AD"/>
    <w:rsid w:val="4DDC4386"/>
    <w:rsid w:val="4DE1310D"/>
    <w:rsid w:val="4DEA0349"/>
    <w:rsid w:val="4DEA4CF4"/>
    <w:rsid w:val="4DF53699"/>
    <w:rsid w:val="4DF70AEC"/>
    <w:rsid w:val="4DF74D1B"/>
    <w:rsid w:val="4DFD14CB"/>
    <w:rsid w:val="4E08619A"/>
    <w:rsid w:val="4E091012"/>
    <w:rsid w:val="4E142987"/>
    <w:rsid w:val="4E1C6E78"/>
    <w:rsid w:val="4E28653C"/>
    <w:rsid w:val="4E3A1A62"/>
    <w:rsid w:val="4E3A45D4"/>
    <w:rsid w:val="4E3D5780"/>
    <w:rsid w:val="4E573A0C"/>
    <w:rsid w:val="4E593C28"/>
    <w:rsid w:val="4E6600F3"/>
    <w:rsid w:val="4E661EA1"/>
    <w:rsid w:val="4E6A4F7D"/>
    <w:rsid w:val="4E6B752B"/>
    <w:rsid w:val="4E7255AE"/>
    <w:rsid w:val="4E766588"/>
    <w:rsid w:val="4E7F4AAD"/>
    <w:rsid w:val="4E816CDB"/>
    <w:rsid w:val="4E84407F"/>
    <w:rsid w:val="4E892DDF"/>
    <w:rsid w:val="4E8A2033"/>
    <w:rsid w:val="4E8C3CA1"/>
    <w:rsid w:val="4E912D1A"/>
    <w:rsid w:val="4E9702AC"/>
    <w:rsid w:val="4E991A77"/>
    <w:rsid w:val="4EA01857"/>
    <w:rsid w:val="4EA22E67"/>
    <w:rsid w:val="4EA474EE"/>
    <w:rsid w:val="4EA54E6C"/>
    <w:rsid w:val="4EAB5F49"/>
    <w:rsid w:val="4EB175C0"/>
    <w:rsid w:val="4EB64A0E"/>
    <w:rsid w:val="4EC12668"/>
    <w:rsid w:val="4EC15329"/>
    <w:rsid w:val="4ECA0682"/>
    <w:rsid w:val="4ED630ED"/>
    <w:rsid w:val="4ED67027"/>
    <w:rsid w:val="4ED92673"/>
    <w:rsid w:val="4EDD6366"/>
    <w:rsid w:val="4EE26067"/>
    <w:rsid w:val="4EE47996"/>
    <w:rsid w:val="4EE97817"/>
    <w:rsid w:val="4EEF746A"/>
    <w:rsid w:val="4EFF0B5D"/>
    <w:rsid w:val="4F0A09C7"/>
    <w:rsid w:val="4F0A6FA6"/>
    <w:rsid w:val="4F136752"/>
    <w:rsid w:val="4F155DA1"/>
    <w:rsid w:val="4F1F277C"/>
    <w:rsid w:val="4F240CB3"/>
    <w:rsid w:val="4F275C0C"/>
    <w:rsid w:val="4F346169"/>
    <w:rsid w:val="4F3519C9"/>
    <w:rsid w:val="4F351B42"/>
    <w:rsid w:val="4F3D18FC"/>
    <w:rsid w:val="4F3E72CC"/>
    <w:rsid w:val="4F3F2E1E"/>
    <w:rsid w:val="4F42646A"/>
    <w:rsid w:val="4F455921"/>
    <w:rsid w:val="4F4617CE"/>
    <w:rsid w:val="4F493C9D"/>
    <w:rsid w:val="4F5D2FAF"/>
    <w:rsid w:val="4F600861"/>
    <w:rsid w:val="4F622397"/>
    <w:rsid w:val="4F635C11"/>
    <w:rsid w:val="4F6636A0"/>
    <w:rsid w:val="4F691C49"/>
    <w:rsid w:val="4F724377"/>
    <w:rsid w:val="4F7505EE"/>
    <w:rsid w:val="4F7A581F"/>
    <w:rsid w:val="4F7B1680"/>
    <w:rsid w:val="4F7C0D5D"/>
    <w:rsid w:val="4F7D260B"/>
    <w:rsid w:val="4F871419"/>
    <w:rsid w:val="4F894099"/>
    <w:rsid w:val="4F895E47"/>
    <w:rsid w:val="4F8B7E11"/>
    <w:rsid w:val="4F8C73C4"/>
    <w:rsid w:val="4F936F62"/>
    <w:rsid w:val="4F9A59CD"/>
    <w:rsid w:val="4F9C3DCC"/>
    <w:rsid w:val="4FA800F6"/>
    <w:rsid w:val="4FA8123B"/>
    <w:rsid w:val="4FB3477D"/>
    <w:rsid w:val="4FBD1F95"/>
    <w:rsid w:val="4FC43758"/>
    <w:rsid w:val="4FC472C9"/>
    <w:rsid w:val="4FC70B10"/>
    <w:rsid w:val="4FCB2904"/>
    <w:rsid w:val="4FCC677E"/>
    <w:rsid w:val="4FD00F5A"/>
    <w:rsid w:val="4FD10ADB"/>
    <w:rsid w:val="4FD23C92"/>
    <w:rsid w:val="4FD35314"/>
    <w:rsid w:val="4FD5018E"/>
    <w:rsid w:val="4FDA1A9F"/>
    <w:rsid w:val="4FDF5CAB"/>
    <w:rsid w:val="4FE40303"/>
    <w:rsid w:val="4FE94417"/>
    <w:rsid w:val="4FEB0122"/>
    <w:rsid w:val="4FEC6EC1"/>
    <w:rsid w:val="4FED287A"/>
    <w:rsid w:val="4FEF1931"/>
    <w:rsid w:val="4FF5922D"/>
    <w:rsid w:val="500B2D00"/>
    <w:rsid w:val="500E557E"/>
    <w:rsid w:val="501946C3"/>
    <w:rsid w:val="501D0414"/>
    <w:rsid w:val="502445CE"/>
    <w:rsid w:val="502A189B"/>
    <w:rsid w:val="502B6CBA"/>
    <w:rsid w:val="503016DC"/>
    <w:rsid w:val="503843E4"/>
    <w:rsid w:val="5039786D"/>
    <w:rsid w:val="503D071F"/>
    <w:rsid w:val="50417BF7"/>
    <w:rsid w:val="50450091"/>
    <w:rsid w:val="504B57F2"/>
    <w:rsid w:val="504D23D4"/>
    <w:rsid w:val="50520A19"/>
    <w:rsid w:val="505518B5"/>
    <w:rsid w:val="506762CA"/>
    <w:rsid w:val="506B1E14"/>
    <w:rsid w:val="50731F61"/>
    <w:rsid w:val="507704C5"/>
    <w:rsid w:val="50770932"/>
    <w:rsid w:val="507A5297"/>
    <w:rsid w:val="508036EE"/>
    <w:rsid w:val="508828B2"/>
    <w:rsid w:val="50891EC9"/>
    <w:rsid w:val="508B3E41"/>
    <w:rsid w:val="508D365F"/>
    <w:rsid w:val="508D5E0B"/>
    <w:rsid w:val="5094722E"/>
    <w:rsid w:val="5095081C"/>
    <w:rsid w:val="50966A6E"/>
    <w:rsid w:val="5099655E"/>
    <w:rsid w:val="509A37E3"/>
    <w:rsid w:val="509E1DC6"/>
    <w:rsid w:val="509F0268"/>
    <w:rsid w:val="50A0169A"/>
    <w:rsid w:val="50A33B05"/>
    <w:rsid w:val="50AC17BB"/>
    <w:rsid w:val="50B34D82"/>
    <w:rsid w:val="50B53083"/>
    <w:rsid w:val="50B73CE2"/>
    <w:rsid w:val="50B8238B"/>
    <w:rsid w:val="50C03AEB"/>
    <w:rsid w:val="50C331BF"/>
    <w:rsid w:val="50CF4741"/>
    <w:rsid w:val="50D23B48"/>
    <w:rsid w:val="50EF3D3C"/>
    <w:rsid w:val="50F33EC0"/>
    <w:rsid w:val="50F6417D"/>
    <w:rsid w:val="50FD5237"/>
    <w:rsid w:val="5100038B"/>
    <w:rsid w:val="510078F8"/>
    <w:rsid w:val="510465F7"/>
    <w:rsid w:val="511107EA"/>
    <w:rsid w:val="51134562"/>
    <w:rsid w:val="51160693"/>
    <w:rsid w:val="51192CAF"/>
    <w:rsid w:val="512D795D"/>
    <w:rsid w:val="512F5B8D"/>
    <w:rsid w:val="51346287"/>
    <w:rsid w:val="51495E88"/>
    <w:rsid w:val="514D7CC5"/>
    <w:rsid w:val="514E6A22"/>
    <w:rsid w:val="51541348"/>
    <w:rsid w:val="51673238"/>
    <w:rsid w:val="516B6686"/>
    <w:rsid w:val="516B74D5"/>
    <w:rsid w:val="517B5C63"/>
    <w:rsid w:val="51894824"/>
    <w:rsid w:val="518A329F"/>
    <w:rsid w:val="518C60C3"/>
    <w:rsid w:val="519136D9"/>
    <w:rsid w:val="51A7292C"/>
    <w:rsid w:val="51B15182"/>
    <w:rsid w:val="51B234F8"/>
    <w:rsid w:val="51B260A5"/>
    <w:rsid w:val="51B63682"/>
    <w:rsid w:val="51BB2504"/>
    <w:rsid w:val="51C55A77"/>
    <w:rsid w:val="51CB07D0"/>
    <w:rsid w:val="51CE1F40"/>
    <w:rsid w:val="51D053AA"/>
    <w:rsid w:val="51D06C18"/>
    <w:rsid w:val="51D91EE8"/>
    <w:rsid w:val="51E00F6A"/>
    <w:rsid w:val="51E17694"/>
    <w:rsid w:val="51E67581"/>
    <w:rsid w:val="51E82577"/>
    <w:rsid w:val="51F31C9E"/>
    <w:rsid w:val="51F406E3"/>
    <w:rsid w:val="51F52DDA"/>
    <w:rsid w:val="51F85506"/>
    <w:rsid w:val="51FA01F3"/>
    <w:rsid w:val="51FF0643"/>
    <w:rsid w:val="52007BF9"/>
    <w:rsid w:val="5201104D"/>
    <w:rsid w:val="520E5C19"/>
    <w:rsid w:val="52116147"/>
    <w:rsid w:val="52120C10"/>
    <w:rsid w:val="521555D1"/>
    <w:rsid w:val="521913BA"/>
    <w:rsid w:val="521F160C"/>
    <w:rsid w:val="522001DE"/>
    <w:rsid w:val="52243698"/>
    <w:rsid w:val="522602C5"/>
    <w:rsid w:val="522A4FB2"/>
    <w:rsid w:val="522A70ED"/>
    <w:rsid w:val="523A78CD"/>
    <w:rsid w:val="523D2C08"/>
    <w:rsid w:val="523F1387"/>
    <w:rsid w:val="52493F12"/>
    <w:rsid w:val="52494FF5"/>
    <w:rsid w:val="524B36C0"/>
    <w:rsid w:val="524C46D1"/>
    <w:rsid w:val="52545416"/>
    <w:rsid w:val="5255558D"/>
    <w:rsid w:val="525941F7"/>
    <w:rsid w:val="525B5502"/>
    <w:rsid w:val="526306B6"/>
    <w:rsid w:val="52635075"/>
    <w:rsid w:val="52647AC0"/>
    <w:rsid w:val="526606C2"/>
    <w:rsid w:val="52692721"/>
    <w:rsid w:val="526D025F"/>
    <w:rsid w:val="52701540"/>
    <w:rsid w:val="527ED147"/>
    <w:rsid w:val="52946FDD"/>
    <w:rsid w:val="52955D9C"/>
    <w:rsid w:val="529D742A"/>
    <w:rsid w:val="52A122EE"/>
    <w:rsid w:val="52A70A18"/>
    <w:rsid w:val="52AA2CA4"/>
    <w:rsid w:val="52AD2843"/>
    <w:rsid w:val="52B2167C"/>
    <w:rsid w:val="52B41D71"/>
    <w:rsid w:val="52B4767F"/>
    <w:rsid w:val="52B508F7"/>
    <w:rsid w:val="52BB2A93"/>
    <w:rsid w:val="52C81487"/>
    <w:rsid w:val="52C90AF5"/>
    <w:rsid w:val="52D24131"/>
    <w:rsid w:val="52DB5FB9"/>
    <w:rsid w:val="52DD20EB"/>
    <w:rsid w:val="52E33BCD"/>
    <w:rsid w:val="52E654BA"/>
    <w:rsid w:val="52E8717A"/>
    <w:rsid w:val="52EC1BD1"/>
    <w:rsid w:val="52EC506B"/>
    <w:rsid w:val="52FE6B4C"/>
    <w:rsid w:val="530D6D8F"/>
    <w:rsid w:val="531B0DBD"/>
    <w:rsid w:val="53236914"/>
    <w:rsid w:val="53395DD6"/>
    <w:rsid w:val="53461010"/>
    <w:rsid w:val="5347346F"/>
    <w:rsid w:val="5349411C"/>
    <w:rsid w:val="534D53DE"/>
    <w:rsid w:val="534E733E"/>
    <w:rsid w:val="535168EB"/>
    <w:rsid w:val="535778B4"/>
    <w:rsid w:val="535A6478"/>
    <w:rsid w:val="535B34CB"/>
    <w:rsid w:val="53672943"/>
    <w:rsid w:val="53723F4D"/>
    <w:rsid w:val="5374447A"/>
    <w:rsid w:val="537868FE"/>
    <w:rsid w:val="537A33A1"/>
    <w:rsid w:val="537F7C8D"/>
    <w:rsid w:val="53813476"/>
    <w:rsid w:val="53882DFC"/>
    <w:rsid w:val="538A5CD0"/>
    <w:rsid w:val="53915C12"/>
    <w:rsid w:val="53961045"/>
    <w:rsid w:val="539F5E24"/>
    <w:rsid w:val="53A92F5C"/>
    <w:rsid w:val="53B143F7"/>
    <w:rsid w:val="53B34101"/>
    <w:rsid w:val="53B813F1"/>
    <w:rsid w:val="53BA1776"/>
    <w:rsid w:val="53BE3A4C"/>
    <w:rsid w:val="53C06406"/>
    <w:rsid w:val="53C47D96"/>
    <w:rsid w:val="53D25373"/>
    <w:rsid w:val="53D65E65"/>
    <w:rsid w:val="53DA1367"/>
    <w:rsid w:val="53DB6E8D"/>
    <w:rsid w:val="53EF3FAC"/>
    <w:rsid w:val="53F24D97"/>
    <w:rsid w:val="53F73CC7"/>
    <w:rsid w:val="53F97A4A"/>
    <w:rsid w:val="54051227"/>
    <w:rsid w:val="540C2876"/>
    <w:rsid w:val="540E7263"/>
    <w:rsid w:val="541331EB"/>
    <w:rsid w:val="541A7413"/>
    <w:rsid w:val="541B17A9"/>
    <w:rsid w:val="5420418E"/>
    <w:rsid w:val="543319E0"/>
    <w:rsid w:val="5438025C"/>
    <w:rsid w:val="543F741C"/>
    <w:rsid w:val="54420CBA"/>
    <w:rsid w:val="54435B43"/>
    <w:rsid w:val="544762D1"/>
    <w:rsid w:val="544C0BBA"/>
    <w:rsid w:val="544F7290"/>
    <w:rsid w:val="54503F80"/>
    <w:rsid w:val="54515984"/>
    <w:rsid w:val="545D75A4"/>
    <w:rsid w:val="545F186C"/>
    <w:rsid w:val="54611F7D"/>
    <w:rsid w:val="54646E83"/>
    <w:rsid w:val="54656A29"/>
    <w:rsid w:val="546926EB"/>
    <w:rsid w:val="546A41FA"/>
    <w:rsid w:val="54703A7A"/>
    <w:rsid w:val="5471253B"/>
    <w:rsid w:val="54745318"/>
    <w:rsid w:val="547A09D9"/>
    <w:rsid w:val="54817D48"/>
    <w:rsid w:val="54866F2F"/>
    <w:rsid w:val="548F7D73"/>
    <w:rsid w:val="54931302"/>
    <w:rsid w:val="549366B5"/>
    <w:rsid w:val="549643A0"/>
    <w:rsid w:val="54996B2C"/>
    <w:rsid w:val="54A0038E"/>
    <w:rsid w:val="54A04D1E"/>
    <w:rsid w:val="54A06F34"/>
    <w:rsid w:val="54A1691F"/>
    <w:rsid w:val="54A2695B"/>
    <w:rsid w:val="54A86D6F"/>
    <w:rsid w:val="54B4724C"/>
    <w:rsid w:val="54BE4FA1"/>
    <w:rsid w:val="54C47921"/>
    <w:rsid w:val="54C53815"/>
    <w:rsid w:val="54C87E9C"/>
    <w:rsid w:val="54CB5214"/>
    <w:rsid w:val="54CD069E"/>
    <w:rsid w:val="54CF254E"/>
    <w:rsid w:val="54CF4DC4"/>
    <w:rsid w:val="54D13CF2"/>
    <w:rsid w:val="54D2203E"/>
    <w:rsid w:val="54D52057"/>
    <w:rsid w:val="54DE4E87"/>
    <w:rsid w:val="54E2413E"/>
    <w:rsid w:val="54E90156"/>
    <w:rsid w:val="54ED65CD"/>
    <w:rsid w:val="54EF499E"/>
    <w:rsid w:val="54F00716"/>
    <w:rsid w:val="54FB4937"/>
    <w:rsid w:val="55002762"/>
    <w:rsid w:val="550603CC"/>
    <w:rsid w:val="5516017D"/>
    <w:rsid w:val="55171F21"/>
    <w:rsid w:val="551A61C1"/>
    <w:rsid w:val="5529319C"/>
    <w:rsid w:val="552E1437"/>
    <w:rsid w:val="55325CA9"/>
    <w:rsid w:val="55395B3D"/>
    <w:rsid w:val="553B5E36"/>
    <w:rsid w:val="55410F72"/>
    <w:rsid w:val="55466588"/>
    <w:rsid w:val="554A42CB"/>
    <w:rsid w:val="5559450E"/>
    <w:rsid w:val="556067CE"/>
    <w:rsid w:val="556309D5"/>
    <w:rsid w:val="556B7A9B"/>
    <w:rsid w:val="556D7E6B"/>
    <w:rsid w:val="556E384F"/>
    <w:rsid w:val="557B441B"/>
    <w:rsid w:val="55853555"/>
    <w:rsid w:val="558A46C7"/>
    <w:rsid w:val="558B47FE"/>
    <w:rsid w:val="55943798"/>
    <w:rsid w:val="55947B94"/>
    <w:rsid w:val="55980D35"/>
    <w:rsid w:val="55A5143F"/>
    <w:rsid w:val="55AA1478"/>
    <w:rsid w:val="55B456F3"/>
    <w:rsid w:val="55B54D46"/>
    <w:rsid w:val="55B81234"/>
    <w:rsid w:val="55C0458D"/>
    <w:rsid w:val="55C049DC"/>
    <w:rsid w:val="55C72FB5"/>
    <w:rsid w:val="55D156FE"/>
    <w:rsid w:val="55D1679A"/>
    <w:rsid w:val="55D2572A"/>
    <w:rsid w:val="55DB3175"/>
    <w:rsid w:val="55E170DB"/>
    <w:rsid w:val="55E353FE"/>
    <w:rsid w:val="55ED0D1A"/>
    <w:rsid w:val="55ED1679"/>
    <w:rsid w:val="55F27A30"/>
    <w:rsid w:val="55FE4202"/>
    <w:rsid w:val="56050C0A"/>
    <w:rsid w:val="560721BC"/>
    <w:rsid w:val="560A2319"/>
    <w:rsid w:val="560C5695"/>
    <w:rsid w:val="561B7DDC"/>
    <w:rsid w:val="561D6DAD"/>
    <w:rsid w:val="562C39D0"/>
    <w:rsid w:val="56334D5F"/>
    <w:rsid w:val="56335103"/>
    <w:rsid w:val="5637740B"/>
    <w:rsid w:val="56382375"/>
    <w:rsid w:val="56387080"/>
    <w:rsid w:val="563A433F"/>
    <w:rsid w:val="563F3703"/>
    <w:rsid w:val="5641747C"/>
    <w:rsid w:val="5642496B"/>
    <w:rsid w:val="565076BF"/>
    <w:rsid w:val="56553E52"/>
    <w:rsid w:val="56593530"/>
    <w:rsid w:val="566273F2"/>
    <w:rsid w:val="566328EC"/>
    <w:rsid w:val="56633896"/>
    <w:rsid w:val="56656CC2"/>
    <w:rsid w:val="56796231"/>
    <w:rsid w:val="56811F6E"/>
    <w:rsid w:val="5682788A"/>
    <w:rsid w:val="568A1303"/>
    <w:rsid w:val="568D53FB"/>
    <w:rsid w:val="568F2094"/>
    <w:rsid w:val="56926383"/>
    <w:rsid w:val="569752EE"/>
    <w:rsid w:val="56986659"/>
    <w:rsid w:val="569B4A27"/>
    <w:rsid w:val="56A1616C"/>
    <w:rsid w:val="56A26B22"/>
    <w:rsid w:val="56A42364"/>
    <w:rsid w:val="56A86526"/>
    <w:rsid w:val="56AA4B5B"/>
    <w:rsid w:val="56AC1389"/>
    <w:rsid w:val="56AD68BF"/>
    <w:rsid w:val="56AE4583"/>
    <w:rsid w:val="56B75990"/>
    <w:rsid w:val="56BB2D41"/>
    <w:rsid w:val="56BF4844"/>
    <w:rsid w:val="56C02A96"/>
    <w:rsid w:val="56C609C1"/>
    <w:rsid w:val="56CF3435"/>
    <w:rsid w:val="56DA600B"/>
    <w:rsid w:val="56E00797"/>
    <w:rsid w:val="56E20DC9"/>
    <w:rsid w:val="56F03BE4"/>
    <w:rsid w:val="56F429AE"/>
    <w:rsid w:val="56FBD530"/>
    <w:rsid w:val="56FC26B5"/>
    <w:rsid w:val="57146E7B"/>
    <w:rsid w:val="571526B6"/>
    <w:rsid w:val="571548F1"/>
    <w:rsid w:val="572B1EDA"/>
    <w:rsid w:val="572E27AB"/>
    <w:rsid w:val="572F0E3A"/>
    <w:rsid w:val="572F1D7A"/>
    <w:rsid w:val="5730129E"/>
    <w:rsid w:val="57305663"/>
    <w:rsid w:val="57351CDC"/>
    <w:rsid w:val="57364B06"/>
    <w:rsid w:val="573657C4"/>
    <w:rsid w:val="57390153"/>
    <w:rsid w:val="573C5E95"/>
    <w:rsid w:val="573E722C"/>
    <w:rsid w:val="57414038"/>
    <w:rsid w:val="57432E14"/>
    <w:rsid w:val="57462870"/>
    <w:rsid w:val="57471D65"/>
    <w:rsid w:val="57547876"/>
    <w:rsid w:val="57572CCF"/>
    <w:rsid w:val="57596A47"/>
    <w:rsid w:val="5767551A"/>
    <w:rsid w:val="57680227"/>
    <w:rsid w:val="576B2687"/>
    <w:rsid w:val="57723665"/>
    <w:rsid w:val="577B69BD"/>
    <w:rsid w:val="577E34BE"/>
    <w:rsid w:val="577E684A"/>
    <w:rsid w:val="578873CF"/>
    <w:rsid w:val="578B5F50"/>
    <w:rsid w:val="578E6BE2"/>
    <w:rsid w:val="579920BA"/>
    <w:rsid w:val="57A81AE1"/>
    <w:rsid w:val="57AA2C9A"/>
    <w:rsid w:val="57AD28EF"/>
    <w:rsid w:val="57B65C47"/>
    <w:rsid w:val="57B7093E"/>
    <w:rsid w:val="57C02622"/>
    <w:rsid w:val="57D21938"/>
    <w:rsid w:val="57D5505D"/>
    <w:rsid w:val="57DC45C9"/>
    <w:rsid w:val="57DF5099"/>
    <w:rsid w:val="57EE3633"/>
    <w:rsid w:val="57F91339"/>
    <w:rsid w:val="57FF75EE"/>
    <w:rsid w:val="58032313"/>
    <w:rsid w:val="580A24B5"/>
    <w:rsid w:val="5814296E"/>
    <w:rsid w:val="58164938"/>
    <w:rsid w:val="5819504E"/>
    <w:rsid w:val="581C3C96"/>
    <w:rsid w:val="58222E89"/>
    <w:rsid w:val="58252431"/>
    <w:rsid w:val="58265C43"/>
    <w:rsid w:val="582C597E"/>
    <w:rsid w:val="582C5F09"/>
    <w:rsid w:val="582D4E7E"/>
    <w:rsid w:val="58317360"/>
    <w:rsid w:val="58350C07"/>
    <w:rsid w:val="584C64D4"/>
    <w:rsid w:val="58502009"/>
    <w:rsid w:val="58506E64"/>
    <w:rsid w:val="585B059D"/>
    <w:rsid w:val="586438F5"/>
    <w:rsid w:val="586A79B6"/>
    <w:rsid w:val="58776E74"/>
    <w:rsid w:val="58873140"/>
    <w:rsid w:val="588B0E82"/>
    <w:rsid w:val="58951D01"/>
    <w:rsid w:val="589A7317"/>
    <w:rsid w:val="589D08B8"/>
    <w:rsid w:val="58A72E68"/>
    <w:rsid w:val="58AC3B96"/>
    <w:rsid w:val="58AF6DD5"/>
    <w:rsid w:val="58B303D9"/>
    <w:rsid w:val="58B4667A"/>
    <w:rsid w:val="58B55EFF"/>
    <w:rsid w:val="58B7276F"/>
    <w:rsid w:val="58B72B6F"/>
    <w:rsid w:val="58BA42AD"/>
    <w:rsid w:val="58C549B8"/>
    <w:rsid w:val="58C93758"/>
    <w:rsid w:val="58CD149A"/>
    <w:rsid w:val="58D0757D"/>
    <w:rsid w:val="58F02B16"/>
    <w:rsid w:val="58F217CD"/>
    <w:rsid w:val="58F238B2"/>
    <w:rsid w:val="58F43071"/>
    <w:rsid w:val="58FB17CE"/>
    <w:rsid w:val="58FB7E18"/>
    <w:rsid w:val="59034B0E"/>
    <w:rsid w:val="59060509"/>
    <w:rsid w:val="59186E56"/>
    <w:rsid w:val="59243130"/>
    <w:rsid w:val="592D018B"/>
    <w:rsid w:val="593B4656"/>
    <w:rsid w:val="5943350B"/>
    <w:rsid w:val="59440137"/>
    <w:rsid w:val="594A4767"/>
    <w:rsid w:val="594D15A1"/>
    <w:rsid w:val="595059A1"/>
    <w:rsid w:val="59561B8E"/>
    <w:rsid w:val="595A2602"/>
    <w:rsid w:val="595E55DF"/>
    <w:rsid w:val="59613991"/>
    <w:rsid w:val="59625CD5"/>
    <w:rsid w:val="5967123C"/>
    <w:rsid w:val="596925F2"/>
    <w:rsid w:val="596C0CB3"/>
    <w:rsid w:val="59764A80"/>
    <w:rsid w:val="59821298"/>
    <w:rsid w:val="598259D7"/>
    <w:rsid w:val="598D123A"/>
    <w:rsid w:val="598E7A6B"/>
    <w:rsid w:val="59904A51"/>
    <w:rsid w:val="5998623D"/>
    <w:rsid w:val="59A73A9A"/>
    <w:rsid w:val="59AC17E9"/>
    <w:rsid w:val="59B24CDC"/>
    <w:rsid w:val="59B862D1"/>
    <w:rsid w:val="59BA0405"/>
    <w:rsid w:val="59BA3933"/>
    <w:rsid w:val="59BF227F"/>
    <w:rsid w:val="59BF7C03"/>
    <w:rsid w:val="59C11035"/>
    <w:rsid w:val="59C15552"/>
    <w:rsid w:val="59C23070"/>
    <w:rsid w:val="59D2396D"/>
    <w:rsid w:val="59D6475C"/>
    <w:rsid w:val="59D800F7"/>
    <w:rsid w:val="59D93E6F"/>
    <w:rsid w:val="59E304DF"/>
    <w:rsid w:val="59E94C01"/>
    <w:rsid w:val="59E96FC2"/>
    <w:rsid w:val="59EF6378"/>
    <w:rsid w:val="59F76576"/>
    <w:rsid w:val="59F91B3E"/>
    <w:rsid w:val="5A20384C"/>
    <w:rsid w:val="5A252C10"/>
    <w:rsid w:val="5A2C21F1"/>
    <w:rsid w:val="5A421A83"/>
    <w:rsid w:val="5A4920A9"/>
    <w:rsid w:val="5A5E6930"/>
    <w:rsid w:val="5A6B2E2A"/>
    <w:rsid w:val="5A6C6A91"/>
    <w:rsid w:val="5A740BE3"/>
    <w:rsid w:val="5A7631A9"/>
    <w:rsid w:val="5A7F4A16"/>
    <w:rsid w:val="5A8E51C4"/>
    <w:rsid w:val="5A9265B8"/>
    <w:rsid w:val="5A9409E7"/>
    <w:rsid w:val="5A9F6E0C"/>
    <w:rsid w:val="5AAC11F7"/>
    <w:rsid w:val="5AAC3332"/>
    <w:rsid w:val="5AB17215"/>
    <w:rsid w:val="5AB20948"/>
    <w:rsid w:val="5AB628C1"/>
    <w:rsid w:val="5AB864A8"/>
    <w:rsid w:val="5ABA7BFC"/>
    <w:rsid w:val="5ABA7CC6"/>
    <w:rsid w:val="5ABD446A"/>
    <w:rsid w:val="5ABF12B7"/>
    <w:rsid w:val="5AC266B1"/>
    <w:rsid w:val="5AC80C0B"/>
    <w:rsid w:val="5AC84955"/>
    <w:rsid w:val="5ACA1DE0"/>
    <w:rsid w:val="5ACB3CC7"/>
    <w:rsid w:val="5AD52888"/>
    <w:rsid w:val="5AD648F7"/>
    <w:rsid w:val="5ADD09B6"/>
    <w:rsid w:val="5ADD34EB"/>
    <w:rsid w:val="5AE20B01"/>
    <w:rsid w:val="5AE623A0"/>
    <w:rsid w:val="5AE762C1"/>
    <w:rsid w:val="5AEF5EE8"/>
    <w:rsid w:val="5AEF7A42"/>
    <w:rsid w:val="5B0D4BD2"/>
    <w:rsid w:val="5B0D6FD7"/>
    <w:rsid w:val="5B370563"/>
    <w:rsid w:val="5B3E6680"/>
    <w:rsid w:val="5B3F588B"/>
    <w:rsid w:val="5B424FC7"/>
    <w:rsid w:val="5B4919F0"/>
    <w:rsid w:val="5B4E427E"/>
    <w:rsid w:val="5B5233F7"/>
    <w:rsid w:val="5B53063D"/>
    <w:rsid w:val="5B5C4DC3"/>
    <w:rsid w:val="5B6360E6"/>
    <w:rsid w:val="5B6C0234"/>
    <w:rsid w:val="5B770E98"/>
    <w:rsid w:val="5B7855EF"/>
    <w:rsid w:val="5B7F3B93"/>
    <w:rsid w:val="5B8256C6"/>
    <w:rsid w:val="5B84760E"/>
    <w:rsid w:val="5B93114D"/>
    <w:rsid w:val="5B9E4D3E"/>
    <w:rsid w:val="5BA06984"/>
    <w:rsid w:val="5BA23B41"/>
    <w:rsid w:val="5BA80476"/>
    <w:rsid w:val="5BA858A7"/>
    <w:rsid w:val="5BAA5AC3"/>
    <w:rsid w:val="5BAD3972"/>
    <w:rsid w:val="5BAD7361"/>
    <w:rsid w:val="5BAE3F62"/>
    <w:rsid w:val="5BAE7FE7"/>
    <w:rsid w:val="5BAF6C35"/>
    <w:rsid w:val="5BBB2C8C"/>
    <w:rsid w:val="5BBD3EFA"/>
    <w:rsid w:val="5BBF103E"/>
    <w:rsid w:val="5BC16969"/>
    <w:rsid w:val="5BC26D22"/>
    <w:rsid w:val="5BCC3C8B"/>
    <w:rsid w:val="5BD32BB9"/>
    <w:rsid w:val="5BD538CD"/>
    <w:rsid w:val="5BDF5506"/>
    <w:rsid w:val="5BE10DB9"/>
    <w:rsid w:val="5BE54D4D"/>
    <w:rsid w:val="5BE94C56"/>
    <w:rsid w:val="5BEB0156"/>
    <w:rsid w:val="5BEE41EF"/>
    <w:rsid w:val="5BEF690A"/>
    <w:rsid w:val="5BF925A6"/>
    <w:rsid w:val="5BFC35B7"/>
    <w:rsid w:val="5C0C3C2E"/>
    <w:rsid w:val="5C0E5AC7"/>
    <w:rsid w:val="5C1949F7"/>
    <w:rsid w:val="5C2B5E60"/>
    <w:rsid w:val="5C2C4235"/>
    <w:rsid w:val="5C2F2869"/>
    <w:rsid w:val="5C337866"/>
    <w:rsid w:val="5C3420BD"/>
    <w:rsid w:val="5C357C0E"/>
    <w:rsid w:val="5C464A46"/>
    <w:rsid w:val="5C4943A0"/>
    <w:rsid w:val="5C5459E8"/>
    <w:rsid w:val="5C556587"/>
    <w:rsid w:val="5C6171FB"/>
    <w:rsid w:val="5C6C4B26"/>
    <w:rsid w:val="5C71462A"/>
    <w:rsid w:val="5C717A62"/>
    <w:rsid w:val="5C757E7F"/>
    <w:rsid w:val="5C841E70"/>
    <w:rsid w:val="5C966047"/>
    <w:rsid w:val="5C9B365E"/>
    <w:rsid w:val="5CA8379A"/>
    <w:rsid w:val="5CA94307"/>
    <w:rsid w:val="5CB00DF0"/>
    <w:rsid w:val="5CBC4A90"/>
    <w:rsid w:val="5CBD1826"/>
    <w:rsid w:val="5CBD72D7"/>
    <w:rsid w:val="5CBE31F8"/>
    <w:rsid w:val="5CC130C4"/>
    <w:rsid w:val="5CCA24F5"/>
    <w:rsid w:val="5CCC17F3"/>
    <w:rsid w:val="5CD821BC"/>
    <w:rsid w:val="5CDF695B"/>
    <w:rsid w:val="5CE13766"/>
    <w:rsid w:val="5CE46DB3"/>
    <w:rsid w:val="5CE56107"/>
    <w:rsid w:val="5CF62AFC"/>
    <w:rsid w:val="5CFD1C22"/>
    <w:rsid w:val="5D011713"/>
    <w:rsid w:val="5D063660"/>
    <w:rsid w:val="5D085705"/>
    <w:rsid w:val="5D0E56B3"/>
    <w:rsid w:val="5D121B72"/>
    <w:rsid w:val="5D1A0A26"/>
    <w:rsid w:val="5D2016E6"/>
    <w:rsid w:val="5D206B1C"/>
    <w:rsid w:val="5D221689"/>
    <w:rsid w:val="5D260D84"/>
    <w:rsid w:val="5D264558"/>
    <w:rsid w:val="5D2D3AF7"/>
    <w:rsid w:val="5D2E4E91"/>
    <w:rsid w:val="5D3648D2"/>
    <w:rsid w:val="5D3E2967"/>
    <w:rsid w:val="5D427BD3"/>
    <w:rsid w:val="5D4362C0"/>
    <w:rsid w:val="5D4A4731"/>
    <w:rsid w:val="5D520BBA"/>
    <w:rsid w:val="5D530520"/>
    <w:rsid w:val="5D6132D5"/>
    <w:rsid w:val="5D6A375C"/>
    <w:rsid w:val="5D6A7812"/>
    <w:rsid w:val="5D796123"/>
    <w:rsid w:val="5D7C523D"/>
    <w:rsid w:val="5D7E1EC0"/>
    <w:rsid w:val="5D7E7207"/>
    <w:rsid w:val="5D83037A"/>
    <w:rsid w:val="5D866A48"/>
    <w:rsid w:val="5D890870"/>
    <w:rsid w:val="5D8E5BCA"/>
    <w:rsid w:val="5D8F6EFE"/>
    <w:rsid w:val="5D9545B9"/>
    <w:rsid w:val="5D99194B"/>
    <w:rsid w:val="5DA64068"/>
    <w:rsid w:val="5DA6543C"/>
    <w:rsid w:val="5DA77FF1"/>
    <w:rsid w:val="5DAA58ED"/>
    <w:rsid w:val="5DAB659C"/>
    <w:rsid w:val="5DB06C95"/>
    <w:rsid w:val="5DB20066"/>
    <w:rsid w:val="5DBB7FBF"/>
    <w:rsid w:val="5DBC388C"/>
    <w:rsid w:val="5DC91753"/>
    <w:rsid w:val="5DCA5BD8"/>
    <w:rsid w:val="5DCF00AD"/>
    <w:rsid w:val="5DD155AC"/>
    <w:rsid w:val="5DD62B15"/>
    <w:rsid w:val="5DEF1EB3"/>
    <w:rsid w:val="5DF44155"/>
    <w:rsid w:val="5DF703C1"/>
    <w:rsid w:val="5DFA387C"/>
    <w:rsid w:val="5DFD637E"/>
    <w:rsid w:val="5E2002BE"/>
    <w:rsid w:val="5E203E1A"/>
    <w:rsid w:val="5E2A2EEB"/>
    <w:rsid w:val="5E2D23FA"/>
    <w:rsid w:val="5E2F405E"/>
    <w:rsid w:val="5E317731"/>
    <w:rsid w:val="5E342DDC"/>
    <w:rsid w:val="5E3C677A"/>
    <w:rsid w:val="5E4E6D81"/>
    <w:rsid w:val="5E567AD3"/>
    <w:rsid w:val="5E5F37E5"/>
    <w:rsid w:val="5E63574A"/>
    <w:rsid w:val="5E6A32E8"/>
    <w:rsid w:val="5E6A778C"/>
    <w:rsid w:val="5E6C7B77"/>
    <w:rsid w:val="5E727EF9"/>
    <w:rsid w:val="5E7856ED"/>
    <w:rsid w:val="5E785A05"/>
    <w:rsid w:val="5E7E3B33"/>
    <w:rsid w:val="5E800D6B"/>
    <w:rsid w:val="5E824AEF"/>
    <w:rsid w:val="5E831EED"/>
    <w:rsid w:val="5E8C2BC0"/>
    <w:rsid w:val="5E976B50"/>
    <w:rsid w:val="5EA336D3"/>
    <w:rsid w:val="5EA3463D"/>
    <w:rsid w:val="5EA40191"/>
    <w:rsid w:val="5EA507C4"/>
    <w:rsid w:val="5EA762EA"/>
    <w:rsid w:val="5EAC56AE"/>
    <w:rsid w:val="5EBA426F"/>
    <w:rsid w:val="5ECF79DA"/>
    <w:rsid w:val="5ED33EAA"/>
    <w:rsid w:val="5EF3152F"/>
    <w:rsid w:val="5EFD5F0A"/>
    <w:rsid w:val="5F0A5B7B"/>
    <w:rsid w:val="5F16521D"/>
    <w:rsid w:val="5F177A55"/>
    <w:rsid w:val="5F1C6CD8"/>
    <w:rsid w:val="5F2032C4"/>
    <w:rsid w:val="5F275D50"/>
    <w:rsid w:val="5F2931A3"/>
    <w:rsid w:val="5F315E14"/>
    <w:rsid w:val="5F3C2ED6"/>
    <w:rsid w:val="5F41056E"/>
    <w:rsid w:val="5F4571B2"/>
    <w:rsid w:val="5F546472"/>
    <w:rsid w:val="5F5E7196"/>
    <w:rsid w:val="5F637587"/>
    <w:rsid w:val="5F6441DB"/>
    <w:rsid w:val="5F7E34EF"/>
    <w:rsid w:val="5F842877"/>
    <w:rsid w:val="5F8A26F1"/>
    <w:rsid w:val="5F922AF6"/>
    <w:rsid w:val="5F9B2D2A"/>
    <w:rsid w:val="5FA01A2A"/>
    <w:rsid w:val="5FAB74A6"/>
    <w:rsid w:val="5FB57A68"/>
    <w:rsid w:val="5FB97DE1"/>
    <w:rsid w:val="5FC37153"/>
    <w:rsid w:val="5FCF78A6"/>
    <w:rsid w:val="5FD333DB"/>
    <w:rsid w:val="5FDE3F8D"/>
    <w:rsid w:val="5FE57944"/>
    <w:rsid w:val="5FEE6054"/>
    <w:rsid w:val="5FF41797"/>
    <w:rsid w:val="5FF61BC7"/>
    <w:rsid w:val="5FF84D00"/>
    <w:rsid w:val="5FFD6D65"/>
    <w:rsid w:val="5FFF3057"/>
    <w:rsid w:val="600357A2"/>
    <w:rsid w:val="60163727"/>
    <w:rsid w:val="601A7146"/>
    <w:rsid w:val="601B5BA5"/>
    <w:rsid w:val="60252824"/>
    <w:rsid w:val="60254888"/>
    <w:rsid w:val="603172AE"/>
    <w:rsid w:val="60381469"/>
    <w:rsid w:val="60397415"/>
    <w:rsid w:val="60450AA3"/>
    <w:rsid w:val="604C0EF7"/>
    <w:rsid w:val="605162C2"/>
    <w:rsid w:val="60597AB8"/>
    <w:rsid w:val="605F6E50"/>
    <w:rsid w:val="6066176E"/>
    <w:rsid w:val="607050C2"/>
    <w:rsid w:val="607F4C45"/>
    <w:rsid w:val="607F798B"/>
    <w:rsid w:val="60844B35"/>
    <w:rsid w:val="608C77A8"/>
    <w:rsid w:val="60962B30"/>
    <w:rsid w:val="60964052"/>
    <w:rsid w:val="60A46F85"/>
    <w:rsid w:val="60A70823"/>
    <w:rsid w:val="60A9459B"/>
    <w:rsid w:val="60B7641A"/>
    <w:rsid w:val="60C452CD"/>
    <w:rsid w:val="60C70EC5"/>
    <w:rsid w:val="60D01B21"/>
    <w:rsid w:val="60DA29A7"/>
    <w:rsid w:val="60DD21C8"/>
    <w:rsid w:val="60E65F26"/>
    <w:rsid w:val="60E90E3C"/>
    <w:rsid w:val="60E973AF"/>
    <w:rsid w:val="60F11744"/>
    <w:rsid w:val="60F65306"/>
    <w:rsid w:val="60FF41BB"/>
    <w:rsid w:val="61063506"/>
    <w:rsid w:val="610B37B3"/>
    <w:rsid w:val="61136D51"/>
    <w:rsid w:val="61173FC7"/>
    <w:rsid w:val="61194F52"/>
    <w:rsid w:val="611D5553"/>
    <w:rsid w:val="6126362C"/>
    <w:rsid w:val="61291238"/>
    <w:rsid w:val="612F3FAF"/>
    <w:rsid w:val="613245A4"/>
    <w:rsid w:val="613942EB"/>
    <w:rsid w:val="614076FE"/>
    <w:rsid w:val="6142054C"/>
    <w:rsid w:val="61437D16"/>
    <w:rsid w:val="614442C4"/>
    <w:rsid w:val="614C390D"/>
    <w:rsid w:val="615644A4"/>
    <w:rsid w:val="6156790C"/>
    <w:rsid w:val="615D7BFF"/>
    <w:rsid w:val="61667D19"/>
    <w:rsid w:val="616E43DB"/>
    <w:rsid w:val="617359F5"/>
    <w:rsid w:val="617534E8"/>
    <w:rsid w:val="617D3524"/>
    <w:rsid w:val="617E767E"/>
    <w:rsid w:val="6186668A"/>
    <w:rsid w:val="61930DA7"/>
    <w:rsid w:val="6193597B"/>
    <w:rsid w:val="619575C2"/>
    <w:rsid w:val="619E61FD"/>
    <w:rsid w:val="61BD1F3B"/>
    <w:rsid w:val="61C1200D"/>
    <w:rsid w:val="61C1318E"/>
    <w:rsid w:val="61C1570C"/>
    <w:rsid w:val="61D27EB7"/>
    <w:rsid w:val="61D75D58"/>
    <w:rsid w:val="61DE3897"/>
    <w:rsid w:val="61EB72DC"/>
    <w:rsid w:val="61EC370B"/>
    <w:rsid w:val="61EF6BBC"/>
    <w:rsid w:val="61F155FB"/>
    <w:rsid w:val="61F3554E"/>
    <w:rsid w:val="61F555BE"/>
    <w:rsid w:val="61FB1475"/>
    <w:rsid w:val="62164104"/>
    <w:rsid w:val="62171AFF"/>
    <w:rsid w:val="621F2D3C"/>
    <w:rsid w:val="622010B7"/>
    <w:rsid w:val="622F0AD0"/>
    <w:rsid w:val="623A16FD"/>
    <w:rsid w:val="624A3B5C"/>
    <w:rsid w:val="624F7BBC"/>
    <w:rsid w:val="6258410D"/>
    <w:rsid w:val="626649C6"/>
    <w:rsid w:val="62683FE2"/>
    <w:rsid w:val="626E2A36"/>
    <w:rsid w:val="62742130"/>
    <w:rsid w:val="627632CC"/>
    <w:rsid w:val="627666FF"/>
    <w:rsid w:val="62775FD3"/>
    <w:rsid w:val="62794CD3"/>
    <w:rsid w:val="627D3477"/>
    <w:rsid w:val="62805AE5"/>
    <w:rsid w:val="62895F5C"/>
    <w:rsid w:val="62962BDD"/>
    <w:rsid w:val="62975D9E"/>
    <w:rsid w:val="629C0DE1"/>
    <w:rsid w:val="629F587B"/>
    <w:rsid w:val="62A112B5"/>
    <w:rsid w:val="62A25746"/>
    <w:rsid w:val="62A43808"/>
    <w:rsid w:val="62A50FBD"/>
    <w:rsid w:val="62A90295"/>
    <w:rsid w:val="62AA0157"/>
    <w:rsid w:val="62B52A1E"/>
    <w:rsid w:val="62B72879"/>
    <w:rsid w:val="62BB125E"/>
    <w:rsid w:val="62C36C0B"/>
    <w:rsid w:val="62C45F51"/>
    <w:rsid w:val="62D831CE"/>
    <w:rsid w:val="62E269C1"/>
    <w:rsid w:val="62EA2C49"/>
    <w:rsid w:val="62EE4308"/>
    <w:rsid w:val="62F10032"/>
    <w:rsid w:val="62F615EE"/>
    <w:rsid w:val="62F802E3"/>
    <w:rsid w:val="62FC0316"/>
    <w:rsid w:val="63035AB9"/>
    <w:rsid w:val="630730FD"/>
    <w:rsid w:val="6311467A"/>
    <w:rsid w:val="631321A0"/>
    <w:rsid w:val="63154D24"/>
    <w:rsid w:val="63182B98"/>
    <w:rsid w:val="631A1A7C"/>
    <w:rsid w:val="631F28F3"/>
    <w:rsid w:val="6322220C"/>
    <w:rsid w:val="6327242C"/>
    <w:rsid w:val="632A38F3"/>
    <w:rsid w:val="632B4765"/>
    <w:rsid w:val="632F68AE"/>
    <w:rsid w:val="633718F9"/>
    <w:rsid w:val="633D0FCB"/>
    <w:rsid w:val="633F699C"/>
    <w:rsid w:val="634C7460"/>
    <w:rsid w:val="634D56E7"/>
    <w:rsid w:val="634F13C9"/>
    <w:rsid w:val="635114F2"/>
    <w:rsid w:val="63530ED8"/>
    <w:rsid w:val="63534C92"/>
    <w:rsid w:val="63553DEC"/>
    <w:rsid w:val="635D166D"/>
    <w:rsid w:val="63687055"/>
    <w:rsid w:val="636B63CC"/>
    <w:rsid w:val="63711163"/>
    <w:rsid w:val="637D77F6"/>
    <w:rsid w:val="637E52E4"/>
    <w:rsid w:val="637F3391"/>
    <w:rsid w:val="637F59A6"/>
    <w:rsid w:val="638030B4"/>
    <w:rsid w:val="638457FA"/>
    <w:rsid w:val="638A7D46"/>
    <w:rsid w:val="638C77B8"/>
    <w:rsid w:val="639D7154"/>
    <w:rsid w:val="63A50CFB"/>
    <w:rsid w:val="63A764BF"/>
    <w:rsid w:val="63AD43A2"/>
    <w:rsid w:val="63B734B8"/>
    <w:rsid w:val="63BA45EF"/>
    <w:rsid w:val="63C33BC6"/>
    <w:rsid w:val="63CD1390"/>
    <w:rsid w:val="63CF02CC"/>
    <w:rsid w:val="63CF3AE8"/>
    <w:rsid w:val="63CF77E6"/>
    <w:rsid w:val="63D222CD"/>
    <w:rsid w:val="63D647CB"/>
    <w:rsid w:val="63DC0D46"/>
    <w:rsid w:val="63DF4776"/>
    <w:rsid w:val="63DF7243"/>
    <w:rsid w:val="63E61662"/>
    <w:rsid w:val="63E64709"/>
    <w:rsid w:val="63E67F4B"/>
    <w:rsid w:val="63F73764"/>
    <w:rsid w:val="63FA1E1E"/>
    <w:rsid w:val="63FA6EBC"/>
    <w:rsid w:val="63FC1162"/>
    <w:rsid w:val="64055EB8"/>
    <w:rsid w:val="640A3556"/>
    <w:rsid w:val="640F0BB9"/>
    <w:rsid w:val="6417181C"/>
    <w:rsid w:val="641E704E"/>
    <w:rsid w:val="643378E9"/>
    <w:rsid w:val="64390844"/>
    <w:rsid w:val="643B22DF"/>
    <w:rsid w:val="643E324C"/>
    <w:rsid w:val="644545DB"/>
    <w:rsid w:val="644A32FB"/>
    <w:rsid w:val="64503080"/>
    <w:rsid w:val="64542A70"/>
    <w:rsid w:val="6457430E"/>
    <w:rsid w:val="6458100E"/>
    <w:rsid w:val="64583494"/>
    <w:rsid w:val="645B49A2"/>
    <w:rsid w:val="645C36D2"/>
    <w:rsid w:val="645E06F7"/>
    <w:rsid w:val="64680E0B"/>
    <w:rsid w:val="646F75EA"/>
    <w:rsid w:val="64793261"/>
    <w:rsid w:val="64821505"/>
    <w:rsid w:val="64835103"/>
    <w:rsid w:val="648A7FE3"/>
    <w:rsid w:val="648B41DA"/>
    <w:rsid w:val="648C045C"/>
    <w:rsid w:val="64925346"/>
    <w:rsid w:val="64947D16"/>
    <w:rsid w:val="649C7F73"/>
    <w:rsid w:val="64A157BE"/>
    <w:rsid w:val="64A15950"/>
    <w:rsid w:val="64B928D3"/>
    <w:rsid w:val="64B942BE"/>
    <w:rsid w:val="64BF1228"/>
    <w:rsid w:val="64C87B73"/>
    <w:rsid w:val="64CA4AE0"/>
    <w:rsid w:val="64CC072B"/>
    <w:rsid w:val="64D43BB1"/>
    <w:rsid w:val="64D647E3"/>
    <w:rsid w:val="64DA58EB"/>
    <w:rsid w:val="64DE058B"/>
    <w:rsid w:val="64F47DAF"/>
    <w:rsid w:val="64FF0C2E"/>
    <w:rsid w:val="6509385A"/>
    <w:rsid w:val="650A3BF1"/>
    <w:rsid w:val="6511270F"/>
    <w:rsid w:val="65146547"/>
    <w:rsid w:val="651E4D27"/>
    <w:rsid w:val="6527768C"/>
    <w:rsid w:val="652E7DEA"/>
    <w:rsid w:val="652F3813"/>
    <w:rsid w:val="653046B8"/>
    <w:rsid w:val="653603C7"/>
    <w:rsid w:val="65371B1F"/>
    <w:rsid w:val="653F3FA1"/>
    <w:rsid w:val="65420B1A"/>
    <w:rsid w:val="654232DD"/>
    <w:rsid w:val="654523B9"/>
    <w:rsid w:val="6549378C"/>
    <w:rsid w:val="654B3E73"/>
    <w:rsid w:val="6550759A"/>
    <w:rsid w:val="65515201"/>
    <w:rsid w:val="655B1CAB"/>
    <w:rsid w:val="65637AA1"/>
    <w:rsid w:val="65646421"/>
    <w:rsid w:val="65670DA9"/>
    <w:rsid w:val="65674A25"/>
    <w:rsid w:val="65682877"/>
    <w:rsid w:val="656C3E87"/>
    <w:rsid w:val="657259FF"/>
    <w:rsid w:val="65766A16"/>
    <w:rsid w:val="657726BA"/>
    <w:rsid w:val="65815AE7"/>
    <w:rsid w:val="65817A23"/>
    <w:rsid w:val="65870C23"/>
    <w:rsid w:val="658E2176"/>
    <w:rsid w:val="65903785"/>
    <w:rsid w:val="65931376"/>
    <w:rsid w:val="65982E30"/>
    <w:rsid w:val="65A73651"/>
    <w:rsid w:val="65AB66C0"/>
    <w:rsid w:val="65B975D9"/>
    <w:rsid w:val="65C23F9E"/>
    <w:rsid w:val="65C36AC7"/>
    <w:rsid w:val="65C37EAD"/>
    <w:rsid w:val="65C6174B"/>
    <w:rsid w:val="65C6384A"/>
    <w:rsid w:val="65D009D0"/>
    <w:rsid w:val="65D92236"/>
    <w:rsid w:val="65DB7F6A"/>
    <w:rsid w:val="65E027D0"/>
    <w:rsid w:val="65E30AD7"/>
    <w:rsid w:val="65E664EA"/>
    <w:rsid w:val="65E73470"/>
    <w:rsid w:val="65EC0A86"/>
    <w:rsid w:val="65EE4FF2"/>
    <w:rsid w:val="65F51D11"/>
    <w:rsid w:val="65F803EB"/>
    <w:rsid w:val="65FB7DC1"/>
    <w:rsid w:val="66041355"/>
    <w:rsid w:val="66171FA7"/>
    <w:rsid w:val="661B7AB4"/>
    <w:rsid w:val="661C75BD"/>
    <w:rsid w:val="66233DC3"/>
    <w:rsid w:val="66246472"/>
    <w:rsid w:val="66291A75"/>
    <w:rsid w:val="66291B15"/>
    <w:rsid w:val="662B0FC4"/>
    <w:rsid w:val="662F4420"/>
    <w:rsid w:val="6631740F"/>
    <w:rsid w:val="663C553A"/>
    <w:rsid w:val="66435F91"/>
    <w:rsid w:val="66466EBB"/>
    <w:rsid w:val="665A6CA9"/>
    <w:rsid w:val="66606A20"/>
    <w:rsid w:val="66690B67"/>
    <w:rsid w:val="667C62AE"/>
    <w:rsid w:val="668029EA"/>
    <w:rsid w:val="6686712D"/>
    <w:rsid w:val="668C3E96"/>
    <w:rsid w:val="668E1B27"/>
    <w:rsid w:val="668F5CC8"/>
    <w:rsid w:val="66990C0E"/>
    <w:rsid w:val="669B4986"/>
    <w:rsid w:val="669E4476"/>
    <w:rsid w:val="66A2184D"/>
    <w:rsid w:val="66A72100"/>
    <w:rsid w:val="66AD7D4C"/>
    <w:rsid w:val="66B079FD"/>
    <w:rsid w:val="66B67037"/>
    <w:rsid w:val="66BB610C"/>
    <w:rsid w:val="66C04C5E"/>
    <w:rsid w:val="66CD4D5B"/>
    <w:rsid w:val="66DC3632"/>
    <w:rsid w:val="66E55C01"/>
    <w:rsid w:val="66E96C4B"/>
    <w:rsid w:val="66EC6F90"/>
    <w:rsid w:val="66F57EC6"/>
    <w:rsid w:val="66FA3298"/>
    <w:rsid w:val="66FB3677"/>
    <w:rsid w:val="6703252B"/>
    <w:rsid w:val="670C13E0"/>
    <w:rsid w:val="67140294"/>
    <w:rsid w:val="67146646"/>
    <w:rsid w:val="67310E46"/>
    <w:rsid w:val="673408B7"/>
    <w:rsid w:val="67406F9B"/>
    <w:rsid w:val="67444946"/>
    <w:rsid w:val="674500FF"/>
    <w:rsid w:val="674C0926"/>
    <w:rsid w:val="67584625"/>
    <w:rsid w:val="675E09C4"/>
    <w:rsid w:val="67670D0C"/>
    <w:rsid w:val="67673A79"/>
    <w:rsid w:val="676C00D0"/>
    <w:rsid w:val="6773320D"/>
    <w:rsid w:val="677A2258"/>
    <w:rsid w:val="677B72A3"/>
    <w:rsid w:val="677E1BB2"/>
    <w:rsid w:val="678B49CA"/>
    <w:rsid w:val="679D2B01"/>
    <w:rsid w:val="679F7FA8"/>
    <w:rsid w:val="67A46DAC"/>
    <w:rsid w:val="67AC2691"/>
    <w:rsid w:val="67AF7FBD"/>
    <w:rsid w:val="67B657F0"/>
    <w:rsid w:val="67BA52E0"/>
    <w:rsid w:val="67BC4DE8"/>
    <w:rsid w:val="67BF24B9"/>
    <w:rsid w:val="67BF71F0"/>
    <w:rsid w:val="67C223E6"/>
    <w:rsid w:val="67C723DB"/>
    <w:rsid w:val="67CC0B6F"/>
    <w:rsid w:val="67D1173C"/>
    <w:rsid w:val="67DB474B"/>
    <w:rsid w:val="67DD57E7"/>
    <w:rsid w:val="67DE3425"/>
    <w:rsid w:val="67E87395"/>
    <w:rsid w:val="67E94FB7"/>
    <w:rsid w:val="67EF5A6D"/>
    <w:rsid w:val="67F17444"/>
    <w:rsid w:val="67F61DEB"/>
    <w:rsid w:val="67F73E3E"/>
    <w:rsid w:val="67F854FE"/>
    <w:rsid w:val="67FC76A6"/>
    <w:rsid w:val="67FF0F45"/>
    <w:rsid w:val="68112A26"/>
    <w:rsid w:val="68157D9B"/>
    <w:rsid w:val="68261404"/>
    <w:rsid w:val="6829791C"/>
    <w:rsid w:val="682D0036"/>
    <w:rsid w:val="68354A1C"/>
    <w:rsid w:val="683A437C"/>
    <w:rsid w:val="684B2DCF"/>
    <w:rsid w:val="68531E47"/>
    <w:rsid w:val="685F19E3"/>
    <w:rsid w:val="6860799A"/>
    <w:rsid w:val="68693D1C"/>
    <w:rsid w:val="6870599E"/>
    <w:rsid w:val="68725BBA"/>
    <w:rsid w:val="688707F5"/>
    <w:rsid w:val="68880F3A"/>
    <w:rsid w:val="688E4077"/>
    <w:rsid w:val="68980559"/>
    <w:rsid w:val="68AF583C"/>
    <w:rsid w:val="68B81616"/>
    <w:rsid w:val="68B8353A"/>
    <w:rsid w:val="68C42C55"/>
    <w:rsid w:val="68C82D6C"/>
    <w:rsid w:val="68C842E3"/>
    <w:rsid w:val="68D86BF9"/>
    <w:rsid w:val="68D91796"/>
    <w:rsid w:val="68DE7D57"/>
    <w:rsid w:val="68E15586"/>
    <w:rsid w:val="68E30937"/>
    <w:rsid w:val="68FC5484"/>
    <w:rsid w:val="68FD5F3D"/>
    <w:rsid w:val="69034A64"/>
    <w:rsid w:val="69041F26"/>
    <w:rsid w:val="690802CD"/>
    <w:rsid w:val="69085BD7"/>
    <w:rsid w:val="69102BCA"/>
    <w:rsid w:val="69111BD7"/>
    <w:rsid w:val="69130179"/>
    <w:rsid w:val="691B1DAE"/>
    <w:rsid w:val="69201173"/>
    <w:rsid w:val="69220E7A"/>
    <w:rsid w:val="69272501"/>
    <w:rsid w:val="6928618E"/>
    <w:rsid w:val="692944D3"/>
    <w:rsid w:val="69337B02"/>
    <w:rsid w:val="6934375B"/>
    <w:rsid w:val="69363C62"/>
    <w:rsid w:val="693C602C"/>
    <w:rsid w:val="69411A5A"/>
    <w:rsid w:val="694330B3"/>
    <w:rsid w:val="694766FF"/>
    <w:rsid w:val="694E33AF"/>
    <w:rsid w:val="69521CA1"/>
    <w:rsid w:val="6953779A"/>
    <w:rsid w:val="69542012"/>
    <w:rsid w:val="695F7B59"/>
    <w:rsid w:val="69617F7B"/>
    <w:rsid w:val="696A4E53"/>
    <w:rsid w:val="69797874"/>
    <w:rsid w:val="698305D1"/>
    <w:rsid w:val="699529CC"/>
    <w:rsid w:val="699E5E58"/>
    <w:rsid w:val="69A16C2A"/>
    <w:rsid w:val="69A73FEE"/>
    <w:rsid w:val="69C209B5"/>
    <w:rsid w:val="69D144F0"/>
    <w:rsid w:val="69D24D63"/>
    <w:rsid w:val="69E05367"/>
    <w:rsid w:val="69E12C6F"/>
    <w:rsid w:val="69E564C6"/>
    <w:rsid w:val="69EA7C92"/>
    <w:rsid w:val="69ED257A"/>
    <w:rsid w:val="69EE43DB"/>
    <w:rsid w:val="69FE23BF"/>
    <w:rsid w:val="6A02676B"/>
    <w:rsid w:val="6A097E59"/>
    <w:rsid w:val="6A0F2272"/>
    <w:rsid w:val="6A1041BC"/>
    <w:rsid w:val="6A1E74AE"/>
    <w:rsid w:val="6A1F142A"/>
    <w:rsid w:val="6A1F58CE"/>
    <w:rsid w:val="6A216727"/>
    <w:rsid w:val="6A241FFF"/>
    <w:rsid w:val="6A252505"/>
    <w:rsid w:val="6A3749C6"/>
    <w:rsid w:val="6A38238A"/>
    <w:rsid w:val="6A393F80"/>
    <w:rsid w:val="6A3A6208"/>
    <w:rsid w:val="6A3A7D2A"/>
    <w:rsid w:val="6A4675D7"/>
    <w:rsid w:val="6A4725B9"/>
    <w:rsid w:val="6A4B3D36"/>
    <w:rsid w:val="6A4C5459"/>
    <w:rsid w:val="6A537326"/>
    <w:rsid w:val="6A5D1F52"/>
    <w:rsid w:val="6A616D6F"/>
    <w:rsid w:val="6A660125"/>
    <w:rsid w:val="6A6703AA"/>
    <w:rsid w:val="6A6A1A6D"/>
    <w:rsid w:val="6A6A777B"/>
    <w:rsid w:val="6A6E392C"/>
    <w:rsid w:val="6A6E5F0E"/>
    <w:rsid w:val="6A7117E5"/>
    <w:rsid w:val="6A72254D"/>
    <w:rsid w:val="6A735507"/>
    <w:rsid w:val="6A8373E5"/>
    <w:rsid w:val="6A8B58CA"/>
    <w:rsid w:val="6A90057A"/>
    <w:rsid w:val="6A955B90"/>
    <w:rsid w:val="6A981362"/>
    <w:rsid w:val="6A9B454D"/>
    <w:rsid w:val="6A9C2A7B"/>
    <w:rsid w:val="6AA051A9"/>
    <w:rsid w:val="6AA97587"/>
    <w:rsid w:val="6AAC38DA"/>
    <w:rsid w:val="6AB42B03"/>
    <w:rsid w:val="6AB62CB0"/>
    <w:rsid w:val="6ABC311D"/>
    <w:rsid w:val="6ACD4F29"/>
    <w:rsid w:val="6ADF6E0B"/>
    <w:rsid w:val="6AEC75BE"/>
    <w:rsid w:val="6AED1528"/>
    <w:rsid w:val="6AEE7B9A"/>
    <w:rsid w:val="6AF07240"/>
    <w:rsid w:val="6AF67F31"/>
    <w:rsid w:val="6B030D4C"/>
    <w:rsid w:val="6B061AB8"/>
    <w:rsid w:val="6B0A20DA"/>
    <w:rsid w:val="6B0E3EE4"/>
    <w:rsid w:val="6B10503D"/>
    <w:rsid w:val="6B113939"/>
    <w:rsid w:val="6B142F59"/>
    <w:rsid w:val="6B254CAF"/>
    <w:rsid w:val="6B286D35"/>
    <w:rsid w:val="6B2F1B41"/>
    <w:rsid w:val="6B332C22"/>
    <w:rsid w:val="6B3611FB"/>
    <w:rsid w:val="6B402284"/>
    <w:rsid w:val="6B4830A7"/>
    <w:rsid w:val="6B511079"/>
    <w:rsid w:val="6B515C5D"/>
    <w:rsid w:val="6B5E5F82"/>
    <w:rsid w:val="6B607255"/>
    <w:rsid w:val="6B671AE1"/>
    <w:rsid w:val="6B74593C"/>
    <w:rsid w:val="6B7D3B9B"/>
    <w:rsid w:val="6B81241F"/>
    <w:rsid w:val="6B824366"/>
    <w:rsid w:val="6B894FAA"/>
    <w:rsid w:val="6B8E7DA4"/>
    <w:rsid w:val="6BA37D93"/>
    <w:rsid w:val="6BB12300"/>
    <w:rsid w:val="6BBF3C4F"/>
    <w:rsid w:val="6BC26511"/>
    <w:rsid w:val="6BC95AF1"/>
    <w:rsid w:val="6BCD144E"/>
    <w:rsid w:val="6BCE135A"/>
    <w:rsid w:val="6BCE4EB6"/>
    <w:rsid w:val="6BD63D71"/>
    <w:rsid w:val="6BD65937"/>
    <w:rsid w:val="6BD72D2C"/>
    <w:rsid w:val="6BD76C77"/>
    <w:rsid w:val="6BDC1722"/>
    <w:rsid w:val="6BE16884"/>
    <w:rsid w:val="6BE42896"/>
    <w:rsid w:val="6BE446D9"/>
    <w:rsid w:val="6BE46AA6"/>
    <w:rsid w:val="6BE46B15"/>
    <w:rsid w:val="6BE8738A"/>
    <w:rsid w:val="6BEC03D8"/>
    <w:rsid w:val="6BED4F5E"/>
    <w:rsid w:val="6C04085C"/>
    <w:rsid w:val="6C101972"/>
    <w:rsid w:val="6C180827"/>
    <w:rsid w:val="6C184383"/>
    <w:rsid w:val="6C246437"/>
    <w:rsid w:val="6C263C95"/>
    <w:rsid w:val="6C2B67AC"/>
    <w:rsid w:val="6C2E004A"/>
    <w:rsid w:val="6C37275C"/>
    <w:rsid w:val="6C41527C"/>
    <w:rsid w:val="6C475692"/>
    <w:rsid w:val="6C496181"/>
    <w:rsid w:val="6C4D666D"/>
    <w:rsid w:val="6C507FC1"/>
    <w:rsid w:val="6C522926"/>
    <w:rsid w:val="6C544DEA"/>
    <w:rsid w:val="6C574393"/>
    <w:rsid w:val="6C5925AB"/>
    <w:rsid w:val="6C60408A"/>
    <w:rsid w:val="6C615234"/>
    <w:rsid w:val="6C643A6C"/>
    <w:rsid w:val="6C64734B"/>
    <w:rsid w:val="6C69186D"/>
    <w:rsid w:val="6C6B546F"/>
    <w:rsid w:val="6C6B741E"/>
    <w:rsid w:val="6C71135B"/>
    <w:rsid w:val="6C727EE8"/>
    <w:rsid w:val="6C727F37"/>
    <w:rsid w:val="6C783084"/>
    <w:rsid w:val="6C81046A"/>
    <w:rsid w:val="6C880260"/>
    <w:rsid w:val="6C952436"/>
    <w:rsid w:val="6C975BF0"/>
    <w:rsid w:val="6C993B05"/>
    <w:rsid w:val="6C9E4649"/>
    <w:rsid w:val="6CA43E69"/>
    <w:rsid w:val="6CAB6174"/>
    <w:rsid w:val="6CB446D1"/>
    <w:rsid w:val="6CB5251A"/>
    <w:rsid w:val="6CBD325C"/>
    <w:rsid w:val="6CBF6EF4"/>
    <w:rsid w:val="6CC87B57"/>
    <w:rsid w:val="6CCD0E25"/>
    <w:rsid w:val="6CCF526B"/>
    <w:rsid w:val="6CD52274"/>
    <w:rsid w:val="6CD72916"/>
    <w:rsid w:val="6CEE713B"/>
    <w:rsid w:val="6CF31A87"/>
    <w:rsid w:val="6D017311"/>
    <w:rsid w:val="6D022B5D"/>
    <w:rsid w:val="6D0773A5"/>
    <w:rsid w:val="6D0A01C8"/>
    <w:rsid w:val="6D154D50"/>
    <w:rsid w:val="6D192AA9"/>
    <w:rsid w:val="6D317DF2"/>
    <w:rsid w:val="6D3B0FF6"/>
    <w:rsid w:val="6D3D6A20"/>
    <w:rsid w:val="6D431FC4"/>
    <w:rsid w:val="6D4573FA"/>
    <w:rsid w:val="6D486CF3"/>
    <w:rsid w:val="6D4D62AE"/>
    <w:rsid w:val="6D516C33"/>
    <w:rsid w:val="6D5E513B"/>
    <w:rsid w:val="6D636FB4"/>
    <w:rsid w:val="6D6663FC"/>
    <w:rsid w:val="6D722E1D"/>
    <w:rsid w:val="6D7D64CF"/>
    <w:rsid w:val="6D870276"/>
    <w:rsid w:val="6D8968A8"/>
    <w:rsid w:val="6D926EB4"/>
    <w:rsid w:val="6D9622EF"/>
    <w:rsid w:val="6D9E2FAE"/>
    <w:rsid w:val="6DA10849"/>
    <w:rsid w:val="6DA700B4"/>
    <w:rsid w:val="6DA742C4"/>
    <w:rsid w:val="6DA7761A"/>
    <w:rsid w:val="6DAA2FD1"/>
    <w:rsid w:val="6DAF4580"/>
    <w:rsid w:val="6DBE7EA9"/>
    <w:rsid w:val="6DC276BF"/>
    <w:rsid w:val="6DC36570"/>
    <w:rsid w:val="6DD35943"/>
    <w:rsid w:val="6DD474F8"/>
    <w:rsid w:val="6DD570F2"/>
    <w:rsid w:val="6DDC674B"/>
    <w:rsid w:val="6DE2064C"/>
    <w:rsid w:val="6DE56B86"/>
    <w:rsid w:val="6DEC1F6B"/>
    <w:rsid w:val="6DFA4A6F"/>
    <w:rsid w:val="6E005A16"/>
    <w:rsid w:val="6E012557"/>
    <w:rsid w:val="6E160CCD"/>
    <w:rsid w:val="6E164CCF"/>
    <w:rsid w:val="6E1C11DA"/>
    <w:rsid w:val="6E22773B"/>
    <w:rsid w:val="6E2711F5"/>
    <w:rsid w:val="6E274D51"/>
    <w:rsid w:val="6E2F6877"/>
    <w:rsid w:val="6E344540"/>
    <w:rsid w:val="6E407BC1"/>
    <w:rsid w:val="6E410AA3"/>
    <w:rsid w:val="6E453429"/>
    <w:rsid w:val="6E4B036E"/>
    <w:rsid w:val="6E4C213A"/>
    <w:rsid w:val="6E4C33CE"/>
    <w:rsid w:val="6E521293"/>
    <w:rsid w:val="6E557B10"/>
    <w:rsid w:val="6E5A6ED5"/>
    <w:rsid w:val="6E64413A"/>
    <w:rsid w:val="6E6521E0"/>
    <w:rsid w:val="6E66587A"/>
    <w:rsid w:val="6E6704AC"/>
    <w:rsid w:val="6E705849"/>
    <w:rsid w:val="6E7B334B"/>
    <w:rsid w:val="6E7D6FD3"/>
    <w:rsid w:val="6E7F1B73"/>
    <w:rsid w:val="6E804461"/>
    <w:rsid w:val="6E852A85"/>
    <w:rsid w:val="6E9B7B2A"/>
    <w:rsid w:val="6EA12D56"/>
    <w:rsid w:val="6EA51AD2"/>
    <w:rsid w:val="6EA97E5C"/>
    <w:rsid w:val="6EAA3313"/>
    <w:rsid w:val="6EAB1F65"/>
    <w:rsid w:val="6EAF69A4"/>
    <w:rsid w:val="6EB676AA"/>
    <w:rsid w:val="6EB73D35"/>
    <w:rsid w:val="6EB96DBC"/>
    <w:rsid w:val="6EBC193D"/>
    <w:rsid w:val="6EBE7D9C"/>
    <w:rsid w:val="6EBF7EAA"/>
    <w:rsid w:val="6EC235A3"/>
    <w:rsid w:val="6EC47379"/>
    <w:rsid w:val="6EC6456A"/>
    <w:rsid w:val="6ED956C5"/>
    <w:rsid w:val="6EDB1328"/>
    <w:rsid w:val="6EDE7B06"/>
    <w:rsid w:val="6EF105B8"/>
    <w:rsid w:val="6EFF1C15"/>
    <w:rsid w:val="6EFF7A7C"/>
    <w:rsid w:val="6F03756C"/>
    <w:rsid w:val="6F082F26"/>
    <w:rsid w:val="6F103A37"/>
    <w:rsid w:val="6F1503F3"/>
    <w:rsid w:val="6F1A1D95"/>
    <w:rsid w:val="6F1E6154"/>
    <w:rsid w:val="6F250698"/>
    <w:rsid w:val="6F377216"/>
    <w:rsid w:val="6F3B0ABD"/>
    <w:rsid w:val="6F3C71ED"/>
    <w:rsid w:val="6F3E5FCD"/>
    <w:rsid w:val="6F3F0578"/>
    <w:rsid w:val="6F4D4C8B"/>
    <w:rsid w:val="6F4D6A39"/>
    <w:rsid w:val="6F510285"/>
    <w:rsid w:val="6F560453"/>
    <w:rsid w:val="6F597DD6"/>
    <w:rsid w:val="6F604256"/>
    <w:rsid w:val="6F7904D2"/>
    <w:rsid w:val="6F7C4544"/>
    <w:rsid w:val="6F8561D3"/>
    <w:rsid w:val="6F9140A8"/>
    <w:rsid w:val="6F9615F0"/>
    <w:rsid w:val="6F96218E"/>
    <w:rsid w:val="6F986E61"/>
    <w:rsid w:val="6F9DDA10"/>
    <w:rsid w:val="6FA764A5"/>
    <w:rsid w:val="6FAD572A"/>
    <w:rsid w:val="6FB36A73"/>
    <w:rsid w:val="6FBB1BF5"/>
    <w:rsid w:val="6FCA1AFE"/>
    <w:rsid w:val="6FDC1B6B"/>
    <w:rsid w:val="6FE2030A"/>
    <w:rsid w:val="6FE514DB"/>
    <w:rsid w:val="6FE86762"/>
    <w:rsid w:val="6FEF5D43"/>
    <w:rsid w:val="6FF173C5"/>
    <w:rsid w:val="6FF730A4"/>
    <w:rsid w:val="6FF9271D"/>
    <w:rsid w:val="6FFFEA43"/>
    <w:rsid w:val="70111815"/>
    <w:rsid w:val="70131A31"/>
    <w:rsid w:val="70161521"/>
    <w:rsid w:val="701A7C85"/>
    <w:rsid w:val="70255C5F"/>
    <w:rsid w:val="70293003"/>
    <w:rsid w:val="702A5F16"/>
    <w:rsid w:val="70347659"/>
    <w:rsid w:val="703E77DB"/>
    <w:rsid w:val="704240C4"/>
    <w:rsid w:val="70446A06"/>
    <w:rsid w:val="704C0A9F"/>
    <w:rsid w:val="704D2456"/>
    <w:rsid w:val="704E0CBB"/>
    <w:rsid w:val="705A7660"/>
    <w:rsid w:val="705D0EFE"/>
    <w:rsid w:val="706C2EEF"/>
    <w:rsid w:val="70741DA4"/>
    <w:rsid w:val="70776C11"/>
    <w:rsid w:val="707B53AC"/>
    <w:rsid w:val="707B6CEA"/>
    <w:rsid w:val="707C596B"/>
    <w:rsid w:val="707D1E0A"/>
    <w:rsid w:val="707D2EED"/>
    <w:rsid w:val="70853245"/>
    <w:rsid w:val="709366CE"/>
    <w:rsid w:val="70957A81"/>
    <w:rsid w:val="70995AAD"/>
    <w:rsid w:val="709E7E23"/>
    <w:rsid w:val="70A03947"/>
    <w:rsid w:val="70A405A0"/>
    <w:rsid w:val="70A51D56"/>
    <w:rsid w:val="70AF15FF"/>
    <w:rsid w:val="70CC1BE0"/>
    <w:rsid w:val="70CC398E"/>
    <w:rsid w:val="70D1292A"/>
    <w:rsid w:val="70D94A29"/>
    <w:rsid w:val="70DC0075"/>
    <w:rsid w:val="70DD5B9B"/>
    <w:rsid w:val="70E87DC5"/>
    <w:rsid w:val="70E974F5"/>
    <w:rsid w:val="70F116CB"/>
    <w:rsid w:val="70F151B8"/>
    <w:rsid w:val="70F85EB3"/>
    <w:rsid w:val="70FB1A05"/>
    <w:rsid w:val="70FB519D"/>
    <w:rsid w:val="71095B4B"/>
    <w:rsid w:val="710A441D"/>
    <w:rsid w:val="71117D2D"/>
    <w:rsid w:val="7113780F"/>
    <w:rsid w:val="71175551"/>
    <w:rsid w:val="71186EFC"/>
    <w:rsid w:val="711F4406"/>
    <w:rsid w:val="71267542"/>
    <w:rsid w:val="7128150C"/>
    <w:rsid w:val="712A5284"/>
    <w:rsid w:val="71303DA9"/>
    <w:rsid w:val="71326BCA"/>
    <w:rsid w:val="71353C29"/>
    <w:rsid w:val="71453E6C"/>
    <w:rsid w:val="7148395C"/>
    <w:rsid w:val="714D1082"/>
    <w:rsid w:val="7151733E"/>
    <w:rsid w:val="715E7E39"/>
    <w:rsid w:val="71643A0E"/>
    <w:rsid w:val="716D33C3"/>
    <w:rsid w:val="71797939"/>
    <w:rsid w:val="71806972"/>
    <w:rsid w:val="718D28BF"/>
    <w:rsid w:val="71962116"/>
    <w:rsid w:val="719853BB"/>
    <w:rsid w:val="719C5A56"/>
    <w:rsid w:val="719E532A"/>
    <w:rsid w:val="71A861A9"/>
    <w:rsid w:val="71BB19CF"/>
    <w:rsid w:val="71BE6BE8"/>
    <w:rsid w:val="71CF1396"/>
    <w:rsid w:val="71D61D26"/>
    <w:rsid w:val="71D62A2F"/>
    <w:rsid w:val="71D817BB"/>
    <w:rsid w:val="71DE1BCB"/>
    <w:rsid w:val="71DE3F1E"/>
    <w:rsid w:val="71DF3072"/>
    <w:rsid w:val="71E126E7"/>
    <w:rsid w:val="71E17D1E"/>
    <w:rsid w:val="71E80C9B"/>
    <w:rsid w:val="71EF3067"/>
    <w:rsid w:val="71F8133B"/>
    <w:rsid w:val="71F87B40"/>
    <w:rsid w:val="71FB32E3"/>
    <w:rsid w:val="71FF4FFF"/>
    <w:rsid w:val="72012699"/>
    <w:rsid w:val="72037883"/>
    <w:rsid w:val="72041416"/>
    <w:rsid w:val="72073CDB"/>
    <w:rsid w:val="721075A7"/>
    <w:rsid w:val="72193BD2"/>
    <w:rsid w:val="721B4BCD"/>
    <w:rsid w:val="721E60C6"/>
    <w:rsid w:val="72303324"/>
    <w:rsid w:val="723839D1"/>
    <w:rsid w:val="72404633"/>
    <w:rsid w:val="724C43EE"/>
    <w:rsid w:val="725105EF"/>
    <w:rsid w:val="725132DC"/>
    <w:rsid w:val="72514A93"/>
    <w:rsid w:val="725351D9"/>
    <w:rsid w:val="72576A1F"/>
    <w:rsid w:val="72633795"/>
    <w:rsid w:val="72684500"/>
    <w:rsid w:val="727260E7"/>
    <w:rsid w:val="7273017D"/>
    <w:rsid w:val="72766AE8"/>
    <w:rsid w:val="72784480"/>
    <w:rsid w:val="72784BE7"/>
    <w:rsid w:val="727A02F8"/>
    <w:rsid w:val="727E4D32"/>
    <w:rsid w:val="727F1DE7"/>
    <w:rsid w:val="728D4B33"/>
    <w:rsid w:val="729A6862"/>
    <w:rsid w:val="729B00CB"/>
    <w:rsid w:val="729C3858"/>
    <w:rsid w:val="72A76976"/>
    <w:rsid w:val="72A946A6"/>
    <w:rsid w:val="72B132EC"/>
    <w:rsid w:val="72B35B55"/>
    <w:rsid w:val="72B50B7E"/>
    <w:rsid w:val="72B76A57"/>
    <w:rsid w:val="72BD6737"/>
    <w:rsid w:val="72CB03A1"/>
    <w:rsid w:val="72D005CB"/>
    <w:rsid w:val="72D07765"/>
    <w:rsid w:val="72D07CEF"/>
    <w:rsid w:val="72D33B40"/>
    <w:rsid w:val="72D40BA6"/>
    <w:rsid w:val="72DA3447"/>
    <w:rsid w:val="72DE60D9"/>
    <w:rsid w:val="72DF3E4C"/>
    <w:rsid w:val="72E476B5"/>
    <w:rsid w:val="72F07E08"/>
    <w:rsid w:val="72F13B80"/>
    <w:rsid w:val="72F62F44"/>
    <w:rsid w:val="73006D36"/>
    <w:rsid w:val="730D4A6D"/>
    <w:rsid w:val="731354B7"/>
    <w:rsid w:val="731C29AB"/>
    <w:rsid w:val="73216B98"/>
    <w:rsid w:val="73263829"/>
    <w:rsid w:val="73275533"/>
    <w:rsid w:val="732C01B5"/>
    <w:rsid w:val="732C477D"/>
    <w:rsid w:val="732C5D20"/>
    <w:rsid w:val="7335362D"/>
    <w:rsid w:val="734041AE"/>
    <w:rsid w:val="73487C44"/>
    <w:rsid w:val="734C0DB6"/>
    <w:rsid w:val="734F0FD2"/>
    <w:rsid w:val="73543548"/>
    <w:rsid w:val="735A49C5"/>
    <w:rsid w:val="7362750D"/>
    <w:rsid w:val="73633B35"/>
    <w:rsid w:val="736F3EA8"/>
    <w:rsid w:val="73733C9A"/>
    <w:rsid w:val="737A4866"/>
    <w:rsid w:val="737E5413"/>
    <w:rsid w:val="737E74D1"/>
    <w:rsid w:val="737F73DD"/>
    <w:rsid w:val="737FE046"/>
    <w:rsid w:val="738A2AA2"/>
    <w:rsid w:val="738E13CF"/>
    <w:rsid w:val="73970283"/>
    <w:rsid w:val="73A11102"/>
    <w:rsid w:val="73A56913"/>
    <w:rsid w:val="73A96EB0"/>
    <w:rsid w:val="73AC1537"/>
    <w:rsid w:val="73AF381F"/>
    <w:rsid w:val="73B250BD"/>
    <w:rsid w:val="73B9644B"/>
    <w:rsid w:val="73BD732A"/>
    <w:rsid w:val="73D33DFB"/>
    <w:rsid w:val="73D634A1"/>
    <w:rsid w:val="73DC5565"/>
    <w:rsid w:val="73DF359C"/>
    <w:rsid w:val="73E536E4"/>
    <w:rsid w:val="73E774EB"/>
    <w:rsid w:val="73E97C91"/>
    <w:rsid w:val="73EB6821"/>
    <w:rsid w:val="73ED4C0B"/>
    <w:rsid w:val="73FA6C24"/>
    <w:rsid w:val="73FC458A"/>
    <w:rsid w:val="73FF7E8C"/>
    <w:rsid w:val="74071562"/>
    <w:rsid w:val="7407365B"/>
    <w:rsid w:val="740B3A5C"/>
    <w:rsid w:val="740D12B5"/>
    <w:rsid w:val="74122000"/>
    <w:rsid w:val="7418018A"/>
    <w:rsid w:val="741A521A"/>
    <w:rsid w:val="74223F7C"/>
    <w:rsid w:val="74257F85"/>
    <w:rsid w:val="742D6E39"/>
    <w:rsid w:val="743401C8"/>
    <w:rsid w:val="74343D24"/>
    <w:rsid w:val="74365CEE"/>
    <w:rsid w:val="743D2693"/>
    <w:rsid w:val="743E4BA3"/>
    <w:rsid w:val="74452D06"/>
    <w:rsid w:val="74457170"/>
    <w:rsid w:val="744A2B6B"/>
    <w:rsid w:val="744E3383"/>
    <w:rsid w:val="744F5002"/>
    <w:rsid w:val="74595238"/>
    <w:rsid w:val="745F570D"/>
    <w:rsid w:val="746734B4"/>
    <w:rsid w:val="74685677"/>
    <w:rsid w:val="746A214D"/>
    <w:rsid w:val="747405C4"/>
    <w:rsid w:val="74866EE8"/>
    <w:rsid w:val="74890514"/>
    <w:rsid w:val="748A5624"/>
    <w:rsid w:val="748D1686"/>
    <w:rsid w:val="748F3650"/>
    <w:rsid w:val="74956EB9"/>
    <w:rsid w:val="74974BA2"/>
    <w:rsid w:val="74B60B36"/>
    <w:rsid w:val="74BD796F"/>
    <w:rsid w:val="74CE5F27"/>
    <w:rsid w:val="74CE60A3"/>
    <w:rsid w:val="74D26794"/>
    <w:rsid w:val="74D31292"/>
    <w:rsid w:val="74D3178F"/>
    <w:rsid w:val="74DD627D"/>
    <w:rsid w:val="74E001F0"/>
    <w:rsid w:val="74E4399C"/>
    <w:rsid w:val="74EA4E31"/>
    <w:rsid w:val="74F03BAC"/>
    <w:rsid w:val="74F11C15"/>
    <w:rsid w:val="74F47A21"/>
    <w:rsid w:val="74F811F5"/>
    <w:rsid w:val="7501454E"/>
    <w:rsid w:val="750951B1"/>
    <w:rsid w:val="750B7B57"/>
    <w:rsid w:val="750E6C6B"/>
    <w:rsid w:val="7511518E"/>
    <w:rsid w:val="75273889"/>
    <w:rsid w:val="75292E35"/>
    <w:rsid w:val="752E3829"/>
    <w:rsid w:val="752E3D92"/>
    <w:rsid w:val="75383CE8"/>
    <w:rsid w:val="753C7334"/>
    <w:rsid w:val="753F36F1"/>
    <w:rsid w:val="7540614A"/>
    <w:rsid w:val="75473BC0"/>
    <w:rsid w:val="75482DB9"/>
    <w:rsid w:val="754A70F1"/>
    <w:rsid w:val="754D7793"/>
    <w:rsid w:val="755723C0"/>
    <w:rsid w:val="755C3532"/>
    <w:rsid w:val="755E6198"/>
    <w:rsid w:val="756356EE"/>
    <w:rsid w:val="75692310"/>
    <w:rsid w:val="75747431"/>
    <w:rsid w:val="757600A2"/>
    <w:rsid w:val="75794EF7"/>
    <w:rsid w:val="75834314"/>
    <w:rsid w:val="758D5DE2"/>
    <w:rsid w:val="758F1B5A"/>
    <w:rsid w:val="75932CCC"/>
    <w:rsid w:val="75935B0F"/>
    <w:rsid w:val="75AB3F3C"/>
    <w:rsid w:val="75AC48E3"/>
    <w:rsid w:val="75B522AF"/>
    <w:rsid w:val="75B86E38"/>
    <w:rsid w:val="75BA148E"/>
    <w:rsid w:val="75C24164"/>
    <w:rsid w:val="75C716AF"/>
    <w:rsid w:val="75D457C1"/>
    <w:rsid w:val="75D964E7"/>
    <w:rsid w:val="75DE03EB"/>
    <w:rsid w:val="75DF646D"/>
    <w:rsid w:val="75E15E8C"/>
    <w:rsid w:val="75E41779"/>
    <w:rsid w:val="75E47945"/>
    <w:rsid w:val="75E666D0"/>
    <w:rsid w:val="75E83018"/>
    <w:rsid w:val="75F61BD9"/>
    <w:rsid w:val="75F776FF"/>
    <w:rsid w:val="75FE283B"/>
    <w:rsid w:val="760547CF"/>
    <w:rsid w:val="76067CC9"/>
    <w:rsid w:val="76191423"/>
    <w:rsid w:val="761F50EC"/>
    <w:rsid w:val="762027B2"/>
    <w:rsid w:val="76204F57"/>
    <w:rsid w:val="76216D15"/>
    <w:rsid w:val="7626390E"/>
    <w:rsid w:val="762D4ECF"/>
    <w:rsid w:val="7633475B"/>
    <w:rsid w:val="76351098"/>
    <w:rsid w:val="763B6025"/>
    <w:rsid w:val="763D242A"/>
    <w:rsid w:val="7648198F"/>
    <w:rsid w:val="764959E1"/>
    <w:rsid w:val="764D37C3"/>
    <w:rsid w:val="765E152C"/>
    <w:rsid w:val="766052A4"/>
    <w:rsid w:val="766F129A"/>
    <w:rsid w:val="76780840"/>
    <w:rsid w:val="767E397C"/>
    <w:rsid w:val="76825E2E"/>
    <w:rsid w:val="768825B8"/>
    <w:rsid w:val="768A1ED3"/>
    <w:rsid w:val="768D2C9B"/>
    <w:rsid w:val="768E20BA"/>
    <w:rsid w:val="76960CC6"/>
    <w:rsid w:val="769B62DC"/>
    <w:rsid w:val="76B14119"/>
    <w:rsid w:val="76B85629"/>
    <w:rsid w:val="76BB7977"/>
    <w:rsid w:val="76BD56C3"/>
    <w:rsid w:val="76BE5B62"/>
    <w:rsid w:val="76C03F95"/>
    <w:rsid w:val="76C23869"/>
    <w:rsid w:val="76C8243D"/>
    <w:rsid w:val="76C87DBC"/>
    <w:rsid w:val="76CD16D4"/>
    <w:rsid w:val="76D87530"/>
    <w:rsid w:val="76DD1CA4"/>
    <w:rsid w:val="76E557A9"/>
    <w:rsid w:val="76E96358"/>
    <w:rsid w:val="76EC7E26"/>
    <w:rsid w:val="76F105F2"/>
    <w:rsid w:val="76F13169"/>
    <w:rsid w:val="76FC6F48"/>
    <w:rsid w:val="76FD2AF3"/>
    <w:rsid w:val="770A32B2"/>
    <w:rsid w:val="770B4686"/>
    <w:rsid w:val="77103714"/>
    <w:rsid w:val="77135365"/>
    <w:rsid w:val="77175E27"/>
    <w:rsid w:val="77183DD1"/>
    <w:rsid w:val="771B3EC6"/>
    <w:rsid w:val="771E2069"/>
    <w:rsid w:val="771E53BA"/>
    <w:rsid w:val="771F33D9"/>
    <w:rsid w:val="77304C77"/>
    <w:rsid w:val="773C186D"/>
    <w:rsid w:val="773F4EBA"/>
    <w:rsid w:val="77442F62"/>
    <w:rsid w:val="774552CC"/>
    <w:rsid w:val="7750662E"/>
    <w:rsid w:val="77516B93"/>
    <w:rsid w:val="776D5ECB"/>
    <w:rsid w:val="778E200B"/>
    <w:rsid w:val="778E413F"/>
    <w:rsid w:val="779FD2FD"/>
    <w:rsid w:val="77AA73EF"/>
    <w:rsid w:val="77B07B65"/>
    <w:rsid w:val="77BD52AE"/>
    <w:rsid w:val="77BFD10F"/>
    <w:rsid w:val="77C10136"/>
    <w:rsid w:val="77C3131B"/>
    <w:rsid w:val="77C81353"/>
    <w:rsid w:val="77C875A5"/>
    <w:rsid w:val="77C9479C"/>
    <w:rsid w:val="77C97B2F"/>
    <w:rsid w:val="77DA5C6D"/>
    <w:rsid w:val="77DB24F3"/>
    <w:rsid w:val="77DB72D8"/>
    <w:rsid w:val="77DE6ED4"/>
    <w:rsid w:val="77E13575"/>
    <w:rsid w:val="77E656B0"/>
    <w:rsid w:val="77EE4418"/>
    <w:rsid w:val="77F2058A"/>
    <w:rsid w:val="77F205C7"/>
    <w:rsid w:val="77F24622"/>
    <w:rsid w:val="77FB68EA"/>
    <w:rsid w:val="78005553"/>
    <w:rsid w:val="78044205"/>
    <w:rsid w:val="780B1240"/>
    <w:rsid w:val="78107BEA"/>
    <w:rsid w:val="7813104D"/>
    <w:rsid w:val="78162870"/>
    <w:rsid w:val="7819395D"/>
    <w:rsid w:val="781C169F"/>
    <w:rsid w:val="781D05EA"/>
    <w:rsid w:val="78240273"/>
    <w:rsid w:val="782979A4"/>
    <w:rsid w:val="782B0C40"/>
    <w:rsid w:val="782B0EDC"/>
    <w:rsid w:val="78324EF1"/>
    <w:rsid w:val="783825BB"/>
    <w:rsid w:val="783E1615"/>
    <w:rsid w:val="78403581"/>
    <w:rsid w:val="784067D9"/>
    <w:rsid w:val="784455A5"/>
    <w:rsid w:val="78450BF6"/>
    <w:rsid w:val="78457586"/>
    <w:rsid w:val="784604CA"/>
    <w:rsid w:val="784663E7"/>
    <w:rsid w:val="784B6E7F"/>
    <w:rsid w:val="784F4498"/>
    <w:rsid w:val="78552FD0"/>
    <w:rsid w:val="78594A31"/>
    <w:rsid w:val="785B5CA8"/>
    <w:rsid w:val="786B5B34"/>
    <w:rsid w:val="786D5A56"/>
    <w:rsid w:val="7878412D"/>
    <w:rsid w:val="787A3D0F"/>
    <w:rsid w:val="788039DC"/>
    <w:rsid w:val="78841A3B"/>
    <w:rsid w:val="7888059F"/>
    <w:rsid w:val="7890581E"/>
    <w:rsid w:val="78947487"/>
    <w:rsid w:val="789500E4"/>
    <w:rsid w:val="78952F67"/>
    <w:rsid w:val="789B6A68"/>
    <w:rsid w:val="78A73C79"/>
    <w:rsid w:val="78A771BA"/>
    <w:rsid w:val="78A943F7"/>
    <w:rsid w:val="78B67BB8"/>
    <w:rsid w:val="78B91684"/>
    <w:rsid w:val="78C12A3A"/>
    <w:rsid w:val="78C53932"/>
    <w:rsid w:val="78C53BF6"/>
    <w:rsid w:val="78C74263"/>
    <w:rsid w:val="78CC4E73"/>
    <w:rsid w:val="78CC6C21"/>
    <w:rsid w:val="78D3266D"/>
    <w:rsid w:val="78D61573"/>
    <w:rsid w:val="78D81308"/>
    <w:rsid w:val="78E41A04"/>
    <w:rsid w:val="78F41CD4"/>
    <w:rsid w:val="78F43B23"/>
    <w:rsid w:val="78F6638A"/>
    <w:rsid w:val="78F92A18"/>
    <w:rsid w:val="78FB242B"/>
    <w:rsid w:val="79072288"/>
    <w:rsid w:val="790740FD"/>
    <w:rsid w:val="790E2D96"/>
    <w:rsid w:val="79110AD8"/>
    <w:rsid w:val="791B1956"/>
    <w:rsid w:val="79287471"/>
    <w:rsid w:val="792B0410"/>
    <w:rsid w:val="793772DB"/>
    <w:rsid w:val="793F73F3"/>
    <w:rsid w:val="79497412"/>
    <w:rsid w:val="79552B2F"/>
    <w:rsid w:val="795616A8"/>
    <w:rsid w:val="79574BDF"/>
    <w:rsid w:val="79587576"/>
    <w:rsid w:val="795B4128"/>
    <w:rsid w:val="795D0D28"/>
    <w:rsid w:val="795D4376"/>
    <w:rsid w:val="79600A3A"/>
    <w:rsid w:val="79674B9C"/>
    <w:rsid w:val="796D332F"/>
    <w:rsid w:val="7975182F"/>
    <w:rsid w:val="797C1945"/>
    <w:rsid w:val="79892D64"/>
    <w:rsid w:val="79951709"/>
    <w:rsid w:val="79955265"/>
    <w:rsid w:val="799E2576"/>
    <w:rsid w:val="799F62BB"/>
    <w:rsid w:val="79A47B9E"/>
    <w:rsid w:val="79A96F62"/>
    <w:rsid w:val="79AF476F"/>
    <w:rsid w:val="79B31B8F"/>
    <w:rsid w:val="79B55907"/>
    <w:rsid w:val="79BE6CD3"/>
    <w:rsid w:val="79CD5799"/>
    <w:rsid w:val="79D57D57"/>
    <w:rsid w:val="79DF68B1"/>
    <w:rsid w:val="79E41D48"/>
    <w:rsid w:val="79E6008A"/>
    <w:rsid w:val="79EE2BC7"/>
    <w:rsid w:val="79F0693F"/>
    <w:rsid w:val="7A010B4C"/>
    <w:rsid w:val="7A05796C"/>
    <w:rsid w:val="7A0C1C8A"/>
    <w:rsid w:val="7A0D233D"/>
    <w:rsid w:val="7A2327D0"/>
    <w:rsid w:val="7A276D0A"/>
    <w:rsid w:val="7A286A8A"/>
    <w:rsid w:val="7A292EC9"/>
    <w:rsid w:val="7A2D67A8"/>
    <w:rsid w:val="7A3102BB"/>
    <w:rsid w:val="7A38220D"/>
    <w:rsid w:val="7A4A24F3"/>
    <w:rsid w:val="7A4B1DC7"/>
    <w:rsid w:val="7A510AAB"/>
    <w:rsid w:val="7A546ECE"/>
    <w:rsid w:val="7A614962"/>
    <w:rsid w:val="7A7C6425"/>
    <w:rsid w:val="7A801199"/>
    <w:rsid w:val="7A884DCA"/>
    <w:rsid w:val="7A8C4055"/>
    <w:rsid w:val="7A951295"/>
    <w:rsid w:val="7A9F3E99"/>
    <w:rsid w:val="7AA00365"/>
    <w:rsid w:val="7AA072CC"/>
    <w:rsid w:val="7AA234D5"/>
    <w:rsid w:val="7AA4413A"/>
    <w:rsid w:val="7AA6075D"/>
    <w:rsid w:val="7AA7373E"/>
    <w:rsid w:val="7AAF0C37"/>
    <w:rsid w:val="7AB756AF"/>
    <w:rsid w:val="7ABD7482"/>
    <w:rsid w:val="7ACA3F5F"/>
    <w:rsid w:val="7ADC57FF"/>
    <w:rsid w:val="7AE446F6"/>
    <w:rsid w:val="7AE61CC6"/>
    <w:rsid w:val="7AE95601"/>
    <w:rsid w:val="7AF53C17"/>
    <w:rsid w:val="7AFC55C7"/>
    <w:rsid w:val="7AFE32DE"/>
    <w:rsid w:val="7AFE6E3A"/>
    <w:rsid w:val="7B025333"/>
    <w:rsid w:val="7B0377A0"/>
    <w:rsid w:val="7B0821D7"/>
    <w:rsid w:val="7B09415C"/>
    <w:rsid w:val="7B193B8C"/>
    <w:rsid w:val="7B1F1A4A"/>
    <w:rsid w:val="7B205002"/>
    <w:rsid w:val="7B220D7A"/>
    <w:rsid w:val="7B2745E3"/>
    <w:rsid w:val="7B3379EA"/>
    <w:rsid w:val="7B443C11"/>
    <w:rsid w:val="7B476A33"/>
    <w:rsid w:val="7B511B08"/>
    <w:rsid w:val="7B5A6766"/>
    <w:rsid w:val="7B6668F3"/>
    <w:rsid w:val="7B6914F5"/>
    <w:rsid w:val="7B704394"/>
    <w:rsid w:val="7B732D7E"/>
    <w:rsid w:val="7B7D48AF"/>
    <w:rsid w:val="7B803CF3"/>
    <w:rsid w:val="7B810197"/>
    <w:rsid w:val="7B8116F9"/>
    <w:rsid w:val="7B845E1A"/>
    <w:rsid w:val="7B892C43"/>
    <w:rsid w:val="7B914E50"/>
    <w:rsid w:val="7B933A26"/>
    <w:rsid w:val="7B94724D"/>
    <w:rsid w:val="7B99644A"/>
    <w:rsid w:val="7B9C4FB3"/>
    <w:rsid w:val="7B9F7C2C"/>
    <w:rsid w:val="7BA758E6"/>
    <w:rsid w:val="7BC04D1F"/>
    <w:rsid w:val="7BC811D9"/>
    <w:rsid w:val="7BC91505"/>
    <w:rsid w:val="7BCD1CE5"/>
    <w:rsid w:val="7BCE4803"/>
    <w:rsid w:val="7BD824F3"/>
    <w:rsid w:val="7BE34610"/>
    <w:rsid w:val="7BE569B1"/>
    <w:rsid w:val="7BE81FC4"/>
    <w:rsid w:val="7BEB6F40"/>
    <w:rsid w:val="7BF22E42"/>
    <w:rsid w:val="7BF4681D"/>
    <w:rsid w:val="7BFBC6B2"/>
    <w:rsid w:val="7BFD9443"/>
    <w:rsid w:val="7C0C2E4E"/>
    <w:rsid w:val="7C1371C9"/>
    <w:rsid w:val="7C192497"/>
    <w:rsid w:val="7C1A138F"/>
    <w:rsid w:val="7C1F350C"/>
    <w:rsid w:val="7C222469"/>
    <w:rsid w:val="7C330D65"/>
    <w:rsid w:val="7C3A6616"/>
    <w:rsid w:val="7C4D5BFF"/>
    <w:rsid w:val="7C541A59"/>
    <w:rsid w:val="7C66738C"/>
    <w:rsid w:val="7C6C6790"/>
    <w:rsid w:val="7C76530D"/>
    <w:rsid w:val="7C7A4BE6"/>
    <w:rsid w:val="7C7C3C7B"/>
    <w:rsid w:val="7C816402"/>
    <w:rsid w:val="7C8D4370"/>
    <w:rsid w:val="7C8E5CA7"/>
    <w:rsid w:val="7C911938"/>
    <w:rsid w:val="7C933F61"/>
    <w:rsid w:val="7C945CA8"/>
    <w:rsid w:val="7C991510"/>
    <w:rsid w:val="7CAD0B17"/>
    <w:rsid w:val="7CAE6EDF"/>
    <w:rsid w:val="7CB06D1F"/>
    <w:rsid w:val="7CB13389"/>
    <w:rsid w:val="7CC85951"/>
    <w:rsid w:val="7CD5683A"/>
    <w:rsid w:val="7CD751BD"/>
    <w:rsid w:val="7CE42778"/>
    <w:rsid w:val="7CEA3B1A"/>
    <w:rsid w:val="7CEF1130"/>
    <w:rsid w:val="7CF02B12"/>
    <w:rsid w:val="7CF141F8"/>
    <w:rsid w:val="7CF2364D"/>
    <w:rsid w:val="7CF3F65E"/>
    <w:rsid w:val="7CF5F398"/>
    <w:rsid w:val="7CF82DF2"/>
    <w:rsid w:val="7CFB5D27"/>
    <w:rsid w:val="7D0D15B6"/>
    <w:rsid w:val="7D154658"/>
    <w:rsid w:val="7D1F786B"/>
    <w:rsid w:val="7D2963E1"/>
    <w:rsid w:val="7D2F174F"/>
    <w:rsid w:val="7D39684F"/>
    <w:rsid w:val="7D3A2761"/>
    <w:rsid w:val="7D4E412B"/>
    <w:rsid w:val="7D571A38"/>
    <w:rsid w:val="7D5B23FB"/>
    <w:rsid w:val="7D5E1E12"/>
    <w:rsid w:val="7D632D39"/>
    <w:rsid w:val="7D64286E"/>
    <w:rsid w:val="7D670130"/>
    <w:rsid w:val="7D6A0156"/>
    <w:rsid w:val="7D6A07B6"/>
    <w:rsid w:val="7D7837BA"/>
    <w:rsid w:val="7D80622C"/>
    <w:rsid w:val="7D8C77F5"/>
    <w:rsid w:val="7D930A39"/>
    <w:rsid w:val="7D9A2FBF"/>
    <w:rsid w:val="7DA0242A"/>
    <w:rsid w:val="7DAB3AC9"/>
    <w:rsid w:val="7DB06938"/>
    <w:rsid w:val="7DB27AD5"/>
    <w:rsid w:val="7DBB54B6"/>
    <w:rsid w:val="7DBD2FDC"/>
    <w:rsid w:val="7DC03027"/>
    <w:rsid w:val="7DC429E5"/>
    <w:rsid w:val="7DD5585F"/>
    <w:rsid w:val="7DD81BC4"/>
    <w:rsid w:val="7DE078D4"/>
    <w:rsid w:val="7DE762AB"/>
    <w:rsid w:val="7DF369FE"/>
    <w:rsid w:val="7DFC3C56"/>
    <w:rsid w:val="7E002EC9"/>
    <w:rsid w:val="7E0714D7"/>
    <w:rsid w:val="7E097FCF"/>
    <w:rsid w:val="7E123CE8"/>
    <w:rsid w:val="7E141C0C"/>
    <w:rsid w:val="7E330352"/>
    <w:rsid w:val="7E3A5A07"/>
    <w:rsid w:val="7E3B70B1"/>
    <w:rsid w:val="7E48158B"/>
    <w:rsid w:val="7E495886"/>
    <w:rsid w:val="7E4C610E"/>
    <w:rsid w:val="7E4D39C5"/>
    <w:rsid w:val="7E553E43"/>
    <w:rsid w:val="7E573431"/>
    <w:rsid w:val="7E5F1C7A"/>
    <w:rsid w:val="7E5F39BA"/>
    <w:rsid w:val="7E630C6D"/>
    <w:rsid w:val="7E633922"/>
    <w:rsid w:val="7E6D7B71"/>
    <w:rsid w:val="7E6E42D6"/>
    <w:rsid w:val="7E6F03E0"/>
    <w:rsid w:val="7E6F9EF6"/>
    <w:rsid w:val="7E716A5D"/>
    <w:rsid w:val="7E7B5986"/>
    <w:rsid w:val="7E7F192D"/>
    <w:rsid w:val="7E801EC1"/>
    <w:rsid w:val="7E814868"/>
    <w:rsid w:val="7E8A55B4"/>
    <w:rsid w:val="7E8B290D"/>
    <w:rsid w:val="7E8F758A"/>
    <w:rsid w:val="7E9006F1"/>
    <w:rsid w:val="7EA16752"/>
    <w:rsid w:val="7EA2423C"/>
    <w:rsid w:val="7EA433B1"/>
    <w:rsid w:val="7EA61CC2"/>
    <w:rsid w:val="7EA72AEF"/>
    <w:rsid w:val="7EA837BC"/>
    <w:rsid w:val="7EC23324"/>
    <w:rsid w:val="7EC363D0"/>
    <w:rsid w:val="7EC56ACC"/>
    <w:rsid w:val="7ED14F91"/>
    <w:rsid w:val="7ED40CDB"/>
    <w:rsid w:val="7ED81F43"/>
    <w:rsid w:val="7EDA0CF9"/>
    <w:rsid w:val="7EE25F90"/>
    <w:rsid w:val="7EE30820"/>
    <w:rsid w:val="7EE36A72"/>
    <w:rsid w:val="7EE527EB"/>
    <w:rsid w:val="7EE93FB8"/>
    <w:rsid w:val="7EF62D77"/>
    <w:rsid w:val="7EF679BC"/>
    <w:rsid w:val="7EFE1AFE"/>
    <w:rsid w:val="7F01339C"/>
    <w:rsid w:val="7F016EF9"/>
    <w:rsid w:val="7F07663F"/>
    <w:rsid w:val="7F0C2A46"/>
    <w:rsid w:val="7F160CF6"/>
    <w:rsid w:val="7F1709A4"/>
    <w:rsid w:val="7F194FF9"/>
    <w:rsid w:val="7F25708B"/>
    <w:rsid w:val="7F350F48"/>
    <w:rsid w:val="7F394685"/>
    <w:rsid w:val="7F582E59"/>
    <w:rsid w:val="7F652505"/>
    <w:rsid w:val="7F69574C"/>
    <w:rsid w:val="7F6B6EE8"/>
    <w:rsid w:val="7F6D6ECF"/>
    <w:rsid w:val="7F6E0A32"/>
    <w:rsid w:val="7F712A0F"/>
    <w:rsid w:val="7F71407E"/>
    <w:rsid w:val="7F761695"/>
    <w:rsid w:val="7F780C1C"/>
    <w:rsid w:val="7F78540D"/>
    <w:rsid w:val="7F7C2186"/>
    <w:rsid w:val="7F7F7818"/>
    <w:rsid w:val="7F870DB0"/>
    <w:rsid w:val="7F874E30"/>
    <w:rsid w:val="7F8A6FB9"/>
    <w:rsid w:val="7F8D69DE"/>
    <w:rsid w:val="7F8F2756"/>
    <w:rsid w:val="7F8F2E50"/>
    <w:rsid w:val="7F915899"/>
    <w:rsid w:val="7F973C10"/>
    <w:rsid w:val="7F9F508F"/>
    <w:rsid w:val="7FA91E49"/>
    <w:rsid w:val="7FB22D07"/>
    <w:rsid w:val="7FBF44BA"/>
    <w:rsid w:val="7FBF4563"/>
    <w:rsid w:val="7FC14BAA"/>
    <w:rsid w:val="7FCB7C32"/>
    <w:rsid w:val="7FCC1EC0"/>
    <w:rsid w:val="7FD4460D"/>
    <w:rsid w:val="7FD5FA6E"/>
    <w:rsid w:val="7FD70896"/>
    <w:rsid w:val="7FD72FA6"/>
    <w:rsid w:val="7FDF53F2"/>
    <w:rsid w:val="7FDF6EB8"/>
    <w:rsid w:val="7FE05B47"/>
    <w:rsid w:val="7FE14F0C"/>
    <w:rsid w:val="7FE61D45"/>
    <w:rsid w:val="7FEF73BF"/>
    <w:rsid w:val="7FF37189"/>
    <w:rsid w:val="7FF37CE6"/>
    <w:rsid w:val="7FF487B3"/>
    <w:rsid w:val="7FFC5A55"/>
    <w:rsid w:val="7FFEC488"/>
    <w:rsid w:val="8DAD9AD2"/>
    <w:rsid w:val="9FBAB484"/>
    <w:rsid w:val="A7FFDA0C"/>
    <w:rsid w:val="AF9B4906"/>
    <w:rsid w:val="AFF76302"/>
    <w:rsid w:val="B3AF2F21"/>
    <w:rsid w:val="B7DF0683"/>
    <w:rsid w:val="BE773E0C"/>
    <w:rsid w:val="BF5F036C"/>
    <w:rsid w:val="BFC3E4D3"/>
    <w:rsid w:val="BFF19740"/>
    <w:rsid w:val="CEF7B42C"/>
    <w:rsid w:val="CEF7CC4C"/>
    <w:rsid w:val="D77B4BA4"/>
    <w:rsid w:val="DFBFBBBD"/>
    <w:rsid w:val="DFD7E17E"/>
    <w:rsid w:val="DFFBA859"/>
    <w:rsid w:val="E4FECCEB"/>
    <w:rsid w:val="E6F79743"/>
    <w:rsid w:val="EEDF5B90"/>
    <w:rsid w:val="EFBFFF6F"/>
    <w:rsid w:val="F3AF48D0"/>
    <w:rsid w:val="F4FEC28B"/>
    <w:rsid w:val="F92A2E49"/>
    <w:rsid w:val="FB4F0D70"/>
    <w:rsid w:val="FB795B68"/>
    <w:rsid w:val="FB7B6E2E"/>
    <w:rsid w:val="FBDDE90D"/>
    <w:rsid w:val="FBED62D5"/>
    <w:rsid w:val="FD4FDA45"/>
    <w:rsid w:val="FD8E8EA4"/>
    <w:rsid w:val="FDE77935"/>
    <w:rsid w:val="FEF31734"/>
    <w:rsid w:val="FF5AA2F4"/>
    <w:rsid w:val="FFB6CC6C"/>
    <w:rsid w:val="FFBB66BD"/>
    <w:rsid w:val="FFDF088A"/>
    <w:rsid w:val="FFEF762D"/>
    <w:rsid w:val="FFFF8FD7"/>
    <w:rsid w:val="FFFF983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nhideWhenUsed="0" w:uiPriority="9"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99"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name="Body Text Indent 2"/>
    <w:lsdException w:unhideWhenUsed="0" w:uiPriority="0" w:semiHidden="0" w:name="Body Text Indent 3"/>
    <w:lsdException w:unhideWhenUsed="0" w:uiPriority="0" w:semiHidden="0" w:name="Block Text"/>
    <w:lsdException w:qFormat="1"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9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99"/>
    <w:qFormat/>
    <w:uiPriority w:val="0"/>
    <w:pPr>
      <w:keepNext/>
      <w:keepLines/>
      <w:widowControl w:val="0"/>
      <w:spacing w:before="240" w:after="120" w:line="360" w:lineRule="auto"/>
      <w:jc w:val="both"/>
      <w:outlineLvl w:val="0"/>
    </w:pPr>
    <w:rPr>
      <w:rFonts w:ascii="Times New Roman" w:hAnsi="Times New Roman" w:eastAsia="宋体" w:cs="Times New Roman"/>
      <w:b/>
      <w:bCs/>
      <w:kern w:val="44"/>
      <w:sz w:val="32"/>
      <w:szCs w:val="44"/>
      <w:lang w:val="en-US" w:eastAsia="zh-CN" w:bidi="ar-SA"/>
    </w:rPr>
  </w:style>
  <w:style w:type="paragraph" w:styleId="3">
    <w:name w:val="heading 2"/>
    <w:basedOn w:val="1"/>
    <w:next w:val="1"/>
    <w:qFormat/>
    <w:uiPriority w:val="9"/>
    <w:pPr>
      <w:keepNext/>
      <w:keepLines/>
      <w:spacing w:line="413" w:lineRule="auto"/>
      <w:outlineLvl w:val="1"/>
    </w:pPr>
    <w:rPr>
      <w:rFonts w:ascii="Arial" w:hAnsi="Arial" w:eastAsia="黑体"/>
      <w:b/>
      <w:bCs/>
      <w:sz w:val="32"/>
      <w:szCs w:val="32"/>
    </w:rPr>
  </w:style>
  <w:style w:type="paragraph" w:styleId="4">
    <w:name w:val="heading 3"/>
    <w:basedOn w:val="1"/>
    <w:next w:val="1"/>
    <w:qFormat/>
    <w:uiPriority w:val="9"/>
    <w:pPr>
      <w:keepNext/>
      <w:keepLines/>
      <w:spacing w:line="600" w:lineRule="exact"/>
      <w:ind w:firstLine="643" w:firstLineChars="200"/>
      <w:outlineLvl w:val="2"/>
    </w:pPr>
    <w:rPr>
      <w:b/>
      <w:bCs/>
      <w:sz w:val="32"/>
      <w:szCs w:val="32"/>
    </w:rPr>
  </w:style>
  <w:style w:type="paragraph" w:styleId="5">
    <w:name w:val="heading 4"/>
    <w:basedOn w:val="1"/>
    <w:next w:val="1"/>
    <w:qFormat/>
    <w:uiPriority w:val="0"/>
    <w:pPr>
      <w:keepNext/>
      <w:keepLines/>
      <w:spacing w:before="120" w:after="120" w:line="360" w:lineRule="auto"/>
      <w:jc w:val="center"/>
      <w:outlineLvl w:val="3"/>
    </w:pPr>
    <w:rPr>
      <w:rFonts w:eastAsia="Ђˎ̥"/>
      <w:sz w:val="28"/>
    </w:rPr>
  </w:style>
  <w:style w:type="paragraph" w:styleId="6">
    <w:name w:val="heading 5"/>
    <w:basedOn w:val="1"/>
    <w:next w:val="1"/>
    <w:qFormat/>
    <w:uiPriority w:val="9"/>
    <w:pPr>
      <w:keepNext/>
      <w:keepLines/>
      <w:spacing w:before="280" w:after="290" w:line="376" w:lineRule="auto"/>
      <w:outlineLvl w:val="4"/>
    </w:pPr>
    <w:rPr>
      <w:b/>
      <w:bCs/>
      <w:sz w:val="28"/>
      <w:szCs w:val="28"/>
    </w:rPr>
  </w:style>
  <w:style w:type="paragraph" w:styleId="7">
    <w:name w:val="heading 6"/>
    <w:next w:val="1"/>
    <w:qFormat/>
    <w:uiPriority w:val="0"/>
    <w:pPr>
      <w:keepNext/>
      <w:keepLines/>
      <w:widowControl w:val="0"/>
      <w:spacing w:before="120" w:after="120"/>
      <w:jc w:val="both"/>
      <w:outlineLvl w:val="5"/>
    </w:pPr>
    <w:rPr>
      <w:rFonts w:ascii="Times New Roman" w:hAnsi="等线 Light" w:eastAsia="宋体" w:cs="Times New Roman"/>
      <w:b/>
      <w:bCs/>
      <w:kern w:val="2"/>
      <w:sz w:val="21"/>
      <w:szCs w:val="24"/>
      <w:lang w:val="en-US" w:eastAsia="zh-CN" w:bidi="ar-SA"/>
    </w:rPr>
  </w:style>
  <w:style w:type="character" w:default="1" w:styleId="30">
    <w:name w:val="Default Paragraph Font"/>
    <w:semiHidden/>
    <w:unhideWhenUsed/>
    <w:qFormat/>
    <w:uiPriority w:val="1"/>
  </w:style>
  <w:style w:type="table" w:default="1" w:styleId="28">
    <w:name w:val="Normal Table"/>
    <w:semiHidden/>
    <w:unhideWhenUsed/>
    <w:qFormat/>
    <w:uiPriority w:val="99"/>
    <w:pPr>
      <w:keepNext w:val="0"/>
      <w:keepLines w:val="0"/>
      <w:widowControl/>
      <w:suppressLineNumbers w:val="0"/>
      <w:spacing w:before="0" w:beforeAutospacing="0" w:after="0" w:afterAutospacing="0"/>
      <w:ind w:left="0" w:right="0"/>
    </w:pPr>
    <w:rPr>
      <w:rFonts w:ascii="Calibri" w:hAnsi="Calibri" w:cs="Times New Roman"/>
      <w:kern w:val="2"/>
      <w:sz w:val="21"/>
      <w:szCs w:val="22"/>
    </w:rPr>
    <w:tblPr>
      <w:tblCellMar>
        <w:top w:w="0" w:type="dxa"/>
        <w:left w:w="108" w:type="dxa"/>
        <w:bottom w:w="0" w:type="dxa"/>
        <w:right w:w="108" w:type="dxa"/>
      </w:tblCellMar>
    </w:tblPr>
  </w:style>
  <w:style w:type="paragraph" w:styleId="8">
    <w:name w:val="index 8"/>
    <w:basedOn w:val="1"/>
    <w:next w:val="1"/>
    <w:qFormat/>
    <w:uiPriority w:val="0"/>
    <w:pPr>
      <w:ind w:left="2940"/>
    </w:pPr>
  </w:style>
  <w:style w:type="paragraph" w:styleId="9">
    <w:name w:val="Normal Indent"/>
    <w:basedOn w:val="1"/>
    <w:unhideWhenUsed/>
    <w:qFormat/>
    <w:uiPriority w:val="99"/>
    <w:pPr>
      <w:ind w:firstLine="420"/>
    </w:pPr>
    <w:rPr>
      <w:szCs w:val="20"/>
    </w:rPr>
  </w:style>
  <w:style w:type="paragraph" w:styleId="10">
    <w:name w:val="annotation text"/>
    <w:basedOn w:val="1"/>
    <w:link w:val="58"/>
    <w:unhideWhenUsed/>
    <w:qFormat/>
    <w:uiPriority w:val="0"/>
    <w:pPr>
      <w:jc w:val="left"/>
    </w:pPr>
  </w:style>
  <w:style w:type="paragraph" w:styleId="11">
    <w:name w:val="Body Text"/>
    <w:basedOn w:val="1"/>
    <w:unhideWhenUsed/>
    <w:qFormat/>
    <w:uiPriority w:val="0"/>
    <w:pPr>
      <w:spacing w:after="120"/>
    </w:pPr>
  </w:style>
  <w:style w:type="paragraph" w:styleId="12">
    <w:name w:val="Body Text Indent"/>
    <w:basedOn w:val="1"/>
    <w:unhideWhenUsed/>
    <w:qFormat/>
    <w:uiPriority w:val="99"/>
    <w:pPr>
      <w:spacing w:line="200" w:lineRule="exact"/>
      <w:ind w:firstLine="301"/>
    </w:pPr>
    <w:rPr>
      <w:rFonts w:ascii="宋体" w:hAnsi="Courier New"/>
      <w:spacing w:val="-4"/>
      <w:sz w:val="18"/>
      <w:szCs w:val="20"/>
    </w:rPr>
  </w:style>
  <w:style w:type="paragraph" w:styleId="13">
    <w:name w:val="toc 3"/>
    <w:basedOn w:val="1"/>
    <w:next w:val="1"/>
    <w:unhideWhenUsed/>
    <w:qFormat/>
    <w:uiPriority w:val="39"/>
    <w:pPr>
      <w:jc w:val="left"/>
    </w:pPr>
    <w:rPr>
      <w:rFonts w:ascii="Calibri" w:hAnsi="Calibri"/>
      <w:smallCaps/>
      <w:sz w:val="22"/>
      <w:szCs w:val="22"/>
    </w:rPr>
  </w:style>
  <w:style w:type="paragraph" w:styleId="14">
    <w:name w:val="Plain Text"/>
    <w:basedOn w:val="1"/>
    <w:next w:val="8"/>
    <w:link w:val="62"/>
    <w:unhideWhenUsed/>
    <w:qFormat/>
    <w:uiPriority w:val="99"/>
    <w:rPr>
      <w:rFonts w:ascii="宋体" w:hAnsi="Courier New"/>
      <w:szCs w:val="20"/>
    </w:rPr>
  </w:style>
  <w:style w:type="paragraph" w:styleId="15">
    <w:name w:val="Body Text Indent 2"/>
    <w:basedOn w:val="1"/>
    <w:semiHidden/>
    <w:unhideWhenUsed/>
    <w:qFormat/>
    <w:uiPriority w:val="99"/>
    <w:pPr>
      <w:spacing w:after="120" w:line="480" w:lineRule="auto"/>
      <w:ind w:left="420" w:leftChars="200"/>
    </w:pPr>
  </w:style>
  <w:style w:type="paragraph" w:styleId="16">
    <w:name w:val="Balloon Text"/>
    <w:basedOn w:val="1"/>
    <w:link w:val="60"/>
    <w:qFormat/>
    <w:uiPriority w:val="0"/>
    <w:rPr>
      <w:sz w:val="18"/>
      <w:szCs w:val="18"/>
    </w:rPr>
  </w:style>
  <w:style w:type="paragraph" w:styleId="17">
    <w:name w:val="footer"/>
    <w:basedOn w:val="1"/>
    <w:next w:val="1"/>
    <w:link w:val="64"/>
    <w:unhideWhenUsed/>
    <w:qFormat/>
    <w:uiPriority w:val="99"/>
    <w:pPr>
      <w:tabs>
        <w:tab w:val="center" w:pos="4153"/>
        <w:tab w:val="right" w:pos="8306"/>
      </w:tabs>
      <w:snapToGrid w:val="0"/>
      <w:jc w:val="left"/>
    </w:pPr>
    <w:rPr>
      <w:sz w:val="18"/>
      <w:szCs w:val="18"/>
    </w:rPr>
  </w:style>
  <w:style w:type="paragraph" w:styleId="18">
    <w:name w:val="envelope return"/>
    <w:basedOn w:val="1"/>
    <w:qFormat/>
    <w:uiPriority w:val="0"/>
    <w:pPr>
      <w:snapToGrid w:val="0"/>
    </w:pPr>
    <w:rPr>
      <w:rFonts w:ascii="Arial" w:hAnsi="Arial"/>
    </w:rPr>
  </w:style>
  <w:style w:type="paragraph" w:styleId="19">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unhideWhenUsed/>
    <w:qFormat/>
    <w:uiPriority w:val="39"/>
    <w:pPr>
      <w:spacing w:before="360" w:after="360"/>
      <w:jc w:val="left"/>
    </w:pPr>
    <w:rPr>
      <w:rFonts w:ascii="Calibri" w:hAnsi="Calibri"/>
      <w:b/>
      <w:bCs/>
      <w:caps/>
      <w:sz w:val="22"/>
      <w:szCs w:val="22"/>
      <w:u w:val="single"/>
    </w:rPr>
  </w:style>
  <w:style w:type="paragraph" w:styleId="21">
    <w:name w:val="List"/>
    <w:basedOn w:val="1"/>
    <w:unhideWhenUsed/>
    <w:qFormat/>
    <w:uiPriority w:val="99"/>
    <w:pPr>
      <w:ind w:left="200" w:hanging="200" w:hangingChars="200"/>
    </w:pPr>
    <w:rPr>
      <w:sz w:val="28"/>
    </w:rPr>
  </w:style>
  <w:style w:type="paragraph" w:styleId="22">
    <w:name w:val="toc 2"/>
    <w:basedOn w:val="1"/>
    <w:next w:val="1"/>
    <w:unhideWhenUsed/>
    <w:qFormat/>
    <w:uiPriority w:val="39"/>
    <w:pPr>
      <w:jc w:val="left"/>
    </w:pPr>
    <w:rPr>
      <w:rFonts w:ascii="Calibri" w:hAnsi="Calibri"/>
      <w:b/>
      <w:bCs/>
      <w:smallCaps/>
      <w:sz w:val="22"/>
      <w:szCs w:val="22"/>
    </w:rPr>
  </w:style>
  <w:style w:type="paragraph" w:styleId="23">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24">
    <w:name w:val="Title"/>
    <w:basedOn w:val="1"/>
    <w:next w:val="1"/>
    <w:qFormat/>
    <w:uiPriority w:val="0"/>
    <w:pPr>
      <w:widowControl/>
      <w:overflowPunct w:val="0"/>
      <w:autoSpaceDE w:val="0"/>
      <w:autoSpaceDN w:val="0"/>
      <w:adjustRightInd w:val="0"/>
      <w:jc w:val="center"/>
      <w:textAlignment w:val="baseline"/>
    </w:pPr>
    <w:rPr>
      <w:rFonts w:ascii="Cambria" w:hAnsi="Cambria"/>
      <w:b/>
      <w:bCs/>
      <w:sz w:val="32"/>
      <w:szCs w:val="32"/>
    </w:rPr>
  </w:style>
  <w:style w:type="paragraph" w:styleId="25">
    <w:name w:val="annotation subject"/>
    <w:basedOn w:val="10"/>
    <w:next w:val="1"/>
    <w:link w:val="66"/>
    <w:qFormat/>
    <w:uiPriority w:val="0"/>
    <w:rPr>
      <w:b/>
      <w:bCs/>
    </w:rPr>
  </w:style>
  <w:style w:type="paragraph" w:styleId="26">
    <w:name w:val="Body Text First Indent"/>
    <w:basedOn w:val="11"/>
    <w:qFormat/>
    <w:uiPriority w:val="0"/>
    <w:pPr>
      <w:ind w:firstLine="420"/>
      <w:textAlignment w:val="baseline"/>
    </w:pPr>
  </w:style>
  <w:style w:type="paragraph" w:styleId="27">
    <w:name w:val="Body Text First Indent 2"/>
    <w:basedOn w:val="12"/>
    <w:unhideWhenUsed/>
    <w:qFormat/>
    <w:uiPriority w:val="99"/>
    <w:pPr>
      <w:spacing w:after="120"/>
      <w:ind w:left="420" w:leftChars="200" w:firstLine="420" w:firstLineChars="200"/>
    </w:pPr>
    <w:rPr>
      <w:rFonts w:ascii="Times New Roman"/>
      <w:sz w:val="21"/>
      <w:szCs w:val="24"/>
    </w:rPr>
  </w:style>
  <w:style w:type="table" w:styleId="29">
    <w:name w:val="Table Grid"/>
    <w:basedOn w:val="28"/>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1">
    <w:name w:val="Strong"/>
    <w:basedOn w:val="30"/>
    <w:qFormat/>
    <w:uiPriority w:val="0"/>
    <w:rPr>
      <w:b/>
    </w:rPr>
  </w:style>
  <w:style w:type="character" w:styleId="32">
    <w:name w:val="page number"/>
    <w:unhideWhenUsed/>
    <w:qFormat/>
    <w:uiPriority w:val="0"/>
  </w:style>
  <w:style w:type="character" w:styleId="33">
    <w:name w:val="FollowedHyperlink"/>
    <w:qFormat/>
    <w:uiPriority w:val="0"/>
    <w:rPr>
      <w:rFonts w:hint="eastAsia" w:ascii="微软雅黑" w:hAnsi="微软雅黑" w:eastAsia="微软雅黑" w:cs="微软雅黑"/>
      <w:color w:val="02396F"/>
      <w:u w:val="single"/>
    </w:rPr>
  </w:style>
  <w:style w:type="character" w:styleId="34">
    <w:name w:val="Emphasis"/>
    <w:basedOn w:val="30"/>
    <w:qFormat/>
    <w:uiPriority w:val="0"/>
    <w:rPr>
      <w:i/>
    </w:rPr>
  </w:style>
  <w:style w:type="character" w:styleId="35">
    <w:name w:val="HTML Definition"/>
    <w:basedOn w:val="30"/>
    <w:qFormat/>
    <w:uiPriority w:val="0"/>
  </w:style>
  <w:style w:type="character" w:styleId="36">
    <w:name w:val="HTML Typewriter"/>
    <w:basedOn w:val="30"/>
    <w:qFormat/>
    <w:uiPriority w:val="0"/>
    <w:rPr>
      <w:rFonts w:hint="default" w:ascii="monospace" w:hAnsi="monospace" w:eastAsia="monospace" w:cs="monospace"/>
      <w:sz w:val="20"/>
    </w:rPr>
  </w:style>
  <w:style w:type="character" w:styleId="37">
    <w:name w:val="HTML Acronym"/>
    <w:basedOn w:val="30"/>
    <w:qFormat/>
    <w:uiPriority w:val="0"/>
  </w:style>
  <w:style w:type="character" w:styleId="38">
    <w:name w:val="HTML Variable"/>
    <w:basedOn w:val="30"/>
    <w:semiHidden/>
    <w:unhideWhenUsed/>
    <w:qFormat/>
    <w:uiPriority w:val="0"/>
  </w:style>
  <w:style w:type="character" w:styleId="39">
    <w:name w:val="Hyperlink"/>
    <w:unhideWhenUsed/>
    <w:qFormat/>
    <w:uiPriority w:val="99"/>
    <w:rPr>
      <w:rFonts w:hint="eastAsia" w:ascii="微软雅黑" w:hAnsi="微软雅黑" w:eastAsia="微软雅黑" w:cs="微软雅黑"/>
      <w:color w:val="02396F"/>
      <w:u w:val="single"/>
    </w:rPr>
  </w:style>
  <w:style w:type="character" w:styleId="40">
    <w:name w:val="HTML Code"/>
    <w:basedOn w:val="30"/>
    <w:qFormat/>
    <w:uiPriority w:val="0"/>
    <w:rPr>
      <w:rFonts w:hint="default" w:ascii="monospace" w:hAnsi="monospace" w:eastAsia="monospace" w:cs="monospace"/>
      <w:sz w:val="20"/>
    </w:rPr>
  </w:style>
  <w:style w:type="character" w:styleId="41">
    <w:name w:val="annotation reference"/>
    <w:basedOn w:val="30"/>
    <w:qFormat/>
    <w:uiPriority w:val="99"/>
    <w:rPr>
      <w:sz w:val="21"/>
      <w:szCs w:val="21"/>
    </w:rPr>
  </w:style>
  <w:style w:type="character" w:styleId="42">
    <w:name w:val="HTML Cite"/>
    <w:basedOn w:val="30"/>
    <w:qFormat/>
    <w:uiPriority w:val="0"/>
  </w:style>
  <w:style w:type="character" w:styleId="43">
    <w:name w:val="HTML Keyboard"/>
    <w:basedOn w:val="30"/>
    <w:qFormat/>
    <w:uiPriority w:val="0"/>
    <w:rPr>
      <w:rFonts w:hint="default" w:ascii="monospace" w:hAnsi="monospace" w:eastAsia="monospace" w:cs="monospace"/>
      <w:sz w:val="20"/>
    </w:rPr>
  </w:style>
  <w:style w:type="character" w:styleId="44">
    <w:name w:val="HTML Sample"/>
    <w:basedOn w:val="30"/>
    <w:qFormat/>
    <w:uiPriority w:val="0"/>
    <w:rPr>
      <w:rFonts w:ascii="monospace" w:hAnsi="monospace" w:eastAsia="monospace" w:cs="monospace"/>
    </w:rPr>
  </w:style>
  <w:style w:type="paragraph" w:customStyle="1" w:styleId="45">
    <w:name w:val="Default"/>
    <w:next w:val="46"/>
    <w:qFormat/>
    <w:uiPriority w:val="0"/>
    <w:pPr>
      <w:widowControl w:val="0"/>
      <w:autoSpaceDE w:val="0"/>
      <w:autoSpaceDN w:val="0"/>
      <w:adjustRightInd w:val="0"/>
    </w:pPr>
    <w:rPr>
      <w:rFonts w:ascii="宋体" w:hAnsi="Perpetua" w:eastAsia="宋体" w:cs="宋体"/>
      <w:color w:val="000000"/>
      <w:sz w:val="24"/>
      <w:szCs w:val="24"/>
      <w:lang w:val="en-US" w:eastAsia="zh-CN" w:bidi="ar-SA"/>
    </w:rPr>
  </w:style>
  <w:style w:type="paragraph" w:customStyle="1" w:styleId="46">
    <w:name w:val="Char Char Char Char Char Char Char"/>
    <w:basedOn w:val="1"/>
    <w:next w:val="47"/>
    <w:qFormat/>
    <w:uiPriority w:val="99"/>
    <w:pPr>
      <w:snapToGrid w:val="0"/>
      <w:spacing w:line="360" w:lineRule="auto"/>
      <w:ind w:firstLine="200" w:firstLineChars="200"/>
    </w:pPr>
    <w:rPr>
      <w:rFonts w:eastAsia="仿宋_GB2312"/>
      <w:sz w:val="24"/>
    </w:rPr>
  </w:style>
  <w:style w:type="paragraph" w:customStyle="1" w:styleId="47">
    <w:name w:val="TOC 标题1"/>
    <w:basedOn w:val="2"/>
    <w:next w:val="1"/>
    <w:qFormat/>
    <w:uiPriority w:val="99"/>
    <w:pPr>
      <w:spacing w:before="340" w:after="330" w:line="576" w:lineRule="auto"/>
      <w:outlineLvl w:val="9"/>
    </w:pPr>
    <w:rPr>
      <w:rFonts w:ascii="Calibri" w:hAnsi="Calibri" w:cs="Calibri"/>
      <w:sz w:val="44"/>
      <w:szCs w:val="44"/>
    </w:rPr>
  </w:style>
  <w:style w:type="paragraph" w:customStyle="1" w:styleId="48">
    <w:name w:val="无间隔1"/>
    <w:qFormat/>
    <w:uiPriority w:val="99"/>
    <w:pPr>
      <w:widowControl w:val="0"/>
      <w:jc w:val="both"/>
    </w:pPr>
    <w:rPr>
      <w:rFonts w:ascii="Times New Roman" w:hAnsi="Times New Roman" w:eastAsia="宋体" w:cs="Times New Roman"/>
      <w:kern w:val="2"/>
      <w:sz w:val="21"/>
      <w:szCs w:val="22"/>
      <w:lang w:val="en-US" w:eastAsia="zh-CN" w:bidi="ar-SA"/>
    </w:rPr>
  </w:style>
  <w:style w:type="paragraph" w:customStyle="1" w:styleId="49">
    <w:name w:val="段"/>
    <w:next w:val="1"/>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sz w:val="24"/>
      <w:szCs w:val="22"/>
      <w:lang w:val="en-US" w:eastAsia="zh-CN" w:bidi="ar-SA"/>
    </w:rPr>
  </w:style>
  <w:style w:type="paragraph" w:customStyle="1" w:styleId="50">
    <w:name w:val="正文g"/>
    <w:qFormat/>
    <w:uiPriority w:val="0"/>
    <w:pPr>
      <w:jc w:val="both"/>
    </w:pPr>
    <w:rPr>
      <w:rFonts w:ascii="仿宋_GB2312" w:hAnsi="宋体" w:eastAsia="仿宋_GB2312" w:cs="Times New Roman"/>
      <w:kern w:val="2"/>
      <w:sz w:val="21"/>
      <w:szCs w:val="24"/>
      <w:lang w:val="en-US" w:eastAsia="zh-CN" w:bidi="ar-SA"/>
    </w:rPr>
  </w:style>
  <w:style w:type="character" w:customStyle="1" w:styleId="51">
    <w:name w:val="批注文字 Char1"/>
    <w:qFormat/>
    <w:uiPriority w:val="0"/>
    <w:rPr>
      <w:rFonts w:ascii="Times New Roman" w:hAnsi="Times New Roman"/>
      <w:kern w:val="2"/>
      <w:sz w:val="21"/>
      <w:szCs w:val="24"/>
    </w:rPr>
  </w:style>
  <w:style w:type="character" w:customStyle="1" w:styleId="52">
    <w:name w:val="font31"/>
    <w:basedOn w:val="30"/>
    <w:qFormat/>
    <w:uiPriority w:val="0"/>
    <w:rPr>
      <w:rFonts w:hint="eastAsia" w:ascii="宋体" w:hAnsi="宋体" w:eastAsia="宋体" w:cs="宋体"/>
      <w:color w:val="000000"/>
      <w:sz w:val="22"/>
      <w:szCs w:val="22"/>
      <w:u w:val="none"/>
    </w:rPr>
  </w:style>
  <w:style w:type="character" w:customStyle="1" w:styleId="53">
    <w:name w:val="displayarti"/>
    <w:qFormat/>
    <w:uiPriority w:val="0"/>
    <w:rPr>
      <w:color w:val="FFFFFF"/>
      <w:shd w:val="clear" w:color="auto" w:fill="A00000"/>
    </w:rPr>
  </w:style>
  <w:style w:type="character" w:customStyle="1" w:styleId="54">
    <w:name w:val="prev1"/>
    <w:qFormat/>
    <w:uiPriority w:val="0"/>
    <w:rPr>
      <w:color w:val="888888"/>
    </w:rPr>
  </w:style>
  <w:style w:type="character" w:customStyle="1" w:styleId="55">
    <w:name w:val="NormalCharacter"/>
    <w:qFormat/>
    <w:uiPriority w:val="0"/>
    <w:rPr>
      <w:rFonts w:ascii="Times New Roman" w:hAnsi="Times New Roman" w:eastAsia="宋体" w:cs="Times New Roman"/>
    </w:rPr>
  </w:style>
  <w:style w:type="character" w:customStyle="1" w:styleId="56">
    <w:name w:val="redfilenumber"/>
    <w:qFormat/>
    <w:uiPriority w:val="0"/>
    <w:rPr>
      <w:color w:val="BA2636"/>
      <w:sz w:val="18"/>
      <w:szCs w:val="18"/>
    </w:rPr>
  </w:style>
  <w:style w:type="character" w:customStyle="1" w:styleId="57">
    <w:name w:val="qxdate"/>
    <w:qFormat/>
    <w:uiPriority w:val="0"/>
    <w:rPr>
      <w:color w:val="333333"/>
      <w:sz w:val="18"/>
      <w:szCs w:val="18"/>
    </w:rPr>
  </w:style>
  <w:style w:type="character" w:customStyle="1" w:styleId="58">
    <w:name w:val="批注文字 Char"/>
    <w:link w:val="10"/>
    <w:qFormat/>
    <w:uiPriority w:val="0"/>
    <w:rPr>
      <w:kern w:val="2"/>
      <w:sz w:val="21"/>
      <w:szCs w:val="24"/>
    </w:rPr>
  </w:style>
  <w:style w:type="character" w:customStyle="1" w:styleId="59">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60">
    <w:name w:val="批注框文本 Char"/>
    <w:link w:val="16"/>
    <w:qFormat/>
    <w:uiPriority w:val="0"/>
    <w:rPr>
      <w:kern w:val="2"/>
      <w:sz w:val="18"/>
      <w:szCs w:val="18"/>
    </w:rPr>
  </w:style>
  <w:style w:type="character" w:customStyle="1" w:styleId="61">
    <w:name w:val="gjfg"/>
    <w:qFormat/>
    <w:uiPriority w:val="0"/>
  </w:style>
  <w:style w:type="character" w:customStyle="1" w:styleId="62">
    <w:name w:val="纯文本 Char"/>
    <w:link w:val="14"/>
    <w:qFormat/>
    <w:uiPriority w:val="99"/>
    <w:rPr>
      <w:rFonts w:ascii="宋体" w:hAnsi="Courier New"/>
      <w:kern w:val="2"/>
      <w:sz w:val="21"/>
    </w:rPr>
  </w:style>
  <w:style w:type="character" w:customStyle="1" w:styleId="63">
    <w:name w:val="next"/>
    <w:qFormat/>
    <w:uiPriority w:val="0"/>
    <w:rPr>
      <w:rFonts w:ascii="微软雅黑" w:hAnsi="微软雅黑" w:eastAsia="微软雅黑" w:cs="微软雅黑"/>
      <w:sz w:val="21"/>
      <w:szCs w:val="21"/>
    </w:rPr>
  </w:style>
  <w:style w:type="character" w:customStyle="1" w:styleId="64">
    <w:name w:val="页脚 Char"/>
    <w:link w:val="17"/>
    <w:qFormat/>
    <w:uiPriority w:val="99"/>
    <w:rPr>
      <w:kern w:val="2"/>
      <w:sz w:val="18"/>
      <w:szCs w:val="18"/>
    </w:rPr>
  </w:style>
  <w:style w:type="character" w:customStyle="1" w:styleId="65">
    <w:name w:val="redfilefwwh"/>
    <w:qFormat/>
    <w:uiPriority w:val="0"/>
    <w:rPr>
      <w:color w:val="BA2636"/>
      <w:sz w:val="18"/>
      <w:szCs w:val="18"/>
    </w:rPr>
  </w:style>
  <w:style w:type="character" w:customStyle="1" w:styleId="66">
    <w:name w:val="批注主题 Char"/>
    <w:link w:val="25"/>
    <w:qFormat/>
    <w:uiPriority w:val="0"/>
  </w:style>
  <w:style w:type="character" w:customStyle="1" w:styleId="67">
    <w:name w:val="prev"/>
    <w:qFormat/>
    <w:uiPriority w:val="0"/>
    <w:rPr>
      <w:rFonts w:hint="eastAsia" w:ascii="微软雅黑" w:hAnsi="微软雅黑" w:eastAsia="微软雅黑" w:cs="微软雅黑"/>
      <w:sz w:val="21"/>
      <w:szCs w:val="21"/>
    </w:rPr>
  </w:style>
  <w:style w:type="character" w:customStyle="1" w:styleId="68">
    <w:name w:val="next1"/>
    <w:qFormat/>
    <w:uiPriority w:val="0"/>
    <w:rPr>
      <w:color w:val="888888"/>
    </w:rPr>
  </w:style>
  <w:style w:type="character" w:customStyle="1" w:styleId="69">
    <w:name w:val="font21"/>
    <w:basedOn w:val="30"/>
    <w:qFormat/>
    <w:uiPriority w:val="0"/>
    <w:rPr>
      <w:rFonts w:hint="default" w:ascii="Tahoma" w:hAnsi="Tahoma" w:eastAsia="Tahoma" w:cs="Tahoma"/>
      <w:color w:val="000000"/>
      <w:sz w:val="22"/>
      <w:szCs w:val="22"/>
      <w:u w:val="none"/>
    </w:rPr>
  </w:style>
  <w:style w:type="character" w:customStyle="1" w:styleId="70">
    <w:name w:val="15"/>
    <w:qFormat/>
    <w:uiPriority w:val="0"/>
    <w:rPr>
      <w:rFonts w:hint="default" w:ascii="Times New Roman" w:hAnsi="Times New Roman" w:cs="Times New Roman"/>
      <w:sz w:val="21"/>
      <w:szCs w:val="21"/>
    </w:rPr>
  </w:style>
  <w:style w:type="character" w:customStyle="1" w:styleId="71">
    <w:name w:val="cfdate"/>
    <w:qFormat/>
    <w:uiPriority w:val="0"/>
    <w:rPr>
      <w:color w:val="333333"/>
      <w:sz w:val="18"/>
      <w:szCs w:val="18"/>
    </w:rPr>
  </w:style>
  <w:style w:type="paragraph" w:customStyle="1" w:styleId="72">
    <w:name w:val="样式 标题 2 + 宋体"/>
    <w:qFormat/>
    <w:uiPriority w:val="0"/>
    <w:pPr>
      <w:keepNext/>
      <w:keepLines/>
      <w:widowControl w:val="0"/>
      <w:spacing w:before="260" w:after="260" w:line="416" w:lineRule="auto"/>
      <w:jc w:val="both"/>
      <w:outlineLvl w:val="1"/>
    </w:pPr>
    <w:rPr>
      <w:rFonts w:ascii="宋体" w:hAnsi="宋体" w:eastAsia="宋体" w:cs="Times New Roman"/>
      <w:b/>
      <w:bCs/>
      <w:sz w:val="30"/>
      <w:szCs w:val="32"/>
      <w:lang w:val="en-US" w:eastAsia="zh-CN" w:bidi="ar-SA"/>
    </w:rPr>
  </w:style>
  <w:style w:type="paragraph" w:customStyle="1" w:styleId="73">
    <w:name w:val="样式5"/>
    <w:basedOn w:val="1"/>
    <w:qFormat/>
    <w:uiPriority w:val="0"/>
    <w:pPr>
      <w:adjustRightInd w:val="0"/>
      <w:spacing w:line="440" w:lineRule="exact"/>
      <w:ind w:left="2" w:firstLine="480" w:firstLineChars="200"/>
    </w:pPr>
    <w:rPr>
      <w:rFonts w:ascii="仿宋_GB2312" w:hAnsi="仿宋" w:eastAsia="仿宋_GB2312"/>
      <w:sz w:val="24"/>
    </w:rPr>
  </w:style>
  <w:style w:type="paragraph" w:customStyle="1" w:styleId="74">
    <w:name w:val="正文2"/>
    <w:basedOn w:val="1"/>
    <w:qFormat/>
    <w:uiPriority w:val="0"/>
    <w:pPr>
      <w:adjustRightInd w:val="0"/>
      <w:spacing w:before="156" w:line="360" w:lineRule="auto"/>
      <w:ind w:firstLine="510" w:firstLineChars="200"/>
    </w:pPr>
    <w:rPr>
      <w:sz w:val="24"/>
      <w:szCs w:val="20"/>
    </w:rPr>
  </w:style>
  <w:style w:type="paragraph" w:customStyle="1" w:styleId="75">
    <w:name w:val="正文缩进1"/>
    <w:basedOn w:val="1"/>
    <w:next w:val="12"/>
    <w:qFormat/>
    <w:uiPriority w:val="0"/>
    <w:pPr>
      <w:autoSpaceDE w:val="0"/>
      <w:autoSpaceDN w:val="0"/>
      <w:adjustRightInd w:val="0"/>
      <w:snapToGrid w:val="0"/>
      <w:spacing w:after="120" w:line="360" w:lineRule="auto"/>
      <w:ind w:left="420" w:leftChars="200" w:firstLine="480" w:firstLineChars="200"/>
    </w:pPr>
    <w:rPr>
      <w:sz w:val="24"/>
      <w:szCs w:val="21"/>
    </w:rPr>
  </w:style>
  <w:style w:type="paragraph" w:styleId="76">
    <w:name w:val="List Paragraph"/>
    <w:basedOn w:val="1"/>
    <w:qFormat/>
    <w:uiPriority w:val="34"/>
    <w:pPr>
      <w:ind w:firstLine="420" w:firstLineChars="200"/>
    </w:pPr>
  </w:style>
  <w:style w:type="paragraph" w:customStyle="1" w:styleId="77">
    <w:name w:val="_Style 3"/>
    <w:basedOn w:val="1"/>
    <w:qFormat/>
    <w:uiPriority w:val="0"/>
  </w:style>
  <w:style w:type="paragraph" w:customStyle="1" w:styleId="78">
    <w:name w:val="表格文字"/>
    <w:basedOn w:val="1"/>
    <w:next w:val="11"/>
    <w:qFormat/>
    <w:uiPriority w:val="0"/>
    <w:pPr>
      <w:adjustRightInd w:val="0"/>
      <w:spacing w:line="420" w:lineRule="atLeast"/>
      <w:jc w:val="left"/>
      <w:textAlignment w:val="baseline"/>
    </w:pPr>
    <w:rPr>
      <w:kern w:val="0"/>
    </w:rPr>
  </w:style>
  <w:style w:type="paragraph" w:customStyle="1" w:styleId="79">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80">
    <w:name w:val="font11"/>
    <w:basedOn w:val="30"/>
    <w:qFormat/>
    <w:uiPriority w:val="0"/>
    <w:rPr>
      <w:rFonts w:hint="eastAsia" w:ascii="宋体" w:hAnsi="宋体" w:eastAsia="宋体" w:cs="宋体"/>
      <w:b/>
      <w:color w:val="000000"/>
      <w:sz w:val="20"/>
      <w:szCs w:val="20"/>
      <w:u w:val="none"/>
    </w:rPr>
  </w:style>
  <w:style w:type="paragraph" w:customStyle="1" w:styleId="81">
    <w:name w:val="0正文"/>
    <w:qFormat/>
    <w:uiPriority w:val="99"/>
    <w:pPr>
      <w:widowControl w:val="0"/>
      <w:snapToGrid w:val="0"/>
      <w:spacing w:line="360" w:lineRule="auto"/>
      <w:jc w:val="both"/>
      <w:textAlignment w:val="baseline"/>
    </w:pPr>
    <w:rPr>
      <w:rFonts w:ascii="宋体" w:hAnsi="宋体" w:eastAsia="宋体" w:cs="Times New Roman"/>
      <w:kern w:val="2"/>
      <w:sz w:val="24"/>
      <w:szCs w:val="24"/>
      <w:lang w:val="en-US" w:eastAsia="zh-CN" w:bidi="ar-SA"/>
    </w:rPr>
  </w:style>
  <w:style w:type="paragraph" w:customStyle="1" w:styleId="82">
    <w:name w:val="!正文"/>
    <w:qFormat/>
    <w:uiPriority w:val="0"/>
    <w:pPr>
      <w:widowControl w:val="0"/>
      <w:spacing w:line="360" w:lineRule="auto"/>
    </w:pPr>
    <w:rPr>
      <w:rFonts w:ascii="宋体" w:hAnsi="宋体" w:eastAsia="宋体" w:cs="Times New Roman"/>
      <w:sz w:val="24"/>
      <w:szCs w:val="28"/>
      <w:lang w:val="zh-CN" w:eastAsia="zh-CN" w:bidi="ar-SA"/>
    </w:rPr>
  </w:style>
  <w:style w:type="character" w:customStyle="1" w:styleId="83">
    <w:name w:val="font01"/>
    <w:basedOn w:val="30"/>
    <w:qFormat/>
    <w:uiPriority w:val="0"/>
    <w:rPr>
      <w:rFonts w:hint="eastAsia" w:ascii="仿宋" w:hAnsi="仿宋" w:eastAsia="仿宋" w:cs="仿宋"/>
      <w:color w:val="000000"/>
      <w:sz w:val="21"/>
      <w:szCs w:val="21"/>
      <w:u w:val="none"/>
    </w:rPr>
  </w:style>
  <w:style w:type="character" w:customStyle="1" w:styleId="84">
    <w:name w:val="font91"/>
    <w:qFormat/>
    <w:uiPriority w:val="0"/>
    <w:rPr>
      <w:rFonts w:ascii="Arial" w:hAnsi="Arial" w:cs="Arial"/>
      <w:color w:val="000000"/>
      <w:sz w:val="21"/>
      <w:szCs w:val="21"/>
      <w:u w:val="none"/>
    </w:rPr>
  </w:style>
  <w:style w:type="paragraph" w:customStyle="1" w:styleId="85">
    <w:name w:val="修订1"/>
    <w:hidden/>
    <w:unhideWhenUsed/>
    <w:qFormat/>
    <w:uiPriority w:val="99"/>
    <w:rPr>
      <w:rFonts w:ascii="Times New Roman" w:hAnsi="Times New Roman" w:eastAsia="宋体" w:cs="Times New Roman"/>
      <w:kern w:val="2"/>
      <w:sz w:val="21"/>
      <w:szCs w:val="24"/>
      <w:lang w:val="en-US" w:eastAsia="zh-CN" w:bidi="ar-SA"/>
    </w:rPr>
  </w:style>
  <w:style w:type="paragraph" w:customStyle="1" w:styleId="86">
    <w:name w:val="修订2"/>
    <w:hidden/>
    <w:semiHidden/>
    <w:qFormat/>
    <w:uiPriority w:val="99"/>
    <w:rPr>
      <w:rFonts w:ascii="Times New Roman" w:hAnsi="Times New Roman" w:eastAsia="宋体" w:cs="Times New Roman"/>
      <w:kern w:val="2"/>
      <w:sz w:val="21"/>
      <w:szCs w:val="24"/>
      <w:lang w:val="en-US" w:eastAsia="zh-CN" w:bidi="ar-SA"/>
    </w:rPr>
  </w:style>
  <w:style w:type="paragraph" w:customStyle="1" w:styleId="87">
    <w:name w:val="修订3"/>
    <w:hidden/>
    <w:unhideWhenUsed/>
    <w:qFormat/>
    <w:uiPriority w:val="99"/>
    <w:rPr>
      <w:rFonts w:ascii="Times New Roman" w:hAnsi="Times New Roman" w:eastAsia="宋体" w:cs="Times New Roman"/>
      <w:kern w:val="2"/>
      <w:sz w:val="21"/>
      <w:szCs w:val="24"/>
      <w:lang w:val="en-US" w:eastAsia="zh-CN" w:bidi="ar-SA"/>
    </w:rPr>
  </w:style>
  <w:style w:type="paragraph" w:customStyle="1" w:styleId="88">
    <w:name w:val="修订4"/>
    <w:hidden/>
    <w:unhideWhenUsed/>
    <w:qFormat/>
    <w:uiPriority w:val="99"/>
    <w:rPr>
      <w:rFonts w:ascii="Times New Roman" w:hAnsi="Times New Roman" w:eastAsia="宋体" w:cs="Times New Roman"/>
      <w:kern w:val="2"/>
      <w:sz w:val="21"/>
      <w:szCs w:val="24"/>
      <w:lang w:val="en-US" w:eastAsia="zh-CN" w:bidi="ar-SA"/>
    </w:rPr>
  </w:style>
  <w:style w:type="paragraph" w:customStyle="1" w:styleId="89">
    <w:name w:val="BodyText"/>
    <w:basedOn w:val="1"/>
    <w:qFormat/>
    <w:uiPriority w:val="0"/>
    <w:pPr>
      <w:spacing w:line="380" w:lineRule="exact"/>
      <w:textAlignment w:val="baseline"/>
    </w:pPr>
    <w:rPr>
      <w:sz w:val="24"/>
    </w:rPr>
  </w:style>
  <w:style w:type="paragraph" w:customStyle="1" w:styleId="90">
    <w:name w:val="修订5"/>
    <w:hidden/>
    <w:unhideWhenUsed/>
    <w:qFormat/>
    <w:uiPriority w:val="99"/>
    <w:rPr>
      <w:rFonts w:ascii="Times New Roman" w:hAnsi="Times New Roman" w:eastAsia="宋体" w:cs="Times New Roman"/>
      <w:kern w:val="2"/>
      <w:sz w:val="21"/>
      <w:szCs w:val="24"/>
      <w:lang w:val="en-US" w:eastAsia="zh-CN" w:bidi="ar-SA"/>
    </w:rPr>
  </w:style>
  <w:style w:type="paragraph" w:customStyle="1" w:styleId="91">
    <w:name w:val="修订6"/>
    <w:hidden/>
    <w:unhideWhenUsed/>
    <w:qFormat/>
    <w:uiPriority w:val="99"/>
    <w:rPr>
      <w:rFonts w:ascii="Times New Roman" w:hAnsi="Times New Roman" w:eastAsia="宋体" w:cs="Times New Roman"/>
      <w:kern w:val="2"/>
      <w:sz w:val="21"/>
      <w:szCs w:val="24"/>
      <w:lang w:val="en-US" w:eastAsia="zh-CN" w:bidi="ar-SA"/>
    </w:rPr>
  </w:style>
  <w:style w:type="paragraph" w:customStyle="1" w:styleId="92">
    <w:name w:val="修订7"/>
    <w:hidden/>
    <w:unhideWhenUsed/>
    <w:qFormat/>
    <w:uiPriority w:val="99"/>
    <w:rPr>
      <w:rFonts w:ascii="Times New Roman" w:hAnsi="Times New Roman" w:eastAsia="宋体" w:cs="Times New Roman"/>
      <w:kern w:val="2"/>
      <w:sz w:val="21"/>
      <w:szCs w:val="24"/>
      <w:lang w:val="en-US" w:eastAsia="zh-CN" w:bidi="ar-SA"/>
    </w:rPr>
  </w:style>
  <w:style w:type="character" w:customStyle="1" w:styleId="93">
    <w:name w:val="font41"/>
    <w:basedOn w:val="30"/>
    <w:qFormat/>
    <w:uiPriority w:val="0"/>
    <w:rPr>
      <w:rFonts w:ascii="Calibri" w:hAnsi="Calibri" w:cs="Calibri"/>
      <w:color w:val="000000"/>
      <w:sz w:val="22"/>
      <w:szCs w:val="22"/>
      <w:u w:val="none"/>
    </w:rPr>
  </w:style>
  <w:style w:type="paragraph" w:customStyle="1" w:styleId="94">
    <w:name w:val="修订8"/>
    <w:hidden/>
    <w:unhideWhenUsed/>
    <w:qFormat/>
    <w:uiPriority w:val="99"/>
    <w:rPr>
      <w:rFonts w:ascii="Times New Roman" w:hAnsi="Times New Roman" w:eastAsia="宋体" w:cs="Times New Roman"/>
      <w:kern w:val="2"/>
      <w:sz w:val="21"/>
      <w:szCs w:val="24"/>
      <w:lang w:val="en-US" w:eastAsia="zh-CN" w:bidi="ar-SA"/>
    </w:rPr>
  </w:style>
  <w:style w:type="paragraph" w:styleId="95">
    <w:name w:val="No Spacing"/>
    <w:qFormat/>
    <w:uiPriority w:val="1"/>
    <w:pPr>
      <w:widowControl w:val="0"/>
      <w:jc w:val="both"/>
    </w:pPr>
    <w:rPr>
      <w:rFonts w:ascii="Times New Roman" w:hAnsi="Times New Roman" w:eastAsia="宋体" w:cs="Times New Roman"/>
      <w:kern w:val="2"/>
      <w:sz w:val="21"/>
      <w:szCs w:val="20"/>
      <w:lang w:val="en-US" w:eastAsia="zh-CN" w:bidi="ar-SA"/>
      <w14:ligatures w14:val="standardContextual"/>
    </w:rPr>
  </w:style>
  <w:style w:type="table" w:customStyle="1" w:styleId="96">
    <w:name w:val="Table Normal"/>
    <w:semiHidden/>
    <w:unhideWhenUsed/>
    <w:qFormat/>
    <w:uiPriority w:val="0"/>
    <w:tblPr>
      <w:tblCellMar>
        <w:top w:w="0" w:type="dxa"/>
        <w:left w:w="0" w:type="dxa"/>
        <w:bottom w:w="0" w:type="dxa"/>
        <w:right w:w="0" w:type="dxa"/>
      </w:tblCellMar>
    </w:tblPr>
  </w:style>
  <w:style w:type="character" w:customStyle="1" w:styleId="97">
    <w:name w:val="layui-layer-tabnow"/>
    <w:basedOn w:val="30"/>
    <w:qFormat/>
    <w:uiPriority w:val="0"/>
    <w:rPr>
      <w:bdr w:val="single" w:color="CCCCCC" w:sz="6" w:space="0"/>
      <w:shd w:val="clear" w:fill="FFFFFF"/>
    </w:rPr>
  </w:style>
  <w:style w:type="character" w:customStyle="1" w:styleId="98">
    <w:name w:val="first-child"/>
    <w:basedOn w:val="30"/>
    <w:qFormat/>
    <w:uiPriority w:val="0"/>
  </w:style>
  <w:style w:type="character" w:customStyle="1" w:styleId="99">
    <w:name w:val="标题 1 Char"/>
    <w:basedOn w:val="30"/>
    <w:link w:val="2"/>
    <w:qFormat/>
    <w:uiPriority w:val="0"/>
    <w:rPr>
      <w:b/>
      <w:bCs/>
      <w:kern w:val="44"/>
      <w:sz w:val="44"/>
      <w:szCs w:val="44"/>
    </w:rPr>
  </w:style>
  <w:style w:type="paragraph" w:customStyle="1" w:styleId="100">
    <w:name w:val="Table Paragraph"/>
    <w:basedOn w:val="1"/>
    <w:qFormat/>
    <w:uiPriority w:val="1"/>
    <w:pPr>
      <w:jc w:val="left"/>
    </w:pPr>
    <w:rPr>
      <w:rFonts w:ascii="Calibri" w:hAnsi="Calibri" w:eastAsia="宋体" w:cs="Times New Roman"/>
      <w:kern w:val="0"/>
      <w:sz w:val="22"/>
      <w:szCs w:val="22"/>
      <w:lang w:eastAsia="en-US"/>
    </w:rPr>
  </w:style>
  <w:style w:type="paragraph" w:customStyle="1" w:styleId="101">
    <w:name w:val="Table Text"/>
    <w:basedOn w:val="1"/>
    <w:semiHidden/>
    <w:qFormat/>
    <w:uiPriority w:val="0"/>
    <w:rPr>
      <w:rFonts w:ascii="宋体" w:hAnsi="宋体" w:eastAsia="宋体" w:cs="宋体"/>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228</Pages>
  <Words>30261</Words>
  <Characters>33301</Characters>
  <Lines>433</Lines>
  <Paragraphs>122</Paragraphs>
  <TotalTime>46</TotalTime>
  <ScaleCrop>false</ScaleCrop>
  <LinksUpToDate>false</LinksUpToDate>
  <CharactersWithSpaces>33510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2024-08-10T09:27:00Z</dcterms:created>
  <dc:creator>Administrator</dc:creator>
  <cp:lastModifiedBy>代理机构</cp:lastModifiedBy>
  <cp:lastPrinted>2024-09-27T14:36:00Z</cp:lastPrinted>
  <dcterms:modified xsi:type="dcterms:W3CDTF">2026-09-04T02:46:11Z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7F71E0915FD449278772526DB1E11822_13</vt:lpwstr>
  </property>
  <property fmtid="{D5CDD505-2E9C-101B-9397-08002B2CF9AE}" pid="4" name="KSOTemplateDocerSaveRecord">
    <vt:lpwstr>eyJoZGlkIjoiNTc0NzA3ZGY5ODQxODNlNjg3OGU1ZmQxYzNkNzVkYmYiLCJ1c2VySWQiOiIxNzkxODM2ODg1In0=</vt:lpwstr>
  </property>
</Properties>
</file>