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8786F">
      <w:pPr>
        <w:spacing w:before="156" w:beforeLines="50" w:line="360" w:lineRule="auto"/>
        <w:rPr>
          <w:rFonts w:ascii="仿宋_GB2312" w:hAnsi="宋体" w:eastAsia="仿宋_GB2312"/>
          <w:b/>
          <w:sz w:val="48"/>
          <w:szCs w:val="48"/>
        </w:rPr>
      </w:pPr>
    </w:p>
    <w:p w14:paraId="55D1F523">
      <w:pPr>
        <w:spacing w:line="360" w:lineRule="auto"/>
        <w:jc w:val="center"/>
        <w:rPr>
          <w:rFonts w:ascii="华文新魏" w:eastAsia="华文新魏"/>
          <w:color w:val="000000"/>
          <w:sz w:val="84"/>
          <w:szCs w:val="84"/>
        </w:rPr>
      </w:pPr>
      <w:r>
        <w:rPr>
          <w:rFonts w:hint="eastAsia" w:ascii="华文新魏" w:eastAsia="华文新魏"/>
          <w:color w:val="000000"/>
          <w:sz w:val="84"/>
          <w:szCs w:val="84"/>
        </w:rPr>
        <w:t>广西国力招标有限公司</w:t>
      </w:r>
    </w:p>
    <w:p w14:paraId="2386408E">
      <w:pPr>
        <w:spacing w:before="156" w:beforeLines="50"/>
        <w:jc w:val="center"/>
        <w:rPr>
          <w:rFonts w:ascii="楷体" w:eastAsia="楷体"/>
          <w:color w:val="000000"/>
          <w:sz w:val="48"/>
          <w:szCs w:val="48"/>
        </w:rPr>
      </w:pPr>
    </w:p>
    <w:p w14:paraId="1B67E822">
      <w:pPr>
        <w:spacing w:before="156" w:beforeLines="50"/>
        <w:jc w:val="center"/>
        <w:rPr>
          <w:rFonts w:ascii="楷体" w:eastAsia="楷体"/>
          <w:color w:val="000000"/>
          <w:sz w:val="72"/>
          <w:szCs w:val="72"/>
        </w:rPr>
      </w:pPr>
      <w:r>
        <w:rPr>
          <w:rFonts w:hint="eastAsia" w:ascii="楷体" w:eastAsia="楷体"/>
          <w:color w:val="000000"/>
          <w:sz w:val="72"/>
          <w:szCs w:val="72"/>
        </w:rPr>
        <w:t>公开招标采购文件</w:t>
      </w:r>
    </w:p>
    <w:p w14:paraId="0CA38E45">
      <w:pPr>
        <w:spacing w:before="156" w:beforeLines="50" w:line="360" w:lineRule="auto"/>
        <w:jc w:val="center"/>
        <w:rPr>
          <w:rFonts w:ascii="宋体" w:hAnsi="宋体" w:eastAsia="仿宋_GB2312" w:cs="宋体"/>
          <w:b/>
          <w:sz w:val="48"/>
          <w:szCs w:val="48"/>
        </w:rPr>
      </w:pPr>
      <w:r>
        <w:rPr>
          <w:rFonts w:ascii="仿宋_GB2312" w:eastAsia="仿宋_GB2312"/>
          <w:b/>
          <w:bCs/>
          <w:sz w:val="30"/>
          <w:szCs w:val="30"/>
        </w:rPr>
        <w:drawing>
          <wp:inline distT="0" distB="0" distL="114300" distR="114300">
            <wp:extent cx="2284730" cy="1624965"/>
            <wp:effectExtent l="0" t="0" r="1270" b="13335"/>
            <wp:docPr id="1" name="图片 3" descr="9470580411503450878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9470580411503450878247"/>
                    <pic:cNvPicPr>
                      <a:picLocks noChangeAspect="1"/>
                    </pic:cNvPicPr>
                  </pic:nvPicPr>
                  <pic:blipFill>
                    <a:blip r:embed="rId16"/>
                    <a:stretch>
                      <a:fillRect/>
                    </a:stretch>
                  </pic:blipFill>
                  <pic:spPr>
                    <a:xfrm>
                      <a:off x="0" y="0"/>
                      <a:ext cx="2284730" cy="1624965"/>
                    </a:xfrm>
                    <a:prstGeom prst="rect">
                      <a:avLst/>
                    </a:prstGeom>
                    <a:noFill/>
                    <a:ln>
                      <a:noFill/>
                    </a:ln>
                  </pic:spPr>
                </pic:pic>
              </a:graphicData>
            </a:graphic>
          </wp:inline>
        </w:drawing>
      </w:r>
      <w:r>
        <w:rPr>
          <w:rFonts w:hint="eastAsia" w:ascii="仿宋_GB2312" w:eastAsia="仿宋_GB2312"/>
          <w:b/>
          <w:bCs/>
          <w:sz w:val="30"/>
          <w:szCs w:val="30"/>
        </w:rPr>
        <w:t xml:space="preserve"> </w:t>
      </w:r>
    </w:p>
    <w:p w14:paraId="6839ED3E">
      <w:pPr>
        <w:spacing w:before="156" w:beforeLines="50" w:line="360" w:lineRule="auto"/>
        <w:jc w:val="center"/>
        <w:rPr>
          <w:rFonts w:ascii="宋体" w:hAnsi="宋体" w:cs="宋体"/>
          <w:b/>
          <w:sz w:val="48"/>
          <w:szCs w:val="48"/>
        </w:rPr>
      </w:pPr>
    </w:p>
    <w:p w14:paraId="7752D5A7">
      <w:pPr>
        <w:snapToGrid w:val="0"/>
        <w:spacing w:before="156" w:beforeLines="50" w:line="360" w:lineRule="auto"/>
        <w:jc w:val="center"/>
        <w:rPr>
          <w:rFonts w:hint="eastAsia" w:ascii="宋体" w:hAnsi="宋体" w:cs="宋体"/>
          <w:sz w:val="30"/>
          <w:szCs w:val="72"/>
        </w:rPr>
      </w:pPr>
      <w:r>
        <w:rPr>
          <w:rFonts w:hint="eastAsia" w:ascii="宋体" w:hAnsi="宋体" w:cs="宋体"/>
          <w:sz w:val="30"/>
          <w:szCs w:val="72"/>
        </w:rPr>
        <w:t>（全流程电子化评标）</w:t>
      </w:r>
    </w:p>
    <w:p w14:paraId="7D4C5AB2">
      <w:pPr>
        <w:snapToGrid w:val="0"/>
        <w:spacing w:before="156" w:beforeLines="50" w:line="600" w:lineRule="exact"/>
        <w:ind w:left="2238" w:leftChars="304" w:hanging="1600" w:hangingChars="500"/>
        <w:jc w:val="left"/>
        <w:rPr>
          <w:rFonts w:ascii="宋体"/>
          <w:b/>
          <w:sz w:val="32"/>
          <w:szCs w:val="96"/>
        </w:rPr>
      </w:pPr>
      <w:r>
        <w:rPr>
          <w:rFonts w:hint="eastAsia" w:ascii="宋体"/>
          <w:b/>
          <w:sz w:val="32"/>
          <w:szCs w:val="96"/>
        </w:rPr>
        <w:t>项目名称：广西壮族自治区民族医院2026年第一批医疗设备采购（重）</w:t>
      </w:r>
    </w:p>
    <w:p w14:paraId="17533531">
      <w:pPr>
        <w:snapToGrid w:val="0"/>
        <w:spacing w:before="156" w:beforeLines="50" w:line="600" w:lineRule="exact"/>
        <w:ind w:firstLine="640" w:firstLineChars="200"/>
        <w:jc w:val="left"/>
        <w:rPr>
          <w:rFonts w:hint="eastAsia" w:ascii="宋体" w:eastAsia="宋体"/>
          <w:b/>
          <w:sz w:val="32"/>
          <w:szCs w:val="96"/>
          <w:lang w:eastAsia="zh-CN"/>
        </w:rPr>
      </w:pPr>
      <w:r>
        <w:rPr>
          <w:rFonts w:hint="eastAsia" w:ascii="宋体"/>
          <w:b/>
          <w:sz w:val="32"/>
          <w:szCs w:val="96"/>
        </w:rPr>
        <w:t>项目编号：</w:t>
      </w:r>
      <w:r>
        <w:rPr>
          <w:rFonts w:hint="eastAsia" w:ascii="宋体"/>
          <w:b/>
          <w:sz w:val="32"/>
          <w:szCs w:val="96"/>
          <w:lang w:eastAsia="zh-CN"/>
        </w:rPr>
        <w:t>CZZC2026-G1-990144-GLZB</w:t>
      </w:r>
    </w:p>
    <w:p w14:paraId="6FDBBB43">
      <w:pPr>
        <w:pBdr>
          <w:bottom w:val="thickThinSmallGap" w:color="auto" w:sz="24" w:space="1"/>
        </w:pBdr>
        <w:snapToGrid w:val="0"/>
        <w:spacing w:before="156" w:beforeLines="50" w:line="600" w:lineRule="exact"/>
        <w:jc w:val="center"/>
        <w:rPr>
          <w:rFonts w:ascii="宋体"/>
          <w:b/>
          <w:color w:val="000000"/>
          <w:sz w:val="32"/>
          <w:szCs w:val="32"/>
        </w:rPr>
      </w:pPr>
      <w:r>
        <w:rPr>
          <w:rFonts w:hint="eastAsia"/>
          <w:b/>
          <w:bCs/>
          <w:sz w:val="32"/>
          <w:szCs w:val="32"/>
        </w:rPr>
        <w:t>（GXGL2026M-G175-Z）</w:t>
      </w:r>
    </w:p>
    <w:p w14:paraId="331B6A4E">
      <w:pPr>
        <w:snapToGrid w:val="0"/>
        <w:spacing w:before="156" w:beforeLines="50" w:line="600" w:lineRule="exact"/>
        <w:ind w:firstLine="2100" w:firstLineChars="700"/>
        <w:rPr>
          <w:rFonts w:ascii="宋体"/>
          <w:b/>
          <w:color w:val="000000"/>
          <w:sz w:val="30"/>
          <w:szCs w:val="72"/>
        </w:rPr>
      </w:pPr>
      <w:r>
        <w:rPr>
          <w:rFonts w:hint="eastAsia" w:ascii="宋体"/>
          <w:b/>
          <w:color w:val="000000"/>
          <w:sz w:val="30"/>
          <w:szCs w:val="72"/>
        </w:rPr>
        <w:t>采   购   人：广西壮族自治区民族医院</w:t>
      </w:r>
    </w:p>
    <w:p w14:paraId="1A4095E0">
      <w:pPr>
        <w:snapToGrid w:val="0"/>
        <w:spacing w:before="156" w:beforeLines="50" w:line="600" w:lineRule="exact"/>
        <w:ind w:firstLine="2100" w:firstLineChars="700"/>
        <w:jc w:val="left"/>
        <w:rPr>
          <w:rFonts w:ascii="宋体"/>
          <w:b/>
          <w:sz w:val="30"/>
          <w:szCs w:val="72"/>
        </w:rPr>
      </w:pPr>
      <w:r>
        <w:rPr>
          <w:rFonts w:hint="eastAsia" w:ascii="宋体"/>
          <w:b/>
          <w:color w:val="000000"/>
          <w:sz w:val="30"/>
          <w:szCs w:val="72"/>
        </w:rPr>
        <w:t>采购代理机构</w:t>
      </w:r>
      <w:r>
        <w:rPr>
          <w:rFonts w:hint="eastAsia" w:ascii="宋体"/>
          <w:b/>
          <w:sz w:val="30"/>
          <w:szCs w:val="72"/>
        </w:rPr>
        <w:t>：广西国力招标有限公司</w:t>
      </w:r>
    </w:p>
    <w:p w14:paraId="08C436CC">
      <w:pPr>
        <w:snapToGrid w:val="0"/>
        <w:spacing w:before="156" w:beforeLines="50" w:line="600" w:lineRule="exact"/>
        <w:jc w:val="center"/>
        <w:rPr>
          <w:rFonts w:ascii="宋体"/>
          <w:b/>
          <w:color w:val="000000"/>
          <w:sz w:val="30"/>
          <w:szCs w:val="72"/>
        </w:rPr>
        <w:sectPr>
          <w:headerReference r:id="rId3" w:type="first"/>
          <w:footerReference r:id="rId6" w:type="first"/>
          <w:footerReference r:id="rId4" w:type="default"/>
          <w:footerReference r:id="rId5" w:type="even"/>
          <w:pgSz w:w="11906" w:h="16838"/>
          <w:pgMar w:top="1134" w:right="892" w:bottom="1134" w:left="1134" w:header="851" w:footer="992" w:gutter="0"/>
          <w:cols w:space="720" w:num="1"/>
          <w:titlePg/>
          <w:docGrid w:type="linesAndChars" w:linePitch="312" w:charSpace="0"/>
        </w:sectPr>
      </w:pPr>
      <w:r>
        <w:rPr>
          <w:rFonts w:hint="eastAsia" w:ascii="宋体"/>
          <w:b/>
          <w:color w:val="000000"/>
          <w:sz w:val="30"/>
          <w:szCs w:val="72"/>
        </w:rPr>
        <w:t>2026年</w:t>
      </w:r>
      <w:r>
        <w:rPr>
          <w:rFonts w:hint="eastAsia" w:ascii="宋体"/>
          <w:b/>
          <w:color w:val="000000"/>
          <w:sz w:val="30"/>
          <w:szCs w:val="72"/>
          <w:lang w:val="en-US" w:eastAsia="zh-CN"/>
        </w:rPr>
        <w:t>8</w:t>
      </w:r>
      <w:r>
        <w:rPr>
          <w:rFonts w:hint="eastAsia" w:ascii="宋体"/>
          <w:b/>
          <w:color w:val="000000"/>
          <w:sz w:val="30"/>
          <w:szCs w:val="72"/>
        </w:rPr>
        <w:t>月</w:t>
      </w:r>
    </w:p>
    <w:p w14:paraId="7E2D93DF">
      <w:pPr>
        <w:spacing w:line="360" w:lineRule="auto"/>
        <w:jc w:val="center"/>
        <w:rPr>
          <w:rFonts w:ascii="宋体" w:hAnsi="宋体" w:cs="宋体"/>
          <w:b/>
          <w:sz w:val="44"/>
          <w:szCs w:val="44"/>
        </w:rPr>
      </w:pPr>
    </w:p>
    <w:p w14:paraId="32B6FA7A">
      <w:pPr>
        <w:spacing w:line="360" w:lineRule="auto"/>
        <w:jc w:val="center"/>
        <w:rPr>
          <w:rFonts w:ascii="宋体" w:hAnsi="宋体" w:cs="宋体"/>
          <w:b/>
          <w:sz w:val="44"/>
          <w:szCs w:val="44"/>
        </w:rPr>
      </w:pPr>
      <w:r>
        <w:rPr>
          <w:rFonts w:hint="eastAsia" w:ascii="宋体" w:hAnsi="宋体" w:cs="宋体"/>
          <w:b/>
          <w:sz w:val="44"/>
          <w:szCs w:val="44"/>
        </w:rPr>
        <w:t>目  录</w:t>
      </w:r>
    </w:p>
    <w:p w14:paraId="2F218974">
      <w:pPr>
        <w:pStyle w:val="34"/>
        <w:tabs>
          <w:tab w:val="right" w:leader="dot" w:pos="9638"/>
          <w:tab w:val="clear" w:pos="8398"/>
        </w:tabs>
        <w:spacing w:before="0" w:after="0"/>
        <w:ind w:firstLine="0" w:firstLineChars="0"/>
        <w:jc w:val="both"/>
        <w:rPr>
          <w:rFonts w:cs="宋体"/>
          <w:sz w:val="28"/>
          <w:szCs w:val="28"/>
        </w:rPr>
      </w:pPr>
      <w:r>
        <w:rPr>
          <w:rFonts w:hint="eastAsia" w:cs="宋体"/>
          <w:b w:val="0"/>
        </w:rPr>
        <w:fldChar w:fldCharType="begin"/>
      </w:r>
      <w:r>
        <w:rPr>
          <w:rFonts w:hint="eastAsia" w:cs="宋体"/>
          <w:b w:val="0"/>
        </w:rPr>
        <w:instrText xml:space="preserve"> TOC \o "1-2" \h \z \u </w:instrText>
      </w:r>
      <w:r>
        <w:rPr>
          <w:rFonts w:hint="eastAsia" w:cs="宋体"/>
          <w:b w:val="0"/>
        </w:rPr>
        <w:fldChar w:fldCharType="separate"/>
      </w:r>
      <w:r>
        <w:fldChar w:fldCharType="begin"/>
      </w:r>
      <w:r>
        <w:instrText xml:space="preserve"> HYPERLINK \l "_Toc17354" </w:instrText>
      </w:r>
      <w:r>
        <w:fldChar w:fldCharType="separate"/>
      </w:r>
      <w:r>
        <w:rPr>
          <w:rFonts w:hint="eastAsia" w:cs="宋体"/>
          <w:sz w:val="28"/>
          <w:szCs w:val="28"/>
        </w:rPr>
        <w:t>第一章  招标公告</w:t>
      </w:r>
      <w:bookmarkStart w:id="0" w:name="_Hlt178582183"/>
      <w:bookmarkStart w:id="1" w:name="_Hlt178582526"/>
      <w:bookmarkStart w:id="2" w:name="_Hlt178589362"/>
      <w:bookmarkStart w:id="3" w:name="_Hlt178582182"/>
      <w:r>
        <w:rPr>
          <w:rFonts w:hint="eastAsia" w:cs="宋体"/>
          <w:sz w:val="28"/>
          <w:szCs w:val="28"/>
        </w:rPr>
        <w:tab/>
      </w:r>
      <w:bookmarkEnd w:id="0"/>
      <w:bookmarkEnd w:id="1"/>
      <w:bookmarkEnd w:id="2"/>
      <w:bookmarkEnd w:id="3"/>
      <w:r>
        <w:rPr>
          <w:rFonts w:hint="eastAsia" w:cs="宋体"/>
          <w:sz w:val="28"/>
          <w:szCs w:val="28"/>
        </w:rPr>
        <w:fldChar w:fldCharType="begin"/>
      </w:r>
      <w:r>
        <w:rPr>
          <w:rFonts w:hint="eastAsia" w:cs="宋体"/>
          <w:sz w:val="28"/>
          <w:szCs w:val="28"/>
        </w:rPr>
        <w:instrText xml:space="preserve"> PAGEREF _Toc17354 \h </w:instrText>
      </w:r>
      <w:r>
        <w:rPr>
          <w:rFonts w:hint="eastAsia" w:cs="宋体"/>
          <w:sz w:val="28"/>
          <w:szCs w:val="28"/>
        </w:rPr>
        <w:fldChar w:fldCharType="separate"/>
      </w:r>
      <w:r>
        <w:rPr>
          <w:rFonts w:hint="eastAsia" w:cs="宋体"/>
          <w:sz w:val="28"/>
          <w:szCs w:val="28"/>
        </w:rPr>
        <w:t>3</w:t>
      </w:r>
      <w:r>
        <w:rPr>
          <w:rFonts w:hint="eastAsia" w:cs="宋体"/>
          <w:sz w:val="28"/>
          <w:szCs w:val="28"/>
        </w:rPr>
        <w:fldChar w:fldCharType="end"/>
      </w:r>
      <w:r>
        <w:rPr>
          <w:rFonts w:hint="eastAsia" w:cs="宋体"/>
          <w:sz w:val="28"/>
          <w:szCs w:val="28"/>
        </w:rPr>
        <w:fldChar w:fldCharType="end"/>
      </w:r>
    </w:p>
    <w:p w14:paraId="75DD8119">
      <w:pPr>
        <w:pStyle w:val="34"/>
        <w:tabs>
          <w:tab w:val="right" w:leader="dot" w:pos="9638"/>
          <w:tab w:val="clear" w:pos="8398"/>
        </w:tabs>
        <w:spacing w:before="0" w:after="0"/>
        <w:ind w:firstLine="0" w:firstLineChars="0"/>
        <w:jc w:val="both"/>
        <w:rPr>
          <w:rFonts w:cs="宋体"/>
          <w:sz w:val="28"/>
          <w:szCs w:val="28"/>
        </w:rPr>
      </w:pPr>
      <w:r>
        <w:fldChar w:fldCharType="begin"/>
      </w:r>
      <w:r>
        <w:instrText xml:space="preserve"> HYPERLINK \l "_Toc1032" </w:instrText>
      </w:r>
      <w:r>
        <w:fldChar w:fldCharType="separate"/>
      </w:r>
      <w:r>
        <w:rPr>
          <w:rFonts w:hint="eastAsia" w:cs="宋体"/>
          <w:kern w:val="44"/>
          <w:sz w:val="28"/>
          <w:szCs w:val="28"/>
        </w:rPr>
        <w:t>第二章  采购需求</w:t>
      </w:r>
      <w:r>
        <w:rPr>
          <w:rFonts w:hint="eastAsia" w:cs="宋体"/>
          <w:sz w:val="28"/>
          <w:szCs w:val="28"/>
        </w:rPr>
        <w:tab/>
      </w:r>
      <w:r>
        <w:rPr>
          <w:rFonts w:hint="eastAsia" w:cs="宋体"/>
          <w:sz w:val="28"/>
          <w:szCs w:val="28"/>
        </w:rPr>
        <w:fldChar w:fldCharType="begin"/>
      </w:r>
      <w:r>
        <w:rPr>
          <w:rFonts w:hint="eastAsia" w:cs="宋体"/>
          <w:sz w:val="28"/>
          <w:szCs w:val="28"/>
        </w:rPr>
        <w:instrText xml:space="preserve"> PAGEREF _Toc1032 \h </w:instrText>
      </w:r>
      <w:r>
        <w:rPr>
          <w:rFonts w:hint="eastAsia" w:cs="宋体"/>
          <w:sz w:val="28"/>
          <w:szCs w:val="28"/>
        </w:rPr>
        <w:fldChar w:fldCharType="separate"/>
      </w:r>
      <w:r>
        <w:rPr>
          <w:rFonts w:hint="eastAsia" w:cs="宋体"/>
          <w:sz w:val="28"/>
          <w:szCs w:val="28"/>
        </w:rPr>
        <w:t>6</w:t>
      </w:r>
      <w:r>
        <w:rPr>
          <w:rFonts w:hint="eastAsia" w:cs="宋体"/>
          <w:sz w:val="28"/>
          <w:szCs w:val="28"/>
        </w:rPr>
        <w:fldChar w:fldCharType="end"/>
      </w:r>
      <w:r>
        <w:rPr>
          <w:rFonts w:hint="eastAsia" w:cs="宋体"/>
          <w:sz w:val="28"/>
          <w:szCs w:val="28"/>
        </w:rPr>
        <w:fldChar w:fldCharType="end"/>
      </w:r>
    </w:p>
    <w:p w14:paraId="5675FD2C">
      <w:pPr>
        <w:pStyle w:val="34"/>
        <w:tabs>
          <w:tab w:val="right" w:leader="dot" w:pos="9638"/>
          <w:tab w:val="clear" w:pos="8398"/>
        </w:tabs>
        <w:spacing w:before="0" w:after="0"/>
        <w:ind w:firstLine="0" w:firstLineChars="0"/>
        <w:jc w:val="both"/>
        <w:rPr>
          <w:rFonts w:cs="宋体"/>
          <w:sz w:val="28"/>
          <w:szCs w:val="28"/>
        </w:rPr>
      </w:pPr>
      <w:r>
        <w:fldChar w:fldCharType="begin"/>
      </w:r>
      <w:r>
        <w:instrText xml:space="preserve"> HYPERLINK \l "_Toc22141" </w:instrText>
      </w:r>
      <w:r>
        <w:fldChar w:fldCharType="separate"/>
      </w:r>
      <w:r>
        <w:rPr>
          <w:rFonts w:hint="eastAsia" w:cs="宋体"/>
          <w:kern w:val="44"/>
          <w:sz w:val="28"/>
          <w:szCs w:val="28"/>
        </w:rPr>
        <w:t>第三章  投标人须知</w:t>
      </w:r>
      <w:r>
        <w:rPr>
          <w:rFonts w:hint="eastAsia" w:cs="宋体"/>
          <w:sz w:val="28"/>
          <w:szCs w:val="28"/>
        </w:rPr>
        <w:tab/>
      </w:r>
      <w:r>
        <w:rPr>
          <w:rFonts w:hint="eastAsia" w:cs="宋体"/>
          <w:sz w:val="28"/>
          <w:szCs w:val="28"/>
        </w:rPr>
        <w:fldChar w:fldCharType="begin"/>
      </w:r>
      <w:r>
        <w:rPr>
          <w:rFonts w:hint="eastAsia" w:cs="宋体"/>
          <w:sz w:val="28"/>
          <w:szCs w:val="28"/>
        </w:rPr>
        <w:instrText xml:space="preserve"> PAGEREF _Toc22141 \h </w:instrText>
      </w:r>
      <w:r>
        <w:rPr>
          <w:rFonts w:hint="eastAsia" w:cs="宋体"/>
          <w:sz w:val="28"/>
          <w:szCs w:val="28"/>
        </w:rPr>
        <w:fldChar w:fldCharType="separate"/>
      </w:r>
      <w:r>
        <w:rPr>
          <w:rFonts w:hint="eastAsia" w:cs="宋体"/>
          <w:sz w:val="28"/>
          <w:szCs w:val="28"/>
        </w:rPr>
        <w:t>32</w:t>
      </w:r>
      <w:r>
        <w:rPr>
          <w:rFonts w:hint="eastAsia" w:cs="宋体"/>
          <w:sz w:val="28"/>
          <w:szCs w:val="28"/>
        </w:rPr>
        <w:fldChar w:fldCharType="end"/>
      </w:r>
      <w:r>
        <w:rPr>
          <w:rFonts w:hint="eastAsia" w:cs="宋体"/>
          <w:sz w:val="28"/>
          <w:szCs w:val="28"/>
        </w:rPr>
        <w:fldChar w:fldCharType="end"/>
      </w:r>
    </w:p>
    <w:p w14:paraId="246FB27B">
      <w:pPr>
        <w:pStyle w:val="40"/>
        <w:tabs>
          <w:tab w:val="right" w:leader="dot" w:pos="9638"/>
        </w:tabs>
        <w:ind w:left="0" w:leftChars="0"/>
        <w:rPr>
          <w:rFonts w:ascii="宋体" w:hAnsi="宋体" w:cs="宋体"/>
          <w:sz w:val="28"/>
          <w:szCs w:val="28"/>
        </w:rPr>
      </w:pPr>
      <w:r>
        <w:fldChar w:fldCharType="begin"/>
      </w:r>
      <w:r>
        <w:instrText xml:space="preserve"> HYPERLINK \l "_Toc18625" </w:instrText>
      </w:r>
      <w:r>
        <w:fldChar w:fldCharType="separate"/>
      </w:r>
      <w:r>
        <w:rPr>
          <w:rFonts w:hint="eastAsia" w:ascii="宋体" w:hAnsi="宋体" w:cs="宋体"/>
          <w:sz w:val="28"/>
          <w:szCs w:val="28"/>
        </w:rPr>
        <w:t>第一节 投标人须知前附表</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_Toc18625 \h </w:instrText>
      </w:r>
      <w:r>
        <w:rPr>
          <w:rFonts w:hint="eastAsia" w:ascii="宋体" w:hAnsi="宋体" w:cs="宋体"/>
          <w:sz w:val="28"/>
          <w:szCs w:val="28"/>
        </w:rPr>
        <w:fldChar w:fldCharType="separate"/>
      </w:r>
      <w:r>
        <w:rPr>
          <w:rFonts w:hint="eastAsia" w:ascii="宋体" w:hAnsi="宋体" w:cs="宋体"/>
          <w:sz w:val="28"/>
          <w:szCs w:val="28"/>
        </w:rPr>
        <w:t>32</w:t>
      </w:r>
      <w:r>
        <w:rPr>
          <w:rFonts w:hint="eastAsia" w:ascii="宋体" w:hAnsi="宋体" w:cs="宋体"/>
          <w:sz w:val="28"/>
          <w:szCs w:val="28"/>
        </w:rPr>
        <w:fldChar w:fldCharType="end"/>
      </w:r>
      <w:r>
        <w:rPr>
          <w:rFonts w:hint="eastAsia" w:ascii="宋体" w:hAnsi="宋体" w:cs="宋体"/>
          <w:sz w:val="28"/>
          <w:szCs w:val="28"/>
        </w:rPr>
        <w:fldChar w:fldCharType="end"/>
      </w:r>
    </w:p>
    <w:p w14:paraId="6EBB4D32">
      <w:pPr>
        <w:pStyle w:val="40"/>
        <w:tabs>
          <w:tab w:val="right" w:leader="dot" w:pos="9638"/>
        </w:tabs>
        <w:ind w:left="0" w:leftChars="0"/>
        <w:rPr>
          <w:rFonts w:ascii="宋体" w:hAnsi="宋体" w:cs="宋体"/>
          <w:sz w:val="28"/>
          <w:szCs w:val="28"/>
        </w:rPr>
      </w:pPr>
      <w:r>
        <w:fldChar w:fldCharType="begin"/>
      </w:r>
      <w:r>
        <w:instrText xml:space="preserve"> HYPERLINK \l "_Toc2940" </w:instrText>
      </w:r>
      <w:r>
        <w:fldChar w:fldCharType="separate"/>
      </w:r>
      <w:r>
        <w:rPr>
          <w:rFonts w:hint="eastAsia" w:ascii="宋体" w:hAnsi="宋体" w:cs="宋体"/>
          <w:sz w:val="28"/>
          <w:szCs w:val="28"/>
        </w:rPr>
        <w:t>第二节 投标人须知正文</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_Toc2940 \h </w:instrText>
      </w:r>
      <w:r>
        <w:rPr>
          <w:rFonts w:hint="eastAsia" w:ascii="宋体" w:hAnsi="宋体" w:cs="宋体"/>
          <w:sz w:val="28"/>
          <w:szCs w:val="28"/>
        </w:rPr>
        <w:fldChar w:fldCharType="separate"/>
      </w:r>
      <w:r>
        <w:rPr>
          <w:rFonts w:hint="eastAsia" w:ascii="宋体" w:hAnsi="宋体" w:cs="宋体"/>
          <w:sz w:val="28"/>
          <w:szCs w:val="28"/>
        </w:rPr>
        <w:t>39</w:t>
      </w:r>
      <w:r>
        <w:rPr>
          <w:rFonts w:hint="eastAsia" w:ascii="宋体" w:hAnsi="宋体" w:cs="宋体"/>
          <w:sz w:val="28"/>
          <w:szCs w:val="28"/>
        </w:rPr>
        <w:fldChar w:fldCharType="end"/>
      </w:r>
      <w:r>
        <w:rPr>
          <w:rFonts w:hint="eastAsia" w:ascii="宋体" w:hAnsi="宋体" w:cs="宋体"/>
          <w:sz w:val="28"/>
          <w:szCs w:val="28"/>
        </w:rPr>
        <w:fldChar w:fldCharType="end"/>
      </w:r>
    </w:p>
    <w:p w14:paraId="72120E3B">
      <w:pPr>
        <w:pStyle w:val="34"/>
        <w:tabs>
          <w:tab w:val="right" w:leader="dot" w:pos="9638"/>
          <w:tab w:val="clear" w:pos="8398"/>
        </w:tabs>
        <w:spacing w:before="0" w:after="0"/>
        <w:ind w:firstLine="0" w:firstLineChars="0"/>
        <w:jc w:val="both"/>
        <w:rPr>
          <w:rFonts w:cs="宋体"/>
          <w:sz w:val="28"/>
          <w:szCs w:val="28"/>
        </w:rPr>
      </w:pPr>
      <w:r>
        <w:fldChar w:fldCharType="begin"/>
      </w:r>
      <w:r>
        <w:instrText xml:space="preserve"> HYPERLINK \l "_Toc13156" </w:instrText>
      </w:r>
      <w:r>
        <w:fldChar w:fldCharType="separate"/>
      </w:r>
      <w:r>
        <w:rPr>
          <w:rFonts w:hint="eastAsia" w:cs="宋体"/>
          <w:kern w:val="44"/>
          <w:sz w:val="28"/>
          <w:szCs w:val="28"/>
        </w:rPr>
        <w:t>第四章  评标方法及评标标准</w:t>
      </w:r>
      <w:r>
        <w:rPr>
          <w:rFonts w:hint="eastAsia" w:cs="宋体"/>
          <w:sz w:val="28"/>
          <w:szCs w:val="28"/>
        </w:rPr>
        <w:tab/>
      </w:r>
      <w:r>
        <w:rPr>
          <w:rFonts w:hint="eastAsia" w:cs="宋体"/>
          <w:sz w:val="28"/>
          <w:szCs w:val="28"/>
        </w:rPr>
        <w:fldChar w:fldCharType="begin"/>
      </w:r>
      <w:r>
        <w:rPr>
          <w:rFonts w:hint="eastAsia" w:cs="宋体"/>
          <w:sz w:val="28"/>
          <w:szCs w:val="28"/>
        </w:rPr>
        <w:instrText xml:space="preserve"> PAGEREF _Toc13156 \h </w:instrText>
      </w:r>
      <w:r>
        <w:rPr>
          <w:rFonts w:hint="eastAsia" w:cs="宋体"/>
          <w:sz w:val="28"/>
          <w:szCs w:val="28"/>
        </w:rPr>
        <w:fldChar w:fldCharType="separate"/>
      </w:r>
      <w:r>
        <w:rPr>
          <w:rFonts w:hint="eastAsia" w:cs="宋体"/>
          <w:sz w:val="28"/>
          <w:szCs w:val="28"/>
        </w:rPr>
        <w:t>52</w:t>
      </w:r>
      <w:r>
        <w:rPr>
          <w:rFonts w:hint="eastAsia" w:cs="宋体"/>
          <w:sz w:val="28"/>
          <w:szCs w:val="28"/>
        </w:rPr>
        <w:fldChar w:fldCharType="end"/>
      </w:r>
      <w:r>
        <w:rPr>
          <w:rFonts w:hint="eastAsia" w:cs="宋体"/>
          <w:sz w:val="28"/>
          <w:szCs w:val="28"/>
        </w:rPr>
        <w:fldChar w:fldCharType="end"/>
      </w:r>
    </w:p>
    <w:p w14:paraId="3EFCDF8E">
      <w:pPr>
        <w:pStyle w:val="40"/>
        <w:tabs>
          <w:tab w:val="right" w:leader="dot" w:pos="9638"/>
        </w:tabs>
        <w:ind w:left="0" w:leftChars="0"/>
        <w:rPr>
          <w:rFonts w:ascii="宋体" w:hAnsi="宋体" w:cs="宋体"/>
          <w:sz w:val="28"/>
          <w:szCs w:val="28"/>
        </w:rPr>
      </w:pPr>
      <w:r>
        <w:fldChar w:fldCharType="begin"/>
      </w:r>
      <w:r>
        <w:instrText xml:space="preserve"> HYPERLINK \l "_Toc30032" </w:instrText>
      </w:r>
      <w:r>
        <w:fldChar w:fldCharType="separate"/>
      </w:r>
      <w:r>
        <w:rPr>
          <w:rFonts w:hint="eastAsia" w:ascii="宋体" w:hAnsi="宋体" w:cs="宋体"/>
          <w:bCs/>
          <w:sz w:val="28"/>
          <w:szCs w:val="28"/>
        </w:rPr>
        <w:t>第一节 评标方法</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_Toc30032 \h </w:instrText>
      </w:r>
      <w:r>
        <w:rPr>
          <w:rFonts w:hint="eastAsia" w:ascii="宋体" w:hAnsi="宋体" w:cs="宋体"/>
          <w:sz w:val="28"/>
          <w:szCs w:val="28"/>
        </w:rPr>
        <w:fldChar w:fldCharType="separate"/>
      </w:r>
      <w:r>
        <w:rPr>
          <w:rFonts w:hint="eastAsia" w:ascii="宋体" w:hAnsi="宋体" w:cs="宋体"/>
          <w:sz w:val="28"/>
          <w:szCs w:val="28"/>
        </w:rPr>
        <w:t>52</w:t>
      </w:r>
      <w:r>
        <w:rPr>
          <w:rFonts w:hint="eastAsia" w:ascii="宋体" w:hAnsi="宋体" w:cs="宋体"/>
          <w:sz w:val="28"/>
          <w:szCs w:val="28"/>
        </w:rPr>
        <w:fldChar w:fldCharType="end"/>
      </w:r>
      <w:r>
        <w:rPr>
          <w:rFonts w:hint="eastAsia" w:ascii="宋体" w:hAnsi="宋体" w:cs="宋体"/>
          <w:sz w:val="28"/>
          <w:szCs w:val="28"/>
        </w:rPr>
        <w:fldChar w:fldCharType="end"/>
      </w:r>
    </w:p>
    <w:p w14:paraId="1D7157A3">
      <w:pPr>
        <w:pStyle w:val="40"/>
        <w:tabs>
          <w:tab w:val="right" w:leader="dot" w:pos="9638"/>
        </w:tabs>
        <w:ind w:left="0" w:leftChars="0"/>
        <w:rPr>
          <w:rFonts w:ascii="宋体" w:hAnsi="宋体" w:cs="宋体"/>
          <w:sz w:val="28"/>
          <w:szCs w:val="28"/>
        </w:rPr>
      </w:pPr>
      <w:r>
        <w:fldChar w:fldCharType="begin"/>
      </w:r>
      <w:r>
        <w:instrText xml:space="preserve"> HYPERLINK \l "_Toc9427" </w:instrText>
      </w:r>
      <w:r>
        <w:fldChar w:fldCharType="separate"/>
      </w:r>
      <w:r>
        <w:rPr>
          <w:rFonts w:hint="eastAsia" w:ascii="宋体" w:hAnsi="宋体" w:cs="宋体"/>
          <w:bCs/>
          <w:sz w:val="28"/>
          <w:szCs w:val="28"/>
        </w:rPr>
        <w:t>第二节 评标程序</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_Toc9427 \h </w:instrText>
      </w:r>
      <w:r>
        <w:rPr>
          <w:rFonts w:hint="eastAsia" w:ascii="宋体" w:hAnsi="宋体" w:cs="宋体"/>
          <w:sz w:val="28"/>
          <w:szCs w:val="28"/>
        </w:rPr>
        <w:fldChar w:fldCharType="separate"/>
      </w:r>
      <w:r>
        <w:rPr>
          <w:rFonts w:hint="eastAsia" w:ascii="宋体" w:hAnsi="宋体" w:cs="宋体"/>
          <w:sz w:val="28"/>
          <w:szCs w:val="28"/>
        </w:rPr>
        <w:t>52</w:t>
      </w:r>
      <w:r>
        <w:rPr>
          <w:rFonts w:hint="eastAsia" w:ascii="宋体" w:hAnsi="宋体" w:cs="宋体"/>
          <w:sz w:val="28"/>
          <w:szCs w:val="28"/>
        </w:rPr>
        <w:fldChar w:fldCharType="end"/>
      </w:r>
      <w:r>
        <w:rPr>
          <w:rFonts w:hint="eastAsia" w:ascii="宋体" w:hAnsi="宋体" w:cs="宋体"/>
          <w:sz w:val="28"/>
          <w:szCs w:val="28"/>
        </w:rPr>
        <w:fldChar w:fldCharType="end"/>
      </w:r>
    </w:p>
    <w:p w14:paraId="0331164A">
      <w:pPr>
        <w:pStyle w:val="40"/>
        <w:tabs>
          <w:tab w:val="right" w:leader="dot" w:pos="9638"/>
        </w:tabs>
        <w:ind w:left="0" w:leftChars="0"/>
        <w:rPr>
          <w:rFonts w:ascii="宋体" w:hAnsi="宋体" w:cs="宋体"/>
          <w:sz w:val="28"/>
          <w:szCs w:val="28"/>
        </w:rPr>
      </w:pPr>
      <w:r>
        <w:fldChar w:fldCharType="begin"/>
      </w:r>
      <w:r>
        <w:instrText xml:space="preserve"> HYPERLINK \l "_Toc4066" </w:instrText>
      </w:r>
      <w:r>
        <w:fldChar w:fldCharType="separate"/>
      </w:r>
      <w:r>
        <w:rPr>
          <w:rFonts w:hint="eastAsia" w:ascii="宋体" w:hAnsi="宋体" w:cs="宋体"/>
          <w:bCs/>
          <w:sz w:val="28"/>
          <w:szCs w:val="28"/>
        </w:rPr>
        <w:t>第三节 评分标准</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_Toc4066 \h </w:instrText>
      </w:r>
      <w:r>
        <w:rPr>
          <w:rFonts w:hint="eastAsia" w:ascii="宋体" w:hAnsi="宋体" w:cs="宋体"/>
          <w:sz w:val="28"/>
          <w:szCs w:val="28"/>
        </w:rPr>
        <w:fldChar w:fldCharType="separate"/>
      </w:r>
      <w:r>
        <w:rPr>
          <w:rFonts w:hint="eastAsia" w:ascii="宋体" w:hAnsi="宋体" w:cs="宋体"/>
          <w:sz w:val="28"/>
          <w:szCs w:val="28"/>
        </w:rPr>
        <w:t>54</w:t>
      </w:r>
      <w:r>
        <w:rPr>
          <w:rFonts w:hint="eastAsia" w:ascii="宋体" w:hAnsi="宋体" w:cs="宋体"/>
          <w:sz w:val="28"/>
          <w:szCs w:val="28"/>
        </w:rPr>
        <w:fldChar w:fldCharType="end"/>
      </w:r>
      <w:r>
        <w:rPr>
          <w:rFonts w:hint="eastAsia" w:ascii="宋体" w:hAnsi="宋体" w:cs="宋体"/>
          <w:sz w:val="28"/>
          <w:szCs w:val="28"/>
        </w:rPr>
        <w:fldChar w:fldCharType="end"/>
      </w:r>
    </w:p>
    <w:p w14:paraId="5617DECC">
      <w:pPr>
        <w:pStyle w:val="40"/>
        <w:tabs>
          <w:tab w:val="right" w:leader="dot" w:pos="9638"/>
        </w:tabs>
        <w:ind w:left="0" w:leftChars="0"/>
        <w:rPr>
          <w:rFonts w:ascii="宋体" w:hAnsi="宋体" w:cs="宋体"/>
          <w:sz w:val="28"/>
          <w:szCs w:val="28"/>
        </w:rPr>
      </w:pPr>
      <w:r>
        <w:fldChar w:fldCharType="begin"/>
      </w:r>
      <w:r>
        <w:instrText xml:space="preserve"> HYPERLINK \l "_Toc5530" </w:instrText>
      </w:r>
      <w:r>
        <w:fldChar w:fldCharType="separate"/>
      </w:r>
      <w:r>
        <w:rPr>
          <w:rFonts w:hint="eastAsia" w:ascii="宋体" w:hAnsi="宋体" w:cs="宋体"/>
          <w:bCs/>
          <w:sz w:val="28"/>
          <w:szCs w:val="28"/>
        </w:rPr>
        <w:t>第四节 中标候选人推荐原则</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_Toc5530 \h </w:instrText>
      </w:r>
      <w:r>
        <w:rPr>
          <w:rFonts w:hint="eastAsia" w:ascii="宋体" w:hAnsi="宋体" w:cs="宋体"/>
          <w:sz w:val="28"/>
          <w:szCs w:val="28"/>
        </w:rPr>
        <w:fldChar w:fldCharType="separate"/>
      </w:r>
      <w:r>
        <w:rPr>
          <w:rFonts w:hint="eastAsia" w:ascii="宋体" w:hAnsi="宋体" w:cs="宋体"/>
          <w:sz w:val="28"/>
          <w:szCs w:val="28"/>
        </w:rPr>
        <w:t>60</w:t>
      </w:r>
      <w:r>
        <w:rPr>
          <w:rFonts w:hint="eastAsia" w:ascii="宋体" w:hAnsi="宋体" w:cs="宋体"/>
          <w:sz w:val="28"/>
          <w:szCs w:val="28"/>
        </w:rPr>
        <w:fldChar w:fldCharType="end"/>
      </w:r>
      <w:r>
        <w:rPr>
          <w:rFonts w:hint="eastAsia" w:ascii="宋体" w:hAnsi="宋体" w:cs="宋体"/>
          <w:sz w:val="28"/>
          <w:szCs w:val="28"/>
        </w:rPr>
        <w:fldChar w:fldCharType="end"/>
      </w:r>
    </w:p>
    <w:p w14:paraId="6B494A5B">
      <w:pPr>
        <w:pStyle w:val="40"/>
        <w:tabs>
          <w:tab w:val="right" w:leader="dot" w:pos="9638"/>
        </w:tabs>
        <w:ind w:left="0" w:leftChars="0"/>
        <w:rPr>
          <w:rFonts w:ascii="宋体" w:hAnsi="宋体" w:cs="宋体"/>
          <w:sz w:val="28"/>
          <w:szCs w:val="28"/>
        </w:rPr>
      </w:pPr>
      <w:r>
        <w:fldChar w:fldCharType="begin"/>
      </w:r>
      <w:r>
        <w:instrText xml:space="preserve"> HYPERLINK \l "_Toc21687" </w:instrText>
      </w:r>
      <w:r>
        <w:fldChar w:fldCharType="separate"/>
      </w:r>
      <w:r>
        <w:rPr>
          <w:rFonts w:hint="eastAsia" w:ascii="宋体" w:hAnsi="宋体" w:cs="宋体"/>
          <w:bCs/>
          <w:sz w:val="28"/>
          <w:szCs w:val="28"/>
        </w:rPr>
        <w:t>第五节 评标报告</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_Toc21687 \h </w:instrText>
      </w:r>
      <w:r>
        <w:rPr>
          <w:rFonts w:hint="eastAsia" w:ascii="宋体" w:hAnsi="宋体" w:cs="宋体"/>
          <w:sz w:val="28"/>
          <w:szCs w:val="28"/>
        </w:rPr>
        <w:fldChar w:fldCharType="separate"/>
      </w:r>
      <w:r>
        <w:rPr>
          <w:rFonts w:hint="eastAsia" w:ascii="宋体" w:hAnsi="宋体" w:cs="宋体"/>
          <w:sz w:val="28"/>
          <w:szCs w:val="28"/>
        </w:rPr>
        <w:t>61</w:t>
      </w:r>
      <w:r>
        <w:rPr>
          <w:rFonts w:hint="eastAsia" w:ascii="宋体" w:hAnsi="宋体" w:cs="宋体"/>
          <w:sz w:val="28"/>
          <w:szCs w:val="28"/>
        </w:rPr>
        <w:fldChar w:fldCharType="end"/>
      </w:r>
      <w:r>
        <w:rPr>
          <w:rFonts w:hint="eastAsia" w:ascii="宋体" w:hAnsi="宋体" w:cs="宋体"/>
          <w:sz w:val="28"/>
          <w:szCs w:val="28"/>
        </w:rPr>
        <w:fldChar w:fldCharType="end"/>
      </w:r>
    </w:p>
    <w:p w14:paraId="1AAF3D8B">
      <w:pPr>
        <w:pStyle w:val="34"/>
        <w:tabs>
          <w:tab w:val="right" w:leader="dot" w:pos="9638"/>
          <w:tab w:val="clear" w:pos="8398"/>
        </w:tabs>
        <w:spacing w:before="0" w:after="0"/>
        <w:ind w:firstLine="0" w:firstLineChars="0"/>
        <w:jc w:val="both"/>
        <w:rPr>
          <w:rFonts w:cs="宋体"/>
          <w:sz w:val="28"/>
          <w:szCs w:val="28"/>
        </w:rPr>
      </w:pPr>
      <w:r>
        <w:fldChar w:fldCharType="begin"/>
      </w:r>
      <w:r>
        <w:instrText xml:space="preserve"> HYPERLINK \l "_Toc30664" </w:instrText>
      </w:r>
      <w:r>
        <w:fldChar w:fldCharType="separate"/>
      </w:r>
      <w:r>
        <w:rPr>
          <w:rFonts w:hint="eastAsia" w:cs="宋体"/>
          <w:kern w:val="44"/>
          <w:sz w:val="28"/>
          <w:szCs w:val="28"/>
        </w:rPr>
        <w:t>第五章  拟签订的合同文本</w:t>
      </w:r>
      <w:r>
        <w:rPr>
          <w:rFonts w:hint="eastAsia" w:cs="宋体"/>
          <w:sz w:val="28"/>
          <w:szCs w:val="28"/>
        </w:rPr>
        <w:tab/>
      </w:r>
      <w:r>
        <w:rPr>
          <w:rFonts w:hint="eastAsia" w:cs="宋体"/>
          <w:sz w:val="28"/>
          <w:szCs w:val="28"/>
        </w:rPr>
        <w:fldChar w:fldCharType="begin"/>
      </w:r>
      <w:r>
        <w:rPr>
          <w:rFonts w:hint="eastAsia" w:cs="宋体"/>
          <w:sz w:val="28"/>
          <w:szCs w:val="28"/>
        </w:rPr>
        <w:instrText xml:space="preserve"> PAGEREF _Toc30664 \h </w:instrText>
      </w:r>
      <w:r>
        <w:rPr>
          <w:rFonts w:hint="eastAsia" w:cs="宋体"/>
          <w:sz w:val="28"/>
          <w:szCs w:val="28"/>
        </w:rPr>
        <w:fldChar w:fldCharType="separate"/>
      </w:r>
      <w:r>
        <w:rPr>
          <w:rFonts w:hint="eastAsia" w:cs="宋体"/>
          <w:sz w:val="28"/>
          <w:szCs w:val="28"/>
        </w:rPr>
        <w:t>62</w:t>
      </w:r>
      <w:r>
        <w:rPr>
          <w:rFonts w:hint="eastAsia" w:cs="宋体"/>
          <w:sz w:val="28"/>
          <w:szCs w:val="28"/>
        </w:rPr>
        <w:fldChar w:fldCharType="end"/>
      </w:r>
      <w:r>
        <w:rPr>
          <w:rFonts w:hint="eastAsia" w:cs="宋体"/>
          <w:sz w:val="28"/>
          <w:szCs w:val="28"/>
        </w:rPr>
        <w:fldChar w:fldCharType="end"/>
      </w:r>
    </w:p>
    <w:p w14:paraId="3118996B">
      <w:pPr>
        <w:pStyle w:val="34"/>
        <w:tabs>
          <w:tab w:val="right" w:leader="dot" w:pos="9638"/>
          <w:tab w:val="clear" w:pos="8398"/>
        </w:tabs>
        <w:spacing w:before="0" w:after="0"/>
        <w:ind w:firstLine="0" w:firstLineChars="0"/>
        <w:jc w:val="both"/>
      </w:pPr>
      <w:r>
        <w:fldChar w:fldCharType="begin"/>
      </w:r>
      <w:r>
        <w:instrText xml:space="preserve"> HYPERLINK \l "_Toc14105" </w:instrText>
      </w:r>
      <w:r>
        <w:fldChar w:fldCharType="separate"/>
      </w:r>
      <w:r>
        <w:rPr>
          <w:rFonts w:hint="eastAsia" w:cs="宋体"/>
          <w:kern w:val="44"/>
          <w:sz w:val="28"/>
          <w:szCs w:val="28"/>
        </w:rPr>
        <w:t>第六章  投标文件格式</w:t>
      </w:r>
      <w:r>
        <w:rPr>
          <w:rFonts w:hint="eastAsia" w:cs="宋体"/>
          <w:sz w:val="28"/>
          <w:szCs w:val="28"/>
        </w:rPr>
        <w:tab/>
      </w:r>
      <w:r>
        <w:rPr>
          <w:rFonts w:hint="eastAsia" w:cs="宋体"/>
          <w:sz w:val="28"/>
          <w:szCs w:val="28"/>
        </w:rPr>
        <w:fldChar w:fldCharType="begin"/>
      </w:r>
      <w:r>
        <w:rPr>
          <w:rFonts w:hint="eastAsia" w:cs="宋体"/>
          <w:sz w:val="28"/>
          <w:szCs w:val="28"/>
        </w:rPr>
        <w:instrText xml:space="preserve"> PAGEREF _Toc14105 \h </w:instrText>
      </w:r>
      <w:r>
        <w:rPr>
          <w:rFonts w:hint="eastAsia" w:cs="宋体"/>
          <w:sz w:val="28"/>
          <w:szCs w:val="28"/>
        </w:rPr>
        <w:fldChar w:fldCharType="separate"/>
      </w:r>
      <w:r>
        <w:rPr>
          <w:rFonts w:hint="eastAsia" w:cs="宋体"/>
          <w:sz w:val="28"/>
          <w:szCs w:val="28"/>
        </w:rPr>
        <w:t>72</w:t>
      </w:r>
      <w:r>
        <w:rPr>
          <w:rFonts w:hint="eastAsia" w:cs="宋体"/>
          <w:sz w:val="28"/>
          <w:szCs w:val="28"/>
        </w:rPr>
        <w:fldChar w:fldCharType="end"/>
      </w:r>
      <w:r>
        <w:rPr>
          <w:rFonts w:hint="eastAsia" w:cs="宋体"/>
          <w:sz w:val="28"/>
          <w:szCs w:val="28"/>
        </w:rPr>
        <w:fldChar w:fldCharType="end"/>
      </w:r>
    </w:p>
    <w:p w14:paraId="51355459">
      <w:pPr>
        <w:spacing w:before="165" w:beforeLines="50" w:line="480" w:lineRule="exact"/>
        <w:jc w:val="center"/>
        <w:rPr>
          <w:rFonts w:ascii="宋体" w:hAnsi="宋体" w:cs="宋体"/>
          <w:sz w:val="24"/>
        </w:rPr>
      </w:pPr>
      <w:r>
        <w:rPr>
          <w:rFonts w:hint="eastAsia" w:ascii="宋体" w:hAnsi="宋体" w:cs="宋体"/>
        </w:rPr>
        <w:fldChar w:fldCharType="end"/>
      </w:r>
    </w:p>
    <w:p w14:paraId="1F4C17FF">
      <w:pPr>
        <w:jc w:val="center"/>
        <w:rPr>
          <w:rFonts w:ascii="宋体" w:hAnsi="宋体" w:cs="宋体"/>
        </w:rPr>
      </w:pPr>
    </w:p>
    <w:p w14:paraId="22DF95A9">
      <w:pPr>
        <w:spacing w:before="165" w:beforeLines="50" w:line="480" w:lineRule="exact"/>
        <w:rPr>
          <w:rFonts w:ascii="宋体" w:hAnsi="宋体" w:cs="宋体"/>
          <w:sz w:val="30"/>
        </w:rPr>
      </w:pPr>
    </w:p>
    <w:p w14:paraId="1284FFA6">
      <w:pPr>
        <w:pStyle w:val="2"/>
        <w:spacing w:before="0" w:after="0" w:line="600" w:lineRule="auto"/>
        <w:jc w:val="center"/>
        <w:rPr>
          <w:rFonts w:ascii="宋体" w:hAnsi="宋体" w:cs="宋体"/>
        </w:rPr>
        <w:sectPr>
          <w:headerReference r:id="rId7" w:type="default"/>
          <w:footerReference r:id="rId8" w:type="default"/>
          <w:pgSz w:w="11906" w:h="16838"/>
          <w:pgMar w:top="1134" w:right="1134" w:bottom="1134" w:left="1134" w:header="720" w:footer="720" w:gutter="0"/>
          <w:cols w:space="720" w:num="1"/>
          <w:docGrid w:type="lines" w:linePitch="331" w:charSpace="0"/>
        </w:sectPr>
      </w:pPr>
      <w:bookmarkStart w:id="4" w:name="_Toc254970630"/>
      <w:bookmarkStart w:id="5" w:name="_Toc254970489"/>
    </w:p>
    <w:p w14:paraId="6F30AA35">
      <w:pPr>
        <w:pStyle w:val="2"/>
        <w:tabs>
          <w:tab w:val="left" w:pos="5670"/>
        </w:tabs>
        <w:spacing w:before="0" w:after="0" w:line="360" w:lineRule="auto"/>
        <w:jc w:val="center"/>
        <w:rPr>
          <w:rFonts w:ascii="宋体" w:hAnsi="宋体" w:cs="宋体"/>
        </w:rPr>
      </w:pPr>
      <w:bookmarkStart w:id="6" w:name="_Toc17354"/>
      <w:r>
        <w:rPr>
          <w:rFonts w:hint="eastAsia" w:ascii="宋体" w:hAnsi="宋体" w:cs="宋体"/>
        </w:rPr>
        <w:t>第一章</w:t>
      </w:r>
      <w:bookmarkEnd w:id="4"/>
      <w:bookmarkEnd w:id="5"/>
      <w:bookmarkStart w:id="7" w:name="_Toc28359001"/>
      <w:bookmarkStart w:id="8" w:name="_Toc35393789"/>
      <w:r>
        <w:rPr>
          <w:rFonts w:hint="eastAsia" w:ascii="宋体" w:hAnsi="宋体" w:cs="宋体"/>
        </w:rPr>
        <w:t xml:space="preserve">  招标公告</w:t>
      </w:r>
      <w:bookmarkEnd w:id="6"/>
      <w:bookmarkEnd w:id="7"/>
      <w:bookmarkEnd w:id="8"/>
    </w:p>
    <w:p w14:paraId="702A1127">
      <w:pPr>
        <w:spacing w:line="400" w:lineRule="exact"/>
        <w:jc w:val="center"/>
      </w:pPr>
      <w:r>
        <w:rPr>
          <w:rFonts w:hint="eastAsia"/>
          <w:b/>
          <w:bCs/>
          <w:sz w:val="32"/>
          <w:szCs w:val="32"/>
        </w:rPr>
        <w:t>广西国力招标有限公司关于广西壮族自治区民族医院2026年第一批医疗设备采购（重）（</w:t>
      </w:r>
      <w:r>
        <w:rPr>
          <w:rFonts w:hint="eastAsia"/>
          <w:b/>
          <w:bCs/>
          <w:sz w:val="32"/>
          <w:szCs w:val="32"/>
          <w:lang w:eastAsia="zh-CN"/>
        </w:rPr>
        <w:t>CZZC2026-G1-990144-GLZB</w:t>
      </w:r>
      <w:r>
        <w:rPr>
          <w:rFonts w:hint="eastAsia"/>
          <w:b/>
          <w:bCs/>
          <w:sz w:val="32"/>
          <w:szCs w:val="32"/>
        </w:rPr>
        <w:t>）的招标公告</w:t>
      </w:r>
    </w:p>
    <w:p w14:paraId="6F01DCC9">
      <w:pPr>
        <w:pBdr>
          <w:top w:val="single" w:color="auto" w:sz="4" w:space="1"/>
          <w:left w:val="single" w:color="auto" w:sz="4" w:space="4"/>
          <w:bottom w:val="single" w:color="auto" w:sz="4" w:space="1"/>
          <w:right w:val="single" w:color="auto" w:sz="4" w:space="4"/>
        </w:pBdr>
        <w:spacing w:line="380" w:lineRule="exact"/>
        <w:ind w:firstLine="420" w:firstLineChars="200"/>
        <w:rPr>
          <w:rFonts w:ascii="宋体" w:hAnsi="宋体" w:cs="宋体"/>
          <w:szCs w:val="21"/>
        </w:rPr>
      </w:pPr>
      <w:r>
        <w:rPr>
          <w:rFonts w:hint="eastAsia" w:ascii="宋体" w:hAnsi="宋体" w:cs="宋体"/>
          <w:szCs w:val="21"/>
        </w:rPr>
        <w:t>项目概况</w:t>
      </w:r>
    </w:p>
    <w:p w14:paraId="1E331BED">
      <w:pPr>
        <w:pBdr>
          <w:top w:val="single" w:color="auto" w:sz="4" w:space="1"/>
          <w:left w:val="single" w:color="auto" w:sz="4" w:space="4"/>
          <w:bottom w:val="single" w:color="auto" w:sz="4" w:space="1"/>
          <w:right w:val="single" w:color="auto" w:sz="4" w:space="4"/>
        </w:pBdr>
        <w:spacing w:line="380" w:lineRule="exact"/>
        <w:ind w:firstLine="420" w:firstLineChars="200"/>
        <w:rPr>
          <w:rFonts w:ascii="宋体" w:hAnsi="宋体" w:cs="宋体"/>
          <w:szCs w:val="21"/>
        </w:rPr>
      </w:pPr>
      <w:r>
        <w:rPr>
          <w:rFonts w:hint="eastAsia" w:ascii="宋体" w:hAnsi="宋体" w:cs="宋体"/>
          <w:bCs/>
          <w:szCs w:val="21"/>
          <w:u w:val="single"/>
        </w:rPr>
        <w:t>广西壮族自治区民族医院2026年第一批医疗设备采购（重）</w:t>
      </w:r>
      <w:r>
        <w:rPr>
          <w:rFonts w:hint="eastAsia" w:ascii="宋体" w:hAnsi="宋体" w:cs="宋体"/>
          <w:szCs w:val="21"/>
        </w:rPr>
        <w:t>招标项目的潜在投标人</w:t>
      </w:r>
      <w:r>
        <w:rPr>
          <w:rFonts w:hint="eastAsia" w:ascii="宋体" w:hAnsi="宋体" w:cs="宋体"/>
          <w:bCs/>
          <w:szCs w:val="21"/>
        </w:rPr>
        <w:t>应在广西政府采购云平台（https：//www.gcy.zfcg.gxzf.gov.cn/）</w:t>
      </w:r>
      <w:r>
        <w:rPr>
          <w:rFonts w:hint="eastAsia" w:ascii="宋体" w:hAnsi="宋体" w:cs="宋体"/>
          <w:szCs w:val="21"/>
        </w:rPr>
        <w:t>获取（下载）招标文件，并于</w:t>
      </w:r>
      <w:r>
        <w:rPr>
          <w:rFonts w:hint="eastAsia" w:ascii="宋体" w:hAnsi="宋体" w:cs="宋体"/>
          <w:bCs/>
          <w:szCs w:val="21"/>
        </w:rPr>
        <w:t>2026年</w:t>
      </w:r>
      <w:r>
        <w:rPr>
          <w:rFonts w:hint="eastAsia" w:ascii="宋体" w:hAnsi="宋体" w:cs="宋体"/>
          <w:bCs/>
          <w:szCs w:val="21"/>
          <w:lang w:val="en-US" w:eastAsia="zh-CN"/>
        </w:rPr>
        <w:t>9</w:t>
      </w:r>
      <w:r>
        <w:rPr>
          <w:rFonts w:hint="eastAsia" w:ascii="宋体" w:hAnsi="宋体" w:cs="宋体"/>
          <w:bCs/>
          <w:szCs w:val="21"/>
        </w:rPr>
        <w:t>月</w:t>
      </w:r>
      <w:r>
        <w:rPr>
          <w:rFonts w:hint="eastAsia" w:ascii="宋体" w:hAnsi="宋体" w:cs="宋体"/>
          <w:bCs/>
          <w:szCs w:val="21"/>
          <w:lang w:val="en-US" w:eastAsia="zh-CN"/>
        </w:rPr>
        <w:t>11</w:t>
      </w:r>
      <w:r>
        <w:rPr>
          <w:rFonts w:hint="eastAsia" w:ascii="宋体" w:hAnsi="宋体" w:cs="宋体"/>
          <w:bCs/>
          <w:szCs w:val="21"/>
        </w:rPr>
        <w:t>日9时30分（北京时间）前递交投标文件</w:t>
      </w:r>
      <w:r>
        <w:rPr>
          <w:rFonts w:hint="eastAsia" w:ascii="宋体" w:hAnsi="宋体" w:cs="宋体"/>
          <w:szCs w:val="21"/>
        </w:rPr>
        <w:t>。</w:t>
      </w:r>
    </w:p>
    <w:p w14:paraId="31BAA33F">
      <w:pPr>
        <w:spacing w:line="380" w:lineRule="exact"/>
        <w:rPr>
          <w:rFonts w:ascii="宋体" w:hAnsi="宋体" w:cs="宋体"/>
          <w:b/>
          <w:bCs/>
          <w:szCs w:val="21"/>
        </w:rPr>
      </w:pPr>
      <w:bookmarkStart w:id="9" w:name="_Toc28359079"/>
      <w:bookmarkStart w:id="10" w:name="_Toc35393790"/>
      <w:bookmarkStart w:id="11" w:name="_Toc28359002"/>
      <w:bookmarkStart w:id="12" w:name="_Toc35393621"/>
      <w:bookmarkStart w:id="13" w:name="_Hlk24379207"/>
      <w:r>
        <w:rPr>
          <w:rFonts w:hint="eastAsia" w:ascii="宋体" w:hAnsi="宋体" w:cs="宋体"/>
          <w:b/>
          <w:bCs/>
          <w:szCs w:val="21"/>
        </w:rPr>
        <w:t>一、项目基本情况</w:t>
      </w:r>
      <w:bookmarkEnd w:id="9"/>
      <w:bookmarkEnd w:id="10"/>
      <w:bookmarkEnd w:id="11"/>
      <w:bookmarkEnd w:id="12"/>
    </w:p>
    <w:p w14:paraId="2136EEA6">
      <w:pPr>
        <w:spacing w:line="380" w:lineRule="exact"/>
        <w:ind w:firstLine="630" w:firstLineChars="300"/>
        <w:rPr>
          <w:rFonts w:hint="eastAsia" w:ascii="宋体" w:hAnsi="宋体" w:eastAsia="宋体" w:cs="宋体"/>
          <w:szCs w:val="21"/>
          <w:lang w:eastAsia="zh-CN"/>
        </w:rPr>
      </w:pPr>
      <w:r>
        <w:rPr>
          <w:rFonts w:hint="eastAsia" w:ascii="宋体" w:hAnsi="宋体" w:cs="宋体"/>
          <w:szCs w:val="21"/>
        </w:rPr>
        <w:t>项目编号：</w:t>
      </w:r>
      <w:r>
        <w:rPr>
          <w:rFonts w:hint="eastAsia" w:ascii="宋体" w:hAnsi="宋体" w:cs="宋体"/>
          <w:szCs w:val="21"/>
          <w:lang w:eastAsia="zh-CN"/>
        </w:rPr>
        <w:t>CZZC2026-G1-990144-GLZB</w:t>
      </w:r>
    </w:p>
    <w:p w14:paraId="44B2322B">
      <w:pPr>
        <w:spacing w:line="380" w:lineRule="exact"/>
        <w:ind w:firstLine="630" w:firstLineChars="300"/>
        <w:rPr>
          <w:rFonts w:ascii="宋体" w:hAnsi="宋体" w:cs="宋体"/>
          <w:szCs w:val="21"/>
        </w:rPr>
      </w:pPr>
      <w:r>
        <w:rPr>
          <w:rFonts w:hint="eastAsia" w:ascii="宋体" w:hAnsi="宋体" w:cs="宋体"/>
          <w:szCs w:val="21"/>
        </w:rPr>
        <w:t>项目名称：</w:t>
      </w:r>
      <w:r>
        <w:rPr>
          <w:rFonts w:hint="eastAsia" w:ascii="宋体" w:hAnsi="宋体" w:cs="宋体"/>
          <w:bCs/>
          <w:szCs w:val="21"/>
        </w:rPr>
        <w:t>广西壮族自治区民族医院2026年第一批医疗设备采购（重）</w:t>
      </w:r>
    </w:p>
    <w:bookmarkEnd w:id="13"/>
    <w:p w14:paraId="1E7795AE">
      <w:pPr>
        <w:spacing w:line="380" w:lineRule="exact"/>
        <w:ind w:firstLine="630" w:firstLineChars="300"/>
        <w:rPr>
          <w:rFonts w:ascii="宋体" w:hAnsi="宋体" w:cs="宋体"/>
          <w:szCs w:val="21"/>
        </w:rPr>
      </w:pPr>
      <w:r>
        <w:rPr>
          <w:rFonts w:hint="eastAsia" w:ascii="宋体" w:hAnsi="宋体" w:cs="宋体"/>
          <w:szCs w:val="21"/>
        </w:rPr>
        <w:t>预算总金额（人民币）：8120000.00元</w:t>
      </w:r>
    </w:p>
    <w:p w14:paraId="6B3B2528">
      <w:pPr>
        <w:widowControl/>
        <w:adjustRightInd w:val="0"/>
        <w:snapToGrid w:val="0"/>
        <w:spacing w:line="380" w:lineRule="exact"/>
        <w:ind w:firstLine="615"/>
        <w:jc w:val="left"/>
        <w:rPr>
          <w:rFonts w:ascii="宋体" w:hAnsi="宋体" w:cs="宋体"/>
          <w:kern w:val="0"/>
          <w:szCs w:val="21"/>
        </w:rPr>
      </w:pPr>
      <w:r>
        <w:rPr>
          <w:rFonts w:ascii="宋体" w:hAnsi="宋体" w:cs="宋体"/>
          <w:kern w:val="0"/>
          <w:szCs w:val="21"/>
        </w:rPr>
        <w:t>采购需求：</w:t>
      </w:r>
    </w:p>
    <w:p w14:paraId="5D4D3C41">
      <w:pPr>
        <w:spacing w:line="380" w:lineRule="exact"/>
        <w:ind w:firstLine="420" w:firstLineChars="200"/>
        <w:rPr>
          <w:rFonts w:ascii="宋体" w:hAnsi="宋体" w:cs="宋体"/>
          <w:szCs w:val="21"/>
        </w:rPr>
      </w:pPr>
      <w:bookmarkStart w:id="14" w:name="OLE_LINK37"/>
    </w:p>
    <w:p w14:paraId="06B83F03">
      <w:pPr>
        <w:spacing w:line="380" w:lineRule="exact"/>
        <w:ind w:firstLine="420" w:firstLineChars="200"/>
        <w:rPr>
          <w:rFonts w:ascii="宋体" w:hAnsi="宋体" w:cs="宋体"/>
          <w:szCs w:val="21"/>
        </w:rPr>
      </w:pPr>
      <w:r>
        <w:rPr>
          <w:rFonts w:hint="eastAsia" w:ascii="宋体" w:hAnsi="宋体" w:cs="宋体"/>
          <w:szCs w:val="21"/>
        </w:rPr>
        <w:t>标项一</w:t>
      </w:r>
    </w:p>
    <w:p w14:paraId="43208FBB">
      <w:pPr>
        <w:spacing w:line="380" w:lineRule="exact"/>
        <w:ind w:firstLine="420" w:firstLineChars="200"/>
        <w:rPr>
          <w:rFonts w:ascii="宋体" w:hAnsi="宋体" w:cs="宋体"/>
          <w:szCs w:val="21"/>
        </w:rPr>
      </w:pPr>
      <w:r>
        <w:rPr>
          <w:rFonts w:hint="eastAsia" w:ascii="宋体" w:hAnsi="宋体" w:cs="宋体"/>
          <w:szCs w:val="21"/>
        </w:rPr>
        <w:t>标项名称：高端心脏彩超仪</w:t>
      </w:r>
    </w:p>
    <w:p w14:paraId="753B8B7C">
      <w:pPr>
        <w:spacing w:line="380" w:lineRule="exact"/>
        <w:ind w:firstLine="420" w:firstLineChars="200"/>
        <w:rPr>
          <w:rFonts w:ascii="宋体" w:hAnsi="宋体" w:cs="宋体"/>
          <w:szCs w:val="21"/>
        </w:rPr>
      </w:pPr>
      <w:r>
        <w:rPr>
          <w:rFonts w:hint="eastAsia" w:ascii="宋体" w:hAnsi="宋体" w:cs="宋体"/>
          <w:szCs w:val="21"/>
        </w:rPr>
        <w:t>数量：1</w:t>
      </w:r>
    </w:p>
    <w:p w14:paraId="31F11568">
      <w:pPr>
        <w:spacing w:line="380" w:lineRule="exact"/>
        <w:ind w:firstLine="420" w:firstLineChars="200"/>
        <w:rPr>
          <w:rFonts w:ascii="宋体" w:hAnsi="宋体" w:cs="宋体"/>
          <w:szCs w:val="21"/>
        </w:rPr>
      </w:pPr>
      <w:r>
        <w:rPr>
          <w:rFonts w:hint="eastAsia" w:ascii="宋体" w:hAnsi="宋体" w:cs="宋体"/>
          <w:szCs w:val="21"/>
        </w:rPr>
        <w:t>预算金额（元）：3000000.00元</w:t>
      </w:r>
    </w:p>
    <w:p w14:paraId="355A38E3">
      <w:pPr>
        <w:spacing w:line="380" w:lineRule="exact"/>
        <w:ind w:firstLine="420" w:firstLineChars="200"/>
        <w:rPr>
          <w:rFonts w:ascii="宋体" w:hAnsi="宋体" w:cs="宋体"/>
          <w:szCs w:val="21"/>
        </w:rPr>
      </w:pPr>
      <w:r>
        <w:rPr>
          <w:rFonts w:hint="eastAsia" w:ascii="宋体" w:hAnsi="宋体" w:cs="宋体"/>
          <w:szCs w:val="21"/>
        </w:rPr>
        <w:t>简要规格描述或项目基本概</w:t>
      </w:r>
      <w:bookmarkStart w:id="15" w:name="OLE_LINK85"/>
      <w:bookmarkStart w:id="16" w:name="OLE_LINK86"/>
      <w:r>
        <w:rPr>
          <w:rFonts w:hint="eastAsia" w:ascii="宋体" w:hAnsi="宋体" w:cs="宋体"/>
          <w:szCs w:val="21"/>
        </w:rPr>
        <w:t>况介绍</w:t>
      </w:r>
      <w:bookmarkStart w:id="17" w:name="OLE_LINK83"/>
      <w:bookmarkStart w:id="18" w:name="OLE_LINK84"/>
      <w:r>
        <w:rPr>
          <w:rFonts w:hint="eastAsia" w:ascii="宋体" w:hAnsi="宋体" w:cs="宋体"/>
          <w:szCs w:val="21"/>
        </w:rPr>
        <w:t>、用途：高端心脏彩超仪1套。如需进</w:t>
      </w:r>
      <w:r>
        <w:rPr>
          <w:rFonts w:hint="eastAsia" w:ascii="宋体" w:cs="Arial"/>
          <w:szCs w:val="21"/>
        </w:rPr>
        <w:t>一步了解详细内容，详见招标文件</w:t>
      </w:r>
      <w:bookmarkEnd w:id="17"/>
      <w:bookmarkEnd w:id="18"/>
      <w:r>
        <w:rPr>
          <w:rFonts w:hint="eastAsia" w:ascii="宋体" w:cs="Arial"/>
          <w:szCs w:val="21"/>
        </w:rPr>
        <w:t>。</w:t>
      </w:r>
      <w:bookmarkEnd w:id="15"/>
      <w:bookmarkEnd w:id="16"/>
    </w:p>
    <w:p w14:paraId="3ACDD816">
      <w:pPr>
        <w:spacing w:line="380" w:lineRule="exact"/>
        <w:ind w:firstLine="420" w:firstLineChars="200"/>
        <w:rPr>
          <w:rFonts w:ascii="宋体" w:hAnsi="宋体" w:cs="宋体"/>
          <w:color w:val="000000"/>
          <w:szCs w:val="21"/>
        </w:rPr>
      </w:pPr>
      <w:r>
        <w:rPr>
          <w:rFonts w:hint="eastAsia" w:ascii="宋体" w:hAnsi="宋体" w:cs="宋体"/>
          <w:szCs w:val="21"/>
        </w:rPr>
        <w:t>最高</w:t>
      </w:r>
      <w:r>
        <w:rPr>
          <w:rFonts w:hint="eastAsia" w:ascii="宋体" w:hAnsi="宋体" w:cs="宋体"/>
          <w:color w:val="000000"/>
          <w:szCs w:val="21"/>
        </w:rPr>
        <w:t>限价：</w:t>
      </w:r>
      <w:r>
        <w:rPr>
          <w:rFonts w:ascii="宋体" w:hAnsi="宋体" w:cs="宋体"/>
          <w:color w:val="000000"/>
          <w:szCs w:val="21"/>
        </w:rPr>
        <w:t>3000000</w:t>
      </w:r>
      <w:r>
        <w:rPr>
          <w:rFonts w:hint="eastAsia" w:ascii="宋体" w:hAnsi="宋体" w:cs="宋体"/>
          <w:color w:val="000000"/>
          <w:szCs w:val="21"/>
        </w:rPr>
        <w:t>元</w:t>
      </w:r>
    </w:p>
    <w:p w14:paraId="4902075E">
      <w:pPr>
        <w:spacing w:line="380" w:lineRule="exact"/>
        <w:ind w:firstLine="420" w:firstLineChars="200"/>
        <w:rPr>
          <w:rFonts w:ascii="宋体" w:hAnsi="宋体" w:cs="宋体"/>
          <w:szCs w:val="21"/>
        </w:rPr>
      </w:pPr>
      <w:r>
        <w:rPr>
          <w:rFonts w:hint="eastAsia" w:ascii="宋体" w:hAnsi="宋体" w:cs="宋体"/>
          <w:szCs w:val="21"/>
        </w:rPr>
        <w:t>合同履约期限：详见采购需求。</w:t>
      </w:r>
    </w:p>
    <w:p w14:paraId="1A8B1184">
      <w:pPr>
        <w:spacing w:line="380" w:lineRule="exact"/>
        <w:ind w:firstLine="420" w:firstLineChars="200"/>
        <w:rPr>
          <w:rFonts w:ascii="宋体" w:hAnsi="宋体" w:cs="宋体"/>
          <w:szCs w:val="21"/>
        </w:rPr>
      </w:pPr>
      <w:r>
        <w:rPr>
          <w:rFonts w:hint="eastAsia" w:ascii="宋体" w:hAnsi="宋体" w:cs="宋体"/>
          <w:szCs w:val="21"/>
        </w:rPr>
        <w:t>本标项</w:t>
      </w:r>
      <w:r>
        <w:rPr>
          <w:rFonts w:hint="eastAsia" w:ascii="宋体" w:hAnsi="宋体"/>
        </w:rPr>
        <w:t>（否）</w:t>
      </w:r>
      <w:r>
        <w:rPr>
          <w:rFonts w:hint="eastAsia" w:ascii="宋体" w:hAnsi="宋体" w:cs="宋体"/>
          <w:szCs w:val="21"/>
        </w:rPr>
        <w:t>接受联合体投标</w:t>
      </w:r>
    </w:p>
    <w:p w14:paraId="77A76510">
      <w:pPr>
        <w:spacing w:line="380" w:lineRule="exact"/>
        <w:ind w:firstLine="420" w:firstLineChars="200"/>
        <w:rPr>
          <w:rFonts w:ascii="宋体" w:hAnsi="宋体"/>
        </w:rPr>
      </w:pPr>
      <w:r>
        <w:rPr>
          <w:rFonts w:hint="eastAsia" w:ascii="宋体" w:hAnsi="宋体" w:cs="宋体"/>
          <w:szCs w:val="21"/>
        </w:rPr>
        <w:t>备注：</w:t>
      </w:r>
      <w:r>
        <w:rPr>
          <w:rFonts w:hint="eastAsia" w:ascii="宋体" w:hAnsi="宋体"/>
        </w:rPr>
        <w:t>本项目为线上电子招标项目，有意向参与本项目的供应商应当做好参与全流程电子招投标交易的充分准备。</w:t>
      </w:r>
      <w:bookmarkEnd w:id="14"/>
    </w:p>
    <w:p w14:paraId="6227B7B7">
      <w:pPr>
        <w:spacing w:line="380" w:lineRule="exact"/>
        <w:ind w:firstLine="420" w:firstLineChars="200"/>
        <w:rPr>
          <w:rFonts w:ascii="宋体" w:hAnsi="宋体"/>
        </w:rPr>
      </w:pPr>
    </w:p>
    <w:p w14:paraId="3F2AAD08">
      <w:pPr>
        <w:spacing w:line="380" w:lineRule="exact"/>
        <w:ind w:firstLine="420" w:firstLineChars="200"/>
        <w:rPr>
          <w:rFonts w:ascii="宋体" w:hAnsi="宋体" w:cs="宋体"/>
          <w:szCs w:val="21"/>
        </w:rPr>
      </w:pPr>
      <w:r>
        <w:rPr>
          <w:rFonts w:hint="eastAsia" w:ascii="宋体" w:hAnsi="宋体" w:cs="宋体"/>
          <w:szCs w:val="21"/>
        </w:rPr>
        <w:t>标项二</w:t>
      </w:r>
    </w:p>
    <w:p w14:paraId="05B9B855">
      <w:pPr>
        <w:spacing w:line="380" w:lineRule="exact"/>
        <w:ind w:firstLine="420" w:firstLineChars="200"/>
        <w:rPr>
          <w:rFonts w:ascii="宋体" w:hAnsi="宋体" w:cs="宋体"/>
          <w:szCs w:val="21"/>
        </w:rPr>
      </w:pPr>
      <w:r>
        <w:rPr>
          <w:rFonts w:hint="eastAsia" w:ascii="宋体" w:hAnsi="宋体" w:cs="宋体"/>
          <w:szCs w:val="21"/>
        </w:rPr>
        <w:t>标项名称：彩超仪（超声诊断设备）</w:t>
      </w:r>
    </w:p>
    <w:p w14:paraId="0EFCA08E">
      <w:pPr>
        <w:spacing w:line="380" w:lineRule="exact"/>
        <w:ind w:firstLine="420" w:firstLineChars="200"/>
        <w:rPr>
          <w:rFonts w:ascii="宋体" w:hAnsi="宋体" w:cs="宋体"/>
          <w:szCs w:val="21"/>
        </w:rPr>
      </w:pPr>
      <w:r>
        <w:rPr>
          <w:rFonts w:hint="eastAsia" w:ascii="宋体" w:hAnsi="宋体" w:cs="宋体"/>
          <w:szCs w:val="21"/>
        </w:rPr>
        <w:t>数量：1</w:t>
      </w:r>
    </w:p>
    <w:p w14:paraId="5A29EC00">
      <w:pPr>
        <w:spacing w:line="380" w:lineRule="exact"/>
        <w:ind w:firstLine="420" w:firstLineChars="200"/>
        <w:rPr>
          <w:rFonts w:ascii="宋体" w:hAnsi="宋体" w:cs="宋体"/>
          <w:szCs w:val="21"/>
        </w:rPr>
      </w:pPr>
      <w:r>
        <w:rPr>
          <w:rFonts w:hint="eastAsia" w:ascii="宋体" w:hAnsi="宋体" w:cs="宋体"/>
          <w:szCs w:val="21"/>
        </w:rPr>
        <w:t>预算金额（元）：5120000.00元</w:t>
      </w:r>
    </w:p>
    <w:p w14:paraId="0F5609D8">
      <w:pPr>
        <w:spacing w:line="380" w:lineRule="exact"/>
        <w:ind w:firstLine="420" w:firstLineChars="200"/>
        <w:rPr>
          <w:rFonts w:ascii="宋体" w:hAnsi="宋体" w:cs="宋体"/>
          <w:szCs w:val="21"/>
        </w:rPr>
      </w:pPr>
      <w:r>
        <w:rPr>
          <w:rFonts w:hint="eastAsia" w:ascii="宋体" w:hAnsi="宋体" w:cs="宋体"/>
          <w:szCs w:val="21"/>
        </w:rPr>
        <w:t>简要规格描述或项目基本概况介绍、用途：彩超仪（超声诊断设备）（1）2套、彩超仪（超声诊断设备）（2）1套。如需进</w:t>
      </w:r>
      <w:r>
        <w:rPr>
          <w:rFonts w:hint="eastAsia" w:ascii="宋体" w:cs="Arial"/>
          <w:szCs w:val="21"/>
        </w:rPr>
        <w:t>一步了解详细内容，详见招标文件。</w:t>
      </w:r>
    </w:p>
    <w:p w14:paraId="771323FB">
      <w:pPr>
        <w:spacing w:line="380" w:lineRule="exact"/>
        <w:ind w:firstLine="420" w:firstLineChars="200"/>
        <w:rPr>
          <w:rFonts w:ascii="宋体" w:hAnsi="宋体" w:cs="宋体"/>
          <w:szCs w:val="21"/>
        </w:rPr>
      </w:pPr>
      <w:r>
        <w:rPr>
          <w:rFonts w:hint="eastAsia" w:ascii="宋体" w:hAnsi="宋体" w:cs="宋体"/>
          <w:szCs w:val="21"/>
        </w:rPr>
        <w:t>最高限价：5</w:t>
      </w:r>
      <w:r>
        <w:rPr>
          <w:rFonts w:ascii="宋体" w:hAnsi="宋体" w:cs="宋体"/>
          <w:szCs w:val="21"/>
        </w:rPr>
        <w:t>1200</w:t>
      </w:r>
      <w:r>
        <w:rPr>
          <w:rFonts w:hint="eastAsia" w:ascii="宋体" w:hAnsi="宋体" w:cs="宋体"/>
          <w:szCs w:val="21"/>
        </w:rPr>
        <w:t>00.00元（彩超仪（1）每台最高限价</w:t>
      </w:r>
      <w:r>
        <w:rPr>
          <w:rFonts w:ascii="宋体" w:hAnsi="宋体" w:cs="宋体"/>
          <w:szCs w:val="21"/>
        </w:rPr>
        <w:t>167万元，</w:t>
      </w:r>
      <w:r>
        <w:rPr>
          <w:rFonts w:hint="eastAsia" w:ascii="宋体" w:hAnsi="宋体" w:cs="宋体"/>
          <w:szCs w:val="21"/>
        </w:rPr>
        <w:t>彩超仪（</w:t>
      </w:r>
      <w:r>
        <w:rPr>
          <w:rFonts w:ascii="宋体" w:hAnsi="宋体" w:cs="宋体"/>
          <w:szCs w:val="21"/>
        </w:rPr>
        <w:t>2</w:t>
      </w:r>
      <w:r>
        <w:rPr>
          <w:rFonts w:hint="eastAsia" w:ascii="宋体" w:hAnsi="宋体" w:cs="宋体"/>
          <w:szCs w:val="21"/>
        </w:rPr>
        <w:t>），每台最高限价1</w:t>
      </w:r>
      <w:r>
        <w:rPr>
          <w:rFonts w:ascii="宋体" w:hAnsi="宋体" w:cs="宋体"/>
          <w:szCs w:val="21"/>
        </w:rPr>
        <w:t>78万元</w:t>
      </w:r>
      <w:r>
        <w:rPr>
          <w:rFonts w:hint="eastAsia" w:ascii="宋体" w:hAnsi="宋体" w:cs="宋体"/>
          <w:szCs w:val="21"/>
        </w:rPr>
        <w:t>）</w:t>
      </w:r>
    </w:p>
    <w:p w14:paraId="619AA91B">
      <w:pPr>
        <w:spacing w:line="380" w:lineRule="exact"/>
        <w:ind w:firstLine="420" w:firstLineChars="200"/>
        <w:rPr>
          <w:rFonts w:ascii="宋体" w:hAnsi="宋体" w:cs="宋体"/>
          <w:szCs w:val="21"/>
        </w:rPr>
      </w:pPr>
      <w:r>
        <w:rPr>
          <w:rFonts w:hint="eastAsia" w:ascii="宋体" w:hAnsi="宋体" w:cs="宋体"/>
          <w:szCs w:val="21"/>
        </w:rPr>
        <w:t>合同履约期限：详见采购需求。</w:t>
      </w:r>
    </w:p>
    <w:p w14:paraId="731908BE">
      <w:pPr>
        <w:spacing w:line="380" w:lineRule="exact"/>
        <w:ind w:firstLine="420" w:firstLineChars="200"/>
        <w:rPr>
          <w:rFonts w:ascii="宋体" w:hAnsi="宋体" w:cs="宋体"/>
          <w:szCs w:val="21"/>
        </w:rPr>
      </w:pPr>
      <w:r>
        <w:rPr>
          <w:rFonts w:hint="eastAsia" w:ascii="宋体" w:hAnsi="宋体" w:cs="宋体"/>
          <w:szCs w:val="21"/>
        </w:rPr>
        <w:t>本标项</w:t>
      </w:r>
      <w:r>
        <w:rPr>
          <w:rFonts w:hint="eastAsia" w:ascii="宋体" w:hAnsi="宋体"/>
        </w:rPr>
        <w:t>（否）</w:t>
      </w:r>
      <w:r>
        <w:rPr>
          <w:rFonts w:hint="eastAsia" w:ascii="宋体" w:hAnsi="宋体" w:cs="宋体"/>
          <w:szCs w:val="21"/>
        </w:rPr>
        <w:t>接受联合体投标</w:t>
      </w:r>
    </w:p>
    <w:p w14:paraId="0A1F0577">
      <w:pPr>
        <w:spacing w:line="380" w:lineRule="exact"/>
        <w:ind w:firstLine="420" w:firstLineChars="200"/>
        <w:rPr>
          <w:rFonts w:ascii="宋体" w:hAnsi="宋体"/>
        </w:rPr>
      </w:pPr>
      <w:r>
        <w:rPr>
          <w:rFonts w:hint="eastAsia" w:ascii="宋体" w:hAnsi="宋体" w:cs="宋体"/>
          <w:szCs w:val="21"/>
        </w:rPr>
        <w:t>备注：</w:t>
      </w:r>
      <w:r>
        <w:rPr>
          <w:rFonts w:hint="eastAsia" w:ascii="宋体" w:hAnsi="宋体"/>
        </w:rPr>
        <w:t>本项目为线上电子招标项目，有意向参与本项目的供应商应当做好参与全流程电子招投标交易的充分准备。</w:t>
      </w:r>
    </w:p>
    <w:p w14:paraId="376833B1">
      <w:pPr>
        <w:spacing w:line="336" w:lineRule="auto"/>
        <w:rPr>
          <w:rFonts w:ascii="宋体" w:hAnsi="宋体" w:cs="宋体"/>
          <w:b/>
          <w:bCs/>
          <w:sz w:val="24"/>
        </w:rPr>
      </w:pPr>
      <w:bookmarkStart w:id="19" w:name="_Toc35393791"/>
      <w:bookmarkStart w:id="20" w:name="_Toc28359080"/>
      <w:bookmarkStart w:id="21" w:name="_Toc35393622"/>
      <w:bookmarkStart w:id="22" w:name="_Toc28359003"/>
      <w:r>
        <w:rPr>
          <w:rFonts w:hint="eastAsia" w:ascii="宋体" w:hAnsi="宋体" w:cs="宋体"/>
          <w:b/>
          <w:bCs/>
          <w:szCs w:val="21"/>
        </w:rPr>
        <w:t>二、申请人的资格要求：</w:t>
      </w:r>
      <w:bookmarkEnd w:id="19"/>
      <w:bookmarkEnd w:id="20"/>
      <w:bookmarkEnd w:id="21"/>
      <w:bookmarkEnd w:id="22"/>
    </w:p>
    <w:p w14:paraId="526C669D">
      <w:pPr>
        <w:spacing w:line="336" w:lineRule="auto"/>
        <w:ind w:firstLine="420" w:firstLineChars="200"/>
        <w:rPr>
          <w:rFonts w:ascii="宋体" w:hAnsi="宋体" w:cs="宋体"/>
          <w:szCs w:val="21"/>
        </w:rPr>
      </w:pPr>
      <w:bookmarkStart w:id="23" w:name="_Hlk51746371"/>
      <w:r>
        <w:rPr>
          <w:rFonts w:hint="eastAsia" w:ascii="宋体" w:hAnsi="宋体" w:cs="宋体"/>
          <w:szCs w:val="21"/>
        </w:rPr>
        <w:t>1、满足《中华人民共和国政府采购法》第二十二条规定；</w:t>
      </w:r>
    </w:p>
    <w:p w14:paraId="60131703">
      <w:pPr>
        <w:spacing w:line="336" w:lineRule="auto"/>
        <w:ind w:firstLine="420" w:firstLineChars="200"/>
        <w:rPr>
          <w:rFonts w:ascii="宋体" w:hAnsi="宋体"/>
          <w:color w:val="000000"/>
        </w:rPr>
      </w:pPr>
      <w:bookmarkStart w:id="24" w:name="_Toc28359081"/>
      <w:bookmarkStart w:id="25" w:name="_Toc28359004"/>
      <w:r>
        <w:rPr>
          <w:rFonts w:hint="eastAsia" w:ascii="宋体" w:hAnsi="宋体" w:cs="宋体"/>
          <w:szCs w:val="21"/>
        </w:rPr>
        <w:t>2、落实政府采购政</w:t>
      </w:r>
      <w:r>
        <w:rPr>
          <w:rFonts w:hint="eastAsia" w:ascii="宋体" w:hAnsi="宋体" w:cs="宋体"/>
          <w:color w:val="000000"/>
          <w:szCs w:val="21"/>
        </w:rPr>
        <w:t>策需满足的资格要求：本项目非专门面向中小企业</w:t>
      </w:r>
      <w:r>
        <w:rPr>
          <w:rFonts w:hint="eastAsia" w:ascii="宋体" w:hAnsi="宋体"/>
          <w:color w:val="000000"/>
        </w:rPr>
        <w:t>；</w:t>
      </w:r>
    </w:p>
    <w:p w14:paraId="1F1A3EE7">
      <w:pPr>
        <w:spacing w:line="336" w:lineRule="auto"/>
        <w:ind w:firstLine="420" w:firstLineChars="200"/>
        <w:rPr>
          <w:rFonts w:ascii="宋体" w:hAnsi="宋体" w:cs="宋体"/>
          <w:color w:val="000000"/>
          <w:szCs w:val="21"/>
        </w:rPr>
      </w:pPr>
      <w:r>
        <w:rPr>
          <w:rFonts w:hint="eastAsia" w:ascii="宋体" w:hAnsi="宋体" w:cs="宋体"/>
          <w:color w:val="000000"/>
          <w:szCs w:val="21"/>
        </w:rPr>
        <w:t>3、本项目的特定资格要求：供应商须按《医疗器械经营监督管理办法》(国家市场监督管理总局令第54号)医疗器械分类管理要求具有有效的医疗器械经营备案凭证或许可证；如投标产品属第二、三类医疗器械产品的，须按《医疗器械注册与备案管理办法》(国家市场监督管理总局令第47号)同时提供该设备有效的医疗器械注册证。</w:t>
      </w:r>
    </w:p>
    <w:bookmarkEnd w:id="23"/>
    <w:p w14:paraId="29FA1BDE">
      <w:pPr>
        <w:spacing w:line="336" w:lineRule="auto"/>
        <w:rPr>
          <w:rFonts w:ascii="宋体" w:hAnsi="宋体" w:cs="宋体"/>
          <w:b/>
          <w:bCs/>
          <w:sz w:val="24"/>
        </w:rPr>
      </w:pPr>
      <w:bookmarkStart w:id="26" w:name="_Toc35393792"/>
      <w:bookmarkStart w:id="27" w:name="_Toc35393623"/>
      <w:r>
        <w:rPr>
          <w:rFonts w:hint="eastAsia" w:ascii="宋体" w:hAnsi="宋体" w:cs="宋体"/>
          <w:b/>
          <w:bCs/>
          <w:szCs w:val="21"/>
        </w:rPr>
        <w:t>三、获取招标文件</w:t>
      </w:r>
      <w:bookmarkEnd w:id="24"/>
      <w:bookmarkEnd w:id="25"/>
      <w:bookmarkEnd w:id="26"/>
      <w:bookmarkEnd w:id="27"/>
    </w:p>
    <w:p w14:paraId="53C514ED">
      <w:pPr>
        <w:spacing w:line="336" w:lineRule="auto"/>
        <w:ind w:firstLine="420" w:firstLineChars="200"/>
        <w:rPr>
          <w:rFonts w:ascii="宋体" w:hAnsi="宋体" w:cs="宋体"/>
          <w:bCs/>
          <w:kern w:val="0"/>
          <w:szCs w:val="21"/>
        </w:rPr>
      </w:pPr>
      <w:r>
        <w:rPr>
          <w:rFonts w:hint="eastAsia" w:ascii="宋体" w:hAnsi="宋体" w:cs="宋体"/>
          <w:bCs/>
          <w:kern w:val="0"/>
          <w:szCs w:val="21"/>
        </w:rPr>
        <w:t>时间：</w:t>
      </w:r>
      <w:r>
        <w:rPr>
          <w:rFonts w:hint="eastAsia" w:ascii="宋体" w:hAnsi="宋体" w:cs="宋体"/>
        </w:rPr>
        <w:t>2026年</w:t>
      </w:r>
      <w:r>
        <w:rPr>
          <w:rFonts w:hint="eastAsia" w:ascii="宋体" w:hAnsi="宋体" w:cs="宋体"/>
          <w:lang w:val="en-US" w:eastAsia="zh-CN"/>
        </w:rPr>
        <w:t>8</w:t>
      </w:r>
      <w:r>
        <w:rPr>
          <w:rFonts w:hint="eastAsia" w:ascii="宋体" w:hAnsi="宋体" w:cs="宋体"/>
        </w:rPr>
        <w:t>月</w:t>
      </w:r>
      <w:r>
        <w:rPr>
          <w:rFonts w:hint="eastAsia" w:ascii="宋体" w:hAnsi="宋体" w:cs="宋体"/>
          <w:lang w:val="en-US" w:eastAsia="zh-CN"/>
        </w:rPr>
        <w:t>17</w:t>
      </w:r>
      <w:r>
        <w:rPr>
          <w:rFonts w:hint="eastAsia" w:ascii="宋体" w:hAnsi="宋体" w:cs="宋体"/>
        </w:rPr>
        <w:t>日</w:t>
      </w:r>
      <w:r>
        <w:rPr>
          <w:rFonts w:hint="eastAsia" w:ascii="宋体" w:hAnsi="宋体" w:cs="宋体"/>
          <w:szCs w:val="21"/>
        </w:rPr>
        <w:t>至</w:t>
      </w:r>
      <w:r>
        <w:rPr>
          <w:rFonts w:hint="eastAsia" w:ascii="宋体" w:hAnsi="宋体" w:cs="宋体"/>
        </w:rPr>
        <w:t>2026年</w:t>
      </w:r>
      <w:r>
        <w:rPr>
          <w:rFonts w:hint="eastAsia" w:ascii="宋体" w:hAnsi="宋体" w:cs="宋体"/>
          <w:lang w:val="en-US" w:eastAsia="zh-CN"/>
        </w:rPr>
        <w:t>8</w:t>
      </w:r>
      <w:r>
        <w:rPr>
          <w:rFonts w:hint="eastAsia" w:ascii="宋体" w:hAnsi="宋体" w:cs="宋体"/>
        </w:rPr>
        <w:t>月</w:t>
      </w:r>
      <w:r>
        <w:rPr>
          <w:rFonts w:hint="eastAsia" w:ascii="宋体" w:hAnsi="宋体" w:cs="宋体"/>
          <w:lang w:val="en-US" w:eastAsia="zh-CN"/>
        </w:rPr>
        <w:t>24</w:t>
      </w:r>
      <w:r>
        <w:rPr>
          <w:rFonts w:hint="eastAsia" w:ascii="宋体" w:hAnsi="宋体" w:cs="宋体"/>
        </w:rPr>
        <w:t>日</w:t>
      </w:r>
      <w:r>
        <w:rPr>
          <w:rFonts w:hint="eastAsia" w:ascii="宋体" w:hAnsi="宋体" w:cs="宋体"/>
          <w:szCs w:val="21"/>
        </w:rPr>
        <w:t>，每天上午08：30-11：59；下午12：00-18：00（北京时间，法定节假日除外）。</w:t>
      </w:r>
    </w:p>
    <w:p w14:paraId="32F23244">
      <w:pPr>
        <w:spacing w:line="336" w:lineRule="auto"/>
        <w:ind w:firstLine="420" w:firstLineChars="200"/>
        <w:rPr>
          <w:rFonts w:ascii="宋体" w:hAnsi="宋体" w:cs="宋体"/>
          <w:bCs/>
          <w:kern w:val="0"/>
          <w:szCs w:val="21"/>
        </w:rPr>
      </w:pPr>
      <w:r>
        <w:rPr>
          <w:rFonts w:hint="eastAsia" w:ascii="宋体" w:hAnsi="宋体" w:cs="宋体"/>
          <w:bCs/>
          <w:kern w:val="0"/>
          <w:szCs w:val="21"/>
        </w:rPr>
        <w:t>地点：广西政府采购云平台（https：//www.gcy.zfcg.gxzf.gov.cn/）。</w:t>
      </w:r>
    </w:p>
    <w:p w14:paraId="4318B64C">
      <w:pPr>
        <w:wordWrap w:val="0"/>
        <w:autoSpaceDE w:val="0"/>
        <w:autoSpaceDN w:val="0"/>
        <w:spacing w:line="336" w:lineRule="auto"/>
        <w:ind w:firstLine="420" w:firstLineChars="200"/>
        <w:rPr>
          <w:rFonts w:ascii="宋体" w:hAnsi="宋体" w:cs="宋体"/>
          <w:bCs/>
          <w:kern w:val="0"/>
          <w:szCs w:val="21"/>
        </w:rPr>
      </w:pPr>
      <w:r>
        <w:rPr>
          <w:rFonts w:hint="eastAsia" w:ascii="宋体" w:hAnsi="宋体" w:cs="宋体"/>
          <w:bCs/>
          <w:kern w:val="0"/>
          <w:szCs w:val="21"/>
        </w:rPr>
        <w:t>方式：请登录广西政府采购云平台（https://www.gcy.zfcg.gxzf.gov.cn/）进行报名并获取招标文件；未注册的供应商可在广西政府采购云平台完成注册后再行报名。如在操作过程中遇到问题或需技术支持，请致电广西政府采购云平台客服热线：95763。提示：供应商只有在“广西政府采购云平台”完成获取采购文件申请并下载了招标文件后才视作依法获取招标文件（法律法规所指的供应商获取采购文件时间以供应商完成获取招标文件申请后下载招标文件的时间为准）。</w:t>
      </w:r>
    </w:p>
    <w:p w14:paraId="425431A1">
      <w:pPr>
        <w:spacing w:line="336" w:lineRule="auto"/>
        <w:ind w:firstLine="420" w:firstLineChars="200"/>
        <w:rPr>
          <w:rFonts w:ascii="宋体" w:hAnsi="宋体" w:cs="宋体"/>
          <w:szCs w:val="21"/>
        </w:rPr>
      </w:pPr>
      <w:r>
        <w:rPr>
          <w:rFonts w:hint="eastAsia" w:ascii="宋体" w:hAnsi="宋体" w:cs="宋体"/>
          <w:bCs/>
          <w:kern w:val="0"/>
          <w:szCs w:val="21"/>
        </w:rPr>
        <w:t>售价：0元。</w:t>
      </w:r>
    </w:p>
    <w:p w14:paraId="3CE36DDA">
      <w:pPr>
        <w:spacing w:line="336" w:lineRule="auto"/>
        <w:rPr>
          <w:rFonts w:ascii="宋体" w:hAnsi="宋体" w:cs="宋体"/>
          <w:b/>
          <w:bCs/>
          <w:sz w:val="24"/>
        </w:rPr>
      </w:pPr>
      <w:bookmarkStart w:id="28" w:name="_Toc28359005"/>
      <w:bookmarkStart w:id="29" w:name="_Toc28359082"/>
      <w:bookmarkStart w:id="30" w:name="_Toc35393624"/>
      <w:bookmarkStart w:id="31" w:name="_Toc35393793"/>
      <w:r>
        <w:rPr>
          <w:rFonts w:hint="eastAsia" w:ascii="宋体" w:hAnsi="宋体" w:cs="宋体"/>
          <w:b/>
          <w:bCs/>
          <w:szCs w:val="21"/>
        </w:rPr>
        <w:t>四、提交投标文件</w:t>
      </w:r>
      <w:bookmarkEnd w:id="28"/>
      <w:bookmarkEnd w:id="29"/>
      <w:r>
        <w:rPr>
          <w:rFonts w:hint="eastAsia" w:ascii="宋体" w:hAnsi="宋体" w:cs="宋体"/>
          <w:b/>
          <w:bCs/>
          <w:szCs w:val="21"/>
        </w:rPr>
        <w:t>截止时间、开标时间和地点</w:t>
      </w:r>
      <w:bookmarkEnd w:id="30"/>
      <w:bookmarkEnd w:id="31"/>
    </w:p>
    <w:p w14:paraId="3BEC256E">
      <w:pPr>
        <w:spacing w:line="336" w:lineRule="auto"/>
        <w:ind w:firstLine="420" w:firstLineChars="200"/>
        <w:rPr>
          <w:rFonts w:ascii="宋体" w:hAnsi="宋体" w:cs="宋体"/>
          <w:szCs w:val="21"/>
        </w:rPr>
      </w:pPr>
      <w:bookmarkStart w:id="32" w:name="_Toc28359007"/>
      <w:bookmarkStart w:id="33" w:name="_Toc35393625"/>
      <w:bookmarkStart w:id="34" w:name="_Toc28359084"/>
      <w:bookmarkStart w:id="35" w:name="_Toc35393794"/>
      <w:r>
        <w:rPr>
          <w:rFonts w:hint="eastAsia" w:ascii="宋体" w:hAnsi="宋体" w:cs="宋体"/>
          <w:szCs w:val="21"/>
        </w:rPr>
        <w:t>1、</w:t>
      </w:r>
      <w:r>
        <w:rPr>
          <w:rFonts w:hint="eastAsia" w:ascii="宋体" w:hAnsi="宋体" w:cs="宋体"/>
          <w:szCs w:val="21"/>
          <w:lang w:bidi="ar"/>
        </w:rPr>
        <w:t>截止时间</w:t>
      </w:r>
      <w:r>
        <w:rPr>
          <w:rFonts w:hint="eastAsia" w:ascii="宋体" w:hAnsi="宋体" w:cs="宋体"/>
          <w:szCs w:val="21"/>
        </w:rPr>
        <w:t>：</w:t>
      </w:r>
      <w:r>
        <w:rPr>
          <w:rFonts w:hint="eastAsia" w:ascii="宋体" w:hAnsi="宋体" w:cs="宋体"/>
          <w:bCs/>
          <w:szCs w:val="21"/>
        </w:rPr>
        <w:t>2026年</w:t>
      </w:r>
      <w:r>
        <w:rPr>
          <w:rFonts w:hint="eastAsia" w:ascii="宋体" w:hAnsi="宋体" w:cs="宋体"/>
          <w:bCs/>
          <w:szCs w:val="21"/>
          <w:lang w:val="en-US" w:eastAsia="zh-CN"/>
        </w:rPr>
        <w:t>9</w:t>
      </w:r>
      <w:r>
        <w:rPr>
          <w:rFonts w:hint="eastAsia" w:ascii="宋体" w:hAnsi="宋体" w:cs="宋体"/>
          <w:bCs/>
          <w:szCs w:val="21"/>
        </w:rPr>
        <w:t>月</w:t>
      </w:r>
      <w:r>
        <w:rPr>
          <w:rFonts w:hint="eastAsia" w:ascii="宋体" w:hAnsi="宋体" w:cs="宋体"/>
          <w:bCs/>
          <w:szCs w:val="21"/>
          <w:lang w:val="en-US" w:eastAsia="zh-CN"/>
        </w:rPr>
        <w:t>11</w:t>
      </w:r>
      <w:r>
        <w:rPr>
          <w:rFonts w:hint="eastAsia" w:ascii="宋体" w:hAnsi="宋体" w:cs="宋体"/>
          <w:bCs/>
          <w:szCs w:val="21"/>
        </w:rPr>
        <w:t>日9时30分</w:t>
      </w:r>
      <w:r>
        <w:rPr>
          <w:rFonts w:hint="eastAsia" w:ascii="宋体" w:hAnsi="宋体" w:cs="宋体"/>
          <w:szCs w:val="21"/>
        </w:rPr>
        <w:t>（北京时间）</w:t>
      </w:r>
    </w:p>
    <w:p w14:paraId="0D2EEFE6">
      <w:pPr>
        <w:spacing w:line="336" w:lineRule="auto"/>
        <w:ind w:firstLine="420" w:firstLineChars="200"/>
        <w:rPr>
          <w:rFonts w:ascii="宋体" w:hAnsi="宋体" w:cs="宋体"/>
          <w:szCs w:val="21"/>
        </w:rPr>
      </w:pPr>
      <w:r>
        <w:rPr>
          <w:rFonts w:hint="eastAsia" w:ascii="宋体" w:hAnsi="宋体" w:cs="宋体"/>
          <w:szCs w:val="21"/>
        </w:rPr>
        <w:t>2、地点：</w:t>
      </w:r>
      <w:r>
        <w:rPr>
          <w:rFonts w:hint="eastAsia" w:ascii="宋体" w:hAnsi="宋体" w:cs="宋体"/>
          <w:szCs w:val="21"/>
          <w:lang w:bidi="ar"/>
        </w:rPr>
        <w:t>本项目将在广西政府采购云平台电子开标大厅解密、开标。本项目采用远程异地评标，评标主场设在崇左市公共资源交易中心（崇左市城南新区石景林路东段政务服务中心综合楼五楼），评标副会场设在南宁市公共资源交易中心（广西南宁市良庆区玉洞大道33号南宁市市民中心10楼）。</w:t>
      </w:r>
    </w:p>
    <w:p w14:paraId="2B205DA2">
      <w:pPr>
        <w:spacing w:line="336" w:lineRule="auto"/>
        <w:rPr>
          <w:rFonts w:ascii="宋体" w:hAnsi="宋体" w:cs="宋体"/>
          <w:b/>
          <w:bCs/>
          <w:sz w:val="24"/>
        </w:rPr>
      </w:pPr>
      <w:r>
        <w:rPr>
          <w:rFonts w:hint="eastAsia" w:ascii="宋体" w:hAnsi="宋体" w:cs="宋体"/>
          <w:b/>
          <w:bCs/>
          <w:szCs w:val="21"/>
        </w:rPr>
        <w:t>五、公告期限</w:t>
      </w:r>
      <w:bookmarkEnd w:id="32"/>
      <w:bookmarkEnd w:id="33"/>
      <w:bookmarkEnd w:id="34"/>
      <w:bookmarkEnd w:id="35"/>
    </w:p>
    <w:p w14:paraId="35A41F6E">
      <w:pPr>
        <w:spacing w:line="336" w:lineRule="auto"/>
        <w:ind w:firstLine="420" w:firstLineChars="200"/>
        <w:rPr>
          <w:rFonts w:ascii="宋体" w:hAnsi="宋体" w:cs="宋体"/>
          <w:kern w:val="0"/>
          <w:szCs w:val="21"/>
        </w:rPr>
      </w:pPr>
      <w:r>
        <w:rPr>
          <w:rFonts w:hint="eastAsia" w:ascii="宋体" w:hAnsi="宋体" w:cs="宋体"/>
          <w:kern w:val="0"/>
          <w:szCs w:val="21"/>
        </w:rPr>
        <w:t>自本公告发布之日起5个工作日。</w:t>
      </w:r>
    </w:p>
    <w:p w14:paraId="22D111E8">
      <w:pPr>
        <w:spacing w:line="336" w:lineRule="auto"/>
        <w:rPr>
          <w:rFonts w:ascii="宋体" w:hAnsi="宋体" w:cs="宋体"/>
          <w:b/>
          <w:bCs/>
          <w:sz w:val="24"/>
        </w:rPr>
      </w:pPr>
      <w:bookmarkStart w:id="36" w:name="_Toc35393795"/>
      <w:bookmarkStart w:id="37" w:name="_Toc35393626"/>
      <w:r>
        <w:rPr>
          <w:rFonts w:hint="eastAsia" w:ascii="宋体" w:hAnsi="宋体" w:cs="宋体"/>
          <w:b/>
          <w:bCs/>
          <w:szCs w:val="21"/>
        </w:rPr>
        <w:t>六、其他补充事宜</w:t>
      </w:r>
      <w:bookmarkEnd w:id="36"/>
      <w:bookmarkEnd w:id="37"/>
    </w:p>
    <w:p w14:paraId="4B1230CA">
      <w:pPr>
        <w:spacing w:line="336" w:lineRule="auto"/>
        <w:ind w:firstLine="420" w:firstLineChars="200"/>
        <w:rPr>
          <w:rFonts w:ascii="宋体" w:hAnsi="宋体" w:cs="宋体"/>
          <w:kern w:val="0"/>
          <w:szCs w:val="21"/>
        </w:rPr>
      </w:pPr>
      <w:bookmarkStart w:id="38" w:name="_Hlk37429674"/>
      <w:r>
        <w:rPr>
          <w:rFonts w:hint="eastAsia" w:ascii="宋体" w:hAnsi="宋体" w:cs="宋体"/>
          <w:kern w:val="0"/>
          <w:szCs w:val="21"/>
        </w:rPr>
        <w:t>1、投标保证金（人民币）：无。</w:t>
      </w:r>
    </w:p>
    <w:p w14:paraId="1CCCEC1D">
      <w:pPr>
        <w:spacing w:line="336" w:lineRule="auto"/>
        <w:ind w:firstLine="420" w:firstLineChars="200"/>
        <w:rPr>
          <w:rFonts w:ascii="宋体" w:hAnsi="宋体" w:cs="宋体"/>
          <w:kern w:val="0"/>
          <w:szCs w:val="21"/>
        </w:rPr>
      </w:pPr>
      <w:r>
        <w:rPr>
          <w:rFonts w:hint="eastAsia" w:ascii="宋体" w:hAnsi="宋体" w:cs="宋体"/>
          <w:kern w:val="0"/>
          <w:szCs w:val="21"/>
        </w:rPr>
        <w:t>2、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787B65D">
      <w:pPr>
        <w:spacing w:line="336" w:lineRule="auto"/>
        <w:ind w:firstLine="420" w:firstLineChars="200"/>
        <w:rPr>
          <w:rFonts w:ascii="宋体" w:hAnsi="宋体" w:cs="宋体"/>
          <w:kern w:val="0"/>
          <w:szCs w:val="21"/>
        </w:rPr>
      </w:pPr>
      <w:r>
        <w:rPr>
          <w:rFonts w:hint="eastAsia" w:ascii="宋体" w:hAnsi="宋体" w:cs="宋体"/>
          <w:kern w:val="0"/>
          <w:szCs w:val="21"/>
        </w:rPr>
        <w:t>3、根据财政部《关于在政府采购活动中查询及使用信用记录有关问题的通知》（财库〔2016〕125号）的规定，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64B6006F">
      <w:pPr>
        <w:wordWrap w:val="0"/>
        <w:autoSpaceDE w:val="0"/>
        <w:autoSpaceDN w:val="0"/>
        <w:spacing w:line="336" w:lineRule="auto"/>
        <w:ind w:firstLine="420" w:firstLineChars="200"/>
        <w:rPr>
          <w:rFonts w:ascii="宋体" w:hAnsi="宋体" w:cs="宋体"/>
          <w:kern w:val="0"/>
          <w:szCs w:val="21"/>
        </w:rPr>
      </w:pPr>
      <w:r>
        <w:rPr>
          <w:rFonts w:hint="eastAsia" w:ascii="宋体" w:hAnsi="宋体" w:cs="宋体"/>
          <w:kern w:val="0"/>
          <w:szCs w:val="21"/>
        </w:rPr>
        <w:t>4、网上查询地址：中国政府采购网（www.ccgp.gov.cn）、广西政府采购网（zfcg.gxzf.gov.cn）、</w:t>
      </w:r>
      <w:r>
        <w:rPr>
          <w:rFonts w:hint="eastAsia" w:ascii="宋体" w:hAnsi="宋体" w:cs="宋体"/>
          <w:szCs w:val="21"/>
        </w:rPr>
        <w:t>全国公共资源交易平台（广西.崇左）（</w:t>
      </w:r>
      <w:r>
        <w:fldChar w:fldCharType="begin"/>
      </w:r>
      <w:r>
        <w:instrText xml:space="preserve"> HYPERLINK "http://ggzy.jgswj.gxzf.gov.cn/czggzy" </w:instrText>
      </w:r>
      <w:r>
        <w:fldChar w:fldCharType="separate"/>
      </w:r>
      <w:r>
        <w:rPr>
          <w:rStyle w:val="56"/>
          <w:rFonts w:hint="eastAsia" w:ascii="宋体" w:hAnsi="宋体" w:cs="宋体"/>
          <w:color w:val="auto"/>
          <w:szCs w:val="21"/>
        </w:rPr>
        <w:t>http：//ggzy.jgswj.gxzf.gov.cn/czggzy</w:t>
      </w:r>
      <w:r>
        <w:rPr>
          <w:rStyle w:val="56"/>
          <w:rFonts w:hint="eastAsia" w:ascii="宋体" w:hAnsi="宋体" w:cs="宋体"/>
          <w:color w:val="auto"/>
          <w:szCs w:val="21"/>
        </w:rPr>
        <w:fldChar w:fldCharType="end"/>
      </w:r>
      <w:r>
        <w:rPr>
          <w:rFonts w:hint="eastAsia" w:ascii="宋体" w:hAnsi="宋体" w:cs="宋体"/>
          <w:szCs w:val="21"/>
        </w:rPr>
        <w:t>）</w:t>
      </w:r>
      <w:r>
        <w:rPr>
          <w:rFonts w:hint="eastAsia" w:ascii="宋体" w:hAnsi="宋体" w:cs="宋体"/>
          <w:kern w:val="0"/>
          <w:szCs w:val="21"/>
        </w:rPr>
        <w:t>。</w:t>
      </w:r>
    </w:p>
    <w:p w14:paraId="3FAFD0FB">
      <w:pPr>
        <w:spacing w:line="336" w:lineRule="auto"/>
        <w:ind w:firstLine="420" w:firstLineChars="200"/>
        <w:rPr>
          <w:rFonts w:ascii="宋体" w:hAnsi="宋体" w:cs="宋体"/>
          <w:kern w:val="0"/>
          <w:szCs w:val="21"/>
        </w:rPr>
      </w:pPr>
      <w:r>
        <w:rPr>
          <w:rFonts w:hint="eastAsia" w:ascii="宋体" w:hAnsi="宋体" w:cs="宋体"/>
          <w:szCs w:val="21"/>
          <w:lang w:bidi="ar"/>
        </w:rPr>
        <w:t>5、</w:t>
      </w:r>
      <w:r>
        <w:rPr>
          <w:rFonts w:hint="eastAsia" w:ascii="宋体" w:hAnsi="宋体" w:cs="宋体"/>
          <w:kern w:val="0"/>
          <w:szCs w:val="21"/>
        </w:rPr>
        <w:t>本项目需要落实的政府采购政策：</w:t>
      </w:r>
    </w:p>
    <w:p w14:paraId="3300B6FC">
      <w:pPr>
        <w:spacing w:line="336" w:lineRule="auto"/>
        <w:ind w:firstLine="420" w:firstLineChars="200"/>
        <w:rPr>
          <w:rFonts w:ascii="宋体" w:hAnsi="宋体" w:cs="宋体"/>
          <w:kern w:val="0"/>
          <w:szCs w:val="21"/>
        </w:rPr>
      </w:pPr>
      <w:r>
        <w:rPr>
          <w:rFonts w:hint="eastAsia" w:ascii="宋体" w:hAnsi="宋体" w:cs="宋体"/>
          <w:kern w:val="0"/>
          <w:szCs w:val="21"/>
        </w:rPr>
        <w:t>（1）政府采购促进中小企业发展。</w:t>
      </w:r>
    </w:p>
    <w:p w14:paraId="2DD4BC99">
      <w:pPr>
        <w:spacing w:line="336" w:lineRule="auto"/>
        <w:ind w:firstLine="420" w:firstLineChars="200"/>
        <w:rPr>
          <w:rFonts w:ascii="宋体" w:hAnsi="宋体" w:cs="宋体"/>
          <w:kern w:val="0"/>
          <w:szCs w:val="21"/>
        </w:rPr>
      </w:pPr>
      <w:r>
        <w:rPr>
          <w:rFonts w:hint="eastAsia" w:ascii="宋体" w:hAnsi="宋体" w:cs="宋体"/>
          <w:kern w:val="0"/>
          <w:szCs w:val="21"/>
        </w:rPr>
        <w:t>（2）政府采购支持采用本国产品的政策。</w:t>
      </w:r>
    </w:p>
    <w:p w14:paraId="482BA004">
      <w:pPr>
        <w:spacing w:line="336" w:lineRule="auto"/>
        <w:ind w:firstLine="420" w:firstLineChars="200"/>
        <w:rPr>
          <w:rFonts w:ascii="宋体" w:hAnsi="宋体" w:cs="宋体"/>
          <w:kern w:val="0"/>
          <w:szCs w:val="21"/>
        </w:rPr>
      </w:pPr>
      <w:r>
        <w:rPr>
          <w:rFonts w:hint="eastAsia" w:ascii="宋体" w:hAnsi="宋体" w:cs="宋体"/>
          <w:kern w:val="0"/>
          <w:szCs w:val="21"/>
        </w:rPr>
        <w:t>（3）强制采购节能产品；优先采购节能产品、环境标志产品。</w:t>
      </w:r>
    </w:p>
    <w:p w14:paraId="0FAC2486">
      <w:pPr>
        <w:spacing w:line="336" w:lineRule="auto"/>
        <w:ind w:firstLine="420" w:firstLineChars="200"/>
        <w:rPr>
          <w:rFonts w:ascii="宋体" w:hAnsi="宋体" w:cs="宋体"/>
          <w:kern w:val="0"/>
          <w:szCs w:val="21"/>
        </w:rPr>
      </w:pPr>
      <w:r>
        <w:rPr>
          <w:rFonts w:hint="eastAsia" w:ascii="宋体" w:hAnsi="宋体" w:cs="宋体"/>
          <w:kern w:val="0"/>
          <w:szCs w:val="21"/>
        </w:rPr>
        <w:t>（4）政府采购促进残疾人就业政策。</w:t>
      </w:r>
    </w:p>
    <w:p w14:paraId="04B09399">
      <w:pPr>
        <w:spacing w:line="336" w:lineRule="auto"/>
        <w:ind w:firstLine="420" w:firstLineChars="200"/>
        <w:rPr>
          <w:rFonts w:ascii="宋体" w:hAnsi="宋体" w:cs="宋体"/>
          <w:kern w:val="0"/>
          <w:szCs w:val="21"/>
        </w:rPr>
      </w:pPr>
      <w:r>
        <w:rPr>
          <w:rFonts w:hint="eastAsia" w:ascii="宋体" w:hAnsi="宋体" w:cs="宋体"/>
          <w:kern w:val="0"/>
          <w:szCs w:val="21"/>
        </w:rPr>
        <w:t>（5）政府采购支持监狱企业发展。</w:t>
      </w:r>
    </w:p>
    <w:p w14:paraId="0C6021FE">
      <w:pPr>
        <w:spacing w:line="336" w:lineRule="auto"/>
        <w:ind w:firstLine="420" w:firstLineChars="200"/>
        <w:rPr>
          <w:rFonts w:ascii="宋体" w:hAnsi="宋体" w:cs="宋体"/>
          <w:kern w:val="0"/>
          <w:szCs w:val="21"/>
        </w:rPr>
      </w:pPr>
      <w:r>
        <w:rPr>
          <w:rFonts w:hint="eastAsia" w:ascii="宋体" w:hAnsi="宋体" w:cs="宋体"/>
          <w:kern w:val="0"/>
          <w:szCs w:val="21"/>
        </w:rPr>
        <w:t>（6）扶持不发达地区和少数民族地区政策。</w:t>
      </w:r>
    </w:p>
    <w:p w14:paraId="0E54E2D3">
      <w:pPr>
        <w:widowControl/>
        <w:spacing w:line="336" w:lineRule="auto"/>
        <w:ind w:firstLine="420" w:firstLineChars="200"/>
        <w:rPr>
          <w:rFonts w:ascii="宋体" w:hAnsi="宋体" w:cs="宋体"/>
          <w:szCs w:val="21"/>
          <w:lang w:bidi="ar"/>
        </w:rPr>
      </w:pPr>
      <w:r>
        <w:rPr>
          <w:rFonts w:hint="eastAsia" w:ascii="宋体" w:hAnsi="宋体" w:cs="宋体"/>
          <w:szCs w:val="21"/>
          <w:lang w:bidi="ar"/>
        </w:rPr>
        <w:t>6、投标注意事项：</w:t>
      </w:r>
    </w:p>
    <w:p w14:paraId="218DFA59">
      <w:pPr>
        <w:widowControl/>
        <w:wordWrap w:val="0"/>
        <w:autoSpaceDE w:val="0"/>
        <w:autoSpaceDN w:val="0"/>
        <w:spacing w:line="336" w:lineRule="auto"/>
        <w:ind w:firstLine="420" w:firstLineChars="200"/>
        <w:rPr>
          <w:rFonts w:ascii="宋体" w:hAnsi="宋体" w:cs="宋体"/>
          <w:b/>
          <w:szCs w:val="21"/>
          <w:lang w:bidi="ar"/>
        </w:rPr>
      </w:pPr>
      <w:r>
        <w:rPr>
          <w:rFonts w:hint="eastAsia" w:ascii="宋体" w:hAnsi="宋体" w:cs="宋体"/>
          <w:szCs w:val="21"/>
          <w:lang w:bidi="ar"/>
        </w:rPr>
        <w:t>（1）投标文件提交方式：本项目为全流程电子化政府采购项目，通过广西政府采购云平台（https：//www.gcy.zfcg.gxzf.gov.cn/）实行在线电子投标，供应商应先安装“广西政府采购云平台新版</w:t>
      </w:r>
      <w:r>
        <w:rPr>
          <w:rFonts w:hint="eastAsia" w:ascii="宋体" w:hAnsi="宋体" w:cs="宋体"/>
        </w:rPr>
        <w:t>客户端</w:t>
      </w:r>
      <w:r>
        <w:rPr>
          <w:rFonts w:hint="eastAsia" w:ascii="宋体" w:hAnsi="宋体" w:cs="宋体"/>
          <w:szCs w:val="21"/>
          <w:lang w:bidi="ar"/>
        </w:rPr>
        <w:t>”（新版客户端下载路径：广西政府采购网（访问地址http：//zfcg.gxzf.gov.cn/）—办事服务—下载专区），并按照本项目招标文件和广西政府采购云平台的要求编制、加密后在投标截止时间前通过网络上传至广西政府采购云平台，</w:t>
      </w:r>
      <w:r>
        <w:rPr>
          <w:rFonts w:hint="eastAsia" w:ascii="宋体" w:hAnsi="宋体" w:cs="宋体"/>
          <w:b/>
          <w:szCs w:val="21"/>
          <w:lang w:bidi="ar"/>
        </w:rPr>
        <w:t>供应商在广西政府采购云平台提交电子版投标文件时，请填写参加远程开标活动经办人联系方式。</w:t>
      </w:r>
    </w:p>
    <w:p w14:paraId="6F416AB5">
      <w:pPr>
        <w:widowControl/>
        <w:wordWrap w:val="0"/>
        <w:autoSpaceDE w:val="0"/>
        <w:autoSpaceDN w:val="0"/>
        <w:spacing w:line="336" w:lineRule="auto"/>
        <w:ind w:firstLine="420" w:firstLineChars="200"/>
        <w:rPr>
          <w:rFonts w:ascii="宋体" w:hAnsi="宋体" w:cs="宋体"/>
          <w:b/>
          <w:szCs w:val="21"/>
          <w:lang w:bidi="ar"/>
        </w:rPr>
      </w:pPr>
      <w:r>
        <w:rPr>
          <w:rFonts w:hint="eastAsia" w:ascii="宋体" w:hAnsi="宋体" w:cs="宋体"/>
          <w:szCs w:val="21"/>
          <w:lang w:bidi="ar"/>
        </w:rPr>
        <w:t>（2）供应商应及时熟悉掌握电子标系统操作指南（见广西政府采购云平台电子卖场首页右上角—服务中心—帮助文档—项目采购）；及时完成CA申领和绑定（见广西政府采购网—办事服务—下载专区- CA证书办理操作指南）。</w:t>
      </w:r>
    </w:p>
    <w:p w14:paraId="5DB353B3">
      <w:pPr>
        <w:widowControl/>
        <w:spacing w:line="336" w:lineRule="auto"/>
        <w:ind w:firstLine="420" w:firstLineChars="200"/>
        <w:rPr>
          <w:rFonts w:ascii="宋体" w:hAnsi="宋体" w:cs="宋体"/>
          <w:szCs w:val="21"/>
        </w:rPr>
      </w:pPr>
      <w:r>
        <w:rPr>
          <w:rFonts w:hint="eastAsia" w:ascii="宋体" w:hAnsi="宋体" w:cs="宋体"/>
          <w:szCs w:val="21"/>
          <w:lang w:bidi="ar"/>
        </w:rPr>
        <w:t>（3）未进行网上注册并办理数字证书（CA认证）的供应商将无法参与本项目政府采购活动，潜在供应商应当在投标截止时间前，完成电子交易平台上的CA数字证书办理及投标文件的提交。完成CA数字证书办理预计7日左右，供应商只需办理其中一家CA数字证书及签章，建议各供应商抓紧时间办理。原在政采云平台注册的临时供应商需在新平台重新注册登记。</w:t>
      </w:r>
    </w:p>
    <w:p w14:paraId="74771135">
      <w:pPr>
        <w:widowControl/>
        <w:spacing w:line="336" w:lineRule="auto"/>
        <w:ind w:firstLine="420" w:firstLineChars="200"/>
        <w:rPr>
          <w:rFonts w:ascii="宋体" w:hAnsi="宋体" w:cs="宋体"/>
          <w:szCs w:val="21"/>
        </w:rPr>
      </w:pPr>
      <w:r>
        <w:rPr>
          <w:rFonts w:hint="eastAsia" w:ascii="宋体" w:hAnsi="宋体" w:cs="宋体"/>
          <w:szCs w:val="21"/>
          <w:lang w:bidi="ar"/>
        </w:rPr>
        <w:t>（4）为确保网上操作合法、有效和安全，请供应商确保在电子投标过程中能够对相关数据电文进行加密和使用电子签章，妥善保管CA数字证书并使用有效的CA数字证书参与整个采购活动。</w:t>
      </w:r>
    </w:p>
    <w:p w14:paraId="5F9F4A8C">
      <w:pPr>
        <w:spacing w:line="336" w:lineRule="auto"/>
        <w:ind w:firstLine="422" w:firstLineChars="200"/>
        <w:rPr>
          <w:rFonts w:ascii="宋体" w:hAnsi="宋体" w:cs="宋体"/>
          <w:b/>
          <w:bCs/>
          <w:szCs w:val="21"/>
        </w:rPr>
      </w:pPr>
      <w:r>
        <w:rPr>
          <w:rFonts w:hint="eastAsia" w:ascii="宋体" w:hAnsi="宋体" w:cs="宋体"/>
          <w:b/>
          <w:bCs/>
          <w:szCs w:val="21"/>
          <w:lang w:bidi="ar"/>
        </w:rPr>
        <w:t>注：供应商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6486940E">
      <w:pPr>
        <w:snapToGrid w:val="0"/>
        <w:spacing w:line="336" w:lineRule="auto"/>
        <w:ind w:firstLine="420" w:firstLineChars="200"/>
        <w:rPr>
          <w:rFonts w:ascii="宋体" w:hAnsi="宋体" w:cs="宋体"/>
          <w:kern w:val="0"/>
          <w:szCs w:val="21"/>
        </w:rPr>
      </w:pPr>
      <w:r>
        <w:rPr>
          <w:rFonts w:hint="eastAsia" w:ascii="宋体" w:hAnsi="宋体" w:cs="宋体"/>
          <w:kern w:val="0"/>
          <w:szCs w:val="21"/>
          <w:lang w:bidi="ar"/>
        </w:rPr>
        <w:t>（5）CA证书在线解密：供应商投标时，需携带制作投标文件时用来加密的有效数字证书（CA认证）登录广西政府采购云平台电子开标大厅现场按规定时间对加密的投标文件进行解密，否则后果自负。</w:t>
      </w:r>
    </w:p>
    <w:p w14:paraId="5419EA50">
      <w:pPr>
        <w:spacing w:line="336" w:lineRule="auto"/>
        <w:ind w:firstLine="420" w:firstLineChars="200"/>
        <w:rPr>
          <w:rFonts w:ascii="宋体" w:hAnsi="宋体" w:cs="宋体"/>
          <w:kern w:val="0"/>
          <w:szCs w:val="21"/>
        </w:rPr>
      </w:pPr>
      <w:r>
        <w:rPr>
          <w:rFonts w:hint="eastAsia" w:ascii="宋体" w:hAnsi="宋体" w:cs="宋体"/>
          <w:kern w:val="0"/>
          <w:szCs w:val="21"/>
        </w:rPr>
        <w:t>（6）若对项目采购电子交易系统操作有疑问，可登录广西政府采购云平台（https：//www.gcy.zfcg.gxzf.gov.cn/），点击右侧咨询小采，获取采小蜜智能服务管家帮助，或拨打广西政府采购云平台服务热线95763获取热线服务帮助。</w:t>
      </w:r>
    </w:p>
    <w:p w14:paraId="05FD93E2">
      <w:pPr>
        <w:spacing w:line="336" w:lineRule="auto"/>
        <w:ind w:firstLine="420" w:firstLineChars="200"/>
        <w:rPr>
          <w:rFonts w:ascii="宋体" w:hAnsi="宋体" w:cs="宋体"/>
          <w:szCs w:val="21"/>
        </w:rPr>
      </w:pPr>
      <w:r>
        <w:rPr>
          <w:rFonts w:hint="eastAsia" w:ascii="宋体" w:hAnsi="宋体" w:cs="宋体"/>
          <w:kern w:val="0"/>
          <w:szCs w:val="21"/>
        </w:rPr>
        <w:t>7、</w:t>
      </w:r>
      <w:r>
        <w:rPr>
          <w:rFonts w:hint="eastAsia" w:ascii="宋体" w:hAnsi="宋体" w:cs="宋体"/>
          <w:szCs w:val="21"/>
        </w:rPr>
        <w:t>根据《崇左市财政局关于进一步做好线上“政采贷”融资业务工作的通知》（崇财采〔2023〕10号），供应商如有需要可凭成交通知书、政府采购合同，通过中征应收账款融资服务平台向银行在线申请“政采贷”融资。（具体详见采购文件中关于“政采贷”相关信息）</w:t>
      </w:r>
    </w:p>
    <w:bookmarkEnd w:id="38"/>
    <w:p w14:paraId="3F952C46">
      <w:pPr>
        <w:spacing w:line="336" w:lineRule="auto"/>
        <w:rPr>
          <w:rFonts w:ascii="宋体" w:hAnsi="宋体" w:cs="宋体"/>
          <w:b/>
          <w:bCs/>
          <w:sz w:val="24"/>
        </w:rPr>
      </w:pPr>
      <w:bookmarkStart w:id="39" w:name="_Toc28359085"/>
      <w:bookmarkStart w:id="40" w:name="_Toc28359008"/>
      <w:bookmarkStart w:id="41" w:name="_Toc35393627"/>
      <w:bookmarkStart w:id="42" w:name="_Toc35393796"/>
      <w:r>
        <w:rPr>
          <w:rFonts w:hint="eastAsia" w:ascii="宋体" w:hAnsi="宋体" w:cs="宋体"/>
          <w:b/>
          <w:bCs/>
          <w:szCs w:val="21"/>
        </w:rPr>
        <w:t>七、对本次招标提出询问，请按以下方式联系。</w:t>
      </w:r>
      <w:bookmarkEnd w:id="39"/>
      <w:bookmarkEnd w:id="40"/>
      <w:bookmarkEnd w:id="41"/>
      <w:bookmarkEnd w:id="42"/>
    </w:p>
    <w:p w14:paraId="7A295BE5">
      <w:pPr>
        <w:spacing w:line="336" w:lineRule="auto"/>
        <w:ind w:firstLine="567" w:firstLineChars="270"/>
        <w:rPr>
          <w:rFonts w:ascii="宋体" w:hAnsi="宋体" w:cs="宋体"/>
          <w:szCs w:val="21"/>
        </w:rPr>
      </w:pPr>
      <w:r>
        <w:rPr>
          <w:rFonts w:hint="eastAsia" w:ascii="宋体" w:hAnsi="宋体" w:cs="宋体"/>
          <w:szCs w:val="21"/>
        </w:rPr>
        <w:t>1.采购人信息</w:t>
      </w:r>
    </w:p>
    <w:p w14:paraId="5F50C93E">
      <w:pPr>
        <w:spacing w:line="336" w:lineRule="auto"/>
        <w:ind w:firstLine="567" w:firstLineChars="270"/>
        <w:rPr>
          <w:rFonts w:ascii="宋体" w:hAnsi="宋体" w:cs="宋体"/>
          <w:szCs w:val="21"/>
        </w:rPr>
      </w:pPr>
      <w:bookmarkStart w:id="43" w:name="OLE_LINK35"/>
      <w:bookmarkStart w:id="44" w:name="OLE_LINK34"/>
      <w:bookmarkStart w:id="45" w:name="_Toc28359086"/>
      <w:bookmarkStart w:id="46" w:name="_Toc28359009"/>
      <w:r>
        <w:rPr>
          <w:rFonts w:hint="eastAsia" w:ascii="宋体" w:hAnsi="宋体" w:cs="宋体"/>
          <w:szCs w:val="21"/>
        </w:rPr>
        <w:t>名称：广西壮族自治区民族医院</w:t>
      </w:r>
    </w:p>
    <w:p w14:paraId="2AC76830">
      <w:pPr>
        <w:spacing w:line="336" w:lineRule="auto"/>
        <w:ind w:firstLine="567" w:firstLineChars="270"/>
        <w:rPr>
          <w:rFonts w:ascii="宋体" w:hAnsi="宋体" w:cs="宋体"/>
          <w:szCs w:val="21"/>
        </w:rPr>
      </w:pPr>
      <w:r>
        <w:rPr>
          <w:rFonts w:hint="eastAsia" w:ascii="宋体" w:hAnsi="宋体" w:cs="宋体"/>
          <w:szCs w:val="21"/>
        </w:rPr>
        <w:t>地址：南宁市明秀东路232号</w:t>
      </w:r>
    </w:p>
    <w:p w14:paraId="6AC7D296">
      <w:pPr>
        <w:spacing w:line="336" w:lineRule="auto"/>
        <w:ind w:firstLine="567" w:firstLineChars="270"/>
        <w:rPr>
          <w:rFonts w:ascii="宋体" w:hAnsi="宋体" w:cs="宋体"/>
          <w:szCs w:val="21"/>
        </w:rPr>
      </w:pPr>
      <w:r>
        <w:rPr>
          <w:rFonts w:hint="eastAsia" w:ascii="宋体" w:hAnsi="宋体" w:cs="宋体"/>
          <w:szCs w:val="21"/>
        </w:rPr>
        <w:t>项目联系人：陆工</w:t>
      </w:r>
    </w:p>
    <w:p w14:paraId="70BFEB8E">
      <w:pPr>
        <w:spacing w:line="336" w:lineRule="auto"/>
        <w:ind w:firstLine="567" w:firstLineChars="270"/>
        <w:rPr>
          <w:rFonts w:ascii="宋体" w:hAnsi="宋体" w:cs="宋体"/>
          <w:szCs w:val="21"/>
          <w:u w:val="single"/>
        </w:rPr>
      </w:pPr>
      <w:r>
        <w:rPr>
          <w:rFonts w:hint="eastAsia" w:ascii="宋体" w:hAnsi="宋体" w:cs="宋体"/>
          <w:szCs w:val="21"/>
        </w:rPr>
        <w:t>项目联系方式：0771-3138944</w:t>
      </w:r>
    </w:p>
    <w:bookmarkEnd w:id="43"/>
    <w:bookmarkEnd w:id="44"/>
    <w:p w14:paraId="4DD7A14F">
      <w:pPr>
        <w:spacing w:line="336" w:lineRule="auto"/>
        <w:ind w:firstLine="567" w:firstLineChars="270"/>
        <w:rPr>
          <w:rFonts w:ascii="宋体" w:hAnsi="宋体" w:cs="宋体"/>
          <w:szCs w:val="21"/>
        </w:rPr>
      </w:pPr>
      <w:r>
        <w:rPr>
          <w:rFonts w:hint="eastAsia" w:ascii="宋体" w:hAnsi="宋体" w:cs="宋体"/>
          <w:szCs w:val="21"/>
        </w:rPr>
        <w:t>2.采购代理机构信息</w:t>
      </w:r>
      <w:bookmarkEnd w:id="45"/>
      <w:bookmarkEnd w:id="46"/>
    </w:p>
    <w:p w14:paraId="1320991D">
      <w:pPr>
        <w:spacing w:line="336" w:lineRule="auto"/>
        <w:ind w:firstLine="567" w:firstLineChars="270"/>
        <w:rPr>
          <w:rFonts w:ascii="宋体" w:hAnsi="宋体" w:cs="宋体"/>
          <w:szCs w:val="21"/>
        </w:rPr>
      </w:pPr>
      <w:r>
        <w:rPr>
          <w:rFonts w:hint="eastAsia" w:ascii="宋体" w:hAnsi="宋体" w:cs="宋体"/>
          <w:szCs w:val="21"/>
        </w:rPr>
        <w:t>名称：广西国力招标有限公司</w:t>
      </w:r>
    </w:p>
    <w:p w14:paraId="45C558DC">
      <w:pPr>
        <w:spacing w:line="336" w:lineRule="auto"/>
        <w:ind w:firstLine="567" w:firstLineChars="270"/>
        <w:rPr>
          <w:rFonts w:ascii="宋体" w:hAnsi="宋体" w:cs="宋体"/>
          <w:szCs w:val="21"/>
        </w:rPr>
      </w:pPr>
      <w:r>
        <w:rPr>
          <w:rFonts w:hint="eastAsia" w:ascii="宋体" w:hAnsi="宋体" w:cs="宋体"/>
          <w:szCs w:val="21"/>
        </w:rPr>
        <w:t>地址：南宁市江南区白沙大道松宇时代13楼</w:t>
      </w:r>
    </w:p>
    <w:p w14:paraId="66522399">
      <w:pPr>
        <w:spacing w:line="336" w:lineRule="auto"/>
        <w:ind w:firstLine="567" w:firstLineChars="270"/>
        <w:rPr>
          <w:rFonts w:ascii="宋体" w:hAnsi="宋体" w:cs="宋体"/>
          <w:szCs w:val="21"/>
        </w:rPr>
      </w:pPr>
      <w:r>
        <w:rPr>
          <w:rFonts w:hint="eastAsia" w:ascii="宋体" w:hAnsi="宋体" w:cs="宋体"/>
          <w:szCs w:val="21"/>
        </w:rPr>
        <w:t>联系电话：</w:t>
      </w:r>
      <w:bookmarkStart w:id="47" w:name="PO_3000001866_PM033"/>
      <w:r>
        <w:rPr>
          <w:rFonts w:hint="eastAsia" w:ascii="宋体" w:hAnsi="宋体" w:cs="宋体"/>
          <w:szCs w:val="21"/>
        </w:rPr>
        <w:t>0771-4915558</w:t>
      </w:r>
      <w:bookmarkEnd w:id="47"/>
    </w:p>
    <w:p w14:paraId="25C482BA">
      <w:pPr>
        <w:spacing w:line="336" w:lineRule="auto"/>
        <w:ind w:firstLine="567" w:firstLineChars="270"/>
        <w:rPr>
          <w:rFonts w:ascii="宋体" w:hAnsi="宋体" w:cs="宋体"/>
          <w:szCs w:val="21"/>
        </w:rPr>
      </w:pPr>
      <w:r>
        <w:rPr>
          <w:rFonts w:hint="eastAsia" w:ascii="宋体" w:hAnsi="宋体" w:cs="宋体"/>
          <w:szCs w:val="21"/>
        </w:rPr>
        <w:t>3.项目联系方式</w:t>
      </w:r>
    </w:p>
    <w:p w14:paraId="39825838">
      <w:pPr>
        <w:spacing w:line="336" w:lineRule="auto"/>
        <w:ind w:firstLine="567" w:firstLineChars="270"/>
        <w:rPr>
          <w:rFonts w:ascii="宋体" w:hAnsi="宋体" w:cs="宋体"/>
          <w:szCs w:val="21"/>
        </w:rPr>
      </w:pPr>
      <w:r>
        <w:rPr>
          <w:rFonts w:hint="eastAsia" w:ascii="宋体" w:hAnsi="宋体" w:cs="宋体"/>
          <w:szCs w:val="21"/>
        </w:rPr>
        <w:t>项目联系人：覃阳、隆丽艺、覃荟茯、李宁芳</w:t>
      </w:r>
    </w:p>
    <w:p w14:paraId="71E66936">
      <w:pPr>
        <w:spacing w:line="336" w:lineRule="auto"/>
        <w:ind w:firstLine="567" w:firstLineChars="270"/>
        <w:rPr>
          <w:rFonts w:ascii="宋体" w:hAnsi="宋体" w:cs="宋体"/>
          <w:szCs w:val="21"/>
        </w:rPr>
      </w:pPr>
      <w:r>
        <w:rPr>
          <w:rFonts w:hint="eastAsia" w:ascii="宋体" w:hAnsi="宋体" w:cs="宋体"/>
          <w:szCs w:val="21"/>
        </w:rPr>
        <w:t xml:space="preserve">电    话：0771-4915558 </w:t>
      </w:r>
      <w:bookmarkStart w:id="116" w:name="_GoBack"/>
      <w:bookmarkEnd w:id="116"/>
    </w:p>
    <w:p w14:paraId="2D67095E">
      <w:pPr>
        <w:spacing w:line="336" w:lineRule="auto"/>
        <w:jc w:val="right"/>
        <w:rPr>
          <w:rFonts w:ascii="宋体" w:hAnsi="宋体" w:cs="宋体"/>
          <w:szCs w:val="21"/>
        </w:rPr>
      </w:pPr>
      <w:bookmarkStart w:id="48" w:name="PO_3000001866_PM031_2"/>
      <w:r>
        <w:rPr>
          <w:rFonts w:hint="eastAsia" w:ascii="宋体" w:hAnsi="宋体" w:cs="宋体"/>
          <w:szCs w:val="21"/>
        </w:rPr>
        <w:t>广西国力招标有限公司</w:t>
      </w:r>
      <w:bookmarkEnd w:id="48"/>
    </w:p>
    <w:p w14:paraId="7FB5D7F4">
      <w:pPr>
        <w:spacing w:line="336" w:lineRule="auto"/>
        <w:ind w:firstLine="210" w:firstLineChars="100"/>
        <w:jc w:val="right"/>
        <w:rPr>
          <w:rFonts w:ascii="宋体" w:hAnsi="宋体" w:cs="宋体"/>
          <w:szCs w:val="21"/>
        </w:rPr>
      </w:pPr>
      <w:r>
        <w:rPr>
          <w:rFonts w:hint="eastAsia" w:ascii="宋体" w:hAnsi="宋体" w:cs="宋体"/>
          <w:szCs w:val="21"/>
        </w:rPr>
        <w:t xml:space="preserve"> 2026年</w:t>
      </w:r>
      <w:r>
        <w:rPr>
          <w:rFonts w:hint="eastAsia" w:ascii="宋体" w:hAnsi="宋体" w:cs="宋体"/>
          <w:szCs w:val="21"/>
          <w:lang w:val="en-US" w:eastAsia="zh-CN"/>
        </w:rPr>
        <w:t>8</w:t>
      </w:r>
      <w:r>
        <w:rPr>
          <w:rFonts w:hint="eastAsia" w:ascii="宋体" w:hAnsi="宋体" w:cs="宋体"/>
          <w:szCs w:val="21"/>
        </w:rPr>
        <w:t>月</w:t>
      </w:r>
      <w:r>
        <w:rPr>
          <w:rFonts w:hint="eastAsia" w:ascii="宋体" w:hAnsi="宋体" w:cs="宋体"/>
          <w:szCs w:val="21"/>
          <w:lang w:val="en-US" w:eastAsia="zh-CN"/>
        </w:rPr>
        <w:t>17</w:t>
      </w:r>
      <w:r>
        <w:rPr>
          <w:rFonts w:hint="eastAsia" w:ascii="宋体" w:hAnsi="宋体" w:cs="宋体"/>
          <w:szCs w:val="21"/>
        </w:rPr>
        <w:t>日</w:t>
      </w:r>
    </w:p>
    <w:p w14:paraId="0E1BC606">
      <w:pPr>
        <w:spacing w:line="336" w:lineRule="auto"/>
        <w:ind w:firstLine="210" w:firstLineChars="100"/>
        <w:jc w:val="right"/>
        <w:rPr>
          <w:rFonts w:ascii="宋体" w:hAnsi="宋体" w:cs="宋体"/>
          <w:szCs w:val="21"/>
        </w:rPr>
      </w:pPr>
    </w:p>
    <w:p w14:paraId="43988441">
      <w:pPr>
        <w:pStyle w:val="2"/>
        <w:spacing w:before="0" w:after="0" w:line="360" w:lineRule="auto"/>
        <w:jc w:val="center"/>
        <w:rPr>
          <w:rFonts w:ascii="宋体" w:hAnsi="宋体" w:cs="宋体"/>
        </w:rPr>
      </w:pPr>
      <w:r>
        <w:rPr>
          <w:rFonts w:hint="eastAsia" w:ascii="宋体" w:hAnsi="宋体" w:cs="宋体"/>
        </w:rPr>
        <w:br w:type="page"/>
      </w:r>
      <w:bookmarkStart w:id="49" w:name="_Toc1032"/>
    </w:p>
    <w:bookmarkEnd w:id="49"/>
    <w:p w14:paraId="710871AA">
      <w:pPr>
        <w:pStyle w:val="2"/>
        <w:spacing w:before="0" w:after="0" w:line="360" w:lineRule="auto"/>
        <w:jc w:val="center"/>
        <w:rPr>
          <w:rFonts w:ascii="宋体" w:hAnsi="宋体" w:cs="宋体"/>
        </w:rPr>
      </w:pPr>
      <w:bookmarkStart w:id="50" w:name="_Hlk65055179"/>
      <w:bookmarkStart w:id="51" w:name="OLE_LINK32"/>
      <w:bookmarkStart w:id="52" w:name="OLE_LINK33"/>
      <w:bookmarkStart w:id="53" w:name="_Toc254970490"/>
      <w:bookmarkStart w:id="54" w:name="_Toc254970631"/>
      <w:r>
        <w:rPr>
          <w:rFonts w:hint="eastAsia" w:ascii="宋体" w:hAnsi="宋体" w:cs="宋体"/>
        </w:rPr>
        <w:t>第二章  采购需求</w:t>
      </w:r>
    </w:p>
    <w:p w14:paraId="320E3091">
      <w:pPr>
        <w:spacing w:line="380" w:lineRule="exact"/>
        <w:rPr>
          <w:rFonts w:ascii="宋体"/>
          <w:color w:val="000000"/>
          <w:szCs w:val="21"/>
        </w:rPr>
      </w:pPr>
      <w:r>
        <w:rPr>
          <w:rFonts w:hint="eastAsia" w:ascii="宋体"/>
          <w:b/>
          <w:color w:val="000000"/>
          <w:szCs w:val="21"/>
        </w:rPr>
        <w:t>说明：</w:t>
      </w:r>
    </w:p>
    <w:p w14:paraId="2443AD54">
      <w:pPr>
        <w:spacing w:line="380" w:lineRule="exact"/>
        <w:ind w:firstLine="420" w:firstLineChars="200"/>
        <w:jc w:val="left"/>
        <w:rPr>
          <w:rFonts w:ascii="宋体" w:hAnsi="宋体" w:cs="宋体"/>
          <w:szCs w:val="21"/>
        </w:rPr>
      </w:pPr>
      <w:bookmarkStart w:id="55" w:name="OLE_LINK1"/>
      <w:bookmarkStart w:id="56" w:name="OLE_LINK2"/>
      <w:r>
        <w:rPr>
          <w:rFonts w:hint="eastAsia"/>
        </w:rPr>
        <w:t>1. 为落实政府采购政策需满足的要求</w:t>
      </w:r>
      <w:bookmarkEnd w:id="55"/>
      <w:bookmarkEnd w:id="56"/>
    </w:p>
    <w:p w14:paraId="36A1E362">
      <w:pPr>
        <w:spacing w:line="380" w:lineRule="exact"/>
        <w:ind w:firstLine="420" w:firstLineChars="200"/>
        <w:jc w:val="left"/>
        <w:rPr>
          <w:rFonts w:ascii="宋体" w:hAnsi="宋体" w:cs="宋体"/>
          <w:szCs w:val="21"/>
        </w:rPr>
      </w:pPr>
      <w:r>
        <w:rPr>
          <w:rFonts w:hint="eastAsia" w:ascii="宋体" w:hAnsi="宋体" w:cs="宋体"/>
          <w:szCs w:val="21"/>
        </w:rPr>
        <w:t>（1）本招标文件所称中小企业必须符合《政府采购促进中小企业发展管理办法》（财库〔2020〕46号）的规定。</w:t>
      </w:r>
    </w:p>
    <w:p w14:paraId="7396F81B">
      <w:pPr>
        <w:spacing w:line="380" w:lineRule="exact"/>
        <w:ind w:firstLine="424" w:firstLineChars="202"/>
        <w:jc w:val="left"/>
        <w:rPr>
          <w:rFonts w:ascii="宋体" w:hAnsi="宋体" w:cs="宋体"/>
          <w:szCs w:val="21"/>
        </w:rPr>
      </w:pPr>
      <w:r>
        <w:rPr>
          <w:rFonts w:hint="eastAsia" w:ascii="宋体" w:hAnsi="宋体" w:cs="宋体"/>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加盖投标人电子签章），</w:t>
      </w:r>
      <w:r>
        <w:rPr>
          <w:rFonts w:hint="eastAsia" w:ascii="宋体" w:hAnsi="宋体" w:cs="宋体"/>
          <w:b/>
          <w:bCs/>
          <w:szCs w:val="21"/>
        </w:rPr>
        <w:t>否则按无效投标处理</w:t>
      </w:r>
      <w:r>
        <w:rPr>
          <w:rFonts w:hint="eastAsia" w:ascii="宋体" w:hAnsi="宋体" w:cs="宋体"/>
          <w:szCs w:val="21"/>
        </w:rPr>
        <w:t>。如本项目包含的货物属于品目清单内非标注“★”的产品时，应优先采购，具体详见“第四章 评标方法及评标标准”。</w:t>
      </w:r>
      <w:r>
        <w:rPr>
          <w:rFonts w:hint="eastAsia" w:ascii="宋体"/>
          <w:szCs w:val="21"/>
        </w:rPr>
        <w:t>根据财库〔2019〕9号及财库〔2019〕19号文件规定，若采购货物属于以上品目清单的产品时，投标人的投标货物必须使用政府强制采购的节能产品，投标人必须在投标文件中提供由国家确定的认证机构出具的处于有效期之内的节能产品认证证书复印件（加盖投标人公章），否则相应投标无效。</w:t>
      </w:r>
    </w:p>
    <w:p w14:paraId="27AEBFA9">
      <w:pPr>
        <w:spacing w:line="380" w:lineRule="exact"/>
        <w:ind w:firstLine="426" w:firstLineChars="202"/>
        <w:jc w:val="left"/>
        <w:rPr>
          <w:rFonts w:ascii="宋体" w:hAnsi="宋体" w:cs="宋体"/>
          <w:b/>
          <w:bCs/>
          <w:color w:val="000000"/>
          <w:szCs w:val="21"/>
        </w:rPr>
      </w:pPr>
      <w:r>
        <w:rPr>
          <w:rFonts w:hint="eastAsia" w:ascii="宋体" w:hAnsi="宋体" w:cs="宋体"/>
          <w:b/>
          <w:bCs/>
          <w:color w:val="000000"/>
          <w:szCs w:val="21"/>
        </w:rPr>
        <w:t>（3）本国产品标准适用于货物，包括政府采购货物项目和服务项目中涉及的货物。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12B092B">
      <w:pPr>
        <w:spacing w:line="380" w:lineRule="exact"/>
        <w:ind w:firstLine="424" w:firstLineChars="202"/>
        <w:jc w:val="left"/>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4</w:t>
      </w:r>
      <w:r>
        <w:rPr>
          <w:rFonts w:hint="eastAsia" w:ascii="宋体" w:hAnsi="宋体" w:cs="宋体"/>
          <w:color w:val="000000"/>
          <w:szCs w:val="21"/>
        </w:rPr>
        <w:t>）</w:t>
      </w:r>
      <w:r>
        <w:rPr>
          <w:color w:val="000000"/>
        </w:rPr>
        <w:t>根据《关于调整网络安全专用产品安全管理有关事项的公告》（2023</w:t>
      </w:r>
      <w:r>
        <w:rPr>
          <w:rFonts w:hint="eastAsia"/>
          <w:color w:val="000000"/>
        </w:rPr>
        <w:t>第</w:t>
      </w:r>
      <w:r>
        <w:rPr>
          <w:color w:val="000000"/>
        </w:rPr>
        <w:t>1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http://www.cac.gov.cn/index.htm）最新发布的《网络关键设备和网络安全专用产品安全认证和安全检测结果》截图证明材料，</w:t>
      </w:r>
      <w:r>
        <w:rPr>
          <w:b/>
          <w:color w:val="000000"/>
        </w:rPr>
        <w:t>不在《网络关键设备和网络安全专用产品安全认证和安全检测结果》中或不在有效期内或未提供有效的《计算机信息系统安全专用产品销售许可证》的，</w:t>
      </w:r>
      <w:r>
        <w:rPr>
          <w:rFonts w:hint="eastAsia"/>
          <w:b/>
          <w:color w:val="000000"/>
        </w:rPr>
        <w:t>按无效投标处理</w:t>
      </w:r>
      <w:r>
        <w:rPr>
          <w:color w:val="000000"/>
        </w:rPr>
        <w:t>。如属于《网络关键设备和网络安全专用产品目录》中“二、网络安全专用产品”内“产品类别”中的所描述的产品，但不属于所列“产品描述”情形的，应提供相应的说明及证明材料。</w:t>
      </w:r>
    </w:p>
    <w:p w14:paraId="086C7AED">
      <w:pPr>
        <w:spacing w:line="360" w:lineRule="exact"/>
        <w:ind w:firstLine="424" w:firstLineChars="202"/>
        <w:jc w:val="left"/>
        <w:rPr>
          <w:rFonts w:ascii="宋体" w:hAnsi="宋体" w:cs="宋体"/>
          <w:color w:val="000000"/>
          <w:szCs w:val="21"/>
        </w:rPr>
      </w:pPr>
      <w:r>
        <w:rPr>
          <w:rFonts w:hint="eastAsia" w:ascii="宋体" w:hAnsi="宋体" w:cs="宋体"/>
          <w:color w:val="000000"/>
          <w:szCs w:val="21"/>
        </w:rPr>
        <w:t>2.“实质性要求”是指招标文件中已经指明不满足则投标无效的条款，或者不能负偏离的条款，或者采购需求中带“▲”的条款。</w:t>
      </w:r>
      <w:r>
        <w:rPr>
          <w:rFonts w:hint="eastAsia" w:ascii="宋体" w:hAnsi="宋体"/>
          <w:b/>
          <w:color w:val="000000"/>
          <w:szCs w:val="21"/>
        </w:rPr>
        <w:t>重要参数要求是指采购需求中带“*”的条款，</w:t>
      </w:r>
      <w:r>
        <w:rPr>
          <w:rFonts w:hint="eastAsia" w:ascii="宋体" w:hAnsi="宋体" w:cs="宋体"/>
          <w:b/>
          <w:color w:val="000000"/>
          <w:szCs w:val="21"/>
        </w:rPr>
        <w:t>作为评分内容；</w:t>
      </w:r>
      <w:r>
        <w:rPr>
          <w:rFonts w:hint="eastAsia" w:ascii="宋体" w:hAnsi="宋体"/>
          <w:b/>
          <w:color w:val="000000"/>
          <w:szCs w:val="21"/>
        </w:rPr>
        <w:t>无标识则表示为一般技术参数要求，重要参数要求和一般技术参数要求如响应为负偏离，不会导致投标被否决。</w:t>
      </w:r>
    </w:p>
    <w:p w14:paraId="77C97C42">
      <w:pPr>
        <w:spacing w:line="380" w:lineRule="exact"/>
        <w:ind w:firstLine="424" w:firstLineChars="202"/>
        <w:jc w:val="left"/>
        <w:rPr>
          <w:rFonts w:ascii="宋体" w:hAnsi="宋体" w:cs="宋体"/>
          <w:szCs w:val="21"/>
        </w:rPr>
      </w:pPr>
      <w:r>
        <w:rPr>
          <w:rFonts w:ascii="宋体" w:hAnsi="宋体" w:cs="宋体"/>
          <w:color w:val="000000"/>
          <w:szCs w:val="21"/>
        </w:rPr>
        <w:t>3</w:t>
      </w:r>
      <w:r>
        <w:rPr>
          <w:rFonts w:hint="eastAsia" w:ascii="宋体" w:hAnsi="宋体" w:cs="宋体"/>
          <w:color w:val="000000"/>
          <w:szCs w:val="21"/>
        </w:rPr>
        <w:t>.采购需求中出现的品牌、型号或者生产厂家仅起参考作用，</w:t>
      </w:r>
      <w:r>
        <w:rPr>
          <w:rFonts w:hint="eastAsia" w:ascii="宋体" w:hAnsi="宋体" w:cs="宋体"/>
          <w:szCs w:val="21"/>
        </w:rPr>
        <w:t>不属于指定品牌、型号或者生产厂家的情形。投标人可参照或者选用其他相当的品牌、型号或者生产厂家替代，但选用的投标产品参数性能必须满足实质性要求。</w:t>
      </w:r>
    </w:p>
    <w:p w14:paraId="5BB016C9">
      <w:pPr>
        <w:spacing w:line="380" w:lineRule="exact"/>
        <w:ind w:firstLine="424" w:firstLineChars="202"/>
        <w:jc w:val="left"/>
      </w:pPr>
      <w:r>
        <w:rPr>
          <w:rFonts w:hint="eastAsia" w:ascii="宋体" w:hAnsi="宋体" w:cs="宋体"/>
          <w:szCs w:val="21"/>
        </w:rPr>
        <w:t>4. 投标人应根据自身实际情况如实响应招标文件，对招标文件提出的要求和条件作出明确响应，</w:t>
      </w:r>
      <w:r>
        <w:rPr>
          <w:rFonts w:hint="eastAsia" w:ascii="宋体" w:hAnsi="宋体"/>
          <w:b/>
          <w:bCs/>
          <w:szCs w:val="21"/>
        </w:rPr>
        <w:t>否则将作无效响应处理</w:t>
      </w:r>
      <w:r>
        <w:rPr>
          <w:rFonts w:hint="eastAsia" w:ascii="宋体" w:hAnsi="宋体"/>
          <w:szCs w:val="21"/>
        </w:rPr>
        <w:t>。</w:t>
      </w:r>
      <w:r>
        <w:rPr>
          <w:rFonts w:hint="eastAsia"/>
        </w:rPr>
        <w:t>对于重要技术条款或技术参数应当在投标文件中提供技术支持资料，技术支持资料以招标文件中规定的形式为准，</w:t>
      </w:r>
      <w:r>
        <w:rPr>
          <w:rFonts w:hint="eastAsia"/>
          <w:b/>
          <w:bCs/>
        </w:rPr>
        <w:t>否则将视为无效技术支持资料</w:t>
      </w:r>
      <w:r>
        <w:rPr>
          <w:rFonts w:hint="eastAsia"/>
        </w:rPr>
        <w:t>。</w:t>
      </w:r>
    </w:p>
    <w:p w14:paraId="60F86F11">
      <w:pPr>
        <w:spacing w:line="380" w:lineRule="exact"/>
        <w:ind w:firstLine="424" w:firstLineChars="202"/>
        <w:jc w:val="left"/>
      </w:pPr>
      <w:r>
        <w:rPr>
          <w:rFonts w:hint="eastAsia" w:ascii="宋体" w:hAnsi="宋体" w:cs="宋体"/>
          <w:szCs w:val="21"/>
        </w:rPr>
        <w:t>5.</w:t>
      </w:r>
      <w:r>
        <w:rPr>
          <w:rFonts w:hint="eastAsia"/>
        </w:rPr>
        <w:t>投标人必须自行为其投标产品侵犯他人的知识产权或者专利成果的行为承担相应法律责任。</w:t>
      </w:r>
    </w:p>
    <w:p w14:paraId="31977120">
      <w:pPr>
        <w:spacing w:line="380" w:lineRule="exact"/>
        <w:ind w:firstLine="437"/>
        <w:rPr>
          <w:rFonts w:ascii="宋体" w:hAnsi="宋体"/>
          <w:color w:val="000000"/>
          <w:szCs w:val="21"/>
        </w:rPr>
      </w:pPr>
      <w:r>
        <w:rPr>
          <w:rFonts w:hint="eastAsia" w:ascii="宋体" w:hAnsi="宋体"/>
          <w:color w:val="000000"/>
          <w:szCs w:val="21"/>
        </w:rPr>
        <w:t>6.采购标的对应的中小企业划分标准所属行业：根据《关于印发中小企业划型标准规定的通知》（工信部联企业〔2011〕300号），本次采购标的属于：工业。</w:t>
      </w:r>
      <w:r>
        <w:rPr>
          <w:rFonts w:ascii="宋体" w:hAnsi="宋体"/>
          <w:color w:val="000000"/>
          <w:szCs w:val="21"/>
        </w:rPr>
        <w:t xml:space="preserve"> </w:t>
      </w:r>
    </w:p>
    <w:p w14:paraId="57FB294B">
      <w:pPr>
        <w:spacing w:line="380" w:lineRule="exact"/>
        <w:ind w:firstLine="437"/>
        <w:rPr>
          <w:rFonts w:ascii="宋体" w:hAnsi="宋体"/>
          <w:szCs w:val="21"/>
        </w:rPr>
      </w:pPr>
      <w:r>
        <w:rPr>
          <w:rFonts w:hint="eastAsia" w:ascii="宋体" w:hAnsi="宋体"/>
          <w:szCs w:val="21"/>
        </w:rPr>
        <w:t>7.投标人可以对所有标项进行投标，也可以选择某个标项或两个标项进行投标并报价。为保证履约质量，投标人只能中标项一、标项二其中一个标项，评标顺序为标项一、标项二，按标项一、标项二顺序推荐中标候选人。（即推荐为标项一第一中标候选人后不能再推荐为标项二的中标候选人）。</w:t>
      </w:r>
    </w:p>
    <w:p w14:paraId="1D286382">
      <w:pPr>
        <w:spacing w:line="276" w:lineRule="auto"/>
        <w:ind w:firstLine="437"/>
        <w:rPr>
          <w:rFonts w:ascii="宋体" w:hAnsi="宋体"/>
          <w:szCs w:val="21"/>
        </w:rPr>
      </w:pPr>
    </w:p>
    <w:p w14:paraId="65D8C6B1">
      <w:pPr>
        <w:spacing w:line="276" w:lineRule="auto"/>
        <w:ind w:firstLine="437"/>
        <w:rPr>
          <w:rFonts w:ascii="宋体" w:hAnsi="宋体"/>
          <w:szCs w:val="21"/>
        </w:rPr>
      </w:pPr>
    </w:p>
    <w:p w14:paraId="33AE9596">
      <w:pPr>
        <w:spacing w:line="276" w:lineRule="auto"/>
        <w:ind w:firstLine="437"/>
        <w:rPr>
          <w:rFonts w:ascii="宋体" w:hAnsi="宋体"/>
          <w:szCs w:val="21"/>
        </w:rPr>
      </w:pPr>
    </w:p>
    <w:p w14:paraId="689C774F">
      <w:pPr>
        <w:spacing w:line="400" w:lineRule="exact"/>
        <w:ind w:firstLine="435"/>
        <w:rPr>
          <w:rFonts w:ascii="宋体"/>
          <w:b/>
          <w:bCs/>
          <w:color w:val="000000"/>
          <w:sz w:val="24"/>
        </w:rPr>
      </w:pPr>
      <w:r>
        <w:rPr>
          <w:rFonts w:hint="eastAsia" w:ascii="宋体" w:hAnsi="宋体" w:cs="宋体"/>
          <w:b/>
          <w:szCs w:val="21"/>
        </w:rPr>
        <w:t>标项一</w:t>
      </w:r>
      <w:r>
        <w:rPr>
          <w:rFonts w:hint="eastAsia" w:ascii="宋体"/>
          <w:b/>
          <w:bCs/>
          <w:sz w:val="24"/>
        </w:rPr>
        <w:t>采购预算：300万</w:t>
      </w:r>
      <w:r>
        <w:rPr>
          <w:rFonts w:hint="eastAsia" w:ascii="宋体"/>
          <w:b/>
          <w:bCs/>
          <w:color w:val="000000"/>
          <w:sz w:val="24"/>
        </w:rPr>
        <w:t>元</w:t>
      </w:r>
      <w:r>
        <w:rPr>
          <w:rFonts w:hint="eastAsia" w:ascii="宋体" w:hAnsi="宋体"/>
          <w:color w:val="000000"/>
          <w:sz w:val="24"/>
        </w:rPr>
        <w:t>（最高限价金额：300万元）</w:t>
      </w:r>
    </w:p>
    <w:tbl>
      <w:tblPr>
        <w:tblStyle w:val="48"/>
        <w:tblW w:w="93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866"/>
        <w:gridCol w:w="567"/>
        <w:gridCol w:w="567"/>
        <w:gridCol w:w="6766"/>
      </w:tblGrid>
      <w:tr w14:paraId="31628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4" w:type="dxa"/>
            <w:tcBorders>
              <w:top w:val="single" w:color="auto" w:sz="4" w:space="0"/>
              <w:left w:val="single" w:color="auto" w:sz="4" w:space="0"/>
              <w:bottom w:val="single" w:color="auto" w:sz="4" w:space="0"/>
              <w:right w:val="single" w:color="auto" w:sz="4" w:space="0"/>
            </w:tcBorders>
            <w:vAlign w:val="center"/>
          </w:tcPr>
          <w:p w14:paraId="708EDBF1">
            <w:pPr>
              <w:jc w:val="center"/>
              <w:rPr>
                <w:rFonts w:ascii="宋体" w:hAnsi="宋体" w:cs="宋体"/>
                <w:b/>
                <w:szCs w:val="21"/>
              </w:rPr>
            </w:pPr>
            <w:r>
              <w:rPr>
                <w:rFonts w:hint="eastAsia" w:ascii="宋体" w:hAnsi="宋体" w:cs="宋体"/>
                <w:b/>
                <w:szCs w:val="21"/>
              </w:rPr>
              <w:t>项号</w:t>
            </w:r>
          </w:p>
        </w:tc>
        <w:tc>
          <w:tcPr>
            <w:tcW w:w="866" w:type="dxa"/>
            <w:tcBorders>
              <w:top w:val="single" w:color="auto" w:sz="4" w:space="0"/>
              <w:left w:val="single" w:color="auto" w:sz="4" w:space="0"/>
              <w:bottom w:val="single" w:color="auto" w:sz="4" w:space="0"/>
              <w:right w:val="single" w:color="auto" w:sz="4" w:space="0"/>
            </w:tcBorders>
            <w:vAlign w:val="center"/>
          </w:tcPr>
          <w:p w14:paraId="7BADCDE5">
            <w:pPr>
              <w:jc w:val="center"/>
              <w:rPr>
                <w:rFonts w:ascii="宋体" w:hAnsi="宋体" w:cs="宋体"/>
                <w:b/>
                <w:szCs w:val="21"/>
              </w:rPr>
            </w:pPr>
            <w:r>
              <w:rPr>
                <w:rFonts w:hint="eastAsia" w:ascii="宋体" w:hAnsi="宋体" w:cs="宋体"/>
                <w:b/>
                <w:szCs w:val="21"/>
              </w:rPr>
              <w:t>货物</w:t>
            </w:r>
          </w:p>
          <w:p w14:paraId="33971F31">
            <w:pPr>
              <w:jc w:val="center"/>
              <w:rPr>
                <w:rFonts w:ascii="宋体" w:hAnsi="宋体" w:cs="宋体"/>
                <w:b/>
                <w:szCs w:val="21"/>
              </w:rPr>
            </w:pPr>
            <w:r>
              <w:rPr>
                <w:rFonts w:hint="eastAsia" w:ascii="宋体" w:hAnsi="宋体" w:cs="宋体"/>
                <w:b/>
                <w:szCs w:val="21"/>
              </w:rPr>
              <w:t>名称</w:t>
            </w:r>
          </w:p>
        </w:tc>
        <w:tc>
          <w:tcPr>
            <w:tcW w:w="567" w:type="dxa"/>
            <w:tcBorders>
              <w:top w:val="single" w:color="auto" w:sz="4" w:space="0"/>
              <w:left w:val="single" w:color="auto" w:sz="4" w:space="0"/>
              <w:bottom w:val="single" w:color="auto" w:sz="4" w:space="0"/>
              <w:right w:val="single" w:color="auto" w:sz="4" w:space="0"/>
            </w:tcBorders>
            <w:vAlign w:val="center"/>
          </w:tcPr>
          <w:p w14:paraId="7D796C27">
            <w:pPr>
              <w:jc w:val="center"/>
              <w:rPr>
                <w:rFonts w:ascii="宋体" w:hAnsi="宋体" w:cs="宋体"/>
                <w:b/>
                <w:color w:val="FF00FF"/>
                <w:szCs w:val="21"/>
              </w:rPr>
            </w:pPr>
            <w:r>
              <w:rPr>
                <w:rFonts w:hint="eastAsia" w:ascii="宋体" w:hAnsi="宋体" w:cs="宋体"/>
                <w:b/>
                <w:szCs w:val="21"/>
              </w:rPr>
              <w:t>数量</w:t>
            </w:r>
          </w:p>
        </w:tc>
        <w:tc>
          <w:tcPr>
            <w:tcW w:w="567" w:type="dxa"/>
            <w:tcBorders>
              <w:top w:val="single" w:color="auto" w:sz="4" w:space="0"/>
              <w:left w:val="single" w:color="auto" w:sz="4" w:space="0"/>
              <w:bottom w:val="single" w:color="auto" w:sz="4" w:space="0"/>
              <w:right w:val="single" w:color="auto" w:sz="4" w:space="0"/>
            </w:tcBorders>
            <w:vAlign w:val="center"/>
          </w:tcPr>
          <w:p w14:paraId="57117E5F">
            <w:pPr>
              <w:jc w:val="center"/>
              <w:rPr>
                <w:rFonts w:ascii="宋体" w:hAnsi="宋体" w:cs="宋体"/>
                <w:b/>
                <w:szCs w:val="21"/>
              </w:rPr>
            </w:pPr>
            <w:r>
              <w:rPr>
                <w:rFonts w:hint="eastAsia" w:ascii="宋体" w:hAnsi="宋体" w:cs="宋体"/>
                <w:b/>
                <w:szCs w:val="21"/>
              </w:rPr>
              <w:t>单位</w:t>
            </w:r>
          </w:p>
        </w:tc>
        <w:tc>
          <w:tcPr>
            <w:tcW w:w="6766" w:type="dxa"/>
            <w:tcBorders>
              <w:top w:val="single" w:color="auto" w:sz="4" w:space="0"/>
              <w:left w:val="single" w:color="auto" w:sz="4" w:space="0"/>
              <w:bottom w:val="single" w:color="auto" w:sz="4" w:space="0"/>
              <w:right w:val="single" w:color="auto" w:sz="4" w:space="0"/>
            </w:tcBorders>
            <w:vAlign w:val="center"/>
          </w:tcPr>
          <w:p w14:paraId="381B5B0E">
            <w:pPr>
              <w:jc w:val="center"/>
              <w:rPr>
                <w:rFonts w:ascii="宋体" w:hAnsi="宋体" w:cs="宋体"/>
                <w:b/>
                <w:szCs w:val="21"/>
              </w:rPr>
            </w:pPr>
            <w:r>
              <w:rPr>
                <w:rFonts w:hint="eastAsia" w:ascii="宋体" w:hAnsi="宋体" w:cs="宋体"/>
                <w:b/>
                <w:szCs w:val="21"/>
              </w:rPr>
              <w:t>技术参数及性能（配置）要求</w:t>
            </w:r>
          </w:p>
        </w:tc>
      </w:tr>
      <w:tr w14:paraId="7C6F9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4" w:type="dxa"/>
            <w:tcBorders>
              <w:top w:val="single" w:color="auto" w:sz="4" w:space="0"/>
              <w:left w:val="single" w:color="auto" w:sz="4" w:space="0"/>
              <w:bottom w:val="single" w:color="auto" w:sz="4" w:space="0"/>
              <w:right w:val="single" w:color="auto" w:sz="4" w:space="0"/>
            </w:tcBorders>
            <w:vAlign w:val="center"/>
          </w:tcPr>
          <w:p w14:paraId="35E9F028">
            <w:pPr>
              <w:ind w:firstLine="105" w:firstLineChars="50"/>
              <w:rPr>
                <w:rFonts w:ascii="宋体" w:hAnsi="宋体" w:cs="宋体"/>
                <w:szCs w:val="21"/>
              </w:rPr>
            </w:pPr>
            <w:r>
              <w:rPr>
                <w:rFonts w:hint="eastAsia" w:ascii="宋体" w:hAnsi="宋体" w:cs="宋体"/>
                <w:color w:val="000000"/>
                <w:szCs w:val="21"/>
              </w:rPr>
              <w:t>1</w:t>
            </w:r>
          </w:p>
        </w:tc>
        <w:tc>
          <w:tcPr>
            <w:tcW w:w="866" w:type="dxa"/>
            <w:tcBorders>
              <w:top w:val="single" w:color="auto" w:sz="4" w:space="0"/>
              <w:left w:val="single" w:color="auto" w:sz="4" w:space="0"/>
              <w:bottom w:val="single" w:color="auto" w:sz="4" w:space="0"/>
              <w:right w:val="single" w:color="auto" w:sz="4" w:space="0"/>
            </w:tcBorders>
            <w:vAlign w:val="center"/>
          </w:tcPr>
          <w:p w14:paraId="225C139C">
            <w:pPr>
              <w:spacing w:line="400" w:lineRule="exact"/>
              <w:jc w:val="center"/>
              <w:rPr>
                <w:rFonts w:ascii="宋体" w:hAnsi="宋体" w:cs="宋体"/>
                <w:szCs w:val="21"/>
              </w:rPr>
            </w:pPr>
            <w:r>
              <w:rPr>
                <w:rFonts w:hint="eastAsia" w:asciiTheme="majorEastAsia" w:hAnsiTheme="majorEastAsia" w:eastAsiaTheme="majorEastAsia" w:cstheme="majorEastAsia"/>
                <w:szCs w:val="21"/>
              </w:rPr>
              <w:t>高端心脏彩超仪</w:t>
            </w:r>
          </w:p>
        </w:tc>
        <w:tc>
          <w:tcPr>
            <w:tcW w:w="567" w:type="dxa"/>
            <w:tcBorders>
              <w:top w:val="single" w:color="auto" w:sz="4" w:space="0"/>
              <w:left w:val="single" w:color="auto" w:sz="4" w:space="0"/>
              <w:bottom w:val="single" w:color="auto" w:sz="4" w:space="0"/>
              <w:right w:val="single" w:color="auto" w:sz="4" w:space="0"/>
            </w:tcBorders>
            <w:vAlign w:val="center"/>
          </w:tcPr>
          <w:p w14:paraId="7427D0EC">
            <w:pPr>
              <w:spacing w:line="400" w:lineRule="exact"/>
              <w:jc w:val="center"/>
              <w:rPr>
                <w:rFonts w:ascii="宋体" w:hAnsi="宋体" w:cs="宋体"/>
                <w:szCs w:val="21"/>
              </w:rPr>
            </w:pPr>
            <w:r>
              <w:rPr>
                <w:rFonts w:hint="eastAsia" w:asciiTheme="majorEastAsia" w:hAnsiTheme="majorEastAsia" w:eastAsiaTheme="majorEastAsia" w:cstheme="majorEastAsia"/>
                <w:szCs w:val="21"/>
              </w:rPr>
              <w:t>1</w:t>
            </w:r>
          </w:p>
        </w:tc>
        <w:tc>
          <w:tcPr>
            <w:tcW w:w="567" w:type="dxa"/>
            <w:tcBorders>
              <w:top w:val="single" w:color="auto" w:sz="4" w:space="0"/>
              <w:left w:val="single" w:color="auto" w:sz="4" w:space="0"/>
              <w:bottom w:val="single" w:color="auto" w:sz="4" w:space="0"/>
              <w:right w:val="single" w:color="auto" w:sz="4" w:space="0"/>
            </w:tcBorders>
            <w:vAlign w:val="center"/>
          </w:tcPr>
          <w:p w14:paraId="50BC2C5C">
            <w:pPr>
              <w:spacing w:line="400" w:lineRule="exact"/>
              <w:jc w:val="center"/>
              <w:rPr>
                <w:rFonts w:ascii="宋体" w:hAnsi="宋体" w:cs="宋体"/>
                <w:szCs w:val="21"/>
              </w:rPr>
            </w:pPr>
            <w:r>
              <w:rPr>
                <w:rFonts w:hint="eastAsia" w:asciiTheme="majorEastAsia" w:hAnsiTheme="majorEastAsia" w:eastAsiaTheme="majorEastAsia" w:cstheme="majorEastAsia"/>
                <w:szCs w:val="21"/>
              </w:rPr>
              <w:t>套</w:t>
            </w:r>
          </w:p>
        </w:tc>
        <w:tc>
          <w:tcPr>
            <w:tcW w:w="6766" w:type="dxa"/>
            <w:tcBorders>
              <w:top w:val="single" w:color="auto" w:sz="4" w:space="0"/>
              <w:left w:val="single" w:color="auto" w:sz="4" w:space="0"/>
              <w:bottom w:val="single" w:color="auto" w:sz="4" w:space="0"/>
              <w:right w:val="single" w:color="auto" w:sz="4" w:space="0"/>
            </w:tcBorders>
          </w:tcPr>
          <w:p w14:paraId="2C10CE15">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一、设备用途及说明：用于成人心脏、儿童心脏及胎儿心脏、血管（外周、腹部、脑血管）、腹部、小器官等临床应用；并具备二维和实时三维矩阵成像技术，以超声临床诊断应用和相关科研为主。</w:t>
            </w:r>
          </w:p>
          <w:p w14:paraId="0D683FD7">
            <w:pPr>
              <w:spacing w:line="400" w:lineRule="exact"/>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二、质保期：5年</w:t>
            </w:r>
          </w:p>
          <w:p w14:paraId="72E1353A">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三、主要技术规格及系统概述：</w:t>
            </w:r>
          </w:p>
          <w:p w14:paraId="71A0CCA5">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w:t>
            </w:r>
            <w:r>
              <w:rPr>
                <w:rFonts w:hint="eastAsia" w:asciiTheme="majorEastAsia" w:hAnsiTheme="majorEastAsia" w:eastAsiaTheme="majorEastAsia" w:cstheme="majorEastAsia"/>
                <w:color w:val="000000"/>
                <w:kern w:val="0"/>
                <w:szCs w:val="21"/>
              </w:rPr>
              <w:tab/>
            </w:r>
            <w:r>
              <w:rPr>
                <w:rFonts w:hint="eastAsia" w:asciiTheme="majorEastAsia" w:hAnsiTheme="majorEastAsia" w:eastAsiaTheme="majorEastAsia" w:cstheme="majorEastAsia"/>
                <w:color w:val="000000"/>
                <w:kern w:val="0"/>
                <w:szCs w:val="21"/>
              </w:rPr>
              <w:t>主机成像系统：</w:t>
            </w:r>
          </w:p>
          <w:p w14:paraId="53F39A8D">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3.1.1超高数字化通道，支持集束精准发射及海量并行处理同步进行多个声束的形成、采集和处理</w:t>
            </w:r>
          </w:p>
          <w:p w14:paraId="25E3C4E9">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3.1.2支持OLED显示器≥22英寸,对比度≥22550:1，10bit色深无闪烁，可上下左右旋转、倾斜</w:t>
            </w:r>
          </w:p>
          <w:p w14:paraId="5D0FAD18">
            <w:pPr>
              <w:spacing w:line="400" w:lineRule="exact"/>
              <w:rPr>
                <w:rFonts w:asciiTheme="majorEastAsia" w:hAnsiTheme="majorEastAsia" w:eastAsiaTheme="majorEastAsia" w:cstheme="majorEastAsia"/>
                <w:color w:val="000000"/>
                <w:kern w:val="0"/>
                <w:szCs w:val="21"/>
              </w:rPr>
            </w:pPr>
            <w:r>
              <w:rPr>
                <w:rFonts w:hint="eastAsia"/>
                <w:b/>
                <w:sz w:val="24"/>
              </w:rPr>
              <w:t>▲</w:t>
            </w:r>
            <w:r>
              <w:rPr>
                <w:rFonts w:hint="eastAsia" w:asciiTheme="majorEastAsia" w:hAnsiTheme="majorEastAsia" w:eastAsiaTheme="majorEastAsia" w:cstheme="majorEastAsia"/>
                <w:color w:val="000000"/>
                <w:kern w:val="0"/>
                <w:szCs w:val="21"/>
              </w:rPr>
              <w:t>3.1.3操作面板具备液晶触摸屏≥12英寸,可通过手指滑动触摸屏进行翻页，直接点击触摸屏即可选择需要调节的参数，操作面板可上下左右进行高度调整及旋转，触屏上可实时显示检查图像，三</w:t>
            </w:r>
            <w:r>
              <w:rPr>
                <w:rFonts w:hint="eastAsia" w:asciiTheme="majorEastAsia" w:hAnsiTheme="majorEastAsia" w:eastAsiaTheme="majorEastAsia" w:cstheme="majorEastAsia"/>
                <w:color w:val="auto"/>
                <w:kern w:val="0"/>
                <w:szCs w:val="21"/>
              </w:rPr>
              <w:t>维图像可以进</w:t>
            </w:r>
            <w:r>
              <w:rPr>
                <w:rFonts w:hint="eastAsia" w:asciiTheme="majorEastAsia" w:hAnsiTheme="majorEastAsia" w:eastAsiaTheme="majorEastAsia" w:cstheme="majorEastAsia"/>
                <w:color w:val="000000"/>
                <w:kern w:val="0"/>
                <w:szCs w:val="21"/>
              </w:rPr>
              <w:t>行旋转，放大，缩小，光源的X/Y/Z轴三个方向移动</w:t>
            </w:r>
          </w:p>
          <w:p w14:paraId="613517D0">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3.1.4触摸屏可以与主显示器实时同步显示动态图像，并可在触摸屏上进行容积图像的旋转、放大等调整</w:t>
            </w:r>
          </w:p>
          <w:p w14:paraId="59EAE252">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3.1.5显示器可全屏显示扫查图像，包括二维、彩色、频谱和实时三维等，并可显示或隐藏屏幕菜单</w:t>
            </w:r>
          </w:p>
          <w:p w14:paraId="5A0DFDFF">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3.1.6通用成像探头接口≥4个，均为微型无针式接口，4个接口通用，可同时支持矩阵实时三维探头并可任意互换</w:t>
            </w:r>
          </w:p>
          <w:p w14:paraId="200B2640">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3.1.7纯净波探头技术：支持矩阵、相控阵、凸阵、线阵探头，包括成人相控阵、儿童相控阵、成人矩阵、儿童矩阵、血管矩阵及经食管矩阵探头</w:t>
            </w:r>
          </w:p>
          <w:p w14:paraId="11EB5255">
            <w:pPr>
              <w:spacing w:line="400" w:lineRule="exact"/>
              <w:rPr>
                <w:rFonts w:asciiTheme="majorEastAsia" w:hAnsiTheme="majorEastAsia" w:eastAsiaTheme="majorEastAsia" w:cstheme="majorEastAsia"/>
                <w:color w:val="000000"/>
                <w:kern w:val="0"/>
                <w:szCs w:val="21"/>
              </w:rPr>
            </w:pPr>
            <w:r>
              <w:rPr>
                <w:rFonts w:hint="eastAsia" w:ascii="宋体" w:hAnsi="宋体"/>
                <w:color w:val="000000"/>
                <w:kern w:val="0"/>
                <w:szCs w:val="21"/>
              </w:rPr>
              <w:t>*</w:t>
            </w:r>
            <w:r>
              <w:rPr>
                <w:rFonts w:hint="eastAsia" w:asciiTheme="majorEastAsia" w:hAnsiTheme="majorEastAsia" w:eastAsiaTheme="majorEastAsia" w:cstheme="majorEastAsia"/>
                <w:color w:val="000000"/>
                <w:kern w:val="0"/>
                <w:szCs w:val="21"/>
              </w:rPr>
              <w:t>3.1.8支持纯净波探头≥8支</w:t>
            </w:r>
          </w:p>
          <w:p w14:paraId="4BC0DE12">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3.1.9矩阵实时三维探头技术：具备纯净波矩阵探头技术，支持成人心脏经胸三维、儿童心脏经胸三维、血管三维及经食管三维矩阵技术</w:t>
            </w:r>
          </w:p>
          <w:p w14:paraId="3F2CF240">
            <w:pPr>
              <w:spacing w:line="400" w:lineRule="exact"/>
              <w:rPr>
                <w:rFonts w:asciiTheme="majorEastAsia" w:hAnsiTheme="majorEastAsia" w:eastAsiaTheme="majorEastAsia" w:cstheme="majorEastAsia"/>
                <w:color w:val="000000"/>
                <w:kern w:val="0"/>
                <w:szCs w:val="21"/>
              </w:rPr>
            </w:pPr>
            <w:r>
              <w:rPr>
                <w:rFonts w:hint="eastAsia"/>
                <w:b/>
                <w:sz w:val="24"/>
              </w:rPr>
              <w:t>▲</w:t>
            </w:r>
            <w:r>
              <w:rPr>
                <w:rFonts w:hint="eastAsia" w:asciiTheme="majorEastAsia" w:hAnsiTheme="majorEastAsia" w:eastAsiaTheme="majorEastAsia" w:cstheme="majorEastAsia"/>
                <w:color w:val="000000"/>
                <w:kern w:val="0"/>
                <w:szCs w:val="21"/>
              </w:rPr>
              <w:t>3.1.10所有矩阵探头均采用单晶体材质，支持纯净波矩阵实时三维探头≥5支</w:t>
            </w:r>
          </w:p>
          <w:p w14:paraId="172A9F13">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3.1.11数字化二维灰阶成像及M型显像单元；M型及解剖M型技术</w:t>
            </w:r>
          </w:p>
          <w:p w14:paraId="1CA5BD0F">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3.1.12脉冲反向谐波成像技术；彩色多普勒成像技术；智能全域聚焦技术</w:t>
            </w:r>
          </w:p>
          <w:p w14:paraId="62818985">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3.1.13彩色多普勒能量图技术；动态范围≥310 dB；实时双同步/三同步功能</w:t>
            </w:r>
          </w:p>
          <w:p w14:paraId="133E33F5">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3.1.14数字化频谱多普勒显示和分析单元(包括PW、CW和High PRF)</w:t>
            </w:r>
          </w:p>
          <w:p w14:paraId="30BDD3EB">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3.1.15内置DICOM 3.0 标准输出接口；内有一体化超声工作站；系统主机内置1TB硬盘</w:t>
            </w:r>
          </w:p>
          <w:p w14:paraId="05DC4D92">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3.2</w:t>
            </w:r>
            <w:r>
              <w:rPr>
                <w:rFonts w:hint="eastAsia" w:asciiTheme="majorEastAsia" w:hAnsiTheme="majorEastAsia" w:eastAsiaTheme="majorEastAsia" w:cstheme="majorEastAsia"/>
                <w:color w:val="000000"/>
                <w:kern w:val="0"/>
                <w:szCs w:val="21"/>
              </w:rPr>
              <w:tab/>
            </w:r>
            <w:r>
              <w:rPr>
                <w:rFonts w:hint="eastAsia" w:asciiTheme="majorEastAsia" w:hAnsiTheme="majorEastAsia" w:eastAsiaTheme="majorEastAsia" w:cstheme="majorEastAsia"/>
                <w:color w:val="000000"/>
                <w:kern w:val="0"/>
                <w:szCs w:val="21"/>
              </w:rPr>
              <w:t>二维灰阶成像单元</w:t>
            </w:r>
          </w:p>
          <w:p w14:paraId="259E838B">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3.2.1所有探头均为宽频、变频探头，基波频率、基波的具体数值可在屏幕上显示</w:t>
            </w:r>
          </w:p>
          <w:p w14:paraId="583FD538">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3.2.2具备自适应核磁像素优化技术，可增强组织边界，抑制斑点噪声，可用于多种模式（2D、3D）,多级可调≥5级，支持所有探头</w:t>
            </w:r>
          </w:p>
          <w:p w14:paraId="606390A7">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3.2.3高级心肌增强功能，使用自适应算法抑制组织杂波，减少噪声及超声伪像。增加心肌和其他心脏结构信号</w:t>
            </w:r>
          </w:p>
          <w:p w14:paraId="71D8BFEB">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3.2.4实时空间复合成像技术，同时作用于发射和接收多角度声束</w:t>
            </w:r>
          </w:p>
          <w:p w14:paraId="7189326E">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3.2.5凸阵、线阵探头具备扩展成像技术，可与空间复合成像，斑点噪声抑制技术联合使用；自动实时持续增益补偿；一键优化图像，可实时优化二维增益、TGC曲线等成像参数</w:t>
            </w:r>
          </w:p>
          <w:p w14:paraId="0AAE5158">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3.2.6侧向增益补偿技术，可支持相控阵探头、矩阵实时三维探头，≥8段，且可视可调</w:t>
            </w:r>
          </w:p>
          <w:p w14:paraId="54B7ABBC">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3.2.7分辨率和帧频可视可调，且支持凸阵、线阵、相控阵、矩阵实时三维探头</w:t>
            </w:r>
          </w:p>
          <w:p w14:paraId="1E23EBD0">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3.2.8超宽视野全景成像技术( 线阵和凸阵探头均具备，支持测量功能)，可与像素优化技术结合使用；具备双幅对比显示，可自动识别收缩期及舒张期，便捷Simpson测量</w:t>
            </w:r>
          </w:p>
          <w:p w14:paraId="6018AF0F">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3.2.9穿刺引导功能：支持相控阵、凸阵、线阵探头穿刺引导功能；相控阵探头穿刺引导角度≥3个，凸阵探头穿刺引导角度≥9个；线阵探头穿刺引导角度≥8个</w:t>
            </w:r>
          </w:p>
          <w:p w14:paraId="3852F42C">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3.2.10具备心超工作者定制界面，支持2D、3D功能选件位置个性化选择</w:t>
            </w:r>
          </w:p>
          <w:p w14:paraId="4807EDAA">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3.3</w:t>
            </w:r>
            <w:r>
              <w:rPr>
                <w:rFonts w:hint="eastAsia" w:asciiTheme="majorEastAsia" w:hAnsiTheme="majorEastAsia" w:eastAsiaTheme="majorEastAsia" w:cstheme="majorEastAsia"/>
                <w:color w:val="000000"/>
                <w:kern w:val="0"/>
                <w:szCs w:val="21"/>
              </w:rPr>
              <w:tab/>
            </w:r>
            <w:r>
              <w:rPr>
                <w:rFonts w:hint="eastAsia" w:asciiTheme="majorEastAsia" w:hAnsiTheme="majorEastAsia" w:eastAsiaTheme="majorEastAsia" w:cstheme="majorEastAsia"/>
                <w:color w:val="000000"/>
                <w:kern w:val="0"/>
                <w:szCs w:val="21"/>
              </w:rPr>
              <w:t>彩色多普勒血流成像单元</w:t>
            </w:r>
          </w:p>
          <w:p w14:paraId="341DB3E4">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3.3.1具有二维彩色模式、实时三维彩色模式、能量图模式、微视血流成像模式、彩色M型模式、组织多普勒模式等多种成像模式</w:t>
            </w:r>
          </w:p>
          <w:p w14:paraId="7D6D8056">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3.3.2自适应超宽频带彩色多普勒成像技术；微视血流成像模式；彩色实时同屏双幅对比显像</w:t>
            </w:r>
          </w:p>
          <w:p w14:paraId="4EF2981D">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3.3.3具备冠脉血流成像模式，可支持所有心脏成像探头（包括成人心脏相控阵探头、小儿相控阵探头、新生儿相控阵探头、心脏矩阵实时三维探头）</w:t>
            </w:r>
          </w:p>
          <w:p w14:paraId="29404B9E">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3.3.4彩色增益可独立调节，支持凸阵、线阵、相控阵、矩阵实时三维探头</w:t>
            </w:r>
          </w:p>
          <w:p w14:paraId="2B3F3AEE">
            <w:pPr>
              <w:spacing w:line="400" w:lineRule="exact"/>
              <w:rPr>
                <w:rFonts w:asciiTheme="majorEastAsia" w:hAnsiTheme="majorEastAsia" w:eastAsiaTheme="majorEastAsia" w:cstheme="majorEastAsia"/>
                <w:b/>
                <w:bCs/>
                <w:color w:val="000000"/>
                <w:kern w:val="0"/>
                <w:szCs w:val="21"/>
              </w:rPr>
            </w:pPr>
            <w:r>
              <w:rPr>
                <w:rFonts w:hint="eastAsia" w:asciiTheme="majorEastAsia" w:hAnsiTheme="majorEastAsia" w:eastAsiaTheme="majorEastAsia" w:cstheme="majorEastAsia"/>
                <w:b/>
                <w:bCs/>
                <w:color w:val="000000"/>
                <w:kern w:val="0"/>
                <w:szCs w:val="21"/>
              </w:rPr>
              <w:t>3.4</w:t>
            </w:r>
            <w:r>
              <w:rPr>
                <w:rFonts w:hint="eastAsia" w:asciiTheme="majorEastAsia" w:hAnsiTheme="majorEastAsia" w:eastAsiaTheme="majorEastAsia" w:cstheme="majorEastAsia"/>
                <w:b/>
                <w:bCs/>
                <w:color w:val="000000"/>
                <w:kern w:val="0"/>
                <w:szCs w:val="21"/>
              </w:rPr>
              <w:tab/>
            </w:r>
            <w:r>
              <w:rPr>
                <w:rFonts w:hint="eastAsia" w:asciiTheme="majorEastAsia" w:hAnsiTheme="majorEastAsia" w:eastAsiaTheme="majorEastAsia" w:cstheme="majorEastAsia"/>
                <w:b/>
                <w:bCs/>
                <w:color w:val="000000"/>
                <w:kern w:val="0"/>
                <w:szCs w:val="21"/>
              </w:rPr>
              <w:t>频谱多普勒成像单元</w:t>
            </w:r>
          </w:p>
          <w:p w14:paraId="6D00D4C8">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3.4.1提供PW、CW、High PRF模式，高性能三同步成像</w:t>
            </w:r>
          </w:p>
          <w:p w14:paraId="1BBAF688">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3.4.2实时自动多普勒测量分析，可提供多参数选择</w:t>
            </w:r>
          </w:p>
          <w:p w14:paraId="1C30A7AB">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3.4.3一键自动优化多普勒频谱，自动调整基线及量程等参数</w:t>
            </w:r>
          </w:p>
          <w:p w14:paraId="0109B23C">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3.4.4频谱自动分析系统：包括实时自动包络、手动包络等；自动计算各血流动力学参数，参数可根据客户需要灵活进行选择</w:t>
            </w:r>
          </w:p>
          <w:p w14:paraId="3F38E7F2">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3.5</w:t>
            </w:r>
            <w:r>
              <w:rPr>
                <w:rFonts w:hint="eastAsia" w:asciiTheme="majorEastAsia" w:hAnsiTheme="majorEastAsia" w:eastAsiaTheme="majorEastAsia" w:cstheme="majorEastAsia"/>
                <w:color w:val="000000"/>
                <w:kern w:val="0"/>
                <w:szCs w:val="21"/>
              </w:rPr>
              <w:tab/>
            </w:r>
            <w:r>
              <w:rPr>
                <w:rFonts w:hint="eastAsia" w:asciiTheme="majorEastAsia" w:hAnsiTheme="majorEastAsia" w:eastAsiaTheme="majorEastAsia" w:cstheme="majorEastAsia"/>
                <w:color w:val="000000"/>
                <w:kern w:val="0"/>
                <w:szCs w:val="21"/>
              </w:rPr>
              <w:t>组织多普勒成像单元</w:t>
            </w:r>
          </w:p>
          <w:p w14:paraId="0C373D98">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3.5.1具备高帧频彩色和脉冲波组织多普勒成像</w:t>
            </w:r>
          </w:p>
          <w:p w14:paraId="39E794DA">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3.5.2二维、速度曲线同屏显示</w:t>
            </w:r>
          </w:p>
          <w:p w14:paraId="073A3F4D">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3.5.3提供专业TDI测量软件包，可进行组织速度、位移、应变、应变率等进行整体和节段定量分析</w:t>
            </w:r>
          </w:p>
          <w:p w14:paraId="1621EC79">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3.5.4提供基于组织多普勒的定量分析，可同时显示32个亚节段的心肌速度曲线、位移曲线、应变及应变率曲线，可用于整体及节段功能评价</w:t>
            </w:r>
          </w:p>
          <w:p w14:paraId="0BAC5219">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3.6</w:t>
            </w:r>
            <w:r>
              <w:rPr>
                <w:rFonts w:hint="eastAsia" w:asciiTheme="majorEastAsia" w:hAnsiTheme="majorEastAsia" w:eastAsiaTheme="majorEastAsia" w:cstheme="majorEastAsia"/>
                <w:color w:val="000000"/>
                <w:kern w:val="0"/>
                <w:szCs w:val="21"/>
              </w:rPr>
              <w:tab/>
            </w:r>
            <w:r>
              <w:rPr>
                <w:rFonts w:hint="eastAsia" w:asciiTheme="majorEastAsia" w:hAnsiTheme="majorEastAsia" w:eastAsiaTheme="majorEastAsia" w:cstheme="majorEastAsia"/>
                <w:color w:val="000000"/>
                <w:kern w:val="0"/>
                <w:szCs w:val="21"/>
              </w:rPr>
              <w:t>组织谐波成像单元；具备脉冲反相谐波技术；可显示谐波频率和基波频率</w:t>
            </w:r>
          </w:p>
          <w:p w14:paraId="49522BE0">
            <w:pPr>
              <w:spacing w:line="400" w:lineRule="exact"/>
              <w:rPr>
                <w:rFonts w:asciiTheme="majorEastAsia" w:hAnsiTheme="majorEastAsia" w:eastAsiaTheme="majorEastAsia" w:cstheme="majorEastAsia"/>
                <w:b/>
                <w:bCs/>
                <w:color w:val="000000"/>
                <w:kern w:val="0"/>
                <w:szCs w:val="21"/>
              </w:rPr>
            </w:pPr>
            <w:r>
              <w:rPr>
                <w:rFonts w:hint="eastAsia" w:asciiTheme="majorEastAsia" w:hAnsiTheme="majorEastAsia" w:eastAsiaTheme="majorEastAsia" w:cstheme="majorEastAsia"/>
                <w:b/>
                <w:bCs/>
                <w:color w:val="000000"/>
                <w:kern w:val="0"/>
                <w:szCs w:val="21"/>
              </w:rPr>
              <w:t>3.7</w:t>
            </w:r>
            <w:r>
              <w:rPr>
                <w:rFonts w:hint="eastAsia" w:asciiTheme="majorEastAsia" w:hAnsiTheme="majorEastAsia" w:eastAsiaTheme="majorEastAsia" w:cstheme="majorEastAsia"/>
                <w:b/>
                <w:bCs/>
                <w:color w:val="000000"/>
                <w:kern w:val="0"/>
                <w:szCs w:val="21"/>
              </w:rPr>
              <w:tab/>
            </w:r>
            <w:r>
              <w:rPr>
                <w:rFonts w:hint="eastAsia" w:asciiTheme="majorEastAsia" w:hAnsiTheme="majorEastAsia" w:eastAsiaTheme="majorEastAsia" w:cstheme="majorEastAsia"/>
                <w:b/>
                <w:bCs/>
                <w:color w:val="000000"/>
                <w:kern w:val="0"/>
                <w:szCs w:val="21"/>
              </w:rPr>
              <w:t>超声造影成像单元</w:t>
            </w:r>
          </w:p>
          <w:p w14:paraId="1467FA69">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3.7.1造影剂成像单元,包含左心腔造影LVO、LowMI实时灌注成像和Flash爆破造影成像；具备在机及脱机造影定量分析软件，可提供≥6种参数及动态曲线；且造影连续采且造影连续采集时间≥6分钟</w:t>
            </w:r>
          </w:p>
          <w:p w14:paraId="41C29D07">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3.7.2支持负荷超声成像下的心肌灌注造影</w:t>
            </w:r>
          </w:p>
          <w:p w14:paraId="2B443901">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3.7.3具有心腔和心肌造影成像,造影技术支持凸阵，线阵，相控阵,矩阵探头，可满足临床对腹部、浅表、乳腺、心室腔、以及二维成像的需求。</w:t>
            </w:r>
          </w:p>
          <w:p w14:paraId="17CA75FE">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3.7.4支持实时相交互两个平面同屏同时相显示造影成像技术</w:t>
            </w:r>
          </w:p>
          <w:p w14:paraId="7F745FF6">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3.7.5支持矩阵实时三维造影成像技术；</w:t>
            </w:r>
            <w:r>
              <w:rPr>
                <w:rFonts w:hint="eastAsia" w:asciiTheme="majorEastAsia" w:hAnsiTheme="majorEastAsia" w:eastAsiaTheme="majorEastAsia" w:cstheme="majorEastAsia"/>
                <w:color w:val="auto"/>
                <w:kern w:val="0"/>
                <w:szCs w:val="21"/>
              </w:rPr>
              <w:t>采</w:t>
            </w:r>
            <w:r>
              <w:rPr>
                <w:rFonts w:hint="eastAsia" w:asciiTheme="majorEastAsia" w:hAnsiTheme="majorEastAsia" w:eastAsiaTheme="majorEastAsia" w:cstheme="majorEastAsia"/>
                <w:color w:val="000000"/>
                <w:kern w:val="0"/>
                <w:szCs w:val="21"/>
              </w:rPr>
              <w:t>集时间≥6分钟</w:t>
            </w:r>
          </w:p>
          <w:p w14:paraId="65436246">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3.8</w:t>
            </w:r>
            <w:r>
              <w:rPr>
                <w:rFonts w:hint="eastAsia" w:asciiTheme="majorEastAsia" w:hAnsiTheme="majorEastAsia" w:eastAsiaTheme="majorEastAsia" w:cstheme="majorEastAsia"/>
                <w:color w:val="000000"/>
                <w:kern w:val="0"/>
                <w:szCs w:val="21"/>
              </w:rPr>
              <w:tab/>
            </w:r>
            <w:r>
              <w:rPr>
                <w:rFonts w:hint="eastAsia" w:asciiTheme="majorEastAsia" w:hAnsiTheme="majorEastAsia" w:eastAsiaTheme="majorEastAsia" w:cstheme="majorEastAsia"/>
                <w:color w:val="000000"/>
                <w:kern w:val="0"/>
                <w:szCs w:val="21"/>
              </w:rPr>
              <w:t>负荷超声成像单元，内置专业负荷超声模板；可提供负荷超声斑点追踪定量分析；智能旋转角度可植入负荷超声模板中，加快工作流程</w:t>
            </w:r>
          </w:p>
          <w:p w14:paraId="6580FA76">
            <w:pPr>
              <w:spacing w:line="400" w:lineRule="exact"/>
              <w:rPr>
                <w:rFonts w:asciiTheme="majorEastAsia" w:hAnsiTheme="majorEastAsia" w:eastAsiaTheme="majorEastAsia" w:cstheme="majorEastAsia"/>
                <w:b/>
                <w:bCs/>
                <w:color w:val="000000"/>
                <w:kern w:val="0"/>
                <w:szCs w:val="21"/>
              </w:rPr>
            </w:pPr>
            <w:r>
              <w:rPr>
                <w:rFonts w:hint="eastAsia" w:asciiTheme="majorEastAsia" w:hAnsiTheme="majorEastAsia" w:eastAsiaTheme="majorEastAsia" w:cstheme="majorEastAsia"/>
                <w:b/>
                <w:bCs/>
                <w:color w:val="000000"/>
                <w:kern w:val="0"/>
                <w:szCs w:val="21"/>
              </w:rPr>
              <w:t>3.9</w:t>
            </w:r>
            <w:r>
              <w:rPr>
                <w:rFonts w:hint="eastAsia" w:asciiTheme="majorEastAsia" w:hAnsiTheme="majorEastAsia" w:eastAsiaTheme="majorEastAsia" w:cstheme="majorEastAsia"/>
                <w:b/>
                <w:bCs/>
                <w:color w:val="000000"/>
                <w:kern w:val="0"/>
                <w:szCs w:val="21"/>
              </w:rPr>
              <w:tab/>
            </w:r>
            <w:r>
              <w:rPr>
                <w:rFonts w:hint="eastAsia" w:asciiTheme="majorEastAsia" w:hAnsiTheme="majorEastAsia" w:eastAsiaTheme="majorEastAsia" w:cstheme="majorEastAsia"/>
                <w:b/>
                <w:bCs/>
                <w:color w:val="000000"/>
                <w:kern w:val="0"/>
                <w:szCs w:val="21"/>
              </w:rPr>
              <w:t>心脏实时三维成像单元</w:t>
            </w:r>
          </w:p>
          <w:p w14:paraId="1B69F8CF">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3.9.1 探头和功能</w:t>
            </w:r>
          </w:p>
          <w:p w14:paraId="6ABB6BC3">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3.9.1.1支持纯净波矩阵实时三维探头，结合微电子技术，大于3000个振元同时发射声束，与主机技术相结合，提供实时三维显像。全功能，单探头解决方案(包括二维、实时三维、造影等模式，实现更准确结构和功能定量)</w:t>
            </w:r>
          </w:p>
          <w:p w14:paraId="4EBB4199">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3.9.1.2支持儿童经胸纯净波矩阵实时三维探头、成人经胸纯净波矩阵实时三维探头及经食管纯净波矩阵实时三维探头</w:t>
            </w:r>
          </w:p>
          <w:p w14:paraId="7C48AF51">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3.9.1.3支持三维成像直接测量功能，可测量距离、面积等</w:t>
            </w:r>
          </w:p>
          <w:p w14:paraId="672CB210">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3.9.2实时智能旋转成像</w:t>
            </w:r>
          </w:p>
          <w:p w14:paraId="632E787B">
            <w:pPr>
              <w:spacing w:line="400" w:lineRule="exact"/>
              <w:rPr>
                <w:rFonts w:asciiTheme="majorEastAsia" w:hAnsiTheme="majorEastAsia" w:eastAsiaTheme="majorEastAsia" w:cstheme="majorEastAsia"/>
                <w:color w:val="000000"/>
                <w:kern w:val="0"/>
                <w:szCs w:val="21"/>
              </w:rPr>
            </w:pPr>
            <w:r>
              <w:rPr>
                <w:rFonts w:hint="eastAsia"/>
                <w:b/>
                <w:sz w:val="24"/>
              </w:rPr>
              <w:t>▲</w:t>
            </w:r>
            <w:r>
              <w:rPr>
                <w:rFonts w:hint="eastAsia" w:asciiTheme="majorEastAsia" w:hAnsiTheme="majorEastAsia" w:eastAsiaTheme="majorEastAsia" w:cstheme="majorEastAsia"/>
                <w:color w:val="000000"/>
                <w:kern w:val="0"/>
                <w:szCs w:val="21"/>
              </w:rPr>
              <w:t>3.9.2.1矩阵实时三维探头可在不移动探头情况下可实现0－360度任意平面显像，方便获取所需图像</w:t>
            </w:r>
          </w:p>
          <w:p w14:paraId="2DC21F52">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3.9.2.2无需转动探头，可一键快速进行心尖四腔、心尖两腔、心尖三腔等常用心脏切面切换；支持二维、彩色、M型、TDI、负荷、心腔造影、心肌造影等多种模式下应用</w:t>
            </w:r>
          </w:p>
          <w:p w14:paraId="039326CE">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3.9.3实时任意多平面成像</w:t>
            </w:r>
          </w:p>
          <w:p w14:paraId="012F3476">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3.9.4实时三维成像模式</w:t>
            </w:r>
          </w:p>
          <w:p w14:paraId="40EE1320">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3.9.4.1实时三维断层成像，实时或冻结状态下，容积图像一键进入多切面模式，切片方向灵活调整，支持造影，负荷等多种模式应用，可同步显示≥10个切面</w:t>
            </w:r>
          </w:p>
          <w:p w14:paraId="5EB40409">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3.9.4.2支持触摸屏同步显示超声显示器三维图像，并可在触摸屏上使用手指移动随意多维度调整光源位置、容积图像缩放和旋转等</w:t>
            </w:r>
          </w:p>
          <w:p w14:paraId="7408C46D">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3.10自动、实时多普勒频谱波形分析，在实时或者冻结模式下都可以使用</w:t>
            </w:r>
          </w:p>
          <w:p w14:paraId="025306FE">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3.11测量及定量分析</w:t>
            </w:r>
          </w:p>
          <w:p w14:paraId="77C20F40">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3.11.1常规测量和分析（B型、M型、频谱多普勒、彩色多普勒）</w:t>
            </w:r>
          </w:p>
          <w:p w14:paraId="3A4B9BD9">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3.11.1.1一般常规测量（直径、面积、体积、狭窄率、压差等）</w:t>
            </w:r>
          </w:p>
          <w:p w14:paraId="23EF66CB">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3.11.1.2多普勒血流测量及分析软件包</w:t>
            </w:r>
          </w:p>
          <w:p w14:paraId="350F8C9B">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3.11.1.3心脏功能测量与分析，可支持Simpson 三点法快速描记心内膜，加快工作流程</w:t>
            </w:r>
          </w:p>
          <w:p w14:paraId="1612DC36">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b/>
                <w:bCs/>
                <w:color w:val="000000"/>
                <w:kern w:val="0"/>
                <w:szCs w:val="21"/>
              </w:rPr>
              <w:t>3.11.2</w:t>
            </w:r>
            <w:r>
              <w:rPr>
                <w:rFonts w:hint="eastAsia" w:asciiTheme="majorEastAsia" w:hAnsiTheme="majorEastAsia" w:eastAsiaTheme="majorEastAsia" w:cstheme="majorEastAsia"/>
                <w:b/>
                <w:bCs/>
                <w:color w:val="000000"/>
                <w:kern w:val="0"/>
                <w:szCs w:val="21"/>
              </w:rPr>
              <w:tab/>
            </w:r>
            <w:r>
              <w:rPr>
                <w:rFonts w:hint="eastAsia" w:asciiTheme="majorEastAsia" w:hAnsiTheme="majorEastAsia" w:eastAsiaTheme="majorEastAsia" w:cstheme="majorEastAsia"/>
                <w:b/>
                <w:bCs/>
                <w:color w:val="000000"/>
                <w:kern w:val="0"/>
                <w:szCs w:val="21"/>
              </w:rPr>
              <w:t>感兴趣区定量</w:t>
            </w:r>
            <w:r>
              <w:rPr>
                <w:rFonts w:hint="eastAsia" w:asciiTheme="majorEastAsia" w:hAnsiTheme="majorEastAsia" w:eastAsiaTheme="majorEastAsia" w:cstheme="majorEastAsia"/>
                <w:color w:val="000000"/>
                <w:kern w:val="0"/>
                <w:szCs w:val="21"/>
              </w:rPr>
              <w:t>：≥9个用户自定义的区域；自动标记 ECG 触发，以实现特定心动周期时相的定量分析；生成时间－密度曲线，支持多种曲线拟合模式；分析结果包括每一帧图像的 dB 数值、密度或速度/频率、达峰时间、"A” 值，曲线下面积和峰值密度</w:t>
            </w:r>
          </w:p>
          <w:p w14:paraId="0D1969BF">
            <w:pPr>
              <w:spacing w:line="400" w:lineRule="exact"/>
              <w:rPr>
                <w:rFonts w:asciiTheme="majorEastAsia" w:hAnsiTheme="majorEastAsia" w:eastAsiaTheme="majorEastAsia" w:cstheme="majorEastAsia"/>
                <w:b/>
                <w:bCs/>
                <w:color w:val="000000"/>
                <w:kern w:val="0"/>
                <w:szCs w:val="21"/>
              </w:rPr>
            </w:pPr>
            <w:r>
              <w:rPr>
                <w:rFonts w:hint="eastAsia" w:asciiTheme="majorEastAsia" w:hAnsiTheme="majorEastAsia" w:eastAsiaTheme="majorEastAsia" w:cstheme="majorEastAsia"/>
                <w:b/>
                <w:bCs/>
                <w:color w:val="000000"/>
                <w:kern w:val="0"/>
                <w:szCs w:val="21"/>
              </w:rPr>
              <w:t>3.11.3</w:t>
            </w:r>
            <w:r>
              <w:rPr>
                <w:rFonts w:hint="eastAsia" w:asciiTheme="majorEastAsia" w:hAnsiTheme="majorEastAsia" w:eastAsiaTheme="majorEastAsia" w:cstheme="majorEastAsia"/>
                <w:b/>
                <w:bCs/>
                <w:color w:val="000000"/>
                <w:kern w:val="0"/>
                <w:szCs w:val="21"/>
              </w:rPr>
              <w:tab/>
            </w:r>
            <w:r>
              <w:rPr>
                <w:rFonts w:hint="eastAsia" w:asciiTheme="majorEastAsia" w:hAnsiTheme="majorEastAsia" w:eastAsiaTheme="majorEastAsia" w:cstheme="majorEastAsia"/>
                <w:b/>
                <w:bCs/>
                <w:color w:val="000000"/>
                <w:kern w:val="0"/>
                <w:szCs w:val="21"/>
              </w:rPr>
              <w:t xml:space="preserve">血管中内膜厚度自动测量: </w:t>
            </w:r>
          </w:p>
          <w:p w14:paraId="54D55DC4">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3.11.3.1对感兴趣区域内自动测量，无需手动描计，计算结果为一段距离内的平均值，提高测量的可靠性和可重复性，并可根据血管内中膜厚度不同进行优化设置</w:t>
            </w:r>
          </w:p>
          <w:p w14:paraId="6C955D1B">
            <w:pPr>
              <w:spacing w:line="400" w:lineRule="exact"/>
              <w:rPr>
                <w:rFonts w:asciiTheme="majorEastAsia" w:hAnsiTheme="majorEastAsia" w:eastAsiaTheme="majorEastAsia" w:cstheme="majorEastAsia"/>
                <w:b/>
                <w:bCs/>
                <w:color w:val="000000"/>
                <w:kern w:val="0"/>
                <w:szCs w:val="21"/>
              </w:rPr>
            </w:pPr>
            <w:r>
              <w:rPr>
                <w:rFonts w:hint="eastAsia" w:asciiTheme="majorEastAsia" w:hAnsiTheme="majorEastAsia" w:eastAsiaTheme="majorEastAsia" w:cstheme="majorEastAsia"/>
                <w:b/>
                <w:bCs/>
                <w:color w:val="000000"/>
                <w:kern w:val="0"/>
                <w:szCs w:val="21"/>
              </w:rPr>
              <w:t>3.11.4</w:t>
            </w:r>
            <w:r>
              <w:rPr>
                <w:rFonts w:hint="eastAsia" w:asciiTheme="majorEastAsia" w:hAnsiTheme="majorEastAsia" w:eastAsiaTheme="majorEastAsia" w:cstheme="majorEastAsia"/>
                <w:b/>
                <w:bCs/>
                <w:color w:val="000000"/>
                <w:kern w:val="0"/>
                <w:szCs w:val="21"/>
              </w:rPr>
              <w:tab/>
            </w:r>
            <w:r>
              <w:rPr>
                <w:rFonts w:hint="eastAsia" w:asciiTheme="majorEastAsia" w:hAnsiTheme="majorEastAsia" w:eastAsiaTheme="majorEastAsia" w:cstheme="majorEastAsia"/>
                <w:b/>
                <w:bCs/>
                <w:color w:val="000000"/>
                <w:kern w:val="0"/>
                <w:szCs w:val="21"/>
              </w:rPr>
              <w:t xml:space="preserve">心肌应变定量 </w:t>
            </w:r>
          </w:p>
          <w:p w14:paraId="2D8BAEC6">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3.11.4.1实时组织多普勒定量技术,可整体或分节段曲线显示，同时可显示≥32条节段曲线，方便同一时相任意节段数据对比分析</w:t>
            </w:r>
          </w:p>
          <w:p w14:paraId="1A69E40B">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3.11.4.2可显示组织速度、位移、应变、应变率等多种参数曲线，并支持曲线测量对比分析</w:t>
            </w:r>
          </w:p>
          <w:p w14:paraId="7D7621DA">
            <w:pPr>
              <w:spacing w:line="400" w:lineRule="exact"/>
              <w:rPr>
                <w:rFonts w:asciiTheme="majorEastAsia" w:hAnsiTheme="majorEastAsia" w:eastAsiaTheme="majorEastAsia" w:cstheme="majorEastAsia"/>
                <w:b/>
                <w:bCs/>
                <w:color w:val="000000"/>
                <w:kern w:val="0"/>
                <w:szCs w:val="21"/>
              </w:rPr>
            </w:pPr>
            <w:r>
              <w:rPr>
                <w:rFonts w:hint="eastAsia" w:asciiTheme="majorEastAsia" w:hAnsiTheme="majorEastAsia" w:eastAsiaTheme="majorEastAsia" w:cstheme="majorEastAsia"/>
                <w:b/>
                <w:bCs/>
                <w:color w:val="000000"/>
                <w:kern w:val="0"/>
                <w:szCs w:val="21"/>
              </w:rPr>
              <w:t>3.11.5</w:t>
            </w:r>
            <w:r>
              <w:rPr>
                <w:rFonts w:hint="eastAsia" w:asciiTheme="majorEastAsia" w:hAnsiTheme="majorEastAsia" w:eastAsiaTheme="majorEastAsia" w:cstheme="majorEastAsia"/>
                <w:b/>
                <w:bCs/>
                <w:color w:val="000000"/>
                <w:kern w:val="0"/>
                <w:szCs w:val="21"/>
              </w:rPr>
              <w:tab/>
            </w:r>
            <w:r>
              <w:rPr>
                <w:rFonts w:hint="eastAsia" w:asciiTheme="majorEastAsia" w:hAnsiTheme="majorEastAsia" w:eastAsiaTheme="majorEastAsia" w:cstheme="majorEastAsia"/>
                <w:b/>
                <w:bCs/>
                <w:color w:val="000000"/>
                <w:kern w:val="0"/>
                <w:szCs w:val="21"/>
              </w:rPr>
              <w:t>自动化二维心功能定量技术</w:t>
            </w:r>
          </w:p>
          <w:p w14:paraId="287E75D8">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3.11.5.1自动二维左心功能定量 依据选择的心脏切面自动描记感兴趣区，自动计算EF，ESV，EDV，最大体积，最小体积以及LVEF、PER、PRFR、AFF</w:t>
            </w:r>
          </w:p>
          <w:p w14:paraId="1FF577EB">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3.11.5.2自动组织瓣环位移功能可自动对二尖瓣和三尖瓣瓣环运动进行可视化定量分析，快速评估心脏整体功能</w:t>
            </w:r>
          </w:p>
          <w:p w14:paraId="138B47C5">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3.11.5.3可使用回放或存储剪辑分析，可在机和脱机分析</w:t>
            </w:r>
          </w:p>
          <w:p w14:paraId="107E6724">
            <w:pPr>
              <w:spacing w:line="400" w:lineRule="exact"/>
              <w:rPr>
                <w:rFonts w:asciiTheme="majorEastAsia" w:hAnsiTheme="majorEastAsia" w:eastAsiaTheme="majorEastAsia" w:cstheme="majorEastAsia"/>
                <w:b/>
                <w:bCs/>
                <w:color w:val="000000"/>
                <w:kern w:val="0"/>
                <w:szCs w:val="21"/>
              </w:rPr>
            </w:pPr>
            <w:r>
              <w:rPr>
                <w:rFonts w:hint="eastAsia" w:asciiTheme="majorEastAsia" w:hAnsiTheme="majorEastAsia" w:eastAsiaTheme="majorEastAsia" w:cstheme="majorEastAsia"/>
                <w:b/>
                <w:bCs/>
                <w:color w:val="000000"/>
                <w:kern w:val="0"/>
                <w:szCs w:val="21"/>
              </w:rPr>
              <w:t>3.11.6</w:t>
            </w:r>
            <w:r>
              <w:rPr>
                <w:rFonts w:hint="eastAsia" w:asciiTheme="majorEastAsia" w:hAnsiTheme="majorEastAsia" w:eastAsiaTheme="majorEastAsia" w:cstheme="majorEastAsia"/>
                <w:b/>
                <w:bCs/>
                <w:color w:val="000000"/>
                <w:kern w:val="0"/>
                <w:szCs w:val="21"/>
              </w:rPr>
              <w:tab/>
            </w:r>
            <w:r>
              <w:rPr>
                <w:rFonts w:hint="eastAsia" w:asciiTheme="majorEastAsia" w:hAnsiTheme="majorEastAsia" w:eastAsiaTheme="majorEastAsia" w:cstheme="majorEastAsia"/>
                <w:b/>
                <w:bCs/>
                <w:color w:val="000000"/>
                <w:kern w:val="0"/>
                <w:szCs w:val="21"/>
              </w:rPr>
              <w:t xml:space="preserve">心脏自动应变定量 </w:t>
            </w:r>
          </w:p>
          <w:p w14:paraId="5E2F1948">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3.11.6.1专用的结合智能化自动应变分析模块</w:t>
            </w:r>
          </w:p>
          <w:p w14:paraId="283321EB">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3.11.6.2连接和未连接心电信号的超声图像均可在机分析</w:t>
            </w:r>
          </w:p>
          <w:p w14:paraId="435CED83">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3.11.6.3支持心脏常规二维、心脏造影成像等多种模式下使用</w:t>
            </w:r>
          </w:p>
          <w:p w14:paraId="5474C9EE">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3.11.6.4全自动识别左心室切面并追踪，快速获得左心室整体应变值、左心室长径值、左心室18节段应变牛眼图和达峰时间牛眼图</w:t>
            </w:r>
          </w:p>
          <w:p w14:paraId="1DD4E7CF">
            <w:pPr>
              <w:spacing w:line="400" w:lineRule="exact"/>
              <w:rPr>
                <w:rFonts w:asciiTheme="majorEastAsia" w:hAnsiTheme="majorEastAsia" w:eastAsiaTheme="majorEastAsia" w:cstheme="majorEastAsia"/>
                <w:b/>
                <w:bCs/>
                <w:color w:val="000000"/>
                <w:kern w:val="0"/>
                <w:szCs w:val="21"/>
              </w:rPr>
            </w:pPr>
            <w:r>
              <w:rPr>
                <w:rFonts w:hint="eastAsia" w:asciiTheme="majorEastAsia" w:hAnsiTheme="majorEastAsia" w:eastAsiaTheme="majorEastAsia" w:cstheme="majorEastAsia"/>
                <w:b/>
                <w:bCs/>
                <w:color w:val="000000"/>
                <w:kern w:val="0"/>
                <w:szCs w:val="21"/>
              </w:rPr>
              <w:t>3.11.7</w:t>
            </w:r>
            <w:r>
              <w:rPr>
                <w:rFonts w:hint="eastAsia" w:asciiTheme="majorEastAsia" w:hAnsiTheme="majorEastAsia" w:eastAsiaTheme="majorEastAsia" w:cstheme="majorEastAsia"/>
                <w:b/>
                <w:bCs/>
                <w:color w:val="000000"/>
                <w:kern w:val="0"/>
                <w:szCs w:val="21"/>
              </w:rPr>
              <w:tab/>
            </w:r>
            <w:r>
              <w:rPr>
                <w:rFonts w:hint="eastAsia" w:asciiTheme="majorEastAsia" w:hAnsiTheme="majorEastAsia" w:eastAsiaTheme="majorEastAsia" w:cstheme="majorEastAsia"/>
                <w:b/>
                <w:bCs/>
                <w:color w:val="000000"/>
                <w:kern w:val="0"/>
                <w:szCs w:val="21"/>
              </w:rPr>
              <w:t>自动心肌运动定量</w:t>
            </w:r>
          </w:p>
          <w:p w14:paraId="6C153464">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3.11.7.1可在机分析心脏长轴和短轴图像，不依赖ECG，可在机选择分析内、中、外三层心肌信息</w:t>
            </w:r>
          </w:p>
          <w:p w14:paraId="202C91EE">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3.11.7.2快速获得左心室长轴及左心室短轴切面面积曲线、圆周应变曲线、径向位移曲线、旋转曲线等；自动计算左心室短轴FAC、左心室短轴应变及达峰时间等，短轴应变及达峰时间以17节段牛眼图显示</w:t>
            </w:r>
          </w:p>
          <w:p w14:paraId="7CFC4A38">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3.11.7.3自动组织瓣环位移功能可自动对二尖瓣和三尖瓣瓣环运动进行可视化定量分析，快速评估心脏整体功能</w:t>
            </w:r>
          </w:p>
          <w:p w14:paraId="24A3F05C">
            <w:pPr>
              <w:spacing w:line="400" w:lineRule="exact"/>
              <w:rPr>
                <w:rFonts w:asciiTheme="majorEastAsia" w:hAnsiTheme="majorEastAsia" w:eastAsiaTheme="majorEastAsia" w:cstheme="majorEastAsia"/>
                <w:b/>
                <w:bCs/>
                <w:color w:val="000000"/>
                <w:kern w:val="0"/>
                <w:szCs w:val="21"/>
              </w:rPr>
            </w:pPr>
            <w:r>
              <w:rPr>
                <w:rFonts w:hint="eastAsia" w:asciiTheme="majorEastAsia" w:hAnsiTheme="majorEastAsia" w:eastAsiaTheme="majorEastAsia" w:cstheme="majorEastAsia"/>
                <w:b/>
                <w:bCs/>
                <w:color w:val="000000"/>
                <w:kern w:val="0"/>
                <w:szCs w:val="21"/>
              </w:rPr>
              <w:t>3.11.8</w:t>
            </w:r>
            <w:r>
              <w:rPr>
                <w:rFonts w:hint="eastAsia" w:asciiTheme="majorEastAsia" w:hAnsiTheme="majorEastAsia" w:eastAsiaTheme="majorEastAsia" w:cstheme="majorEastAsia"/>
                <w:b/>
                <w:bCs/>
                <w:color w:val="000000"/>
                <w:kern w:val="0"/>
                <w:szCs w:val="21"/>
              </w:rPr>
              <w:tab/>
            </w:r>
            <w:r>
              <w:rPr>
                <w:rFonts w:hint="eastAsia" w:asciiTheme="majorEastAsia" w:hAnsiTheme="majorEastAsia" w:eastAsiaTheme="majorEastAsia" w:cstheme="majorEastAsia"/>
                <w:b/>
                <w:bCs/>
                <w:color w:val="000000"/>
                <w:kern w:val="0"/>
                <w:szCs w:val="21"/>
              </w:rPr>
              <w:t>负荷心肌运动定量</w:t>
            </w:r>
          </w:p>
          <w:p w14:paraId="3BFD8149">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3.11.8.1支持负荷试验状态下左心室整体和节段进行应变定量分析</w:t>
            </w:r>
          </w:p>
          <w:p w14:paraId="3DD8F631">
            <w:pPr>
              <w:spacing w:line="400" w:lineRule="exact"/>
              <w:rPr>
                <w:rFonts w:asciiTheme="majorEastAsia" w:hAnsiTheme="majorEastAsia" w:eastAsiaTheme="majorEastAsia" w:cstheme="majorEastAsia"/>
                <w:b/>
                <w:bCs/>
                <w:color w:val="000000"/>
                <w:kern w:val="0"/>
                <w:szCs w:val="21"/>
              </w:rPr>
            </w:pPr>
            <w:r>
              <w:rPr>
                <w:rFonts w:hint="eastAsia" w:asciiTheme="majorEastAsia" w:hAnsiTheme="majorEastAsia" w:eastAsiaTheme="majorEastAsia" w:cstheme="majorEastAsia"/>
                <w:b/>
                <w:bCs/>
                <w:color w:val="000000"/>
                <w:kern w:val="0"/>
                <w:szCs w:val="21"/>
              </w:rPr>
              <w:t>3.11.9</w:t>
            </w:r>
            <w:r>
              <w:rPr>
                <w:rFonts w:hint="eastAsia" w:asciiTheme="majorEastAsia" w:hAnsiTheme="majorEastAsia" w:eastAsiaTheme="majorEastAsia" w:cstheme="majorEastAsia"/>
                <w:b/>
                <w:bCs/>
                <w:color w:val="000000"/>
                <w:kern w:val="0"/>
                <w:szCs w:val="21"/>
              </w:rPr>
              <w:tab/>
            </w:r>
            <w:r>
              <w:rPr>
                <w:rFonts w:hint="eastAsia" w:asciiTheme="majorEastAsia" w:hAnsiTheme="majorEastAsia" w:eastAsiaTheme="majorEastAsia" w:cstheme="majorEastAsia"/>
                <w:b/>
                <w:bCs/>
                <w:color w:val="000000"/>
                <w:kern w:val="0"/>
                <w:szCs w:val="21"/>
              </w:rPr>
              <w:t xml:space="preserve">三维心功能定量 </w:t>
            </w:r>
          </w:p>
          <w:p w14:paraId="04F14C1C">
            <w:pPr>
              <w:spacing w:line="400" w:lineRule="exact"/>
              <w:rPr>
                <w:rFonts w:asciiTheme="majorEastAsia" w:hAnsiTheme="majorEastAsia" w:eastAsiaTheme="majorEastAsia" w:cstheme="majorEastAsia"/>
                <w:color w:val="000000"/>
                <w:kern w:val="0"/>
                <w:szCs w:val="21"/>
              </w:rPr>
            </w:pPr>
            <w:r>
              <w:rPr>
                <w:rFonts w:hint="eastAsia" w:ascii="宋体" w:hAnsi="宋体"/>
                <w:color w:val="000000"/>
                <w:kern w:val="0"/>
                <w:szCs w:val="21"/>
              </w:rPr>
              <w:t>*</w:t>
            </w:r>
            <w:r>
              <w:rPr>
                <w:rFonts w:hint="eastAsia" w:asciiTheme="majorEastAsia" w:hAnsiTheme="majorEastAsia" w:eastAsiaTheme="majorEastAsia" w:cstheme="majorEastAsia"/>
                <w:color w:val="000000"/>
                <w:kern w:val="0"/>
                <w:szCs w:val="21"/>
              </w:rPr>
              <w:t>3.11.9.1自动确定收缩末期与舒张末期，快速计算LV舒张末期与收缩末期容积，左室射血分数，并可以独立显示四腔心、两腔心；并可以对MPR图像进行灰阶及伪彩设置，实时三维智能断层,可同步显示≥14个切面</w:t>
            </w:r>
          </w:p>
          <w:p w14:paraId="2E6DB30E">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3.12图像存储与（电影）回放重现及病案管理单元</w:t>
            </w:r>
          </w:p>
          <w:p w14:paraId="67B70B2F">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3.12.1数字化捕捉、回放、存储动、静态图像，实时图像传输，实时 JPEG 解压缩，可进行参数编程调节</w:t>
            </w:r>
          </w:p>
          <w:p w14:paraId="4E5690A8">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3.12.2主机内置硬盘≥1T，可扩展的存储装置：大容量移动硬盘、DVD-RW、DVR等</w:t>
            </w:r>
          </w:p>
          <w:p w14:paraId="01ECF29B">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3.12.3具备主机硬盘图像数据存储</w:t>
            </w:r>
          </w:p>
          <w:p w14:paraId="44FBEEA4">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3.12.4病案管理单元包括病人资料、报告、图像等的存储、修改、检索和打印等</w:t>
            </w:r>
          </w:p>
          <w:p w14:paraId="55818B4B">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3.12.5可根据检查要求对工作站参数（存储、压缩、回放）进行编程调节</w:t>
            </w:r>
          </w:p>
          <w:p w14:paraId="72DFCEE6">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3.13参考信号：ECG心电信号</w:t>
            </w:r>
          </w:p>
          <w:p w14:paraId="12BD6A03">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3.14输入和输出信号：</w:t>
            </w:r>
          </w:p>
          <w:p w14:paraId="3EEE658C">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3.14.1输入：DICOM DATA</w:t>
            </w:r>
          </w:p>
          <w:p w14:paraId="12A2A73C">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3.14.2输出：DP高清数字化输出</w:t>
            </w:r>
          </w:p>
          <w:p w14:paraId="75694762">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3.15图像管理与记录装置：</w:t>
            </w:r>
          </w:p>
          <w:p w14:paraId="728552C6">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3.15.1内置图像管理系统</w:t>
            </w:r>
          </w:p>
          <w:p w14:paraId="59F53E67">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3.15.2支持DVD／USB图像导出存储</w:t>
            </w:r>
          </w:p>
          <w:p w14:paraId="2473B866">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 xml:space="preserve">3.16连通性  </w:t>
            </w:r>
          </w:p>
          <w:p w14:paraId="22991086">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3.16.1 医学数字图像和通信协议， DICOM 3.0 版接口部件</w:t>
            </w:r>
          </w:p>
          <w:p w14:paraId="578D99C1">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四、技术参数及要求</w:t>
            </w:r>
          </w:p>
          <w:p w14:paraId="5AC9E215">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4.1</w:t>
            </w:r>
            <w:r>
              <w:rPr>
                <w:rFonts w:hint="eastAsia" w:asciiTheme="majorEastAsia" w:hAnsiTheme="majorEastAsia" w:eastAsiaTheme="majorEastAsia" w:cstheme="majorEastAsia"/>
                <w:color w:val="000000"/>
                <w:kern w:val="0"/>
                <w:szCs w:val="21"/>
              </w:rPr>
              <w:tab/>
            </w:r>
            <w:r>
              <w:rPr>
                <w:rFonts w:hint="eastAsia" w:asciiTheme="majorEastAsia" w:hAnsiTheme="majorEastAsia" w:eastAsiaTheme="majorEastAsia" w:cstheme="majorEastAsia"/>
                <w:color w:val="000000"/>
                <w:kern w:val="0"/>
                <w:szCs w:val="21"/>
              </w:rPr>
              <w:t>系统通用功能</w:t>
            </w:r>
          </w:p>
          <w:p w14:paraId="377E48A4">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4.1.1 监视器: OLED显示器≥21.5英寸,对比度≥20000:1，无闪烁，可上下左右旋转、倾斜</w:t>
            </w:r>
          </w:p>
          <w:p w14:paraId="43F4E057">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4.1.2 操作面板具备液晶触摸屏≥12英寸,可通过手指滑动触摸屏进行翻页，直接点击触摸屏即可选择需要调节的参数，操作面板可上下左右进行高度调整及旋转</w:t>
            </w:r>
          </w:p>
          <w:p w14:paraId="4DCA7258">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4.1.3标准成像探头接口≥4个，无针式微型接口，均可通用，经食道探头可直接用于任何一个探头接口</w:t>
            </w:r>
          </w:p>
          <w:p w14:paraId="2E434967">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4.1.4功能分区控制面板，可升降、旋转、前后左右平移, 电子锁定</w:t>
            </w:r>
          </w:p>
          <w:p w14:paraId="19E13CFA">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4.2</w:t>
            </w:r>
            <w:r>
              <w:rPr>
                <w:rFonts w:hint="eastAsia" w:asciiTheme="majorEastAsia" w:hAnsiTheme="majorEastAsia" w:eastAsiaTheme="majorEastAsia" w:cstheme="majorEastAsia"/>
                <w:color w:val="000000"/>
                <w:kern w:val="0"/>
                <w:szCs w:val="21"/>
              </w:rPr>
              <w:tab/>
            </w:r>
            <w:r>
              <w:rPr>
                <w:rFonts w:hint="eastAsia" w:asciiTheme="majorEastAsia" w:hAnsiTheme="majorEastAsia" w:eastAsiaTheme="majorEastAsia" w:cstheme="majorEastAsia"/>
                <w:color w:val="000000"/>
                <w:kern w:val="0"/>
                <w:szCs w:val="21"/>
              </w:rPr>
              <w:t>探头规格</w:t>
            </w:r>
          </w:p>
          <w:p w14:paraId="19398186">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4.2.1频率:超宽频变频探头, 探头频率1 MHz 到12 MHz</w:t>
            </w:r>
          </w:p>
          <w:p w14:paraId="42408F6B">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4.2.2类型:相控阵、凸阵、线阵、矩阵实时三维探头</w:t>
            </w:r>
          </w:p>
          <w:p w14:paraId="31C5E398">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4.2.3压电晶体材料：相控阵、凸阵、矩阵实时三维探头均具备采用纯净波晶体材料</w:t>
            </w:r>
          </w:p>
          <w:p w14:paraId="49C72EB7">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4.2.4可支持矩阵探头晶片≥50,000</w:t>
            </w:r>
          </w:p>
          <w:p w14:paraId="29A193FC">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4.3二维成像主要参数:</w:t>
            </w:r>
          </w:p>
          <w:p w14:paraId="6D8B6245">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4.3.1小儿心脏探头：成像频率2-9MHz</w:t>
            </w:r>
          </w:p>
          <w:p w14:paraId="0A4ACCB8">
            <w:pPr>
              <w:spacing w:line="400" w:lineRule="exact"/>
              <w:ind w:firstLine="420" w:firstLineChars="200"/>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矩阵实时三维探头：成像频率1-5MHz</w:t>
            </w:r>
          </w:p>
          <w:p w14:paraId="75FA9796">
            <w:pPr>
              <w:spacing w:line="400" w:lineRule="exact"/>
              <w:ind w:firstLine="420" w:firstLineChars="200"/>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高频线阵探头：成像频率3-12MHz</w:t>
            </w:r>
          </w:p>
          <w:p w14:paraId="54FB4D30">
            <w:pPr>
              <w:spacing w:line="400" w:lineRule="exact"/>
              <w:ind w:firstLine="420" w:firstLineChars="200"/>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凸阵腹部探头：成像频率1-5Hz</w:t>
            </w:r>
          </w:p>
          <w:p w14:paraId="5A93FA82">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 xml:space="preserve">4.3.2扫描速率: </w:t>
            </w:r>
          </w:p>
          <w:p w14:paraId="4600B78B">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相控阵,全视野，18cm深度时，帧速率≥100 帧/秒</w:t>
            </w:r>
          </w:p>
          <w:p w14:paraId="7CCFB5EB">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凸阵,全视野，18cm深度时，帧速率≥39 帧/秒</w:t>
            </w:r>
          </w:p>
          <w:p w14:paraId="3ECC7A1A">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 xml:space="preserve">4.3.3扫描深度：扫描深度至少达到40cm </w:t>
            </w:r>
          </w:p>
          <w:p w14:paraId="4399CB22">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4.3.4扇扫角度：儿童纯净波相控阵探头≥112度，频率：2-9MHz</w:t>
            </w:r>
          </w:p>
          <w:p w14:paraId="76CB374B">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4.3.5声束聚焦：发射接收动态连续聚焦</w:t>
            </w:r>
          </w:p>
          <w:p w14:paraId="02622AE2">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4.3.6回放重现及存储：灰阶图像回放≥2500幅，存储时间≥6分钟</w:t>
            </w:r>
          </w:p>
          <w:p w14:paraId="38CFE4DA">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4.3.7预设条件：针对不同的检查脏器,预置图像的检查条件，减少操作时的调节,及常用所需的外部调节及组合调节，每个探头可提供预设置≥40个</w:t>
            </w:r>
          </w:p>
          <w:p w14:paraId="205DEE3A">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4.3.8增益调节：2D/Color/Doppler可独立调节, TGC分段≥8，支持LGC分段调节，触屏上可视可调</w:t>
            </w:r>
          </w:p>
          <w:p w14:paraId="2D634C67">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4.4</w:t>
            </w:r>
            <w:r>
              <w:rPr>
                <w:rFonts w:hint="eastAsia" w:asciiTheme="majorEastAsia" w:hAnsiTheme="majorEastAsia" w:eastAsiaTheme="majorEastAsia" w:cstheme="majorEastAsia"/>
                <w:color w:val="000000"/>
                <w:kern w:val="0"/>
                <w:szCs w:val="21"/>
              </w:rPr>
              <w:tab/>
            </w:r>
            <w:r>
              <w:rPr>
                <w:rFonts w:hint="eastAsia" w:asciiTheme="majorEastAsia" w:hAnsiTheme="majorEastAsia" w:eastAsiaTheme="majorEastAsia" w:cstheme="majorEastAsia"/>
                <w:color w:val="000000"/>
                <w:kern w:val="0"/>
                <w:szCs w:val="21"/>
              </w:rPr>
              <w:t>三维成像主要参数</w:t>
            </w:r>
          </w:p>
          <w:p w14:paraId="05F4B8B6">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4.4.1 实时三维矩阵探头，提供全面的单探头解决方案，包括二维及三维结构和功能</w:t>
            </w:r>
          </w:p>
          <w:p w14:paraId="0CDEEADB">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4.4.1.1 具备2D、M型、彩色、PW、CW、TDI、造影、负荷等多种应用模式</w:t>
            </w:r>
          </w:p>
          <w:p w14:paraId="74ED1AC5">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4.4.1.2 具备实时智能旋转成像，通过智能电子偏转声束发射技术，获取感兴趣扫描切面</w:t>
            </w:r>
          </w:p>
          <w:p w14:paraId="2CEE9E83">
            <w:pPr>
              <w:spacing w:line="400" w:lineRule="exact"/>
              <w:rPr>
                <w:rFonts w:asciiTheme="majorEastAsia" w:hAnsiTheme="majorEastAsia" w:eastAsiaTheme="majorEastAsia" w:cstheme="majorEastAsia"/>
                <w:color w:val="000000"/>
                <w:kern w:val="0"/>
                <w:szCs w:val="21"/>
              </w:rPr>
            </w:pPr>
            <w:r>
              <w:rPr>
                <w:rFonts w:hint="eastAsia" w:ascii="宋体" w:hAnsi="宋体"/>
                <w:color w:val="000000"/>
                <w:kern w:val="0"/>
                <w:szCs w:val="21"/>
              </w:rPr>
              <w:t>*</w:t>
            </w:r>
            <w:r>
              <w:rPr>
                <w:rFonts w:hint="eastAsia" w:asciiTheme="majorEastAsia" w:hAnsiTheme="majorEastAsia" w:eastAsiaTheme="majorEastAsia" w:cstheme="majorEastAsia"/>
                <w:color w:val="000000"/>
                <w:kern w:val="0"/>
                <w:szCs w:val="21"/>
              </w:rPr>
              <w:t>4.4.1.3具备实时任意多平面成像，同屏显示任意相交互的两幅图像</w:t>
            </w:r>
          </w:p>
          <w:p w14:paraId="1FB51B96">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4.4.1.4支持实时三维、全容积成像、实时三维彩色、实时三维缩放、心腔镜、透视心腔镜、彩色心腔镜、深度光源、智能切割、造影及负荷超声</w:t>
            </w:r>
          </w:p>
          <w:p w14:paraId="6A174866">
            <w:pPr>
              <w:spacing w:line="400" w:lineRule="exact"/>
              <w:rPr>
                <w:rFonts w:asciiTheme="majorEastAsia" w:hAnsiTheme="majorEastAsia" w:eastAsiaTheme="majorEastAsia" w:cstheme="majorEastAsia"/>
                <w:color w:val="000000"/>
                <w:kern w:val="0"/>
                <w:szCs w:val="21"/>
              </w:rPr>
            </w:pPr>
            <w:r>
              <w:rPr>
                <w:rFonts w:hint="eastAsia" w:ascii="宋体" w:hAnsi="宋体"/>
                <w:color w:val="000000"/>
                <w:kern w:val="0"/>
                <w:szCs w:val="21"/>
              </w:rPr>
              <w:t>*</w:t>
            </w:r>
            <w:r>
              <w:rPr>
                <w:rFonts w:hint="eastAsia" w:asciiTheme="majorEastAsia" w:hAnsiTheme="majorEastAsia" w:eastAsiaTheme="majorEastAsia" w:cstheme="majorEastAsia"/>
                <w:color w:val="000000"/>
                <w:kern w:val="0"/>
                <w:szCs w:val="21"/>
              </w:rPr>
              <w:t>4.4.1.5 具备深度光源成像模式；具备可在触摸屏上手动调整三维图像缩放、旋转、光源位置；具备成像模式；具备实时三维断层成像；具备实时双容积视野</w:t>
            </w:r>
          </w:p>
          <w:p w14:paraId="1C09F71D">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4.5</w:t>
            </w:r>
            <w:r>
              <w:rPr>
                <w:rFonts w:hint="eastAsia" w:asciiTheme="majorEastAsia" w:hAnsiTheme="majorEastAsia" w:eastAsiaTheme="majorEastAsia" w:cstheme="majorEastAsia"/>
                <w:color w:val="000000"/>
                <w:kern w:val="0"/>
                <w:szCs w:val="21"/>
              </w:rPr>
              <w:tab/>
            </w:r>
            <w:r>
              <w:rPr>
                <w:rFonts w:hint="eastAsia" w:asciiTheme="majorEastAsia" w:hAnsiTheme="majorEastAsia" w:eastAsiaTheme="majorEastAsia" w:cstheme="majorEastAsia"/>
                <w:color w:val="000000"/>
                <w:kern w:val="0"/>
                <w:szCs w:val="21"/>
              </w:rPr>
              <w:t>频率多普勒</w:t>
            </w:r>
          </w:p>
          <w:p w14:paraId="26BA0261">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扩展,局放及移位；取样宽度及位置范围：宽度0.5-20mm；分级可调</w:t>
            </w:r>
          </w:p>
          <w:p w14:paraId="7731492E">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4.6</w:t>
            </w:r>
            <w:r>
              <w:rPr>
                <w:rFonts w:hint="eastAsia" w:asciiTheme="majorEastAsia" w:hAnsiTheme="majorEastAsia" w:eastAsiaTheme="majorEastAsia" w:cstheme="majorEastAsia"/>
                <w:color w:val="000000"/>
                <w:kern w:val="0"/>
                <w:szCs w:val="21"/>
              </w:rPr>
              <w:tab/>
            </w:r>
            <w:r>
              <w:rPr>
                <w:rFonts w:hint="eastAsia" w:asciiTheme="majorEastAsia" w:hAnsiTheme="majorEastAsia" w:eastAsiaTheme="majorEastAsia" w:cstheme="majorEastAsia"/>
                <w:color w:val="000000"/>
                <w:kern w:val="0"/>
                <w:szCs w:val="21"/>
              </w:rPr>
              <w:t>彩色多普勒</w:t>
            </w:r>
          </w:p>
          <w:p w14:paraId="58E51647">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4.7</w:t>
            </w:r>
            <w:r>
              <w:rPr>
                <w:rFonts w:hint="eastAsia" w:asciiTheme="majorEastAsia" w:hAnsiTheme="majorEastAsia" w:eastAsiaTheme="majorEastAsia" w:cstheme="majorEastAsia"/>
                <w:color w:val="000000"/>
                <w:kern w:val="0"/>
                <w:szCs w:val="21"/>
              </w:rPr>
              <w:tab/>
            </w:r>
            <w:r>
              <w:rPr>
                <w:rFonts w:hint="eastAsia" w:asciiTheme="majorEastAsia" w:hAnsiTheme="majorEastAsia" w:eastAsiaTheme="majorEastAsia" w:cstheme="majorEastAsia"/>
                <w:color w:val="000000"/>
                <w:kern w:val="0"/>
                <w:szCs w:val="21"/>
              </w:rPr>
              <w:t xml:space="preserve">超声图像及病案管理系统 </w:t>
            </w:r>
          </w:p>
          <w:p w14:paraId="6EDA5724">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4.7.1动态图像采集，存储， 一次连续采集≥100幅；同屏电影回放≥4画面,可调回放速度</w:t>
            </w:r>
          </w:p>
          <w:p w14:paraId="509EED6F">
            <w:pPr>
              <w:spacing w:line="400" w:lineRule="exact"/>
              <w:rPr>
                <w:rFonts w:asciiTheme="majorEastAsia" w:hAnsiTheme="majorEastAsia" w:eastAsiaTheme="majorEastAsia" w:cstheme="majorEastAsia"/>
                <w:color w:val="auto"/>
                <w:kern w:val="0"/>
                <w:szCs w:val="21"/>
                <w:shd w:val="clear" w:color="auto"/>
              </w:rPr>
            </w:pPr>
            <w:r>
              <w:rPr>
                <w:rFonts w:hint="eastAsia" w:asciiTheme="majorEastAsia" w:hAnsiTheme="majorEastAsia" w:eastAsiaTheme="majorEastAsia" w:cstheme="majorEastAsia"/>
                <w:color w:val="000000"/>
                <w:kern w:val="0"/>
                <w:szCs w:val="21"/>
              </w:rPr>
              <w:t>4.7.2为保护病人隐私，图像存储时可隐去病案信息进行存储；存储图像及文档：超大1TB硬盘,CD/DVD；支持报告存储，检索，统计；DICOM QVue图像阅读器</w:t>
            </w:r>
            <w:r>
              <w:rPr>
                <w:rFonts w:hint="eastAsia" w:asciiTheme="majorEastAsia" w:hAnsiTheme="majorEastAsia" w:eastAsiaTheme="majorEastAsia" w:cstheme="majorEastAsia"/>
                <w:color w:val="auto"/>
                <w:kern w:val="0"/>
                <w:szCs w:val="21"/>
              </w:rPr>
              <w:t>，</w:t>
            </w:r>
            <w:r>
              <w:rPr>
                <w:rFonts w:hint="eastAsia" w:asciiTheme="majorEastAsia" w:hAnsiTheme="majorEastAsia" w:eastAsiaTheme="majorEastAsia" w:cstheme="majorEastAsia"/>
                <w:color w:val="auto"/>
                <w:kern w:val="0"/>
                <w:szCs w:val="21"/>
                <w:shd w:val="clear" w:color="auto"/>
              </w:rPr>
              <w:t>原始容积数据导出。</w:t>
            </w:r>
          </w:p>
          <w:p w14:paraId="3F5590F9">
            <w:pPr>
              <w:spacing w:line="400" w:lineRule="exact"/>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4.8.超声功率输出调节: B/M,PW,CDFI,输出功率选择多级可调</w:t>
            </w:r>
          </w:p>
          <w:p w14:paraId="2BC9561D">
            <w:pPr>
              <w:jc w:val="center"/>
              <w:rPr>
                <w:rFonts w:asciiTheme="majorEastAsia" w:hAnsiTheme="majorEastAsia" w:eastAsiaTheme="majorEastAsia" w:cstheme="majorEastAsia"/>
                <w:szCs w:val="21"/>
              </w:rPr>
            </w:pPr>
          </w:p>
          <w:p w14:paraId="094C1137">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彩色超声诊断系统配置清单</w:t>
            </w:r>
          </w:p>
          <w:tbl>
            <w:tblPr>
              <w:tblStyle w:val="48"/>
              <w:tblW w:w="6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0"/>
              <w:gridCol w:w="4302"/>
              <w:gridCol w:w="1327"/>
            </w:tblGrid>
            <w:tr w14:paraId="0316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25FFC821">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kern w:val="0"/>
                      <w:szCs w:val="21"/>
                    </w:rPr>
                    <w:t>序号</w:t>
                  </w:r>
                </w:p>
              </w:tc>
              <w:tc>
                <w:tcPr>
                  <w:tcW w:w="4302" w:type="dxa"/>
                  <w:tcBorders>
                    <w:top w:val="single" w:color="auto" w:sz="4" w:space="0"/>
                    <w:left w:val="single" w:color="auto" w:sz="4" w:space="0"/>
                    <w:bottom w:val="single" w:color="auto" w:sz="4" w:space="0"/>
                    <w:right w:val="single" w:color="auto" w:sz="4" w:space="0"/>
                  </w:tcBorders>
                  <w:vAlign w:val="center"/>
                </w:tcPr>
                <w:p w14:paraId="4FEDBF1D">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kern w:val="0"/>
                      <w:szCs w:val="21"/>
                    </w:rPr>
                    <w:t>名称及型号</w:t>
                  </w:r>
                </w:p>
              </w:tc>
              <w:tc>
                <w:tcPr>
                  <w:tcW w:w="1327" w:type="dxa"/>
                  <w:tcBorders>
                    <w:top w:val="single" w:color="auto" w:sz="4" w:space="0"/>
                    <w:left w:val="single" w:color="auto" w:sz="4" w:space="0"/>
                    <w:bottom w:val="single" w:color="auto" w:sz="4" w:space="0"/>
                    <w:right w:val="single" w:color="auto" w:sz="4" w:space="0"/>
                  </w:tcBorders>
                  <w:vAlign w:val="center"/>
                </w:tcPr>
                <w:p w14:paraId="07769B47">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kern w:val="0"/>
                      <w:szCs w:val="21"/>
                    </w:rPr>
                    <w:t>数  量</w:t>
                  </w:r>
                </w:p>
              </w:tc>
            </w:tr>
            <w:tr w14:paraId="17902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0549DEC6">
                  <w:pPr>
                    <w:numPr>
                      <w:ilvl w:val="0"/>
                      <w:numId w:val="3"/>
                    </w:numPr>
                    <w:jc w:val="center"/>
                    <w:rPr>
                      <w:rFonts w:asciiTheme="majorEastAsia" w:hAnsiTheme="majorEastAsia" w:eastAsiaTheme="majorEastAsia" w:cstheme="majorEastAsia"/>
                      <w:szCs w:val="21"/>
                    </w:rPr>
                  </w:pPr>
                </w:p>
              </w:tc>
              <w:tc>
                <w:tcPr>
                  <w:tcW w:w="4302" w:type="dxa"/>
                  <w:tcBorders>
                    <w:top w:val="single" w:color="auto" w:sz="4" w:space="0"/>
                    <w:left w:val="single" w:color="auto" w:sz="4" w:space="0"/>
                    <w:bottom w:val="single" w:color="auto" w:sz="4" w:space="0"/>
                    <w:right w:val="single" w:color="auto" w:sz="4" w:space="0"/>
                  </w:tcBorders>
                  <w:vAlign w:val="center"/>
                </w:tcPr>
                <w:p w14:paraId="62D83F81">
                  <w:pPr>
                    <w:widowControl/>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超声诊断系统主机</w:t>
                  </w:r>
                </w:p>
              </w:tc>
              <w:tc>
                <w:tcPr>
                  <w:tcW w:w="1327" w:type="dxa"/>
                  <w:tcBorders>
                    <w:top w:val="single" w:color="auto" w:sz="4" w:space="0"/>
                    <w:left w:val="single" w:color="auto" w:sz="4" w:space="0"/>
                    <w:bottom w:val="single" w:color="auto" w:sz="4" w:space="0"/>
                    <w:right w:val="single" w:color="auto" w:sz="4" w:space="0"/>
                  </w:tcBorders>
                  <w:vAlign w:val="center"/>
                </w:tcPr>
                <w:p w14:paraId="3A6D8EAF">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kern w:val="0"/>
                      <w:szCs w:val="21"/>
                    </w:rPr>
                    <w:t>1台</w:t>
                  </w:r>
                </w:p>
              </w:tc>
            </w:tr>
            <w:tr w14:paraId="24698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5BB9C7F4">
                  <w:pPr>
                    <w:numPr>
                      <w:ilvl w:val="0"/>
                      <w:numId w:val="3"/>
                    </w:numPr>
                    <w:jc w:val="center"/>
                    <w:rPr>
                      <w:rFonts w:asciiTheme="majorEastAsia" w:hAnsiTheme="majorEastAsia" w:eastAsiaTheme="majorEastAsia" w:cstheme="majorEastAsia"/>
                      <w:szCs w:val="21"/>
                    </w:rPr>
                  </w:pPr>
                </w:p>
              </w:tc>
              <w:tc>
                <w:tcPr>
                  <w:tcW w:w="4302" w:type="dxa"/>
                  <w:tcBorders>
                    <w:top w:val="single" w:color="auto" w:sz="4" w:space="0"/>
                    <w:left w:val="single" w:color="auto" w:sz="4" w:space="0"/>
                    <w:bottom w:val="single" w:color="auto" w:sz="4" w:space="0"/>
                    <w:right w:val="single" w:color="auto" w:sz="4" w:space="0"/>
                  </w:tcBorders>
                  <w:vAlign w:val="center"/>
                </w:tcPr>
                <w:p w14:paraId="7413AABC">
                  <w:pPr>
                    <w:widowControl/>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高分辨率液晶显示器≥21.5英寸</w:t>
                  </w:r>
                </w:p>
              </w:tc>
              <w:tc>
                <w:tcPr>
                  <w:tcW w:w="1327" w:type="dxa"/>
                  <w:tcBorders>
                    <w:top w:val="single" w:color="auto" w:sz="4" w:space="0"/>
                    <w:left w:val="single" w:color="auto" w:sz="4" w:space="0"/>
                    <w:bottom w:val="single" w:color="auto" w:sz="4" w:space="0"/>
                    <w:right w:val="single" w:color="auto" w:sz="4" w:space="0"/>
                  </w:tcBorders>
                  <w:vAlign w:val="center"/>
                </w:tcPr>
                <w:p w14:paraId="2AEF19F2">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kern w:val="0"/>
                      <w:szCs w:val="21"/>
                    </w:rPr>
                    <w:t>1个</w:t>
                  </w:r>
                </w:p>
              </w:tc>
            </w:tr>
            <w:tr w14:paraId="7B960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4A9214F9">
                  <w:pPr>
                    <w:numPr>
                      <w:ilvl w:val="0"/>
                      <w:numId w:val="3"/>
                    </w:numPr>
                    <w:jc w:val="center"/>
                    <w:rPr>
                      <w:rFonts w:asciiTheme="majorEastAsia" w:hAnsiTheme="majorEastAsia" w:eastAsiaTheme="majorEastAsia" w:cstheme="majorEastAsia"/>
                      <w:szCs w:val="21"/>
                    </w:rPr>
                  </w:pPr>
                </w:p>
              </w:tc>
              <w:tc>
                <w:tcPr>
                  <w:tcW w:w="4302" w:type="dxa"/>
                  <w:tcBorders>
                    <w:top w:val="single" w:color="auto" w:sz="4" w:space="0"/>
                    <w:left w:val="single" w:color="auto" w:sz="4" w:space="0"/>
                    <w:bottom w:val="single" w:color="auto" w:sz="4" w:space="0"/>
                    <w:right w:val="single" w:color="auto" w:sz="4" w:space="0"/>
                  </w:tcBorders>
                  <w:vAlign w:val="center"/>
                </w:tcPr>
                <w:p w14:paraId="4510C5A8">
                  <w:pPr>
                    <w:widowControl/>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color w:val="000000"/>
                      <w:kern w:val="0"/>
                      <w:szCs w:val="21"/>
                    </w:rPr>
                    <w:t>小儿心脏探头</w:t>
                  </w:r>
                </w:p>
              </w:tc>
              <w:tc>
                <w:tcPr>
                  <w:tcW w:w="1327" w:type="dxa"/>
                  <w:tcBorders>
                    <w:top w:val="single" w:color="auto" w:sz="4" w:space="0"/>
                    <w:left w:val="single" w:color="auto" w:sz="4" w:space="0"/>
                    <w:bottom w:val="single" w:color="auto" w:sz="4" w:space="0"/>
                    <w:right w:val="single" w:color="auto" w:sz="4" w:space="0"/>
                  </w:tcBorders>
                  <w:vAlign w:val="center"/>
                </w:tcPr>
                <w:p w14:paraId="2E5C675B">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kern w:val="0"/>
                      <w:szCs w:val="21"/>
                    </w:rPr>
                    <w:t>1把</w:t>
                  </w:r>
                </w:p>
              </w:tc>
            </w:tr>
            <w:tr w14:paraId="597DE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6E06ACE0">
                  <w:pPr>
                    <w:numPr>
                      <w:ilvl w:val="0"/>
                      <w:numId w:val="3"/>
                    </w:numPr>
                    <w:jc w:val="center"/>
                    <w:rPr>
                      <w:rFonts w:asciiTheme="majorEastAsia" w:hAnsiTheme="majorEastAsia" w:eastAsiaTheme="majorEastAsia" w:cstheme="majorEastAsia"/>
                      <w:kern w:val="0"/>
                      <w:szCs w:val="21"/>
                    </w:rPr>
                  </w:pPr>
                </w:p>
              </w:tc>
              <w:tc>
                <w:tcPr>
                  <w:tcW w:w="4302" w:type="dxa"/>
                  <w:tcBorders>
                    <w:top w:val="single" w:color="auto" w:sz="4" w:space="0"/>
                    <w:left w:val="single" w:color="auto" w:sz="4" w:space="0"/>
                    <w:bottom w:val="single" w:color="auto" w:sz="4" w:space="0"/>
                    <w:right w:val="single" w:color="auto" w:sz="4" w:space="0"/>
                  </w:tcBorders>
                  <w:vAlign w:val="center"/>
                </w:tcPr>
                <w:p w14:paraId="7CAEDA75">
                  <w:pPr>
                    <w:widowControl/>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color w:val="000000"/>
                      <w:kern w:val="0"/>
                      <w:szCs w:val="21"/>
                      <w:shd w:val="clear" w:color="auto"/>
                    </w:rPr>
                    <w:t>矩阵实时三维探头</w:t>
                  </w:r>
                </w:p>
              </w:tc>
              <w:tc>
                <w:tcPr>
                  <w:tcW w:w="1327" w:type="dxa"/>
                  <w:tcBorders>
                    <w:top w:val="single" w:color="auto" w:sz="4" w:space="0"/>
                    <w:left w:val="single" w:color="auto" w:sz="4" w:space="0"/>
                    <w:bottom w:val="single" w:color="auto" w:sz="4" w:space="0"/>
                    <w:right w:val="single" w:color="auto" w:sz="4" w:space="0"/>
                  </w:tcBorders>
                  <w:vAlign w:val="center"/>
                </w:tcPr>
                <w:p w14:paraId="1274ADB0">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1把</w:t>
                  </w:r>
                </w:p>
              </w:tc>
            </w:tr>
            <w:tr w14:paraId="29F3D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7EF8C4AC">
                  <w:pPr>
                    <w:numPr>
                      <w:ilvl w:val="0"/>
                      <w:numId w:val="3"/>
                    </w:numPr>
                    <w:jc w:val="center"/>
                    <w:rPr>
                      <w:rFonts w:asciiTheme="majorEastAsia" w:hAnsiTheme="majorEastAsia" w:eastAsiaTheme="majorEastAsia" w:cstheme="majorEastAsia"/>
                      <w:szCs w:val="21"/>
                    </w:rPr>
                  </w:pPr>
                </w:p>
              </w:tc>
              <w:tc>
                <w:tcPr>
                  <w:tcW w:w="4302" w:type="dxa"/>
                  <w:tcBorders>
                    <w:top w:val="single" w:color="auto" w:sz="4" w:space="0"/>
                    <w:left w:val="single" w:color="auto" w:sz="4" w:space="0"/>
                    <w:bottom w:val="single" w:color="auto" w:sz="4" w:space="0"/>
                    <w:right w:val="single" w:color="auto" w:sz="4" w:space="0"/>
                  </w:tcBorders>
                  <w:vAlign w:val="center"/>
                </w:tcPr>
                <w:p w14:paraId="401633B3">
                  <w:pPr>
                    <w:widowControl/>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color w:val="000000"/>
                      <w:kern w:val="0"/>
                      <w:szCs w:val="21"/>
                    </w:rPr>
                    <w:t>高频线阵探头</w:t>
                  </w:r>
                </w:p>
              </w:tc>
              <w:tc>
                <w:tcPr>
                  <w:tcW w:w="1327" w:type="dxa"/>
                  <w:tcBorders>
                    <w:top w:val="single" w:color="auto" w:sz="4" w:space="0"/>
                    <w:left w:val="single" w:color="auto" w:sz="4" w:space="0"/>
                    <w:bottom w:val="single" w:color="auto" w:sz="4" w:space="0"/>
                    <w:right w:val="single" w:color="auto" w:sz="4" w:space="0"/>
                  </w:tcBorders>
                  <w:vAlign w:val="center"/>
                </w:tcPr>
                <w:p w14:paraId="3CF4FCB4">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kern w:val="0"/>
                      <w:szCs w:val="21"/>
                    </w:rPr>
                    <w:t>1把</w:t>
                  </w:r>
                </w:p>
              </w:tc>
            </w:tr>
            <w:tr w14:paraId="4F85C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0667C7BE">
                  <w:pPr>
                    <w:numPr>
                      <w:ilvl w:val="0"/>
                      <w:numId w:val="3"/>
                    </w:numPr>
                    <w:jc w:val="center"/>
                    <w:rPr>
                      <w:rFonts w:asciiTheme="majorEastAsia" w:hAnsiTheme="majorEastAsia" w:eastAsiaTheme="majorEastAsia" w:cstheme="majorEastAsia"/>
                      <w:szCs w:val="21"/>
                    </w:rPr>
                  </w:pPr>
                </w:p>
              </w:tc>
              <w:tc>
                <w:tcPr>
                  <w:tcW w:w="4302" w:type="dxa"/>
                  <w:tcBorders>
                    <w:top w:val="single" w:color="auto" w:sz="4" w:space="0"/>
                    <w:left w:val="single" w:color="auto" w:sz="4" w:space="0"/>
                    <w:bottom w:val="single" w:color="auto" w:sz="4" w:space="0"/>
                    <w:right w:val="single" w:color="auto" w:sz="4" w:space="0"/>
                  </w:tcBorders>
                  <w:vAlign w:val="center"/>
                </w:tcPr>
                <w:p w14:paraId="12765CFE">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color w:val="000000"/>
                      <w:kern w:val="0"/>
                      <w:szCs w:val="21"/>
                    </w:rPr>
                    <w:t>腹部凸阵探头</w:t>
                  </w:r>
                </w:p>
              </w:tc>
              <w:tc>
                <w:tcPr>
                  <w:tcW w:w="1327" w:type="dxa"/>
                  <w:tcBorders>
                    <w:top w:val="single" w:color="auto" w:sz="4" w:space="0"/>
                    <w:left w:val="single" w:color="auto" w:sz="4" w:space="0"/>
                    <w:bottom w:val="single" w:color="auto" w:sz="4" w:space="0"/>
                    <w:right w:val="single" w:color="auto" w:sz="4" w:space="0"/>
                  </w:tcBorders>
                  <w:vAlign w:val="center"/>
                </w:tcPr>
                <w:p w14:paraId="3A71FFA7">
                  <w:pPr>
                    <w:jc w:val="center"/>
                    <w:rPr>
                      <w:rFonts w:asciiTheme="majorEastAsia" w:hAnsiTheme="majorEastAsia" w:eastAsiaTheme="majorEastAsia" w:cstheme="majorEastAsia"/>
                      <w:szCs w:val="21"/>
                      <w:lang w:eastAsia="en-US"/>
                    </w:rPr>
                  </w:pPr>
                  <w:r>
                    <w:rPr>
                      <w:rFonts w:hint="eastAsia" w:asciiTheme="majorEastAsia" w:hAnsiTheme="majorEastAsia" w:eastAsiaTheme="majorEastAsia" w:cstheme="majorEastAsia"/>
                      <w:kern w:val="0"/>
                      <w:szCs w:val="21"/>
                    </w:rPr>
                    <w:t>1把</w:t>
                  </w:r>
                </w:p>
              </w:tc>
            </w:tr>
            <w:tr w14:paraId="3655C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23185D71">
                  <w:pPr>
                    <w:numPr>
                      <w:ilvl w:val="0"/>
                      <w:numId w:val="3"/>
                    </w:numPr>
                    <w:jc w:val="center"/>
                    <w:rPr>
                      <w:rFonts w:asciiTheme="majorEastAsia" w:hAnsiTheme="majorEastAsia" w:eastAsiaTheme="majorEastAsia" w:cstheme="majorEastAsia"/>
                      <w:szCs w:val="21"/>
                    </w:rPr>
                  </w:pPr>
                </w:p>
              </w:tc>
              <w:tc>
                <w:tcPr>
                  <w:tcW w:w="4302" w:type="dxa"/>
                  <w:tcBorders>
                    <w:top w:val="single" w:color="auto" w:sz="4" w:space="0"/>
                    <w:left w:val="single" w:color="auto" w:sz="4" w:space="0"/>
                    <w:bottom w:val="single" w:color="auto" w:sz="4" w:space="0"/>
                    <w:right w:val="single" w:color="auto" w:sz="4" w:space="0"/>
                  </w:tcBorders>
                  <w:vAlign w:val="center"/>
                </w:tcPr>
                <w:p w14:paraId="5B7E744D">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color w:val="000000"/>
                      <w:kern w:val="0"/>
                      <w:szCs w:val="21"/>
                    </w:rPr>
                    <w:t>超声造影成像</w:t>
                  </w:r>
                </w:p>
              </w:tc>
              <w:tc>
                <w:tcPr>
                  <w:tcW w:w="1327" w:type="dxa"/>
                  <w:tcBorders>
                    <w:top w:val="single" w:color="auto" w:sz="4" w:space="0"/>
                    <w:left w:val="single" w:color="auto" w:sz="4" w:space="0"/>
                    <w:bottom w:val="single" w:color="auto" w:sz="4" w:space="0"/>
                    <w:right w:val="single" w:color="auto" w:sz="4" w:space="0"/>
                  </w:tcBorders>
                  <w:vAlign w:val="center"/>
                </w:tcPr>
                <w:p w14:paraId="6D6CFBEA">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1个</w:t>
                  </w:r>
                </w:p>
              </w:tc>
            </w:tr>
            <w:tr w14:paraId="35F99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3584D90F">
                  <w:pPr>
                    <w:numPr>
                      <w:ilvl w:val="0"/>
                      <w:numId w:val="3"/>
                    </w:numPr>
                    <w:jc w:val="center"/>
                    <w:rPr>
                      <w:rFonts w:asciiTheme="majorEastAsia" w:hAnsiTheme="majorEastAsia" w:eastAsiaTheme="majorEastAsia" w:cstheme="majorEastAsia"/>
                      <w:szCs w:val="21"/>
                    </w:rPr>
                  </w:pPr>
                </w:p>
              </w:tc>
              <w:tc>
                <w:tcPr>
                  <w:tcW w:w="4302" w:type="dxa"/>
                  <w:tcBorders>
                    <w:top w:val="single" w:color="auto" w:sz="4" w:space="0"/>
                    <w:left w:val="single" w:color="auto" w:sz="4" w:space="0"/>
                    <w:bottom w:val="single" w:color="auto" w:sz="4" w:space="0"/>
                    <w:right w:val="single" w:color="auto" w:sz="4" w:space="0"/>
                  </w:tcBorders>
                  <w:vAlign w:val="center"/>
                </w:tcPr>
                <w:p w14:paraId="5E1DE531">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自动心肌运动定量</w:t>
                  </w:r>
                </w:p>
              </w:tc>
              <w:tc>
                <w:tcPr>
                  <w:tcW w:w="1327" w:type="dxa"/>
                  <w:tcBorders>
                    <w:top w:val="single" w:color="auto" w:sz="4" w:space="0"/>
                    <w:left w:val="single" w:color="auto" w:sz="4" w:space="0"/>
                    <w:bottom w:val="single" w:color="auto" w:sz="4" w:space="0"/>
                    <w:right w:val="single" w:color="auto" w:sz="4" w:space="0"/>
                  </w:tcBorders>
                  <w:vAlign w:val="center"/>
                </w:tcPr>
                <w:p w14:paraId="165A6483">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1个</w:t>
                  </w:r>
                </w:p>
              </w:tc>
            </w:tr>
            <w:tr w14:paraId="1FC95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7EFF1C58">
                  <w:pPr>
                    <w:numPr>
                      <w:ilvl w:val="0"/>
                      <w:numId w:val="3"/>
                    </w:numPr>
                    <w:jc w:val="center"/>
                    <w:rPr>
                      <w:rFonts w:asciiTheme="majorEastAsia" w:hAnsiTheme="majorEastAsia" w:eastAsiaTheme="majorEastAsia" w:cstheme="majorEastAsia"/>
                      <w:szCs w:val="21"/>
                    </w:rPr>
                  </w:pPr>
                </w:p>
              </w:tc>
              <w:tc>
                <w:tcPr>
                  <w:tcW w:w="4302" w:type="dxa"/>
                  <w:tcBorders>
                    <w:top w:val="single" w:color="auto" w:sz="4" w:space="0"/>
                    <w:left w:val="single" w:color="auto" w:sz="4" w:space="0"/>
                    <w:bottom w:val="single" w:color="auto" w:sz="4" w:space="0"/>
                    <w:right w:val="single" w:color="auto" w:sz="4" w:space="0"/>
                  </w:tcBorders>
                  <w:vAlign w:val="center"/>
                </w:tcPr>
                <w:p w14:paraId="092E1449">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感兴趣区定量</w:t>
                  </w:r>
                </w:p>
              </w:tc>
              <w:tc>
                <w:tcPr>
                  <w:tcW w:w="1327" w:type="dxa"/>
                  <w:tcBorders>
                    <w:top w:val="single" w:color="auto" w:sz="4" w:space="0"/>
                    <w:left w:val="single" w:color="auto" w:sz="4" w:space="0"/>
                    <w:bottom w:val="single" w:color="auto" w:sz="4" w:space="0"/>
                    <w:right w:val="single" w:color="auto" w:sz="4" w:space="0"/>
                  </w:tcBorders>
                  <w:vAlign w:val="center"/>
                </w:tcPr>
                <w:p w14:paraId="78DAF6AF">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1个</w:t>
                  </w:r>
                </w:p>
              </w:tc>
            </w:tr>
            <w:tr w14:paraId="11C12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544043EE">
                  <w:pPr>
                    <w:numPr>
                      <w:ilvl w:val="0"/>
                      <w:numId w:val="3"/>
                    </w:numPr>
                    <w:jc w:val="center"/>
                    <w:rPr>
                      <w:rFonts w:asciiTheme="majorEastAsia" w:hAnsiTheme="majorEastAsia" w:eastAsiaTheme="majorEastAsia" w:cstheme="majorEastAsia"/>
                      <w:szCs w:val="21"/>
                    </w:rPr>
                  </w:pPr>
                </w:p>
              </w:tc>
              <w:tc>
                <w:tcPr>
                  <w:tcW w:w="4302" w:type="dxa"/>
                  <w:tcBorders>
                    <w:top w:val="single" w:color="auto" w:sz="4" w:space="0"/>
                    <w:left w:val="single" w:color="auto" w:sz="4" w:space="0"/>
                    <w:bottom w:val="single" w:color="auto" w:sz="4" w:space="0"/>
                    <w:right w:val="single" w:color="auto" w:sz="4" w:space="0"/>
                  </w:tcBorders>
                  <w:vAlign w:val="center"/>
                </w:tcPr>
                <w:p w14:paraId="52DF656E">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心肌应变定量</w:t>
                  </w:r>
                </w:p>
              </w:tc>
              <w:tc>
                <w:tcPr>
                  <w:tcW w:w="1327" w:type="dxa"/>
                  <w:tcBorders>
                    <w:top w:val="single" w:color="auto" w:sz="4" w:space="0"/>
                    <w:left w:val="single" w:color="auto" w:sz="4" w:space="0"/>
                    <w:bottom w:val="single" w:color="auto" w:sz="4" w:space="0"/>
                    <w:right w:val="single" w:color="auto" w:sz="4" w:space="0"/>
                  </w:tcBorders>
                  <w:vAlign w:val="center"/>
                </w:tcPr>
                <w:p w14:paraId="6AB93E37">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1个</w:t>
                  </w:r>
                </w:p>
              </w:tc>
            </w:tr>
            <w:tr w14:paraId="628D0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3AF509D4">
                  <w:pPr>
                    <w:numPr>
                      <w:ilvl w:val="0"/>
                      <w:numId w:val="3"/>
                    </w:numPr>
                    <w:jc w:val="center"/>
                    <w:rPr>
                      <w:rFonts w:asciiTheme="majorEastAsia" w:hAnsiTheme="majorEastAsia" w:eastAsiaTheme="majorEastAsia" w:cstheme="majorEastAsia"/>
                      <w:szCs w:val="21"/>
                    </w:rPr>
                  </w:pPr>
                </w:p>
              </w:tc>
              <w:tc>
                <w:tcPr>
                  <w:tcW w:w="4302" w:type="dxa"/>
                  <w:tcBorders>
                    <w:top w:val="single" w:color="auto" w:sz="4" w:space="0"/>
                    <w:left w:val="single" w:color="auto" w:sz="4" w:space="0"/>
                    <w:bottom w:val="single" w:color="auto" w:sz="4" w:space="0"/>
                    <w:right w:val="single" w:color="auto" w:sz="4" w:space="0"/>
                  </w:tcBorders>
                  <w:vAlign w:val="center"/>
                </w:tcPr>
                <w:p w14:paraId="6B5CAD6A">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血管中内膜厚度自动测量</w:t>
                  </w:r>
                </w:p>
              </w:tc>
              <w:tc>
                <w:tcPr>
                  <w:tcW w:w="1327" w:type="dxa"/>
                  <w:tcBorders>
                    <w:top w:val="single" w:color="auto" w:sz="4" w:space="0"/>
                    <w:left w:val="single" w:color="auto" w:sz="4" w:space="0"/>
                    <w:bottom w:val="single" w:color="auto" w:sz="4" w:space="0"/>
                    <w:right w:val="single" w:color="auto" w:sz="4" w:space="0"/>
                  </w:tcBorders>
                  <w:vAlign w:val="center"/>
                </w:tcPr>
                <w:p w14:paraId="1AA7FF02">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1个</w:t>
                  </w:r>
                </w:p>
              </w:tc>
            </w:tr>
            <w:tr w14:paraId="67E9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21C2F7C3">
                  <w:pPr>
                    <w:numPr>
                      <w:ilvl w:val="0"/>
                      <w:numId w:val="3"/>
                    </w:numPr>
                    <w:jc w:val="center"/>
                    <w:rPr>
                      <w:rFonts w:asciiTheme="majorEastAsia" w:hAnsiTheme="majorEastAsia" w:eastAsiaTheme="majorEastAsia" w:cstheme="majorEastAsia"/>
                      <w:szCs w:val="21"/>
                    </w:rPr>
                  </w:pPr>
                </w:p>
              </w:tc>
              <w:tc>
                <w:tcPr>
                  <w:tcW w:w="4302" w:type="dxa"/>
                  <w:tcBorders>
                    <w:top w:val="single" w:color="auto" w:sz="4" w:space="0"/>
                    <w:left w:val="single" w:color="auto" w:sz="4" w:space="0"/>
                    <w:bottom w:val="single" w:color="auto" w:sz="4" w:space="0"/>
                    <w:right w:val="single" w:color="auto" w:sz="4" w:space="0"/>
                  </w:tcBorders>
                  <w:vAlign w:val="center"/>
                </w:tcPr>
                <w:p w14:paraId="07A69D12">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color w:val="000000"/>
                      <w:kern w:val="0"/>
                      <w:szCs w:val="21"/>
                    </w:rPr>
                    <w:t>负荷超声成像</w:t>
                  </w:r>
                </w:p>
              </w:tc>
              <w:tc>
                <w:tcPr>
                  <w:tcW w:w="1327" w:type="dxa"/>
                  <w:tcBorders>
                    <w:top w:val="single" w:color="auto" w:sz="4" w:space="0"/>
                    <w:left w:val="single" w:color="auto" w:sz="4" w:space="0"/>
                    <w:bottom w:val="single" w:color="auto" w:sz="4" w:space="0"/>
                    <w:right w:val="single" w:color="auto" w:sz="4" w:space="0"/>
                  </w:tcBorders>
                  <w:vAlign w:val="center"/>
                </w:tcPr>
                <w:p w14:paraId="6EFF64B7">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1个</w:t>
                  </w:r>
                </w:p>
              </w:tc>
            </w:tr>
            <w:tr w14:paraId="33496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076B77C2">
                  <w:pPr>
                    <w:numPr>
                      <w:ilvl w:val="0"/>
                      <w:numId w:val="3"/>
                    </w:numPr>
                    <w:jc w:val="center"/>
                    <w:rPr>
                      <w:rFonts w:asciiTheme="majorEastAsia" w:hAnsiTheme="majorEastAsia" w:eastAsiaTheme="majorEastAsia" w:cstheme="majorEastAsia"/>
                      <w:szCs w:val="21"/>
                    </w:rPr>
                  </w:pPr>
                </w:p>
              </w:tc>
              <w:tc>
                <w:tcPr>
                  <w:tcW w:w="4302" w:type="dxa"/>
                  <w:tcBorders>
                    <w:top w:val="single" w:color="auto" w:sz="4" w:space="0"/>
                    <w:left w:val="single" w:color="auto" w:sz="4" w:space="0"/>
                    <w:bottom w:val="single" w:color="auto" w:sz="4" w:space="0"/>
                    <w:right w:val="single" w:color="auto" w:sz="4" w:space="0"/>
                  </w:tcBorders>
                  <w:vAlign w:val="center"/>
                </w:tcPr>
                <w:p w14:paraId="746D78FF">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color w:val="000000"/>
                      <w:kern w:val="0"/>
                      <w:szCs w:val="21"/>
                    </w:rPr>
                    <w:t>心脏实时三维成像</w:t>
                  </w:r>
                </w:p>
              </w:tc>
              <w:tc>
                <w:tcPr>
                  <w:tcW w:w="1327" w:type="dxa"/>
                  <w:tcBorders>
                    <w:top w:val="single" w:color="auto" w:sz="4" w:space="0"/>
                    <w:left w:val="single" w:color="auto" w:sz="4" w:space="0"/>
                    <w:bottom w:val="single" w:color="auto" w:sz="4" w:space="0"/>
                    <w:right w:val="single" w:color="auto" w:sz="4" w:space="0"/>
                  </w:tcBorders>
                  <w:vAlign w:val="center"/>
                </w:tcPr>
                <w:p w14:paraId="1B92F33F">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1个</w:t>
                  </w:r>
                </w:p>
              </w:tc>
            </w:tr>
            <w:tr w14:paraId="243BC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6F0B66AF">
                  <w:pPr>
                    <w:numPr>
                      <w:ilvl w:val="0"/>
                      <w:numId w:val="3"/>
                    </w:numPr>
                    <w:jc w:val="center"/>
                    <w:rPr>
                      <w:rFonts w:asciiTheme="majorEastAsia" w:hAnsiTheme="majorEastAsia" w:eastAsiaTheme="majorEastAsia" w:cstheme="majorEastAsia"/>
                      <w:szCs w:val="21"/>
                    </w:rPr>
                  </w:pPr>
                </w:p>
              </w:tc>
              <w:tc>
                <w:tcPr>
                  <w:tcW w:w="4302" w:type="dxa"/>
                  <w:tcBorders>
                    <w:top w:val="single" w:color="auto" w:sz="4" w:space="0"/>
                    <w:left w:val="single" w:color="auto" w:sz="4" w:space="0"/>
                    <w:bottom w:val="single" w:color="auto" w:sz="4" w:space="0"/>
                    <w:right w:val="single" w:color="auto" w:sz="4" w:space="0"/>
                  </w:tcBorders>
                  <w:vAlign w:val="center"/>
                </w:tcPr>
                <w:p w14:paraId="43606781">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szCs w:val="21"/>
                    </w:rPr>
                    <w:t>二维灰阶成像</w:t>
                  </w:r>
                </w:p>
              </w:tc>
              <w:tc>
                <w:tcPr>
                  <w:tcW w:w="1327" w:type="dxa"/>
                  <w:tcBorders>
                    <w:top w:val="single" w:color="auto" w:sz="4" w:space="0"/>
                    <w:left w:val="single" w:color="auto" w:sz="4" w:space="0"/>
                    <w:bottom w:val="single" w:color="auto" w:sz="4" w:space="0"/>
                    <w:right w:val="single" w:color="auto" w:sz="4" w:space="0"/>
                  </w:tcBorders>
                  <w:vAlign w:val="center"/>
                </w:tcPr>
                <w:p w14:paraId="6ACA23FF">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1个</w:t>
                  </w:r>
                </w:p>
              </w:tc>
            </w:tr>
            <w:tr w14:paraId="357EB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76D58A17">
                  <w:pPr>
                    <w:numPr>
                      <w:ilvl w:val="0"/>
                      <w:numId w:val="3"/>
                    </w:numPr>
                    <w:jc w:val="center"/>
                    <w:rPr>
                      <w:rFonts w:asciiTheme="majorEastAsia" w:hAnsiTheme="majorEastAsia" w:eastAsiaTheme="majorEastAsia" w:cstheme="majorEastAsia"/>
                      <w:szCs w:val="21"/>
                    </w:rPr>
                  </w:pPr>
                </w:p>
              </w:tc>
              <w:tc>
                <w:tcPr>
                  <w:tcW w:w="4302" w:type="dxa"/>
                  <w:tcBorders>
                    <w:top w:val="single" w:color="auto" w:sz="4" w:space="0"/>
                    <w:left w:val="single" w:color="auto" w:sz="4" w:space="0"/>
                    <w:bottom w:val="single" w:color="auto" w:sz="4" w:space="0"/>
                    <w:right w:val="single" w:color="auto" w:sz="4" w:space="0"/>
                  </w:tcBorders>
                  <w:vAlign w:val="center"/>
                </w:tcPr>
                <w:p w14:paraId="42BF1D43">
                  <w:pPr>
                    <w:jc w:val="center"/>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自动化二维心功能定量技术</w:t>
                  </w:r>
                </w:p>
              </w:tc>
              <w:tc>
                <w:tcPr>
                  <w:tcW w:w="1327" w:type="dxa"/>
                  <w:tcBorders>
                    <w:top w:val="single" w:color="auto" w:sz="4" w:space="0"/>
                    <w:left w:val="single" w:color="auto" w:sz="4" w:space="0"/>
                    <w:bottom w:val="single" w:color="auto" w:sz="4" w:space="0"/>
                    <w:right w:val="single" w:color="auto" w:sz="4" w:space="0"/>
                  </w:tcBorders>
                  <w:vAlign w:val="center"/>
                </w:tcPr>
                <w:p w14:paraId="2E98D060">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1个</w:t>
                  </w:r>
                </w:p>
              </w:tc>
            </w:tr>
            <w:tr w14:paraId="5DFDF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0E614326">
                  <w:pPr>
                    <w:numPr>
                      <w:ilvl w:val="0"/>
                      <w:numId w:val="3"/>
                    </w:numPr>
                    <w:jc w:val="center"/>
                    <w:rPr>
                      <w:rFonts w:asciiTheme="majorEastAsia" w:hAnsiTheme="majorEastAsia" w:eastAsiaTheme="majorEastAsia" w:cstheme="majorEastAsia"/>
                      <w:szCs w:val="21"/>
                    </w:rPr>
                  </w:pPr>
                </w:p>
              </w:tc>
              <w:tc>
                <w:tcPr>
                  <w:tcW w:w="4302" w:type="dxa"/>
                  <w:tcBorders>
                    <w:top w:val="single" w:color="auto" w:sz="4" w:space="0"/>
                    <w:left w:val="single" w:color="auto" w:sz="4" w:space="0"/>
                    <w:bottom w:val="single" w:color="auto" w:sz="4" w:space="0"/>
                    <w:right w:val="single" w:color="auto" w:sz="4" w:space="0"/>
                  </w:tcBorders>
                  <w:vAlign w:val="center"/>
                </w:tcPr>
                <w:p w14:paraId="4D5C698B">
                  <w:pPr>
                    <w:jc w:val="center"/>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心脏自动应变定量</w:t>
                  </w:r>
                </w:p>
              </w:tc>
              <w:tc>
                <w:tcPr>
                  <w:tcW w:w="1327" w:type="dxa"/>
                  <w:tcBorders>
                    <w:top w:val="single" w:color="auto" w:sz="4" w:space="0"/>
                    <w:left w:val="single" w:color="auto" w:sz="4" w:space="0"/>
                    <w:bottom w:val="single" w:color="auto" w:sz="4" w:space="0"/>
                    <w:right w:val="single" w:color="auto" w:sz="4" w:space="0"/>
                  </w:tcBorders>
                  <w:vAlign w:val="center"/>
                </w:tcPr>
                <w:p w14:paraId="1CD67001">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1个</w:t>
                  </w:r>
                </w:p>
              </w:tc>
            </w:tr>
            <w:tr w14:paraId="114CB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2AAE769B">
                  <w:pPr>
                    <w:numPr>
                      <w:ilvl w:val="0"/>
                      <w:numId w:val="3"/>
                    </w:numPr>
                    <w:jc w:val="center"/>
                    <w:rPr>
                      <w:rFonts w:asciiTheme="majorEastAsia" w:hAnsiTheme="majorEastAsia" w:eastAsiaTheme="majorEastAsia" w:cstheme="majorEastAsia"/>
                      <w:szCs w:val="21"/>
                    </w:rPr>
                  </w:pPr>
                </w:p>
              </w:tc>
              <w:tc>
                <w:tcPr>
                  <w:tcW w:w="4302" w:type="dxa"/>
                  <w:tcBorders>
                    <w:top w:val="single" w:color="auto" w:sz="4" w:space="0"/>
                    <w:left w:val="single" w:color="auto" w:sz="4" w:space="0"/>
                    <w:bottom w:val="single" w:color="auto" w:sz="4" w:space="0"/>
                    <w:right w:val="single" w:color="auto" w:sz="4" w:space="0"/>
                  </w:tcBorders>
                  <w:vAlign w:val="center"/>
                </w:tcPr>
                <w:p w14:paraId="31CE6E7F">
                  <w:pPr>
                    <w:jc w:val="center"/>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负荷心肌运动定量</w:t>
                  </w:r>
                </w:p>
              </w:tc>
              <w:tc>
                <w:tcPr>
                  <w:tcW w:w="1327" w:type="dxa"/>
                  <w:tcBorders>
                    <w:top w:val="single" w:color="auto" w:sz="4" w:space="0"/>
                    <w:left w:val="single" w:color="auto" w:sz="4" w:space="0"/>
                    <w:bottom w:val="single" w:color="auto" w:sz="4" w:space="0"/>
                    <w:right w:val="single" w:color="auto" w:sz="4" w:space="0"/>
                  </w:tcBorders>
                  <w:vAlign w:val="center"/>
                </w:tcPr>
                <w:p w14:paraId="0CCB512A">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1个</w:t>
                  </w:r>
                </w:p>
              </w:tc>
            </w:tr>
            <w:tr w14:paraId="0F51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60B94210">
                  <w:pPr>
                    <w:numPr>
                      <w:ilvl w:val="0"/>
                      <w:numId w:val="3"/>
                    </w:numPr>
                    <w:jc w:val="center"/>
                    <w:rPr>
                      <w:rFonts w:asciiTheme="majorEastAsia" w:hAnsiTheme="majorEastAsia" w:eastAsiaTheme="majorEastAsia" w:cstheme="majorEastAsia"/>
                      <w:szCs w:val="21"/>
                    </w:rPr>
                  </w:pPr>
                </w:p>
              </w:tc>
              <w:tc>
                <w:tcPr>
                  <w:tcW w:w="4302" w:type="dxa"/>
                  <w:tcBorders>
                    <w:top w:val="single" w:color="auto" w:sz="4" w:space="0"/>
                    <w:left w:val="single" w:color="auto" w:sz="4" w:space="0"/>
                    <w:bottom w:val="single" w:color="auto" w:sz="4" w:space="0"/>
                    <w:right w:val="single" w:color="auto" w:sz="4" w:space="0"/>
                  </w:tcBorders>
                  <w:vAlign w:val="center"/>
                </w:tcPr>
                <w:p w14:paraId="1246FE6F">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color w:val="000000"/>
                      <w:kern w:val="0"/>
                      <w:szCs w:val="21"/>
                    </w:rPr>
                    <w:t>三维心功能定量</w:t>
                  </w:r>
                </w:p>
              </w:tc>
              <w:tc>
                <w:tcPr>
                  <w:tcW w:w="1327" w:type="dxa"/>
                  <w:tcBorders>
                    <w:top w:val="single" w:color="auto" w:sz="4" w:space="0"/>
                    <w:left w:val="single" w:color="auto" w:sz="4" w:space="0"/>
                    <w:bottom w:val="single" w:color="auto" w:sz="4" w:space="0"/>
                    <w:right w:val="single" w:color="auto" w:sz="4" w:space="0"/>
                  </w:tcBorders>
                  <w:vAlign w:val="center"/>
                </w:tcPr>
                <w:p w14:paraId="509A7B52">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1个</w:t>
                  </w:r>
                </w:p>
              </w:tc>
            </w:tr>
            <w:tr w14:paraId="647AB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32F7B9CB">
                  <w:pPr>
                    <w:numPr>
                      <w:ilvl w:val="0"/>
                      <w:numId w:val="3"/>
                    </w:numPr>
                    <w:jc w:val="center"/>
                    <w:rPr>
                      <w:rFonts w:asciiTheme="majorEastAsia" w:hAnsiTheme="majorEastAsia" w:eastAsiaTheme="majorEastAsia" w:cstheme="majorEastAsia"/>
                      <w:szCs w:val="21"/>
                    </w:rPr>
                  </w:pPr>
                </w:p>
              </w:tc>
              <w:tc>
                <w:tcPr>
                  <w:tcW w:w="4302" w:type="dxa"/>
                  <w:tcBorders>
                    <w:top w:val="single" w:color="auto" w:sz="4" w:space="0"/>
                    <w:left w:val="single" w:color="auto" w:sz="4" w:space="0"/>
                    <w:bottom w:val="single" w:color="auto" w:sz="4" w:space="0"/>
                    <w:right w:val="single" w:color="auto" w:sz="4" w:space="0"/>
                  </w:tcBorders>
                  <w:vAlign w:val="center"/>
                </w:tcPr>
                <w:p w14:paraId="3BA0B5C5">
                  <w:pPr>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color w:val="000000"/>
                      <w:kern w:val="0"/>
                      <w:szCs w:val="21"/>
                    </w:rPr>
                    <w:t>心腔镜成像</w:t>
                  </w:r>
                </w:p>
              </w:tc>
              <w:tc>
                <w:tcPr>
                  <w:tcW w:w="1327" w:type="dxa"/>
                  <w:tcBorders>
                    <w:top w:val="single" w:color="auto" w:sz="4" w:space="0"/>
                    <w:left w:val="single" w:color="auto" w:sz="4" w:space="0"/>
                    <w:bottom w:val="single" w:color="auto" w:sz="4" w:space="0"/>
                    <w:right w:val="single" w:color="auto" w:sz="4" w:space="0"/>
                  </w:tcBorders>
                  <w:vAlign w:val="center"/>
                </w:tcPr>
                <w:p w14:paraId="103ED4BD">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1个</w:t>
                  </w:r>
                </w:p>
              </w:tc>
            </w:tr>
            <w:tr w14:paraId="4E5C1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48A24A13">
                  <w:pPr>
                    <w:numPr>
                      <w:ilvl w:val="0"/>
                      <w:numId w:val="3"/>
                    </w:numPr>
                    <w:jc w:val="center"/>
                    <w:rPr>
                      <w:rFonts w:asciiTheme="majorEastAsia" w:hAnsiTheme="majorEastAsia" w:eastAsiaTheme="majorEastAsia" w:cstheme="majorEastAsia"/>
                      <w:szCs w:val="21"/>
                    </w:rPr>
                  </w:pPr>
                </w:p>
              </w:tc>
              <w:tc>
                <w:tcPr>
                  <w:tcW w:w="4302" w:type="dxa"/>
                  <w:tcBorders>
                    <w:top w:val="single" w:color="auto" w:sz="4" w:space="0"/>
                    <w:left w:val="single" w:color="auto" w:sz="4" w:space="0"/>
                    <w:bottom w:val="single" w:color="auto" w:sz="4" w:space="0"/>
                    <w:right w:val="single" w:color="auto" w:sz="4" w:space="0"/>
                  </w:tcBorders>
                  <w:vAlign w:val="center"/>
                </w:tcPr>
                <w:p w14:paraId="1B304750">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color w:val="000000"/>
                      <w:kern w:val="0"/>
                      <w:szCs w:val="21"/>
                    </w:rPr>
                    <w:t>深度光源成像</w:t>
                  </w:r>
                </w:p>
              </w:tc>
              <w:tc>
                <w:tcPr>
                  <w:tcW w:w="1327" w:type="dxa"/>
                  <w:tcBorders>
                    <w:top w:val="single" w:color="auto" w:sz="4" w:space="0"/>
                    <w:left w:val="single" w:color="auto" w:sz="4" w:space="0"/>
                    <w:bottom w:val="single" w:color="auto" w:sz="4" w:space="0"/>
                    <w:right w:val="single" w:color="auto" w:sz="4" w:space="0"/>
                  </w:tcBorders>
                  <w:vAlign w:val="center"/>
                </w:tcPr>
                <w:p w14:paraId="3B37105D">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1个</w:t>
                  </w:r>
                </w:p>
              </w:tc>
            </w:tr>
            <w:tr w14:paraId="1201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08FE3F63">
                  <w:pPr>
                    <w:numPr>
                      <w:ilvl w:val="0"/>
                      <w:numId w:val="3"/>
                    </w:numPr>
                    <w:jc w:val="center"/>
                    <w:rPr>
                      <w:rFonts w:asciiTheme="majorEastAsia" w:hAnsiTheme="majorEastAsia" w:eastAsiaTheme="majorEastAsia" w:cstheme="majorEastAsia"/>
                      <w:szCs w:val="21"/>
                    </w:rPr>
                  </w:pPr>
                </w:p>
              </w:tc>
              <w:tc>
                <w:tcPr>
                  <w:tcW w:w="4302" w:type="dxa"/>
                  <w:tcBorders>
                    <w:top w:val="single" w:color="auto" w:sz="4" w:space="0"/>
                    <w:left w:val="single" w:color="auto" w:sz="4" w:space="0"/>
                    <w:bottom w:val="single" w:color="auto" w:sz="4" w:space="0"/>
                    <w:right w:val="single" w:color="auto" w:sz="4" w:space="0"/>
                  </w:tcBorders>
                  <w:vAlign w:val="center"/>
                </w:tcPr>
                <w:p w14:paraId="2A9F9667">
                  <w:pPr>
                    <w:jc w:val="center"/>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心脏彩色三维透视成像</w:t>
                  </w:r>
                </w:p>
              </w:tc>
              <w:tc>
                <w:tcPr>
                  <w:tcW w:w="1327" w:type="dxa"/>
                  <w:tcBorders>
                    <w:top w:val="single" w:color="auto" w:sz="4" w:space="0"/>
                    <w:left w:val="single" w:color="auto" w:sz="4" w:space="0"/>
                    <w:bottom w:val="single" w:color="auto" w:sz="4" w:space="0"/>
                    <w:right w:val="single" w:color="auto" w:sz="4" w:space="0"/>
                  </w:tcBorders>
                  <w:vAlign w:val="center"/>
                </w:tcPr>
                <w:p w14:paraId="2D439AC9">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1个</w:t>
                  </w:r>
                </w:p>
              </w:tc>
            </w:tr>
            <w:tr w14:paraId="4FDAB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3E35CD37">
                  <w:pPr>
                    <w:numPr>
                      <w:ilvl w:val="0"/>
                      <w:numId w:val="3"/>
                    </w:numPr>
                    <w:jc w:val="center"/>
                    <w:rPr>
                      <w:rFonts w:asciiTheme="majorEastAsia" w:hAnsiTheme="majorEastAsia" w:eastAsiaTheme="majorEastAsia" w:cstheme="majorEastAsia"/>
                      <w:szCs w:val="21"/>
                    </w:rPr>
                  </w:pPr>
                </w:p>
              </w:tc>
              <w:tc>
                <w:tcPr>
                  <w:tcW w:w="4302" w:type="dxa"/>
                  <w:tcBorders>
                    <w:top w:val="single" w:color="auto" w:sz="4" w:space="0"/>
                    <w:left w:val="single" w:color="auto" w:sz="4" w:space="0"/>
                    <w:bottom w:val="single" w:color="auto" w:sz="4" w:space="0"/>
                    <w:right w:val="single" w:color="auto" w:sz="4" w:space="0"/>
                  </w:tcBorders>
                  <w:vAlign w:val="center"/>
                </w:tcPr>
                <w:p w14:paraId="18A18265">
                  <w:pPr>
                    <w:jc w:val="center"/>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心脏灰阶三维透视成像</w:t>
                  </w:r>
                </w:p>
              </w:tc>
              <w:tc>
                <w:tcPr>
                  <w:tcW w:w="1327" w:type="dxa"/>
                  <w:tcBorders>
                    <w:top w:val="single" w:color="auto" w:sz="4" w:space="0"/>
                    <w:left w:val="single" w:color="auto" w:sz="4" w:space="0"/>
                    <w:bottom w:val="single" w:color="auto" w:sz="4" w:space="0"/>
                    <w:right w:val="single" w:color="auto" w:sz="4" w:space="0"/>
                  </w:tcBorders>
                  <w:vAlign w:val="center"/>
                </w:tcPr>
                <w:p w14:paraId="3A299CCC">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1个</w:t>
                  </w:r>
                </w:p>
              </w:tc>
            </w:tr>
            <w:tr w14:paraId="306A7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04DC5BA8">
                  <w:pPr>
                    <w:numPr>
                      <w:ilvl w:val="0"/>
                      <w:numId w:val="3"/>
                    </w:numPr>
                    <w:jc w:val="center"/>
                    <w:rPr>
                      <w:rFonts w:asciiTheme="majorEastAsia" w:hAnsiTheme="majorEastAsia" w:eastAsiaTheme="majorEastAsia" w:cstheme="majorEastAsia"/>
                      <w:szCs w:val="21"/>
                    </w:rPr>
                  </w:pPr>
                </w:p>
              </w:tc>
              <w:tc>
                <w:tcPr>
                  <w:tcW w:w="4302" w:type="dxa"/>
                  <w:tcBorders>
                    <w:top w:val="single" w:color="auto" w:sz="4" w:space="0"/>
                    <w:left w:val="single" w:color="auto" w:sz="4" w:space="0"/>
                    <w:bottom w:val="single" w:color="auto" w:sz="4" w:space="0"/>
                    <w:right w:val="single" w:color="auto" w:sz="4" w:space="0"/>
                  </w:tcBorders>
                  <w:vAlign w:val="center"/>
                </w:tcPr>
                <w:p w14:paraId="5661E09E">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彩色血流成像</w:t>
                  </w:r>
                </w:p>
              </w:tc>
              <w:tc>
                <w:tcPr>
                  <w:tcW w:w="1327" w:type="dxa"/>
                  <w:tcBorders>
                    <w:top w:val="single" w:color="auto" w:sz="4" w:space="0"/>
                    <w:left w:val="single" w:color="auto" w:sz="4" w:space="0"/>
                    <w:bottom w:val="single" w:color="auto" w:sz="4" w:space="0"/>
                    <w:right w:val="single" w:color="auto" w:sz="4" w:space="0"/>
                  </w:tcBorders>
                  <w:vAlign w:val="center"/>
                </w:tcPr>
                <w:p w14:paraId="2F6C245D">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1个</w:t>
                  </w:r>
                </w:p>
              </w:tc>
            </w:tr>
            <w:tr w14:paraId="41670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7926006D">
                  <w:pPr>
                    <w:numPr>
                      <w:ilvl w:val="0"/>
                      <w:numId w:val="3"/>
                    </w:numPr>
                    <w:jc w:val="center"/>
                    <w:rPr>
                      <w:rFonts w:asciiTheme="majorEastAsia" w:hAnsiTheme="majorEastAsia" w:eastAsiaTheme="majorEastAsia" w:cstheme="majorEastAsia"/>
                      <w:szCs w:val="21"/>
                    </w:rPr>
                  </w:pPr>
                </w:p>
              </w:tc>
              <w:tc>
                <w:tcPr>
                  <w:tcW w:w="4302" w:type="dxa"/>
                  <w:tcBorders>
                    <w:top w:val="single" w:color="auto" w:sz="4" w:space="0"/>
                    <w:left w:val="single" w:color="auto" w:sz="4" w:space="0"/>
                    <w:bottom w:val="single" w:color="auto" w:sz="4" w:space="0"/>
                    <w:right w:val="single" w:color="auto" w:sz="4" w:space="0"/>
                  </w:tcBorders>
                  <w:vAlign w:val="center"/>
                </w:tcPr>
                <w:p w14:paraId="13064293">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组织多普勒成像</w:t>
                  </w:r>
                </w:p>
              </w:tc>
              <w:tc>
                <w:tcPr>
                  <w:tcW w:w="1327" w:type="dxa"/>
                  <w:tcBorders>
                    <w:top w:val="single" w:color="auto" w:sz="4" w:space="0"/>
                    <w:left w:val="single" w:color="auto" w:sz="4" w:space="0"/>
                    <w:bottom w:val="single" w:color="auto" w:sz="4" w:space="0"/>
                    <w:right w:val="single" w:color="auto" w:sz="4" w:space="0"/>
                  </w:tcBorders>
                  <w:vAlign w:val="center"/>
                </w:tcPr>
                <w:p w14:paraId="3E664D9D">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1个</w:t>
                  </w:r>
                </w:p>
              </w:tc>
            </w:tr>
            <w:tr w14:paraId="2FE5B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1FBDD259">
                  <w:pPr>
                    <w:numPr>
                      <w:ilvl w:val="0"/>
                      <w:numId w:val="3"/>
                    </w:numPr>
                    <w:jc w:val="center"/>
                    <w:rPr>
                      <w:rFonts w:asciiTheme="majorEastAsia" w:hAnsiTheme="majorEastAsia" w:eastAsiaTheme="majorEastAsia" w:cstheme="majorEastAsia"/>
                      <w:szCs w:val="21"/>
                    </w:rPr>
                  </w:pPr>
                </w:p>
              </w:tc>
              <w:tc>
                <w:tcPr>
                  <w:tcW w:w="4302" w:type="dxa"/>
                  <w:tcBorders>
                    <w:top w:val="single" w:color="auto" w:sz="4" w:space="0"/>
                    <w:left w:val="single" w:color="auto" w:sz="4" w:space="0"/>
                    <w:bottom w:val="single" w:color="auto" w:sz="4" w:space="0"/>
                    <w:right w:val="single" w:color="auto" w:sz="4" w:space="0"/>
                  </w:tcBorders>
                  <w:vAlign w:val="center"/>
                </w:tcPr>
                <w:p w14:paraId="673D3DCB">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szCs w:val="21"/>
                    </w:rPr>
                    <w:t>二次谐波成像</w:t>
                  </w:r>
                </w:p>
              </w:tc>
              <w:tc>
                <w:tcPr>
                  <w:tcW w:w="1327" w:type="dxa"/>
                  <w:tcBorders>
                    <w:top w:val="single" w:color="auto" w:sz="4" w:space="0"/>
                    <w:left w:val="single" w:color="auto" w:sz="4" w:space="0"/>
                    <w:bottom w:val="single" w:color="auto" w:sz="4" w:space="0"/>
                    <w:right w:val="single" w:color="auto" w:sz="4" w:space="0"/>
                  </w:tcBorders>
                  <w:vAlign w:val="center"/>
                </w:tcPr>
                <w:p w14:paraId="440919B0">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1个</w:t>
                  </w:r>
                </w:p>
              </w:tc>
            </w:tr>
            <w:tr w14:paraId="7151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7D53C845">
                  <w:pPr>
                    <w:numPr>
                      <w:ilvl w:val="0"/>
                      <w:numId w:val="3"/>
                    </w:numPr>
                    <w:jc w:val="center"/>
                    <w:rPr>
                      <w:rFonts w:asciiTheme="majorEastAsia" w:hAnsiTheme="majorEastAsia" w:eastAsiaTheme="majorEastAsia" w:cstheme="majorEastAsia"/>
                      <w:szCs w:val="21"/>
                    </w:rPr>
                  </w:pPr>
                </w:p>
              </w:tc>
              <w:tc>
                <w:tcPr>
                  <w:tcW w:w="4302" w:type="dxa"/>
                  <w:tcBorders>
                    <w:top w:val="single" w:color="auto" w:sz="4" w:space="0"/>
                    <w:left w:val="single" w:color="auto" w:sz="4" w:space="0"/>
                    <w:bottom w:val="single" w:color="auto" w:sz="4" w:space="0"/>
                    <w:right w:val="single" w:color="auto" w:sz="4" w:space="0"/>
                  </w:tcBorders>
                  <w:vAlign w:val="center"/>
                </w:tcPr>
                <w:p w14:paraId="38C0C7A6">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操作手册</w:t>
                  </w:r>
                </w:p>
              </w:tc>
              <w:tc>
                <w:tcPr>
                  <w:tcW w:w="1327" w:type="dxa"/>
                  <w:tcBorders>
                    <w:top w:val="single" w:color="auto" w:sz="4" w:space="0"/>
                    <w:left w:val="single" w:color="auto" w:sz="4" w:space="0"/>
                    <w:bottom w:val="single" w:color="auto" w:sz="4" w:space="0"/>
                    <w:right w:val="single" w:color="auto" w:sz="4" w:space="0"/>
                  </w:tcBorders>
                  <w:vAlign w:val="center"/>
                </w:tcPr>
                <w:p w14:paraId="78AF4F5E">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1本</w:t>
                  </w:r>
                </w:p>
              </w:tc>
            </w:tr>
            <w:tr w14:paraId="20A9F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0CF2DF56">
                  <w:pPr>
                    <w:numPr>
                      <w:ilvl w:val="0"/>
                      <w:numId w:val="3"/>
                    </w:numPr>
                    <w:jc w:val="center"/>
                    <w:rPr>
                      <w:rFonts w:asciiTheme="majorEastAsia" w:hAnsiTheme="majorEastAsia" w:eastAsiaTheme="majorEastAsia" w:cstheme="majorEastAsia"/>
                      <w:szCs w:val="21"/>
                    </w:rPr>
                  </w:pPr>
                </w:p>
              </w:tc>
              <w:tc>
                <w:tcPr>
                  <w:tcW w:w="4302" w:type="dxa"/>
                  <w:tcBorders>
                    <w:top w:val="single" w:color="auto" w:sz="4" w:space="0"/>
                    <w:left w:val="single" w:color="auto" w:sz="4" w:space="0"/>
                    <w:bottom w:val="single" w:color="auto" w:sz="4" w:space="0"/>
                    <w:right w:val="single" w:color="auto" w:sz="4" w:space="0"/>
                  </w:tcBorders>
                  <w:vAlign w:val="center"/>
                </w:tcPr>
                <w:p w14:paraId="10643A79">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主机电源线</w:t>
                  </w:r>
                </w:p>
              </w:tc>
              <w:tc>
                <w:tcPr>
                  <w:tcW w:w="1327" w:type="dxa"/>
                  <w:tcBorders>
                    <w:top w:val="single" w:color="auto" w:sz="4" w:space="0"/>
                    <w:left w:val="single" w:color="auto" w:sz="4" w:space="0"/>
                    <w:bottom w:val="single" w:color="auto" w:sz="4" w:space="0"/>
                    <w:right w:val="single" w:color="auto" w:sz="4" w:space="0"/>
                  </w:tcBorders>
                  <w:vAlign w:val="center"/>
                </w:tcPr>
                <w:p w14:paraId="6F10BA09">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1根</w:t>
                  </w:r>
                </w:p>
              </w:tc>
            </w:tr>
            <w:tr w14:paraId="05056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3AE06DCA">
                  <w:pPr>
                    <w:numPr>
                      <w:ilvl w:val="0"/>
                      <w:numId w:val="3"/>
                    </w:numPr>
                    <w:jc w:val="center"/>
                    <w:rPr>
                      <w:rFonts w:asciiTheme="majorEastAsia" w:hAnsiTheme="majorEastAsia" w:eastAsiaTheme="majorEastAsia" w:cstheme="majorEastAsia"/>
                      <w:color w:val="000000" w:themeColor="text1"/>
                      <w:szCs w:val="21"/>
                      <w14:textFill>
                        <w14:solidFill>
                          <w14:schemeClr w14:val="tx1"/>
                        </w14:solidFill>
                      </w14:textFill>
                    </w:rPr>
                  </w:pPr>
                </w:p>
              </w:tc>
              <w:tc>
                <w:tcPr>
                  <w:tcW w:w="4302" w:type="dxa"/>
                  <w:tcBorders>
                    <w:top w:val="single" w:color="auto" w:sz="4" w:space="0"/>
                    <w:left w:val="single" w:color="auto" w:sz="4" w:space="0"/>
                    <w:bottom w:val="single" w:color="auto" w:sz="4" w:space="0"/>
                    <w:right w:val="single" w:color="auto" w:sz="4" w:space="0"/>
                  </w:tcBorders>
                </w:tcPr>
                <w:p w14:paraId="155DA165">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图文影像工作站</w:t>
                  </w:r>
                </w:p>
              </w:tc>
              <w:tc>
                <w:tcPr>
                  <w:tcW w:w="1327" w:type="dxa"/>
                  <w:tcBorders>
                    <w:top w:val="single" w:color="auto" w:sz="4" w:space="0"/>
                    <w:left w:val="single" w:color="auto" w:sz="4" w:space="0"/>
                    <w:bottom w:val="single" w:color="auto" w:sz="4" w:space="0"/>
                    <w:right w:val="single" w:color="auto" w:sz="4" w:space="0"/>
                  </w:tcBorders>
                </w:tcPr>
                <w:p w14:paraId="3E4B72DE">
                  <w:pPr>
                    <w:jc w:val="center"/>
                    <w:rPr>
                      <w:rFonts w:asciiTheme="majorEastAsia" w:hAnsiTheme="majorEastAsia" w:eastAsiaTheme="majorEastAsia" w:cstheme="majorEastAsia"/>
                      <w:color w:val="000000" w:themeColor="text1"/>
                      <w:szCs w:val="21"/>
                      <w14:textFill>
                        <w14:solidFill>
                          <w14:schemeClr w14:val="tx1"/>
                        </w14:solidFill>
                      </w14:textFill>
                    </w:rPr>
                  </w:pPr>
                  <w:r>
                    <w:rPr>
                      <w:rFonts w:hint="eastAsia" w:asciiTheme="majorEastAsia" w:hAnsiTheme="majorEastAsia" w:eastAsiaTheme="majorEastAsia" w:cstheme="majorEastAsia"/>
                      <w:color w:val="000000" w:themeColor="text1"/>
                      <w:szCs w:val="21"/>
                      <w14:textFill>
                        <w14:solidFill>
                          <w14:schemeClr w14:val="tx1"/>
                        </w14:solidFill>
                      </w14:textFill>
                    </w:rPr>
                    <w:t>1套</w:t>
                  </w:r>
                </w:p>
              </w:tc>
            </w:tr>
            <w:tr w14:paraId="49D46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52EDF711">
                  <w:pPr>
                    <w:numPr>
                      <w:ilvl w:val="0"/>
                      <w:numId w:val="3"/>
                    </w:numPr>
                    <w:jc w:val="center"/>
                    <w:rPr>
                      <w:rFonts w:asciiTheme="majorEastAsia" w:hAnsiTheme="majorEastAsia" w:eastAsiaTheme="majorEastAsia" w:cstheme="majorEastAsia"/>
                      <w:color w:val="000000" w:themeColor="text1"/>
                      <w:szCs w:val="21"/>
                      <w14:textFill>
                        <w14:solidFill>
                          <w14:schemeClr w14:val="tx1"/>
                        </w14:solidFill>
                      </w14:textFill>
                    </w:rPr>
                  </w:pPr>
                </w:p>
              </w:tc>
              <w:tc>
                <w:tcPr>
                  <w:tcW w:w="4302" w:type="dxa"/>
                  <w:tcBorders>
                    <w:top w:val="single" w:color="auto" w:sz="4" w:space="0"/>
                    <w:left w:val="single" w:color="auto" w:sz="4" w:space="0"/>
                    <w:bottom w:val="single" w:color="auto" w:sz="4" w:space="0"/>
                    <w:right w:val="single" w:color="auto" w:sz="4" w:space="0"/>
                  </w:tcBorders>
                </w:tcPr>
                <w:p w14:paraId="1317146D">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高清采集卡</w:t>
                  </w:r>
                </w:p>
              </w:tc>
              <w:tc>
                <w:tcPr>
                  <w:tcW w:w="1327" w:type="dxa"/>
                  <w:tcBorders>
                    <w:top w:val="single" w:color="auto" w:sz="4" w:space="0"/>
                    <w:left w:val="single" w:color="auto" w:sz="4" w:space="0"/>
                    <w:bottom w:val="single" w:color="auto" w:sz="4" w:space="0"/>
                    <w:right w:val="single" w:color="auto" w:sz="4" w:space="0"/>
                  </w:tcBorders>
                </w:tcPr>
                <w:p w14:paraId="28403471">
                  <w:pPr>
                    <w:jc w:val="center"/>
                    <w:rPr>
                      <w:rFonts w:asciiTheme="majorEastAsia" w:hAnsiTheme="majorEastAsia" w:eastAsiaTheme="majorEastAsia" w:cstheme="majorEastAsia"/>
                      <w:color w:val="000000" w:themeColor="text1"/>
                      <w:szCs w:val="21"/>
                      <w14:textFill>
                        <w14:solidFill>
                          <w14:schemeClr w14:val="tx1"/>
                        </w14:solidFill>
                      </w14:textFill>
                    </w:rPr>
                  </w:pPr>
                  <w:r>
                    <w:rPr>
                      <w:rFonts w:hint="eastAsia" w:asciiTheme="majorEastAsia" w:hAnsiTheme="majorEastAsia" w:eastAsiaTheme="majorEastAsia" w:cstheme="majorEastAsia"/>
                      <w:color w:val="000000" w:themeColor="text1"/>
                      <w:szCs w:val="21"/>
                      <w14:textFill>
                        <w14:solidFill>
                          <w14:schemeClr w14:val="tx1"/>
                        </w14:solidFill>
                      </w14:textFill>
                    </w:rPr>
                    <w:t>1个</w:t>
                  </w:r>
                </w:p>
              </w:tc>
            </w:tr>
            <w:tr w14:paraId="20173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010" w:type="dxa"/>
                  <w:tcBorders>
                    <w:top w:val="single" w:color="auto" w:sz="4" w:space="0"/>
                    <w:left w:val="single" w:color="auto" w:sz="4" w:space="0"/>
                    <w:bottom w:val="single" w:color="auto" w:sz="4" w:space="0"/>
                    <w:right w:val="single" w:color="auto" w:sz="4" w:space="0"/>
                  </w:tcBorders>
                  <w:shd w:val="clear" w:color="auto" w:fill="auto"/>
                  <w:vAlign w:val="center"/>
                </w:tcPr>
                <w:p w14:paraId="6AB2A7CC">
                  <w:pPr>
                    <w:numPr>
                      <w:ilvl w:val="0"/>
                      <w:numId w:val="3"/>
                    </w:numPr>
                    <w:jc w:val="center"/>
                    <w:rPr>
                      <w:rFonts w:asciiTheme="majorEastAsia" w:hAnsiTheme="majorEastAsia" w:eastAsiaTheme="majorEastAsia" w:cstheme="majorEastAsia"/>
                      <w:color w:val="000000" w:themeColor="text1"/>
                      <w:szCs w:val="21"/>
                      <w14:textFill>
                        <w14:solidFill>
                          <w14:schemeClr w14:val="tx1"/>
                        </w14:solidFill>
                      </w14:textFill>
                    </w:rPr>
                  </w:pPr>
                </w:p>
              </w:tc>
              <w:tc>
                <w:tcPr>
                  <w:tcW w:w="4302" w:type="dxa"/>
                  <w:tcBorders>
                    <w:top w:val="single" w:color="auto" w:sz="4" w:space="0"/>
                    <w:left w:val="single" w:color="auto" w:sz="4" w:space="0"/>
                    <w:bottom w:val="single" w:color="auto" w:sz="4" w:space="0"/>
                    <w:right w:val="single" w:color="auto" w:sz="4" w:space="0"/>
                  </w:tcBorders>
                  <w:shd w:val="clear" w:color="auto" w:fill="auto"/>
                </w:tcPr>
                <w:p w14:paraId="4B8DFAF5">
                  <w:pPr>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AI全自动心功能诊断软件</w:t>
                  </w:r>
                </w:p>
              </w:tc>
              <w:tc>
                <w:tcPr>
                  <w:tcW w:w="1327" w:type="dxa"/>
                  <w:tcBorders>
                    <w:top w:val="single" w:color="auto" w:sz="4" w:space="0"/>
                    <w:left w:val="single" w:color="auto" w:sz="4" w:space="0"/>
                    <w:bottom w:val="single" w:color="auto" w:sz="4" w:space="0"/>
                    <w:right w:val="single" w:color="auto" w:sz="4" w:space="0"/>
                  </w:tcBorders>
                  <w:shd w:val="clear" w:color="auto" w:fill="auto"/>
                </w:tcPr>
                <w:p w14:paraId="53A86CFE">
                  <w:pPr>
                    <w:jc w:val="center"/>
                    <w:rPr>
                      <w:rFonts w:asciiTheme="majorEastAsia" w:hAnsiTheme="majorEastAsia" w:eastAsiaTheme="majorEastAsia" w:cstheme="majorEastAsia"/>
                      <w:color w:val="000000" w:themeColor="text1"/>
                      <w:szCs w:val="21"/>
                      <w14:textFill>
                        <w14:solidFill>
                          <w14:schemeClr w14:val="tx1"/>
                        </w14:solidFill>
                      </w14:textFill>
                    </w:rPr>
                  </w:pPr>
                  <w:r>
                    <w:rPr>
                      <w:rFonts w:hint="eastAsia" w:asciiTheme="majorEastAsia" w:hAnsiTheme="majorEastAsia" w:eastAsiaTheme="majorEastAsia" w:cstheme="majorEastAsia"/>
                      <w:color w:val="000000" w:themeColor="text1"/>
                      <w:szCs w:val="21"/>
                      <w14:textFill>
                        <w14:solidFill>
                          <w14:schemeClr w14:val="tx1"/>
                        </w14:solidFill>
                      </w14:textFill>
                    </w:rPr>
                    <w:t>1套</w:t>
                  </w:r>
                </w:p>
              </w:tc>
            </w:tr>
          </w:tbl>
          <w:p w14:paraId="57ECFAA9">
            <w:pPr>
              <w:spacing w:line="400" w:lineRule="exact"/>
              <w:jc w:val="center"/>
              <w:rPr>
                <w:rFonts w:ascii="宋体" w:hAnsi="宋体" w:cs="宋体"/>
                <w:szCs w:val="21"/>
              </w:rPr>
            </w:pPr>
          </w:p>
        </w:tc>
      </w:tr>
      <w:tr w14:paraId="4DF7A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350" w:type="dxa"/>
            <w:gridSpan w:val="5"/>
            <w:tcBorders>
              <w:top w:val="single" w:color="auto" w:sz="4" w:space="0"/>
              <w:left w:val="single" w:color="auto" w:sz="4" w:space="0"/>
              <w:bottom w:val="single" w:color="auto" w:sz="4" w:space="0"/>
              <w:right w:val="single" w:color="auto" w:sz="4" w:space="0"/>
            </w:tcBorders>
            <w:vAlign w:val="center"/>
          </w:tcPr>
          <w:p w14:paraId="2D60CB0B">
            <w:pPr>
              <w:rPr>
                <w:rFonts w:ascii="宋体" w:hAnsi="宋体" w:cs="宋体"/>
                <w:b/>
                <w:szCs w:val="21"/>
              </w:rPr>
            </w:pPr>
            <w:r>
              <w:rPr>
                <w:rFonts w:hint="eastAsia" w:ascii="宋体" w:hAnsi="宋体" w:cs="宋体"/>
                <w:b/>
                <w:szCs w:val="21"/>
              </w:rPr>
              <w:t>商务要求表</w:t>
            </w:r>
          </w:p>
        </w:tc>
      </w:tr>
      <w:tr w14:paraId="39737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50" w:type="dxa"/>
            <w:gridSpan w:val="2"/>
            <w:tcBorders>
              <w:top w:val="single" w:color="auto" w:sz="4" w:space="0"/>
              <w:left w:val="single" w:color="auto" w:sz="4" w:space="0"/>
              <w:bottom w:val="single" w:color="auto" w:sz="4" w:space="0"/>
              <w:right w:val="single" w:color="auto" w:sz="4" w:space="0"/>
            </w:tcBorders>
            <w:vAlign w:val="center"/>
          </w:tcPr>
          <w:p w14:paraId="7AD23686">
            <w:pPr>
              <w:spacing w:line="380" w:lineRule="exact"/>
              <w:jc w:val="center"/>
              <w:rPr>
                <w:rFonts w:ascii="宋体" w:hAnsi="宋体" w:cs="宋体"/>
                <w:color w:val="000000"/>
                <w:szCs w:val="21"/>
              </w:rPr>
            </w:pPr>
            <w:r>
              <w:rPr>
                <w:rFonts w:hint="eastAsia" w:ascii="宋体" w:hAnsi="宋体" w:cs="宋体"/>
                <w:color w:val="000000"/>
                <w:szCs w:val="21"/>
              </w:rPr>
              <w:t>交付使用时间及地点</w:t>
            </w:r>
          </w:p>
        </w:tc>
        <w:tc>
          <w:tcPr>
            <w:tcW w:w="7900" w:type="dxa"/>
            <w:gridSpan w:val="3"/>
            <w:tcBorders>
              <w:top w:val="single" w:color="auto" w:sz="4" w:space="0"/>
              <w:left w:val="single" w:color="auto" w:sz="4" w:space="0"/>
              <w:bottom w:val="single" w:color="auto" w:sz="4" w:space="0"/>
              <w:right w:val="single" w:color="auto" w:sz="4" w:space="0"/>
            </w:tcBorders>
            <w:vAlign w:val="center"/>
          </w:tcPr>
          <w:p w14:paraId="7E1CBEA6">
            <w:pPr>
              <w:spacing w:line="380" w:lineRule="exact"/>
              <w:rPr>
                <w:rFonts w:ascii="宋体" w:hAnsi="宋体" w:cs="宋体"/>
                <w:color w:val="000000"/>
                <w:szCs w:val="21"/>
              </w:rPr>
            </w:pPr>
            <w:r>
              <w:rPr>
                <w:rFonts w:hint="eastAsia" w:ascii="宋体" w:hAnsi="宋体" w:cs="宋体"/>
                <w:color w:val="000000"/>
                <w:szCs w:val="21"/>
              </w:rPr>
              <w:t>1.交付使用时间：非进口设备自签订合同之日起</w:t>
            </w:r>
            <w:r>
              <w:rPr>
                <w:rFonts w:hint="eastAsia" w:ascii="宋体" w:hAnsi="宋体" w:cs="宋体"/>
                <w:color w:val="000000"/>
                <w:szCs w:val="21"/>
                <w:u w:val="single"/>
              </w:rPr>
              <w:t xml:space="preserve"> </w:t>
            </w:r>
            <w:r>
              <w:rPr>
                <w:rFonts w:ascii="宋体" w:hAnsi="宋体" w:cs="宋体"/>
                <w:color w:val="000000"/>
                <w:szCs w:val="21"/>
                <w:u w:val="single"/>
              </w:rPr>
              <w:t>30</w:t>
            </w:r>
            <w:r>
              <w:rPr>
                <w:rFonts w:hint="eastAsia" w:ascii="宋体" w:hAnsi="宋体" w:cs="宋体"/>
                <w:color w:val="000000"/>
                <w:szCs w:val="21"/>
                <w:u w:val="single"/>
              </w:rPr>
              <w:t xml:space="preserve"> </w:t>
            </w:r>
            <w:r>
              <w:rPr>
                <w:rFonts w:hint="eastAsia" w:ascii="宋体" w:hAnsi="宋体" w:cs="宋体"/>
                <w:color w:val="000000"/>
                <w:szCs w:val="21"/>
              </w:rPr>
              <w:t>个工作日内交货并安装调试合格交付使用；投标产品为进口产品的：自签订合同之日起</w:t>
            </w:r>
            <w:r>
              <w:rPr>
                <w:rFonts w:hint="eastAsia" w:ascii="宋体" w:hAnsi="宋体" w:cs="宋体"/>
                <w:color w:val="000000"/>
                <w:szCs w:val="21"/>
                <w:u w:val="single"/>
              </w:rPr>
              <w:t xml:space="preserve">  </w:t>
            </w:r>
            <w:r>
              <w:rPr>
                <w:rFonts w:ascii="宋体" w:hAnsi="宋体" w:cs="宋体"/>
                <w:color w:val="000000"/>
                <w:szCs w:val="21"/>
                <w:u w:val="single"/>
              </w:rPr>
              <w:t>90</w:t>
            </w:r>
            <w:r>
              <w:rPr>
                <w:rFonts w:hint="eastAsia" w:ascii="宋体" w:hAnsi="宋体" w:cs="宋体"/>
                <w:color w:val="000000"/>
                <w:szCs w:val="21"/>
                <w:u w:val="single"/>
              </w:rPr>
              <w:t xml:space="preserve">  </w:t>
            </w:r>
            <w:r>
              <w:rPr>
                <w:rFonts w:hint="eastAsia" w:ascii="宋体" w:hAnsi="宋体" w:cs="宋体"/>
                <w:color w:val="000000"/>
                <w:szCs w:val="21"/>
              </w:rPr>
              <w:t>个工作日内交货并安装调试合格交付使用。</w:t>
            </w:r>
          </w:p>
          <w:p w14:paraId="0543B730">
            <w:pPr>
              <w:spacing w:line="380" w:lineRule="exact"/>
              <w:rPr>
                <w:rFonts w:ascii="宋体" w:hAnsi="宋体" w:cs="宋体"/>
                <w:color w:val="000000"/>
                <w:szCs w:val="21"/>
              </w:rPr>
            </w:pPr>
            <w:r>
              <w:rPr>
                <w:rFonts w:hint="eastAsia" w:ascii="宋体" w:hAnsi="宋体" w:cs="宋体"/>
                <w:color w:val="000000"/>
                <w:szCs w:val="21"/>
              </w:rPr>
              <w:t>2.交付使用地点：</w:t>
            </w:r>
            <w:r>
              <w:rPr>
                <w:rFonts w:hint="eastAsia" w:ascii="宋体" w:hAnsi="宋体" w:cs="宋体"/>
                <w:color w:val="000000"/>
                <w:kern w:val="0"/>
                <w:szCs w:val="21"/>
              </w:rPr>
              <w:t>广西壮族自治区（采购人指定地点）。</w:t>
            </w:r>
          </w:p>
        </w:tc>
      </w:tr>
      <w:tr w14:paraId="1F34C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450" w:type="dxa"/>
            <w:gridSpan w:val="2"/>
            <w:tcBorders>
              <w:top w:val="single" w:color="auto" w:sz="4" w:space="0"/>
              <w:left w:val="single" w:color="auto" w:sz="4" w:space="0"/>
              <w:bottom w:val="single" w:color="auto" w:sz="4" w:space="0"/>
              <w:right w:val="single" w:color="auto" w:sz="4" w:space="0"/>
            </w:tcBorders>
            <w:vAlign w:val="center"/>
          </w:tcPr>
          <w:p w14:paraId="5348B5D1">
            <w:pPr>
              <w:spacing w:line="380" w:lineRule="exact"/>
              <w:jc w:val="center"/>
              <w:rPr>
                <w:rFonts w:ascii="宋体" w:hAnsi="宋体" w:cs="宋体"/>
                <w:color w:val="000000"/>
                <w:szCs w:val="21"/>
              </w:rPr>
            </w:pPr>
            <w:r>
              <w:rPr>
                <w:rFonts w:hint="eastAsia" w:ascii="宋体" w:hAnsi="宋体" w:cs="宋体"/>
                <w:color w:val="000000"/>
                <w:szCs w:val="21"/>
              </w:rPr>
              <w:t>质量保证</w:t>
            </w:r>
          </w:p>
        </w:tc>
        <w:tc>
          <w:tcPr>
            <w:tcW w:w="7900" w:type="dxa"/>
            <w:gridSpan w:val="3"/>
            <w:tcBorders>
              <w:top w:val="single" w:color="auto" w:sz="4" w:space="0"/>
              <w:left w:val="single" w:color="auto" w:sz="4" w:space="0"/>
              <w:bottom w:val="single" w:color="auto" w:sz="4" w:space="0"/>
              <w:right w:val="single" w:color="auto" w:sz="4" w:space="0"/>
            </w:tcBorders>
            <w:vAlign w:val="center"/>
          </w:tcPr>
          <w:p w14:paraId="6F370F72">
            <w:pPr>
              <w:spacing w:line="380" w:lineRule="exact"/>
              <w:rPr>
                <w:rFonts w:ascii="宋体" w:hAnsi="宋体" w:cs="宋体"/>
                <w:color w:val="000000"/>
                <w:szCs w:val="21"/>
              </w:rPr>
            </w:pPr>
            <w:r>
              <w:rPr>
                <w:rFonts w:hint="eastAsia" w:ascii="宋体" w:hAnsi="宋体" w:cs="宋体"/>
                <w:color w:val="000000"/>
                <w:szCs w:val="21"/>
              </w:rPr>
              <w:t>1.质保期内实行“包修、包换、包退”的三包服务；供应商须对货物制造、安装以及使用过程中的一切质量问题承担责任。按国家有关的产品“包”规定实行“三包”，所有产品为全新产品，符合国家相关标准。设备安装调试并经采购人验收合格之日起质保期不少于5年(若国家或生产厂家对本项目所涉及货物的质量保证期的规定高于本项目要求的，应按国家或生产厂家的规定执行，若供应商在投标文件中承诺高于该期限，按照供应商承诺)。质保期内负责维修、更换配件，负责向采购人提供设备维修及正常维护保养所需的零部件，质保期外提供终身维护和保养服务，如技术需求另有要求的根据国家设备质量标准要求的有关规定。质保期内中标供应商对货物出现的维修、质量及安全问题负责处理解决并承担一切费用，并向采购人提供每次维保的相关资料（佐证照片、维保清单及报告）。如采购需求表中特别注明的按需求表中的内容执行。</w:t>
            </w:r>
          </w:p>
          <w:p w14:paraId="3CA4D483">
            <w:pPr>
              <w:spacing w:line="380" w:lineRule="exact"/>
              <w:rPr>
                <w:rFonts w:ascii="宋体" w:hAnsi="宋体" w:cs="宋体"/>
                <w:color w:val="000000"/>
                <w:szCs w:val="21"/>
              </w:rPr>
            </w:pPr>
            <w:r>
              <w:rPr>
                <w:rFonts w:hint="eastAsia" w:ascii="宋体" w:hAnsi="宋体" w:cs="宋体"/>
                <w:color w:val="000000"/>
                <w:szCs w:val="21"/>
              </w:rPr>
              <w:t>2.质保期内，供应商按要求提供以下质保服务：</w:t>
            </w:r>
          </w:p>
          <w:p w14:paraId="2A3C77E1">
            <w:pPr>
              <w:spacing w:line="380" w:lineRule="exact"/>
              <w:ind w:firstLine="420" w:firstLineChars="200"/>
              <w:rPr>
                <w:rFonts w:ascii="宋体" w:hAnsi="宋体" w:cs="宋体"/>
                <w:color w:val="000000"/>
                <w:szCs w:val="21"/>
              </w:rPr>
            </w:pPr>
            <w:r>
              <w:rPr>
                <w:rFonts w:hint="eastAsia" w:ascii="宋体" w:hAnsi="宋体" w:cs="宋体"/>
                <w:color w:val="000000"/>
                <w:szCs w:val="21"/>
              </w:rPr>
              <w:t>属于保修（三包）范围和内容的项目，中标供应商应在接到修理通知之后按售后维修响应要求时限内派人修理。中标供应商不在约定期限内派人修理，采购人可委托其他人员修理，修理费用由中标供应商负责。如果需要更换配件的，所更换的配件应为原供货产品品牌、类型相一致或者是同等档次的替代品，后者需征得采购人书面同意；若采购人发现产品存在制造上的缺陷，中标供应商应负责采取补救措施，若该缺陷导致产品存在安全隐患或不能使用的，中标供应商应负责更换整件产品。</w:t>
            </w:r>
          </w:p>
          <w:p w14:paraId="3D091136">
            <w:pPr>
              <w:spacing w:line="380" w:lineRule="exact"/>
              <w:rPr>
                <w:rFonts w:ascii="宋体" w:hAnsi="宋体" w:cs="宋体"/>
                <w:color w:val="000000"/>
                <w:szCs w:val="21"/>
              </w:rPr>
            </w:pPr>
            <w:r>
              <w:rPr>
                <w:rFonts w:hint="eastAsia" w:ascii="宋体" w:hAnsi="宋体" w:cs="宋体"/>
                <w:color w:val="000000"/>
                <w:szCs w:val="21"/>
              </w:rPr>
              <w:t>3.保修完成后，由采购人组织有关单位人员验收。</w:t>
            </w:r>
          </w:p>
          <w:p w14:paraId="0E5CEE56">
            <w:pPr>
              <w:widowControl/>
              <w:spacing w:line="380" w:lineRule="exact"/>
              <w:rPr>
                <w:rFonts w:ascii="宋体" w:hAnsi="宋体" w:cs="宋体"/>
                <w:color w:val="000000"/>
                <w:szCs w:val="21"/>
              </w:rPr>
            </w:pPr>
            <w:r>
              <w:rPr>
                <w:rFonts w:hint="eastAsia" w:ascii="宋体" w:hAnsi="宋体" w:cs="宋体"/>
                <w:color w:val="000000"/>
                <w:szCs w:val="21"/>
              </w:rPr>
              <w:t>4.产品质量按现行国家标准和技术规范。</w:t>
            </w:r>
          </w:p>
        </w:tc>
      </w:tr>
      <w:tr w14:paraId="383CF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50" w:type="dxa"/>
            <w:gridSpan w:val="2"/>
            <w:tcBorders>
              <w:top w:val="single" w:color="auto" w:sz="4" w:space="0"/>
              <w:left w:val="single" w:color="auto" w:sz="4" w:space="0"/>
              <w:bottom w:val="single" w:color="auto" w:sz="4" w:space="0"/>
              <w:right w:val="single" w:color="auto" w:sz="4" w:space="0"/>
            </w:tcBorders>
            <w:vAlign w:val="center"/>
          </w:tcPr>
          <w:p w14:paraId="2C77FE5F">
            <w:pPr>
              <w:spacing w:line="380" w:lineRule="exact"/>
              <w:jc w:val="center"/>
              <w:rPr>
                <w:rFonts w:ascii="宋体" w:hAnsi="宋体" w:cs="宋体"/>
                <w:color w:val="000000"/>
                <w:szCs w:val="21"/>
              </w:rPr>
            </w:pPr>
            <w:r>
              <w:rPr>
                <w:rFonts w:hint="eastAsia" w:ascii="宋体" w:hAnsi="宋体" w:cs="宋体"/>
                <w:color w:val="000000"/>
                <w:szCs w:val="21"/>
              </w:rPr>
              <w:t>付款条件</w:t>
            </w:r>
          </w:p>
        </w:tc>
        <w:tc>
          <w:tcPr>
            <w:tcW w:w="7900" w:type="dxa"/>
            <w:gridSpan w:val="3"/>
            <w:tcBorders>
              <w:top w:val="single" w:color="auto" w:sz="4" w:space="0"/>
              <w:left w:val="single" w:color="auto" w:sz="4" w:space="0"/>
              <w:bottom w:val="single" w:color="auto" w:sz="4" w:space="0"/>
              <w:right w:val="single" w:color="auto" w:sz="4" w:space="0"/>
            </w:tcBorders>
            <w:vAlign w:val="center"/>
          </w:tcPr>
          <w:p w14:paraId="719409E4">
            <w:pPr>
              <w:spacing w:line="360" w:lineRule="exact"/>
              <w:ind w:right="139" w:rightChars="66" w:firstLine="79" w:firstLineChars="38"/>
              <w:jc w:val="left"/>
              <w:rPr>
                <w:rFonts w:ascii="宋体" w:hAnsi="宋体"/>
                <w:color w:val="000000"/>
                <w:szCs w:val="21"/>
              </w:rPr>
            </w:pPr>
            <w:r>
              <w:rPr>
                <w:rFonts w:hint="eastAsia" w:ascii="宋体" w:hAnsi="宋体"/>
                <w:color w:val="000000"/>
                <w:szCs w:val="21"/>
              </w:rPr>
              <w:t>1.合同价款分三期支付：</w:t>
            </w:r>
          </w:p>
          <w:p w14:paraId="6EFD8B7A">
            <w:pPr>
              <w:spacing w:line="360" w:lineRule="exact"/>
              <w:ind w:left="86" w:leftChars="41" w:right="139" w:rightChars="66" w:firstLine="2"/>
              <w:jc w:val="left"/>
              <w:rPr>
                <w:rFonts w:ascii="宋体" w:hAnsi="宋体"/>
                <w:color w:val="000000"/>
                <w:szCs w:val="21"/>
              </w:rPr>
            </w:pPr>
            <w:r>
              <w:rPr>
                <w:rFonts w:hint="eastAsia" w:ascii="宋体" w:hAnsi="宋体"/>
                <w:color w:val="000000"/>
                <w:szCs w:val="21"/>
              </w:rPr>
              <w:t>第一期在货物安装且验收合格后，甲方收到乙方开具的发票起10个工作日内支付至合同总价的30%；</w:t>
            </w:r>
          </w:p>
          <w:p w14:paraId="62492C3C">
            <w:pPr>
              <w:spacing w:line="360" w:lineRule="exact"/>
              <w:ind w:left="86" w:leftChars="41" w:right="139" w:rightChars="66" w:firstLine="2"/>
              <w:jc w:val="left"/>
              <w:rPr>
                <w:rFonts w:ascii="宋体" w:hAnsi="宋体"/>
                <w:color w:val="000000"/>
                <w:szCs w:val="21"/>
              </w:rPr>
            </w:pPr>
            <w:r>
              <w:rPr>
                <w:rFonts w:hint="eastAsia" w:ascii="宋体" w:hAnsi="宋体"/>
                <w:color w:val="000000"/>
                <w:szCs w:val="21"/>
              </w:rPr>
              <w:t>第二期在货物验收合格满六个月后，甲方收到乙方开具的发票起10个工作日内支付至合同总价的70%；</w:t>
            </w:r>
          </w:p>
          <w:p w14:paraId="3FCA9F1F">
            <w:pPr>
              <w:spacing w:line="360" w:lineRule="exact"/>
              <w:ind w:left="86" w:leftChars="41" w:right="139" w:rightChars="66" w:firstLine="2"/>
              <w:jc w:val="left"/>
              <w:rPr>
                <w:rFonts w:ascii="宋体" w:hAnsi="宋体"/>
                <w:color w:val="000000"/>
                <w:szCs w:val="21"/>
              </w:rPr>
            </w:pPr>
            <w:r>
              <w:rPr>
                <w:rFonts w:hint="eastAsia" w:ascii="宋体" w:hAnsi="宋体"/>
                <w:color w:val="000000"/>
                <w:szCs w:val="21"/>
              </w:rPr>
              <w:t>第三期在货物验收合格满十二个月后，甲方收到乙方开具的发票起 10个工作日内支付至合同总价的100%。</w:t>
            </w:r>
          </w:p>
          <w:p w14:paraId="56311B38">
            <w:pPr>
              <w:spacing w:line="360" w:lineRule="exact"/>
              <w:ind w:left="86" w:leftChars="41" w:right="139" w:rightChars="66" w:firstLine="2"/>
              <w:jc w:val="left"/>
              <w:rPr>
                <w:rFonts w:ascii="宋体" w:hAnsi="宋体"/>
                <w:color w:val="000000"/>
                <w:szCs w:val="21"/>
              </w:rPr>
            </w:pPr>
            <w:r>
              <w:rPr>
                <w:rFonts w:hint="eastAsia" w:ascii="宋体" w:hAnsi="宋体"/>
                <w:color w:val="000000"/>
                <w:szCs w:val="21"/>
              </w:rPr>
              <w:t>2.每一期付款时乙方需提供请款报告、足额发票及货物运行正常的报告。</w:t>
            </w:r>
          </w:p>
        </w:tc>
      </w:tr>
      <w:tr w14:paraId="379D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50" w:type="dxa"/>
            <w:gridSpan w:val="2"/>
            <w:tcBorders>
              <w:top w:val="single" w:color="auto" w:sz="4" w:space="0"/>
              <w:left w:val="single" w:color="auto" w:sz="4" w:space="0"/>
              <w:bottom w:val="single" w:color="auto" w:sz="4" w:space="0"/>
              <w:right w:val="single" w:color="auto" w:sz="4" w:space="0"/>
            </w:tcBorders>
            <w:vAlign w:val="center"/>
          </w:tcPr>
          <w:p w14:paraId="10F399AC">
            <w:pPr>
              <w:spacing w:line="380" w:lineRule="exact"/>
              <w:jc w:val="center"/>
              <w:rPr>
                <w:rFonts w:ascii="宋体" w:hAnsi="宋体" w:cs="宋体"/>
                <w:color w:val="000000"/>
                <w:szCs w:val="21"/>
              </w:rPr>
            </w:pPr>
            <w:r>
              <w:rPr>
                <w:rFonts w:hint="eastAsia" w:ascii="宋体" w:hAnsi="宋体" w:cs="宋体"/>
                <w:color w:val="000000"/>
                <w:szCs w:val="21"/>
              </w:rPr>
              <w:t>售后服务要求</w:t>
            </w:r>
          </w:p>
        </w:tc>
        <w:tc>
          <w:tcPr>
            <w:tcW w:w="7900" w:type="dxa"/>
            <w:gridSpan w:val="3"/>
            <w:tcBorders>
              <w:top w:val="single" w:color="auto" w:sz="4" w:space="0"/>
              <w:left w:val="single" w:color="auto" w:sz="4" w:space="0"/>
              <w:bottom w:val="single" w:color="auto" w:sz="4" w:space="0"/>
              <w:right w:val="single" w:color="auto" w:sz="4" w:space="0"/>
            </w:tcBorders>
            <w:vAlign w:val="center"/>
          </w:tcPr>
          <w:p w14:paraId="57CD95D3">
            <w:pPr>
              <w:spacing w:line="380" w:lineRule="exact"/>
              <w:rPr>
                <w:rFonts w:ascii="宋体" w:hAnsi="宋体" w:cs="宋体"/>
                <w:color w:val="000000"/>
                <w:szCs w:val="21"/>
              </w:rPr>
            </w:pPr>
            <w:r>
              <w:rPr>
                <w:rFonts w:hint="eastAsia" w:ascii="宋体" w:hAnsi="宋体" w:cs="宋体"/>
                <w:color w:val="000000"/>
                <w:szCs w:val="21"/>
              </w:rPr>
              <w:t>1.</w:t>
            </w:r>
            <w:r>
              <w:rPr>
                <w:rFonts w:hint="eastAsia" w:ascii="宋体" w:hAnsi="宋体" w:cs="宋体"/>
                <w:color w:val="000000"/>
                <w:szCs w:val="21"/>
                <w:lang w:val="zh-CN"/>
              </w:rPr>
              <w:t>投标产品必须是按厂家出厂标准配置提供的整套具备全新正规合法经销渠道的符合国家各项有关质量标准的合格产品（禁止供应商使用贴牌、代工设备参与投标）。相关部件及服务须满足本表</w:t>
            </w:r>
            <w:r>
              <w:rPr>
                <w:rFonts w:hint="eastAsia" w:ascii="宋体" w:hAnsi="宋体" w:cs="宋体"/>
                <w:color w:val="000000"/>
                <w:szCs w:val="21"/>
              </w:rPr>
              <w:t>技术要求</w:t>
            </w:r>
            <w:r>
              <w:rPr>
                <w:rFonts w:hint="eastAsia" w:ascii="宋体" w:hAnsi="宋体" w:cs="宋体"/>
                <w:color w:val="000000"/>
                <w:szCs w:val="21"/>
                <w:lang w:val="zh-CN"/>
              </w:rPr>
              <w:t>中各项要求。</w:t>
            </w:r>
          </w:p>
          <w:p w14:paraId="371D0802">
            <w:pPr>
              <w:spacing w:line="380" w:lineRule="exact"/>
              <w:rPr>
                <w:rFonts w:ascii="宋体" w:hAnsi="宋体" w:cs="宋体"/>
                <w:color w:val="000000"/>
                <w:szCs w:val="21"/>
              </w:rPr>
            </w:pPr>
            <w:r>
              <w:rPr>
                <w:rFonts w:hint="eastAsia" w:ascii="宋体" w:hAnsi="宋体" w:cs="宋体"/>
                <w:color w:val="000000"/>
                <w:szCs w:val="21"/>
              </w:rPr>
              <w:t>2.供货产品必须满足招标文件要求，并符合国家规定的质量标准，否则采购人有权退货，由此引发的费用及其他经济损失全部由中标供应商承担。</w:t>
            </w:r>
          </w:p>
          <w:p w14:paraId="6E195074">
            <w:pPr>
              <w:spacing w:line="380" w:lineRule="exact"/>
              <w:rPr>
                <w:rFonts w:ascii="宋体" w:hAnsi="宋体" w:cs="宋体"/>
                <w:color w:val="000000"/>
                <w:szCs w:val="21"/>
              </w:rPr>
            </w:pPr>
            <w:r>
              <w:rPr>
                <w:rFonts w:hint="eastAsia" w:ascii="宋体" w:hAnsi="宋体" w:cs="宋体"/>
                <w:color w:val="000000"/>
                <w:szCs w:val="21"/>
              </w:rPr>
              <w:t xml:space="preserve">3.由于货物本身质量原因造成的任何损伤、损坏或因包装、运输不当引起的货物外观或内部的损坏及错发、漏发的情况，中标人负责补发、更换，直到达到采购要求，不得再收取任何的额外费用。如果中标人在接到通知后没有更换有缺陷的产品，所造成的损失由中标人承担。  </w:t>
            </w:r>
          </w:p>
          <w:p w14:paraId="79880BC2">
            <w:pPr>
              <w:spacing w:line="380" w:lineRule="exact"/>
              <w:rPr>
                <w:rFonts w:ascii="宋体" w:hAnsi="宋体" w:cs="宋体"/>
                <w:color w:val="000000"/>
                <w:szCs w:val="21"/>
              </w:rPr>
            </w:pPr>
            <w:r>
              <w:rPr>
                <w:rFonts w:hint="eastAsia" w:ascii="宋体" w:hAnsi="宋体" w:cs="宋体"/>
                <w:color w:val="000000"/>
                <w:szCs w:val="21"/>
              </w:rPr>
              <w:t>4.所提供货品如有质量、规格、数量等不符合参数要求，采购人有权要求中标供应商在2个工作日内整改，中标供应商应及时调整且在规定时间内提供符合要求的货物，否则视为违约。如情况特殊可与采购人协商后适当延长交货时间。</w:t>
            </w:r>
          </w:p>
          <w:p w14:paraId="6B8B42CE">
            <w:pPr>
              <w:spacing w:line="380" w:lineRule="exact"/>
              <w:rPr>
                <w:rFonts w:ascii="宋体" w:hAnsi="宋体" w:cs="宋体"/>
                <w:color w:val="000000"/>
                <w:szCs w:val="21"/>
              </w:rPr>
            </w:pPr>
            <w:r>
              <w:rPr>
                <w:rFonts w:hint="eastAsia" w:ascii="宋体" w:hAnsi="宋体" w:cs="宋体"/>
                <w:color w:val="000000"/>
                <w:szCs w:val="21"/>
              </w:rPr>
              <w:t>5.如产品在使用过程中出现任何问题，中标供应商1小时内电话响应，3小时内答复；如有必要，在12小时内直接到采购人指定现场了解情况，现场排查问题直至保证产品能够正常使用。</w:t>
            </w:r>
          </w:p>
          <w:p w14:paraId="0EB990CB">
            <w:pPr>
              <w:spacing w:line="380" w:lineRule="exact"/>
              <w:rPr>
                <w:rFonts w:ascii="宋体" w:hAnsi="宋体" w:cs="宋体"/>
                <w:color w:val="000000"/>
                <w:szCs w:val="21"/>
              </w:rPr>
            </w:pPr>
            <w:r>
              <w:rPr>
                <w:rFonts w:hint="eastAsia" w:ascii="宋体" w:hAnsi="宋体" w:cs="宋体"/>
                <w:color w:val="000000"/>
                <w:szCs w:val="21"/>
              </w:rPr>
              <w:t>6.交付产品必须按照投标文件和合同约定的品牌、规格供货，且提供产品保证均为厂家原装正品，如出现以次充好等违约现象，采购人有权终止并解除合同。货品在质保期内涉及产品质量问题的中标供应商应在采购人指定期限内无条件退换。若退换后的货品经采购人二次验收后仍不满足采购人实验需求或检定不合格时，中标供应商必须更换品质更好的同类产品，价格不变。</w:t>
            </w:r>
          </w:p>
          <w:p w14:paraId="714C997B">
            <w:pPr>
              <w:spacing w:line="380" w:lineRule="exact"/>
              <w:rPr>
                <w:rFonts w:ascii="宋体" w:hAnsi="宋体" w:cs="宋体"/>
                <w:color w:val="000000"/>
                <w:szCs w:val="21"/>
              </w:rPr>
            </w:pPr>
            <w:r>
              <w:rPr>
                <w:rFonts w:hint="eastAsia" w:ascii="宋体" w:hAnsi="宋体" w:cs="宋体"/>
                <w:color w:val="000000"/>
                <w:szCs w:val="21"/>
              </w:rPr>
              <w:t>7.交付货品清单同货物一并送达采购人。货品在交付前发生的风险均由中标供应商自行负责。</w:t>
            </w:r>
          </w:p>
        </w:tc>
      </w:tr>
      <w:tr w14:paraId="7A442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450" w:type="dxa"/>
            <w:gridSpan w:val="2"/>
            <w:tcBorders>
              <w:top w:val="single" w:color="auto" w:sz="4" w:space="0"/>
              <w:left w:val="single" w:color="auto" w:sz="4" w:space="0"/>
              <w:bottom w:val="single" w:color="auto" w:sz="4" w:space="0"/>
              <w:right w:val="single" w:color="auto" w:sz="4" w:space="0"/>
            </w:tcBorders>
            <w:vAlign w:val="center"/>
          </w:tcPr>
          <w:p w14:paraId="3E0531D1">
            <w:pPr>
              <w:spacing w:line="380" w:lineRule="exact"/>
              <w:jc w:val="center"/>
              <w:rPr>
                <w:rFonts w:ascii="宋体" w:hAnsi="宋体" w:cs="宋体"/>
                <w:color w:val="000000"/>
                <w:szCs w:val="21"/>
              </w:rPr>
            </w:pPr>
            <w:r>
              <w:rPr>
                <w:rFonts w:hint="eastAsia" w:ascii="宋体" w:hAnsi="宋体" w:cs="宋体"/>
                <w:color w:val="000000"/>
                <w:szCs w:val="21"/>
              </w:rPr>
              <w:t>报价及其他要求</w:t>
            </w:r>
          </w:p>
        </w:tc>
        <w:tc>
          <w:tcPr>
            <w:tcW w:w="7900" w:type="dxa"/>
            <w:gridSpan w:val="3"/>
            <w:tcBorders>
              <w:top w:val="single" w:color="auto" w:sz="4" w:space="0"/>
              <w:left w:val="single" w:color="auto" w:sz="4" w:space="0"/>
              <w:bottom w:val="single" w:color="auto" w:sz="4" w:space="0"/>
              <w:right w:val="single" w:color="auto" w:sz="4" w:space="0"/>
            </w:tcBorders>
            <w:vAlign w:val="center"/>
          </w:tcPr>
          <w:p w14:paraId="5FD0FC33">
            <w:pPr>
              <w:spacing w:line="380" w:lineRule="exact"/>
              <w:rPr>
                <w:rFonts w:ascii="宋体" w:hAnsi="宋体" w:cs="宋体"/>
                <w:color w:val="000000"/>
                <w:szCs w:val="21"/>
              </w:rPr>
            </w:pPr>
            <w:r>
              <w:rPr>
                <w:rFonts w:hint="eastAsia" w:ascii="宋体" w:hAnsi="宋体" w:cs="宋体"/>
                <w:color w:val="000000"/>
                <w:szCs w:val="21"/>
              </w:rPr>
              <w:t>1.投标人的投标报价为人民币含税价，为采购人指定地点的现场交货价。投标报价包含产品及售后服务所需的一切费用总和，包括但不限于货物价格、标准附件、备品备件、专用工具、包装、运输、物流、装卸、保管、验收、产品检验检测、售后服务、技术支持、人员服务、保险、招标代理服务费、税金等，以及合同明确所有责任、义务和一般风险等，采购人不再支付任何费用。投标人应自行考虑市场价格波动等因素，合同期内产品价格不再变动。</w:t>
            </w:r>
          </w:p>
          <w:p w14:paraId="2179D020">
            <w:pPr>
              <w:spacing w:line="380" w:lineRule="exact"/>
              <w:rPr>
                <w:rFonts w:ascii="宋体" w:hAnsi="宋体" w:cs="宋体"/>
                <w:color w:val="000000"/>
                <w:szCs w:val="21"/>
              </w:rPr>
            </w:pPr>
            <w:r>
              <w:rPr>
                <w:rFonts w:hint="eastAsia" w:ascii="宋体" w:hAnsi="宋体" w:cs="宋体"/>
                <w:color w:val="000000"/>
                <w:szCs w:val="21"/>
              </w:rPr>
              <w:t>2.包装和运输</w:t>
            </w:r>
          </w:p>
          <w:p w14:paraId="473F593B">
            <w:pPr>
              <w:spacing w:line="380" w:lineRule="exact"/>
              <w:ind w:firstLine="420" w:firstLineChars="200"/>
              <w:rPr>
                <w:rFonts w:ascii="宋体" w:hAnsi="宋体" w:cs="宋体"/>
                <w:color w:val="000000"/>
                <w:szCs w:val="21"/>
              </w:rPr>
            </w:pPr>
            <w:r>
              <w:rPr>
                <w:rFonts w:hint="eastAsia" w:ascii="宋体" w:hAnsi="宋体" w:cs="宋体"/>
                <w:color w:val="000000"/>
                <w:szCs w:val="21"/>
              </w:rPr>
              <w:t>（1）原厂原包装，包装完好、完整无破损、未开封。</w:t>
            </w:r>
          </w:p>
          <w:p w14:paraId="08AB9EE0">
            <w:pPr>
              <w:spacing w:line="380" w:lineRule="exact"/>
              <w:ind w:firstLine="420" w:firstLineChars="200"/>
              <w:rPr>
                <w:rFonts w:ascii="宋体" w:hAnsi="宋体" w:cs="宋体"/>
                <w:color w:val="000000"/>
                <w:szCs w:val="21"/>
              </w:rPr>
            </w:pPr>
            <w:r>
              <w:rPr>
                <w:rFonts w:hint="eastAsia" w:ascii="宋体" w:hAnsi="宋体" w:cs="宋体"/>
                <w:color w:val="000000"/>
                <w:szCs w:val="21"/>
              </w:rPr>
              <w:t>（2）包装及运输方式应综合考虑运输距离、防潮、防震、防破损、装卸等要求。</w:t>
            </w:r>
          </w:p>
          <w:p w14:paraId="49FDB8FF">
            <w:pPr>
              <w:spacing w:line="380" w:lineRule="exact"/>
              <w:ind w:firstLine="420" w:firstLineChars="200"/>
              <w:rPr>
                <w:rFonts w:ascii="宋体" w:hAnsi="宋体" w:cs="宋体"/>
                <w:color w:val="000000"/>
                <w:szCs w:val="21"/>
              </w:rPr>
            </w:pPr>
            <w:r>
              <w:rPr>
                <w:rFonts w:hint="eastAsia" w:ascii="宋体" w:hAnsi="宋体" w:cs="宋体"/>
                <w:color w:val="000000"/>
                <w:szCs w:val="21"/>
              </w:rPr>
              <w:t>（3）国家对包装及运输有相关强制性标准或要求的，供应商应当执行。</w:t>
            </w:r>
          </w:p>
          <w:p w14:paraId="4A24AE00">
            <w:pPr>
              <w:spacing w:line="380" w:lineRule="exact"/>
              <w:ind w:firstLine="420" w:firstLineChars="200"/>
              <w:rPr>
                <w:rFonts w:ascii="宋体" w:hAnsi="宋体" w:cs="宋体"/>
                <w:color w:val="000000"/>
                <w:szCs w:val="21"/>
              </w:rPr>
            </w:pPr>
            <w:r>
              <w:rPr>
                <w:rFonts w:hint="eastAsia" w:ascii="宋体" w:hAnsi="宋体" w:cs="宋体"/>
                <w:color w:val="000000"/>
                <w:szCs w:val="21"/>
              </w:rPr>
              <w:t>（4）产品（含包装）运抵采购人指定交付地点前发生损坏的，相关损失由供应商自行承担。</w:t>
            </w:r>
          </w:p>
          <w:p w14:paraId="204250E2">
            <w:pPr>
              <w:spacing w:line="380" w:lineRule="exact"/>
              <w:ind w:firstLine="420" w:firstLineChars="200"/>
              <w:rPr>
                <w:rFonts w:ascii="宋体" w:hAnsi="宋体" w:cs="宋体"/>
                <w:color w:val="000000"/>
                <w:szCs w:val="21"/>
              </w:rPr>
            </w:pPr>
            <w:r>
              <w:rPr>
                <w:rFonts w:hint="eastAsia" w:ascii="宋体" w:hAnsi="宋体" w:cs="宋体"/>
                <w:color w:val="000000"/>
                <w:szCs w:val="21"/>
              </w:rPr>
              <w:t>（5）中标人需负责将所有产品运输到采购人指定地点，费用包含在投标报价中。</w:t>
            </w:r>
          </w:p>
          <w:p w14:paraId="3046CAEC">
            <w:pPr>
              <w:spacing w:line="380" w:lineRule="exact"/>
              <w:rPr>
                <w:rFonts w:ascii="宋体" w:hAnsi="宋体" w:cs="宋体"/>
                <w:b/>
                <w:bCs/>
                <w:color w:val="000000"/>
                <w:szCs w:val="21"/>
              </w:rPr>
            </w:pPr>
            <w:r>
              <w:rPr>
                <w:rFonts w:hint="eastAsia" w:ascii="宋体" w:hAnsi="宋体" w:cs="宋体"/>
                <w:b/>
                <w:bCs/>
                <w:color w:val="000000"/>
                <w:szCs w:val="21"/>
              </w:rPr>
              <w:t>3.投标人如单价报价超出上控单价的或存在漏项报价的，投标文件按投标无效处理。</w:t>
            </w:r>
          </w:p>
          <w:p w14:paraId="232A72C5">
            <w:pPr>
              <w:spacing w:line="380" w:lineRule="exact"/>
              <w:rPr>
                <w:rFonts w:ascii="宋体" w:hAnsi="宋体" w:cs="宋体"/>
                <w:color w:val="000000"/>
                <w:szCs w:val="21"/>
              </w:rPr>
            </w:pPr>
            <w:r>
              <w:rPr>
                <w:rFonts w:hint="eastAsia" w:ascii="宋体" w:hAnsi="宋体" w:cs="宋体"/>
                <w:color w:val="000000"/>
                <w:szCs w:val="21"/>
              </w:rPr>
              <w:t>4.供应商应严格按照国家、自治区、行业等相关规范要求，投入符合本项目设备安装、调试、运行操作的人员开展项目实施，按时按质按量完成项目安装及调试。</w:t>
            </w:r>
          </w:p>
          <w:p w14:paraId="7514C316">
            <w:pPr>
              <w:spacing w:line="380" w:lineRule="exact"/>
              <w:rPr>
                <w:rFonts w:ascii="宋体" w:hAnsi="宋体" w:cs="宋体"/>
                <w:color w:val="000000"/>
                <w:szCs w:val="21"/>
              </w:rPr>
            </w:pPr>
            <w:r>
              <w:rPr>
                <w:rFonts w:hint="eastAsia" w:ascii="宋体" w:hAnsi="宋体" w:cs="宋体"/>
                <w:color w:val="000000"/>
                <w:szCs w:val="21"/>
              </w:rPr>
              <w:t>5.投标人根据自身情况，结合本招标文件第四章“评标办法及评分标准”在投标文件中自行提供相关证明材料。</w:t>
            </w:r>
          </w:p>
          <w:p w14:paraId="422E32BE">
            <w:pPr>
              <w:spacing w:line="380" w:lineRule="exact"/>
              <w:rPr>
                <w:rFonts w:ascii="宋体" w:hAnsi="宋体" w:cs="宋体"/>
                <w:color w:val="000000"/>
                <w:szCs w:val="21"/>
              </w:rPr>
            </w:pPr>
            <w:r>
              <w:rPr>
                <w:rFonts w:hint="eastAsia" w:ascii="宋体" w:hAnsi="宋体" w:cs="宋体"/>
                <w:color w:val="000000"/>
                <w:szCs w:val="21"/>
              </w:rPr>
              <w:t>6.本项目货物</w:t>
            </w:r>
            <w:r>
              <w:rPr>
                <w:rFonts w:hint="eastAsia" w:ascii="宋体" w:hAnsi="宋体" w:cs="宋体"/>
                <w:bCs/>
                <w:color w:val="000000"/>
                <w:szCs w:val="21"/>
              </w:rPr>
              <w:t>已按规定办妥进口产品采购审核手续，投标产品可选用进口产品；但如选用进口产品时必须为全套原装进口产品（即通过中国海关报关验放进入中国境内且产自关境外的产品），同时供应商必须负责办理进口产品所有相关手续并承担所有费用。在进口产品投标报价相同的情况下，优先采购向我国企业转让技术、与我国企业签订消化吸收再创新方案的供应商的进口产品；</w:t>
            </w:r>
          </w:p>
          <w:p w14:paraId="7F76DF41">
            <w:pPr>
              <w:spacing w:line="380" w:lineRule="exact"/>
              <w:rPr>
                <w:rFonts w:ascii="宋体" w:hAnsi="宋体" w:cs="宋体"/>
                <w:color w:val="000000"/>
                <w:szCs w:val="21"/>
              </w:rPr>
            </w:pPr>
            <w:r>
              <w:rPr>
                <w:rFonts w:hint="eastAsia" w:ascii="宋体" w:hAnsi="宋体" w:cs="宋体"/>
                <w:color w:val="000000"/>
                <w:szCs w:val="21"/>
              </w:rPr>
              <w:t>7.原厂商授权及相关要求：</w:t>
            </w:r>
            <w:r>
              <w:rPr>
                <w:rFonts w:hint="eastAsia" w:ascii="宋体" w:hAnsi="宋体" w:cs="宋体"/>
                <w:bCs/>
                <w:color w:val="000000"/>
                <w:szCs w:val="21"/>
              </w:rPr>
              <w:t>如选用进口产品时，</w:t>
            </w:r>
            <w:r>
              <w:rPr>
                <w:rFonts w:hint="eastAsia" w:ascii="宋体" w:hAnsi="宋体" w:cs="宋体"/>
                <w:color w:val="000000"/>
                <w:kern w:val="0"/>
                <w:szCs w:val="21"/>
              </w:rPr>
              <w:t>供应商在投标文件中</w:t>
            </w:r>
            <w:r>
              <w:rPr>
                <w:rFonts w:hint="eastAsia" w:ascii="宋体" w:hAnsi="宋体" w:cs="宋体"/>
                <w:color w:val="000000"/>
              </w:rPr>
              <w:t>必须提供原厂商或区域总代理商出具的针对本项目的授权书，否则投标无效。</w:t>
            </w:r>
          </w:p>
        </w:tc>
      </w:tr>
      <w:tr w14:paraId="59E3B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450" w:type="dxa"/>
            <w:gridSpan w:val="2"/>
            <w:tcBorders>
              <w:top w:val="single" w:color="auto" w:sz="4" w:space="0"/>
              <w:left w:val="single" w:color="auto" w:sz="4" w:space="0"/>
              <w:bottom w:val="single" w:color="auto" w:sz="4" w:space="0"/>
              <w:right w:val="single" w:color="auto" w:sz="4" w:space="0"/>
            </w:tcBorders>
            <w:vAlign w:val="center"/>
          </w:tcPr>
          <w:p w14:paraId="5B95A4C4">
            <w:pPr>
              <w:spacing w:line="380" w:lineRule="exact"/>
              <w:jc w:val="center"/>
              <w:rPr>
                <w:rFonts w:ascii="宋体" w:hAnsi="宋体" w:cs="宋体"/>
                <w:color w:val="000000"/>
                <w:szCs w:val="21"/>
              </w:rPr>
            </w:pPr>
            <w:r>
              <w:rPr>
                <w:rFonts w:hint="eastAsia" w:ascii="宋体" w:hAnsi="宋体" w:cs="宋体"/>
                <w:color w:val="000000"/>
                <w:szCs w:val="21"/>
              </w:rPr>
              <w:t>知识产权</w:t>
            </w:r>
          </w:p>
        </w:tc>
        <w:tc>
          <w:tcPr>
            <w:tcW w:w="7900" w:type="dxa"/>
            <w:gridSpan w:val="3"/>
            <w:tcBorders>
              <w:top w:val="single" w:color="auto" w:sz="4" w:space="0"/>
              <w:left w:val="single" w:color="auto" w:sz="4" w:space="0"/>
              <w:bottom w:val="single" w:color="auto" w:sz="4" w:space="0"/>
              <w:right w:val="single" w:color="auto" w:sz="4" w:space="0"/>
            </w:tcBorders>
            <w:vAlign w:val="center"/>
          </w:tcPr>
          <w:p w14:paraId="22E450BE">
            <w:pPr>
              <w:spacing w:line="380" w:lineRule="exact"/>
              <w:ind w:right="-57" w:rightChars="-27" w:firstLine="420" w:firstLineChars="200"/>
              <w:jc w:val="left"/>
              <w:rPr>
                <w:rFonts w:ascii="宋体" w:hAnsi="宋体" w:cs="宋体"/>
                <w:color w:val="000000"/>
                <w:szCs w:val="21"/>
              </w:rPr>
            </w:pPr>
            <w:r>
              <w:rPr>
                <w:rFonts w:hint="eastAsia" w:ascii="宋体" w:hAnsi="宋体" w:cs="宋体"/>
                <w:color w:val="000000"/>
                <w:szCs w:val="21"/>
              </w:rPr>
              <w:t>中标供应商保证所提供的产品及服务涉及到的知识产权和相关技术资料是合法取得的，采购人在使用产品及服务时不会侵犯任何第三方的专利权、商标权、工业设计权或其他权利，不会因为采购人的使用遭受第三方侵权指控，包括被责令致歉、停止使用、追偿或要求赔偿损失等。否则，中标供应商负责解决由此引起的一切纠纷，采购人有权追究中标供应商的法律责任，其不利后果由中标供应商全部承担。</w:t>
            </w:r>
          </w:p>
        </w:tc>
      </w:tr>
      <w:tr w14:paraId="46DEE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50" w:type="dxa"/>
            <w:gridSpan w:val="2"/>
            <w:tcBorders>
              <w:top w:val="single" w:color="auto" w:sz="4" w:space="0"/>
              <w:left w:val="single" w:color="auto" w:sz="4" w:space="0"/>
              <w:bottom w:val="single" w:color="auto" w:sz="4" w:space="0"/>
              <w:right w:val="single" w:color="auto" w:sz="4" w:space="0"/>
            </w:tcBorders>
            <w:vAlign w:val="center"/>
          </w:tcPr>
          <w:p w14:paraId="448E03EB">
            <w:pPr>
              <w:snapToGrid w:val="0"/>
              <w:spacing w:line="380" w:lineRule="exact"/>
              <w:jc w:val="center"/>
              <w:rPr>
                <w:rFonts w:ascii="宋体" w:hAnsi="宋体" w:cs="宋体"/>
                <w:color w:val="000000"/>
                <w:szCs w:val="21"/>
              </w:rPr>
            </w:pPr>
            <w:r>
              <w:rPr>
                <w:rFonts w:hint="eastAsia" w:ascii="宋体" w:hAnsi="宋体" w:cs="宋体"/>
                <w:color w:val="000000"/>
                <w:szCs w:val="21"/>
              </w:rPr>
              <w:t>验收要求</w:t>
            </w:r>
          </w:p>
        </w:tc>
        <w:tc>
          <w:tcPr>
            <w:tcW w:w="7900" w:type="dxa"/>
            <w:gridSpan w:val="3"/>
            <w:tcBorders>
              <w:top w:val="single" w:color="auto" w:sz="4" w:space="0"/>
              <w:left w:val="single" w:color="auto" w:sz="4" w:space="0"/>
              <w:bottom w:val="single" w:color="auto" w:sz="4" w:space="0"/>
              <w:right w:val="single" w:color="auto" w:sz="4" w:space="0"/>
            </w:tcBorders>
            <w:vAlign w:val="center"/>
          </w:tcPr>
          <w:p w14:paraId="1E24D1D3">
            <w:pPr>
              <w:pStyle w:val="25"/>
              <w:snapToGrid w:val="0"/>
              <w:spacing w:line="380" w:lineRule="exact"/>
              <w:outlineLvl w:val="0"/>
              <w:rPr>
                <w:rFonts w:hAnsi="宋体" w:cs="宋体"/>
                <w:color w:val="000000"/>
                <w:sz w:val="21"/>
              </w:rPr>
            </w:pPr>
            <w:r>
              <w:rPr>
                <w:rFonts w:hint="eastAsia" w:hAnsi="宋体" w:cs="宋体"/>
                <w:color w:val="000000"/>
                <w:sz w:val="21"/>
              </w:rPr>
              <w:t>1.采购人可以根据采购项目具体情况自行组织验收，或者委托第三方机构或部门开展采购项目履约验收工作，验收过程中所产生的费用均由中标人承担，投标人在投标报价时应考虑相关费用。</w:t>
            </w:r>
          </w:p>
          <w:p w14:paraId="7FF480D1">
            <w:pPr>
              <w:pStyle w:val="25"/>
              <w:snapToGrid w:val="0"/>
              <w:spacing w:line="380" w:lineRule="exact"/>
              <w:outlineLvl w:val="0"/>
              <w:rPr>
                <w:rFonts w:hAnsi="宋体" w:cs="宋体"/>
                <w:color w:val="000000"/>
                <w:sz w:val="21"/>
              </w:rPr>
            </w:pPr>
            <w:r>
              <w:rPr>
                <w:rFonts w:hint="eastAsia" w:hAnsi="宋体" w:cs="宋体"/>
                <w:color w:val="000000"/>
                <w:sz w:val="21"/>
              </w:rPr>
              <w:t>2.在验收过程中发现中标人有违约问题，可暂缓资金结算，待违约问题解决后，方可办理资金结算事宜。</w:t>
            </w:r>
          </w:p>
          <w:p w14:paraId="57E7A202">
            <w:pPr>
              <w:pStyle w:val="25"/>
              <w:snapToGrid w:val="0"/>
              <w:spacing w:line="380" w:lineRule="exact"/>
              <w:outlineLvl w:val="0"/>
              <w:rPr>
                <w:rFonts w:hAnsi="宋体" w:cs="宋体"/>
                <w:color w:val="000000"/>
                <w:sz w:val="21"/>
              </w:rPr>
            </w:pPr>
            <w:r>
              <w:rPr>
                <w:rFonts w:hint="eastAsia" w:hAnsi="宋体" w:cs="宋体"/>
                <w:color w:val="000000"/>
                <w:sz w:val="21"/>
              </w:rPr>
              <w:t>3.验收依据：按合同（含本招标文件采购需求、中标供应商投标文件承诺）要求及国家标准进行验收。</w:t>
            </w:r>
          </w:p>
          <w:p w14:paraId="3575C024">
            <w:pPr>
              <w:pStyle w:val="25"/>
              <w:snapToGrid w:val="0"/>
              <w:spacing w:line="380" w:lineRule="exact"/>
              <w:outlineLvl w:val="0"/>
              <w:rPr>
                <w:rFonts w:hAnsi="宋体" w:cs="宋体"/>
                <w:color w:val="000000"/>
                <w:sz w:val="21"/>
              </w:rPr>
            </w:pPr>
            <w:r>
              <w:rPr>
                <w:rFonts w:hint="eastAsia" w:hAnsi="宋体" w:cs="宋体"/>
                <w:color w:val="000000"/>
                <w:sz w:val="21"/>
              </w:rPr>
              <w:t>4.验收标准</w:t>
            </w:r>
          </w:p>
          <w:p w14:paraId="56610DB9">
            <w:pPr>
              <w:pStyle w:val="25"/>
              <w:snapToGrid w:val="0"/>
              <w:spacing w:line="380" w:lineRule="exact"/>
              <w:outlineLvl w:val="0"/>
              <w:rPr>
                <w:rFonts w:hAnsi="宋体" w:cs="宋体"/>
                <w:color w:val="000000"/>
                <w:sz w:val="21"/>
              </w:rPr>
            </w:pPr>
            <w:r>
              <w:rPr>
                <w:rFonts w:hint="eastAsia" w:hAnsi="宋体" w:cs="宋体"/>
                <w:color w:val="000000"/>
                <w:sz w:val="21"/>
              </w:rPr>
              <w:t>（1）中标供应商按采购人需求清单进行供货，货物交到指定地点后，双方现场进行货品清点。供应商交付的产品须符合有效期要求。</w:t>
            </w:r>
          </w:p>
          <w:p w14:paraId="08AC8B6E">
            <w:pPr>
              <w:pStyle w:val="25"/>
              <w:snapToGrid w:val="0"/>
              <w:spacing w:line="380" w:lineRule="exact"/>
              <w:outlineLvl w:val="0"/>
              <w:rPr>
                <w:rFonts w:hAnsi="宋体" w:cs="宋体"/>
                <w:color w:val="000000"/>
                <w:sz w:val="21"/>
              </w:rPr>
            </w:pPr>
            <w:r>
              <w:rPr>
                <w:rFonts w:hint="eastAsia" w:hAnsi="宋体" w:cs="宋体"/>
                <w:color w:val="000000"/>
                <w:sz w:val="21"/>
              </w:rPr>
              <w:t>（2）供应商必须按投标文件和合同约定的品牌、规格供货，验收不合格时，中标供应商必须在采购人指定的时间内无条件更换，由此造成的损失和责任由供应商承担。货物交付并验收合格，双方签署验收单，作为合同款结算依据。如出现停产等问题，供应商在获得厂家说明和承诺的前提下，经采购人同意可以用质量更优于合同约定的产品进行替代交付，价格不变。如采购人不同意更换的，供应商应同意采购人扣减对应产品的费用。</w:t>
            </w:r>
          </w:p>
          <w:p w14:paraId="00E990AC">
            <w:pPr>
              <w:pStyle w:val="25"/>
              <w:snapToGrid w:val="0"/>
              <w:spacing w:line="380" w:lineRule="exact"/>
              <w:outlineLvl w:val="0"/>
              <w:rPr>
                <w:rFonts w:hAnsi="宋体" w:cs="宋体"/>
                <w:color w:val="000000"/>
                <w:sz w:val="21"/>
              </w:rPr>
            </w:pPr>
            <w:r>
              <w:rPr>
                <w:rFonts w:hint="eastAsia" w:hAnsi="宋体" w:cs="宋体"/>
                <w:color w:val="000000"/>
                <w:sz w:val="21"/>
              </w:rPr>
              <w:t>（3）如有抽检要求的，检测结果应符合招标文件采购需求及采购合同约定的要求。</w:t>
            </w:r>
          </w:p>
          <w:p w14:paraId="5501FE51">
            <w:pPr>
              <w:pStyle w:val="25"/>
              <w:snapToGrid w:val="0"/>
              <w:spacing w:line="380" w:lineRule="exact"/>
              <w:outlineLvl w:val="0"/>
              <w:rPr>
                <w:rFonts w:hAnsi="宋体" w:cs="宋体"/>
                <w:color w:val="000000"/>
                <w:sz w:val="21"/>
              </w:rPr>
            </w:pPr>
            <w:r>
              <w:rPr>
                <w:rFonts w:hint="eastAsia" w:hAnsi="宋体" w:cs="宋体"/>
                <w:color w:val="000000"/>
                <w:sz w:val="21"/>
              </w:rPr>
              <w:t>（4）所有产品均已运输至指定地点。</w:t>
            </w:r>
          </w:p>
          <w:p w14:paraId="3DC8E65A">
            <w:pPr>
              <w:pStyle w:val="25"/>
              <w:snapToGrid w:val="0"/>
              <w:spacing w:line="380" w:lineRule="exact"/>
              <w:outlineLvl w:val="0"/>
              <w:rPr>
                <w:rFonts w:hAnsi="宋体" w:cs="宋体"/>
                <w:color w:val="000000"/>
                <w:sz w:val="21"/>
              </w:rPr>
            </w:pPr>
            <w:r>
              <w:rPr>
                <w:rFonts w:hint="eastAsia" w:hAnsi="宋体" w:cs="宋体"/>
                <w:color w:val="000000"/>
                <w:sz w:val="21"/>
              </w:rPr>
              <w:t>（5）招标文件采购需求及采购合同约定的附件、工具、技术资料等齐全；提供产品使用说明书、合格证。</w:t>
            </w:r>
          </w:p>
          <w:p w14:paraId="4C0398A8">
            <w:pPr>
              <w:pStyle w:val="25"/>
              <w:snapToGrid w:val="0"/>
              <w:spacing w:line="380" w:lineRule="exact"/>
              <w:outlineLvl w:val="0"/>
              <w:rPr>
                <w:rFonts w:hAnsi="宋体" w:cs="宋体"/>
                <w:color w:val="000000"/>
                <w:sz w:val="21"/>
              </w:rPr>
            </w:pPr>
            <w:r>
              <w:rPr>
                <w:rFonts w:hint="eastAsia" w:hAnsi="宋体" w:cs="宋体"/>
                <w:color w:val="000000"/>
                <w:sz w:val="21"/>
              </w:rPr>
              <w:t>5.验收要求</w:t>
            </w:r>
          </w:p>
          <w:p w14:paraId="61CD38BD">
            <w:pPr>
              <w:pStyle w:val="25"/>
              <w:snapToGrid w:val="0"/>
              <w:spacing w:line="380" w:lineRule="exact"/>
              <w:ind w:firstLine="420" w:firstLineChars="200"/>
              <w:outlineLvl w:val="0"/>
              <w:rPr>
                <w:rFonts w:hAnsi="宋体" w:cs="宋体"/>
                <w:color w:val="000000"/>
                <w:sz w:val="21"/>
              </w:rPr>
            </w:pPr>
            <w:r>
              <w:rPr>
                <w:rFonts w:hint="eastAsia" w:hAnsi="宋体" w:cs="宋体"/>
                <w:color w:val="000000"/>
                <w:sz w:val="21"/>
              </w:rPr>
              <w:t>验收小组以项目招标文件、采购合同以及中标单位投标时提供的样品为验收依据，对供货产品技术参数核对检验，如不符合技术参数要求的，中标人承担所有责任和费用。采购人保留进一步追究责任的权利。</w:t>
            </w:r>
          </w:p>
          <w:p w14:paraId="46EAF7BD">
            <w:pPr>
              <w:pStyle w:val="25"/>
              <w:snapToGrid w:val="0"/>
              <w:spacing w:line="380" w:lineRule="exact"/>
              <w:ind w:firstLine="420" w:firstLineChars="200"/>
              <w:outlineLvl w:val="0"/>
              <w:rPr>
                <w:rFonts w:hAnsi="宋体" w:cs="宋体"/>
                <w:color w:val="000000"/>
                <w:sz w:val="21"/>
              </w:rPr>
            </w:pPr>
            <w:r>
              <w:rPr>
                <w:rFonts w:hint="eastAsia" w:hAnsi="宋体" w:cs="宋体"/>
                <w:color w:val="000000"/>
                <w:sz w:val="21"/>
              </w:rPr>
              <w:t>（1）中标人按时间节点完成货物供货后，应及时整理技术资料并做出全面检查和整理，列出清单，作为采购人验收和使用的技术条件依据，清单应交给采购人；同时以书面形式通知采购人进行验收，采购人在收到通知后五个工作日内进行验收。货物生产厂家须派授权代表参加本项目交货验收，核实所交货物的真伪；中标供应商必须到场配合，验收合格后双方在验收记录上签字确认。</w:t>
            </w:r>
          </w:p>
          <w:p w14:paraId="59BEFBE8">
            <w:pPr>
              <w:pStyle w:val="25"/>
              <w:snapToGrid w:val="0"/>
              <w:spacing w:line="380" w:lineRule="exact"/>
              <w:ind w:firstLine="420" w:firstLineChars="200"/>
              <w:outlineLvl w:val="0"/>
              <w:rPr>
                <w:rFonts w:hAnsi="宋体" w:cs="宋体"/>
                <w:color w:val="000000"/>
                <w:sz w:val="21"/>
              </w:rPr>
            </w:pPr>
            <w:r>
              <w:rPr>
                <w:rFonts w:hint="eastAsia" w:hAnsi="宋体" w:cs="宋体"/>
                <w:color w:val="000000"/>
                <w:sz w:val="21"/>
              </w:rPr>
              <w:t>（2）验收小组依据招标文件技术参数条款要求和中标人投标响应文件内容逐条进行验收，采购人在产品验收环节发现产品的技术参数指标不符合投标文件中技术参数响应的内容，验收不合格时，有权要求中标人在限定期限内进行整改，如整改后二次验收仍不合格的，采购人有权拒收货物并单方面终止合同和追究中标供应商违约责任，中标人须赔偿采购人因采购时间延长造成的经济等方面损失，并视情形将违约情况上报政府采购监督管理部门，由此带来的一切责任由中标供应商自行承担。</w:t>
            </w:r>
          </w:p>
          <w:p w14:paraId="6847AD3A">
            <w:pPr>
              <w:pStyle w:val="25"/>
              <w:snapToGrid w:val="0"/>
              <w:spacing w:line="380" w:lineRule="exact"/>
              <w:ind w:firstLine="420" w:firstLineChars="200"/>
              <w:outlineLvl w:val="0"/>
              <w:rPr>
                <w:rFonts w:hAnsi="宋体" w:cs="宋体"/>
                <w:color w:val="000000"/>
                <w:sz w:val="21"/>
              </w:rPr>
            </w:pPr>
            <w:r>
              <w:rPr>
                <w:rFonts w:hint="eastAsia" w:hAnsi="宋体" w:cs="宋体"/>
                <w:color w:val="000000"/>
                <w:sz w:val="21"/>
              </w:rPr>
              <w:t>（3）如中标人提供虚假材料的，除按相关规定作违约处理外，采购人依据相关法律规定追究中标人的责任，由此带来的一切责任及损失由中标人自行承担。</w:t>
            </w:r>
          </w:p>
          <w:p w14:paraId="6AF3BB6B">
            <w:pPr>
              <w:pStyle w:val="25"/>
              <w:snapToGrid w:val="0"/>
              <w:spacing w:line="380" w:lineRule="exact"/>
              <w:ind w:firstLine="420" w:firstLineChars="200"/>
              <w:outlineLvl w:val="0"/>
              <w:rPr>
                <w:rFonts w:hAnsi="宋体" w:cs="宋体"/>
                <w:color w:val="000000"/>
                <w:sz w:val="21"/>
              </w:rPr>
            </w:pPr>
            <w:r>
              <w:rPr>
                <w:rFonts w:hint="eastAsia" w:hAnsi="宋体" w:cs="宋体"/>
                <w:color w:val="000000"/>
                <w:sz w:val="21"/>
              </w:rPr>
              <w:t>（4）项目验收过程中，若采购人委托第三方检测机构介入的，费用由中标人另行承担。</w:t>
            </w:r>
          </w:p>
          <w:p w14:paraId="6EDC7350">
            <w:pPr>
              <w:spacing w:line="380" w:lineRule="exact"/>
              <w:rPr>
                <w:rFonts w:ascii="宋体" w:hAnsi="宋体" w:cs="宋体"/>
                <w:color w:val="000000"/>
                <w:szCs w:val="21"/>
              </w:rPr>
            </w:pPr>
            <w:r>
              <w:rPr>
                <w:rFonts w:hint="eastAsia" w:ascii="宋体" w:hAnsi="宋体" w:cs="宋体"/>
                <w:color w:val="000000"/>
                <w:szCs w:val="21"/>
              </w:rPr>
              <w:t>6.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05ABD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50" w:type="dxa"/>
            <w:gridSpan w:val="2"/>
            <w:tcBorders>
              <w:top w:val="single" w:color="auto" w:sz="4" w:space="0"/>
              <w:left w:val="single" w:color="auto" w:sz="4" w:space="0"/>
              <w:bottom w:val="single" w:color="auto" w:sz="4" w:space="0"/>
              <w:right w:val="single" w:color="auto" w:sz="4" w:space="0"/>
            </w:tcBorders>
            <w:vAlign w:val="center"/>
          </w:tcPr>
          <w:p w14:paraId="7FDA6DCB">
            <w:pPr>
              <w:tabs>
                <w:tab w:val="left" w:pos="180"/>
                <w:tab w:val="left" w:pos="1620"/>
              </w:tabs>
              <w:spacing w:line="380" w:lineRule="exact"/>
              <w:jc w:val="center"/>
              <w:rPr>
                <w:rFonts w:ascii="宋体" w:hAnsi="宋体" w:cs="宋体"/>
                <w:color w:val="000000"/>
                <w:szCs w:val="21"/>
              </w:rPr>
            </w:pPr>
            <w:r>
              <w:rPr>
                <w:rFonts w:hint="eastAsia" w:ascii="宋体" w:hAnsi="宋体" w:cs="宋体"/>
                <w:color w:val="000000"/>
                <w:szCs w:val="21"/>
              </w:rPr>
              <w:t>核心产品</w:t>
            </w:r>
          </w:p>
        </w:tc>
        <w:tc>
          <w:tcPr>
            <w:tcW w:w="7900" w:type="dxa"/>
            <w:gridSpan w:val="3"/>
            <w:tcBorders>
              <w:top w:val="single" w:color="auto" w:sz="4" w:space="0"/>
              <w:left w:val="single" w:color="auto" w:sz="4" w:space="0"/>
              <w:bottom w:val="single" w:color="auto" w:sz="4" w:space="0"/>
              <w:right w:val="single" w:color="auto" w:sz="4" w:space="0"/>
            </w:tcBorders>
            <w:vAlign w:val="center"/>
          </w:tcPr>
          <w:p w14:paraId="6D6784ED">
            <w:pPr>
              <w:spacing w:line="380" w:lineRule="exact"/>
              <w:rPr>
                <w:rFonts w:ascii="宋体" w:hAnsi="宋体" w:cs="宋体"/>
                <w:color w:val="000000"/>
                <w:szCs w:val="21"/>
              </w:rPr>
            </w:pPr>
            <w:r>
              <w:rPr>
                <w:rFonts w:hint="eastAsia" w:ascii="宋体" w:hAnsi="宋体" w:cs="宋体"/>
                <w:b/>
                <w:color w:val="000000"/>
                <w:szCs w:val="21"/>
              </w:rPr>
              <w:t>本标项核心产品为第1项货物“高端心脏彩超仪”</w:t>
            </w:r>
            <w:r>
              <w:rPr>
                <w:rFonts w:hint="eastAsia" w:ascii="宋体" w:hAnsi="宋体" w:cs="宋体"/>
                <w:color w:val="000000"/>
                <w:szCs w:val="21"/>
              </w:rPr>
              <w:t>。（核心产品品牌相同的，视为提供同品牌产品）</w:t>
            </w:r>
          </w:p>
          <w:p w14:paraId="273D15C2">
            <w:pPr>
              <w:autoSpaceDE w:val="0"/>
              <w:autoSpaceDN w:val="0"/>
              <w:snapToGrid w:val="0"/>
              <w:spacing w:line="380" w:lineRule="exact"/>
              <w:textAlignment w:val="bottom"/>
              <w:rPr>
                <w:rFonts w:ascii="宋体" w:hAnsi="宋体" w:cs="宋体"/>
                <w:color w:val="000000"/>
                <w:szCs w:val="21"/>
              </w:rPr>
            </w:pPr>
            <w:r>
              <w:rPr>
                <w:rFonts w:hint="eastAsia" w:ascii="宋体" w:hAnsi="宋体" w:cs="宋体"/>
                <w:color w:val="000000"/>
                <w:szCs w:val="21"/>
              </w:rPr>
              <w:t>注：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报价低优先、按技术指标优劣）确定一个投标人获得中标人推荐资格，招标文件未规定的采取随机抽取方式确定，其他同品牌投标人不作为中标候选人。</w:t>
            </w:r>
          </w:p>
        </w:tc>
      </w:tr>
    </w:tbl>
    <w:p w14:paraId="4C0719C6">
      <w:pPr>
        <w:spacing w:line="400" w:lineRule="exact"/>
        <w:ind w:firstLine="435"/>
        <w:rPr>
          <w:rFonts w:ascii="宋体" w:hAnsi="宋体" w:cs="宋体"/>
          <w:b/>
          <w:color w:val="000000"/>
          <w:szCs w:val="21"/>
        </w:rPr>
      </w:pPr>
    </w:p>
    <w:p w14:paraId="419EF9E8">
      <w:pPr>
        <w:spacing w:line="400" w:lineRule="exact"/>
        <w:ind w:firstLine="435"/>
        <w:rPr>
          <w:rFonts w:ascii="宋体" w:hAnsi="宋体" w:cs="宋体"/>
          <w:b/>
          <w:color w:val="000000"/>
          <w:szCs w:val="21"/>
        </w:rPr>
      </w:pPr>
    </w:p>
    <w:p w14:paraId="12F5B82E">
      <w:pPr>
        <w:spacing w:line="400" w:lineRule="exact"/>
        <w:ind w:firstLine="435"/>
        <w:rPr>
          <w:rFonts w:ascii="宋体" w:hAnsi="宋体" w:cs="宋体"/>
          <w:b/>
          <w:szCs w:val="21"/>
        </w:rPr>
      </w:pPr>
    </w:p>
    <w:p w14:paraId="2785CE97">
      <w:pPr>
        <w:spacing w:line="400" w:lineRule="exact"/>
        <w:ind w:firstLine="435"/>
        <w:rPr>
          <w:rFonts w:ascii="宋体" w:hAnsi="宋体" w:cs="宋体"/>
          <w:b/>
          <w:szCs w:val="21"/>
        </w:rPr>
      </w:pPr>
    </w:p>
    <w:p w14:paraId="6DB9621B">
      <w:pPr>
        <w:spacing w:line="400" w:lineRule="exact"/>
        <w:ind w:firstLine="435"/>
        <w:rPr>
          <w:rFonts w:ascii="宋体" w:hAnsi="宋体" w:cs="宋体"/>
          <w:b/>
          <w:szCs w:val="21"/>
        </w:rPr>
      </w:pPr>
    </w:p>
    <w:p w14:paraId="531EF288">
      <w:pPr>
        <w:spacing w:line="400" w:lineRule="exact"/>
        <w:ind w:firstLine="435"/>
        <w:rPr>
          <w:rFonts w:ascii="宋体" w:hAnsi="宋体" w:cs="宋体"/>
          <w:b/>
          <w:szCs w:val="21"/>
        </w:rPr>
      </w:pPr>
    </w:p>
    <w:p w14:paraId="279F2217">
      <w:pPr>
        <w:spacing w:line="400" w:lineRule="exact"/>
        <w:ind w:firstLine="435"/>
        <w:rPr>
          <w:rFonts w:ascii="宋体" w:hAnsi="宋体" w:cs="宋体"/>
          <w:b/>
          <w:szCs w:val="21"/>
        </w:rPr>
      </w:pPr>
    </w:p>
    <w:p w14:paraId="6ED6B4C7">
      <w:pPr>
        <w:spacing w:line="400" w:lineRule="exact"/>
        <w:ind w:firstLine="435"/>
        <w:rPr>
          <w:rFonts w:ascii="宋体" w:hAnsi="宋体" w:cs="宋体"/>
          <w:b/>
          <w:szCs w:val="21"/>
        </w:rPr>
      </w:pPr>
    </w:p>
    <w:p w14:paraId="075A0C98">
      <w:pPr>
        <w:spacing w:line="400" w:lineRule="exact"/>
        <w:ind w:firstLine="435"/>
        <w:rPr>
          <w:rFonts w:ascii="宋体" w:hAnsi="宋体" w:cs="宋体"/>
          <w:b/>
          <w:szCs w:val="21"/>
        </w:rPr>
      </w:pPr>
    </w:p>
    <w:p w14:paraId="1BB47754">
      <w:pPr>
        <w:spacing w:line="400" w:lineRule="exact"/>
        <w:ind w:firstLine="435"/>
        <w:rPr>
          <w:rFonts w:ascii="宋体" w:hAnsi="宋体" w:cs="宋体"/>
          <w:b/>
          <w:szCs w:val="21"/>
        </w:rPr>
      </w:pPr>
    </w:p>
    <w:p w14:paraId="4C13910D">
      <w:pPr>
        <w:spacing w:line="400" w:lineRule="exact"/>
        <w:ind w:firstLine="435"/>
        <w:rPr>
          <w:rFonts w:ascii="宋体" w:hAnsi="宋体" w:cs="宋体"/>
          <w:b/>
          <w:szCs w:val="21"/>
        </w:rPr>
      </w:pPr>
    </w:p>
    <w:p w14:paraId="051E185B">
      <w:pPr>
        <w:spacing w:line="400" w:lineRule="exact"/>
        <w:ind w:firstLine="435"/>
        <w:rPr>
          <w:rFonts w:ascii="宋体" w:hAnsi="宋体" w:cs="宋体"/>
          <w:b/>
          <w:szCs w:val="21"/>
        </w:rPr>
      </w:pPr>
    </w:p>
    <w:p w14:paraId="1B1DC34F">
      <w:pPr>
        <w:spacing w:line="400" w:lineRule="exact"/>
        <w:ind w:firstLine="435"/>
        <w:rPr>
          <w:rFonts w:ascii="宋体" w:hAnsi="宋体" w:cs="宋体"/>
          <w:b/>
          <w:szCs w:val="21"/>
        </w:rPr>
      </w:pPr>
    </w:p>
    <w:p w14:paraId="4959E0D6">
      <w:pPr>
        <w:spacing w:line="400" w:lineRule="exact"/>
        <w:ind w:firstLine="435"/>
        <w:rPr>
          <w:rFonts w:ascii="宋体" w:hAnsi="宋体" w:cs="宋体"/>
          <w:b/>
          <w:szCs w:val="21"/>
        </w:rPr>
      </w:pPr>
    </w:p>
    <w:p w14:paraId="2123B70A">
      <w:pPr>
        <w:spacing w:line="400" w:lineRule="exact"/>
        <w:ind w:firstLine="435"/>
        <w:rPr>
          <w:rFonts w:ascii="宋体" w:hAnsi="宋体" w:cs="宋体"/>
          <w:b/>
          <w:szCs w:val="21"/>
        </w:rPr>
      </w:pPr>
    </w:p>
    <w:p w14:paraId="17945C53">
      <w:pPr>
        <w:spacing w:line="400" w:lineRule="exact"/>
        <w:ind w:firstLine="435"/>
        <w:rPr>
          <w:rFonts w:ascii="宋体" w:hAnsi="宋体" w:cs="宋体"/>
          <w:b/>
          <w:szCs w:val="21"/>
        </w:rPr>
      </w:pPr>
    </w:p>
    <w:p w14:paraId="014D4729">
      <w:pPr>
        <w:spacing w:line="400" w:lineRule="exact"/>
        <w:ind w:firstLine="435"/>
        <w:rPr>
          <w:rFonts w:ascii="宋体"/>
          <w:b/>
          <w:bCs/>
          <w:color w:val="FF33CC"/>
          <w:sz w:val="24"/>
        </w:rPr>
      </w:pPr>
      <w:r>
        <w:rPr>
          <w:rFonts w:hint="eastAsia" w:ascii="宋体" w:hAnsi="宋体" w:cs="宋体"/>
          <w:b/>
          <w:szCs w:val="21"/>
        </w:rPr>
        <w:t>标项二</w:t>
      </w:r>
      <w:r>
        <w:rPr>
          <w:rFonts w:hint="eastAsia" w:ascii="宋体"/>
          <w:b/>
          <w:bCs/>
          <w:sz w:val="24"/>
        </w:rPr>
        <w:t>采购预算：512万元</w:t>
      </w:r>
      <w:r>
        <w:rPr>
          <w:rFonts w:hint="eastAsia" w:ascii="宋体" w:hAnsi="宋体"/>
          <w:sz w:val="24"/>
        </w:rPr>
        <w:t>（最高限价金额：</w:t>
      </w:r>
      <w:r>
        <w:rPr>
          <w:rFonts w:ascii="宋体" w:hAnsi="宋体"/>
          <w:sz w:val="24"/>
        </w:rPr>
        <w:t>512</w:t>
      </w:r>
      <w:r>
        <w:rPr>
          <w:rFonts w:hint="eastAsia" w:ascii="宋体" w:hAnsi="宋体"/>
          <w:sz w:val="24"/>
        </w:rPr>
        <w:t>万元）</w:t>
      </w:r>
    </w:p>
    <w:tbl>
      <w:tblPr>
        <w:tblStyle w:val="48"/>
        <w:tblW w:w="10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866"/>
        <w:gridCol w:w="567"/>
        <w:gridCol w:w="567"/>
        <w:gridCol w:w="6033"/>
        <w:gridCol w:w="1413"/>
      </w:tblGrid>
      <w:tr w14:paraId="4A505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4" w:type="dxa"/>
            <w:tcBorders>
              <w:top w:val="single" w:color="auto" w:sz="4" w:space="0"/>
              <w:left w:val="single" w:color="auto" w:sz="4" w:space="0"/>
              <w:bottom w:val="single" w:color="auto" w:sz="4" w:space="0"/>
              <w:right w:val="single" w:color="auto" w:sz="4" w:space="0"/>
            </w:tcBorders>
            <w:vAlign w:val="center"/>
          </w:tcPr>
          <w:p w14:paraId="5A281F12">
            <w:pPr>
              <w:spacing w:line="380" w:lineRule="exact"/>
              <w:jc w:val="center"/>
              <w:rPr>
                <w:rFonts w:ascii="宋体" w:hAnsi="宋体" w:cs="宋体"/>
                <w:b/>
                <w:szCs w:val="21"/>
              </w:rPr>
            </w:pPr>
            <w:r>
              <w:rPr>
                <w:rFonts w:hint="eastAsia" w:ascii="宋体" w:hAnsi="宋体" w:cs="宋体"/>
                <w:b/>
                <w:szCs w:val="21"/>
              </w:rPr>
              <w:t>项号</w:t>
            </w:r>
          </w:p>
        </w:tc>
        <w:tc>
          <w:tcPr>
            <w:tcW w:w="866" w:type="dxa"/>
            <w:tcBorders>
              <w:top w:val="single" w:color="auto" w:sz="4" w:space="0"/>
              <w:left w:val="single" w:color="auto" w:sz="4" w:space="0"/>
              <w:bottom w:val="single" w:color="auto" w:sz="4" w:space="0"/>
              <w:right w:val="single" w:color="auto" w:sz="4" w:space="0"/>
            </w:tcBorders>
            <w:vAlign w:val="center"/>
          </w:tcPr>
          <w:p w14:paraId="65DD0103">
            <w:pPr>
              <w:spacing w:line="380" w:lineRule="exact"/>
              <w:jc w:val="center"/>
              <w:rPr>
                <w:rFonts w:ascii="宋体" w:hAnsi="宋体" w:cs="宋体"/>
                <w:b/>
                <w:szCs w:val="21"/>
              </w:rPr>
            </w:pPr>
            <w:r>
              <w:rPr>
                <w:rFonts w:hint="eastAsia" w:ascii="宋体" w:hAnsi="宋体" w:cs="宋体"/>
                <w:b/>
                <w:szCs w:val="21"/>
              </w:rPr>
              <w:t>货物</w:t>
            </w:r>
          </w:p>
          <w:p w14:paraId="0EFC6F48">
            <w:pPr>
              <w:spacing w:line="380" w:lineRule="exact"/>
              <w:jc w:val="center"/>
              <w:rPr>
                <w:rFonts w:ascii="宋体" w:hAnsi="宋体" w:cs="宋体"/>
                <w:b/>
                <w:szCs w:val="21"/>
              </w:rPr>
            </w:pPr>
            <w:r>
              <w:rPr>
                <w:rFonts w:hint="eastAsia" w:ascii="宋体" w:hAnsi="宋体" w:cs="宋体"/>
                <w:b/>
                <w:szCs w:val="21"/>
              </w:rPr>
              <w:t>名称</w:t>
            </w:r>
          </w:p>
        </w:tc>
        <w:tc>
          <w:tcPr>
            <w:tcW w:w="567" w:type="dxa"/>
            <w:tcBorders>
              <w:top w:val="single" w:color="auto" w:sz="4" w:space="0"/>
              <w:left w:val="single" w:color="auto" w:sz="4" w:space="0"/>
              <w:bottom w:val="single" w:color="auto" w:sz="4" w:space="0"/>
              <w:right w:val="single" w:color="auto" w:sz="4" w:space="0"/>
            </w:tcBorders>
            <w:vAlign w:val="center"/>
          </w:tcPr>
          <w:p w14:paraId="76D51EED">
            <w:pPr>
              <w:spacing w:line="380" w:lineRule="exact"/>
              <w:jc w:val="center"/>
              <w:rPr>
                <w:rFonts w:ascii="宋体" w:hAnsi="宋体" w:cs="宋体"/>
                <w:b/>
                <w:color w:val="FF00FF"/>
                <w:szCs w:val="21"/>
              </w:rPr>
            </w:pPr>
            <w:r>
              <w:rPr>
                <w:rFonts w:hint="eastAsia" w:ascii="宋体" w:hAnsi="宋体" w:cs="宋体"/>
                <w:b/>
                <w:szCs w:val="21"/>
              </w:rPr>
              <w:t>数量</w:t>
            </w:r>
          </w:p>
        </w:tc>
        <w:tc>
          <w:tcPr>
            <w:tcW w:w="567" w:type="dxa"/>
            <w:tcBorders>
              <w:top w:val="single" w:color="auto" w:sz="4" w:space="0"/>
              <w:left w:val="single" w:color="auto" w:sz="4" w:space="0"/>
              <w:bottom w:val="single" w:color="auto" w:sz="4" w:space="0"/>
              <w:right w:val="single" w:color="auto" w:sz="4" w:space="0"/>
            </w:tcBorders>
            <w:vAlign w:val="center"/>
          </w:tcPr>
          <w:p w14:paraId="5175C89A">
            <w:pPr>
              <w:spacing w:line="380" w:lineRule="exact"/>
              <w:jc w:val="center"/>
              <w:rPr>
                <w:rFonts w:ascii="宋体" w:hAnsi="宋体" w:cs="宋体"/>
                <w:b/>
                <w:szCs w:val="21"/>
              </w:rPr>
            </w:pPr>
            <w:r>
              <w:rPr>
                <w:rFonts w:hint="eastAsia" w:ascii="宋体" w:hAnsi="宋体" w:cs="宋体"/>
                <w:b/>
                <w:szCs w:val="21"/>
              </w:rPr>
              <w:t>单位</w:t>
            </w:r>
          </w:p>
        </w:tc>
        <w:tc>
          <w:tcPr>
            <w:tcW w:w="6033" w:type="dxa"/>
            <w:tcBorders>
              <w:top w:val="single" w:color="auto" w:sz="4" w:space="0"/>
              <w:left w:val="single" w:color="auto" w:sz="4" w:space="0"/>
              <w:bottom w:val="single" w:color="auto" w:sz="4" w:space="0"/>
              <w:right w:val="single" w:color="auto" w:sz="4" w:space="0"/>
            </w:tcBorders>
            <w:vAlign w:val="center"/>
          </w:tcPr>
          <w:p w14:paraId="59C63156">
            <w:pPr>
              <w:spacing w:line="380" w:lineRule="exact"/>
              <w:jc w:val="center"/>
              <w:rPr>
                <w:rFonts w:ascii="宋体" w:hAnsi="宋体" w:cs="宋体"/>
                <w:b/>
                <w:szCs w:val="21"/>
              </w:rPr>
            </w:pPr>
            <w:r>
              <w:rPr>
                <w:rFonts w:hint="eastAsia" w:ascii="宋体" w:hAnsi="宋体" w:cs="宋体"/>
                <w:b/>
                <w:szCs w:val="21"/>
              </w:rPr>
              <w:t>技术参数及性能（配置）要求</w:t>
            </w:r>
          </w:p>
        </w:tc>
        <w:tc>
          <w:tcPr>
            <w:tcW w:w="1413" w:type="dxa"/>
            <w:tcBorders>
              <w:top w:val="single" w:color="auto" w:sz="4" w:space="0"/>
              <w:left w:val="single" w:color="auto" w:sz="4" w:space="0"/>
              <w:bottom w:val="single" w:color="auto" w:sz="4" w:space="0"/>
              <w:right w:val="single" w:color="auto" w:sz="4" w:space="0"/>
            </w:tcBorders>
            <w:vAlign w:val="center"/>
          </w:tcPr>
          <w:p w14:paraId="7256AA67">
            <w:pPr>
              <w:spacing w:line="380" w:lineRule="exact"/>
              <w:rPr>
                <w:rFonts w:ascii="宋体" w:hAnsi="宋体" w:cs="宋体"/>
                <w:b/>
                <w:szCs w:val="21"/>
              </w:rPr>
            </w:pPr>
            <w:r>
              <w:rPr>
                <w:rFonts w:hint="eastAsia" w:ascii="宋体" w:hAnsi="宋体" w:cs="宋体"/>
                <w:b/>
                <w:szCs w:val="21"/>
              </w:rPr>
              <w:t>单价最高限价（万元）</w:t>
            </w:r>
          </w:p>
        </w:tc>
      </w:tr>
      <w:tr w14:paraId="2928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1" w:hRule="atLeast"/>
          <w:jc w:val="center"/>
        </w:trPr>
        <w:tc>
          <w:tcPr>
            <w:tcW w:w="584" w:type="dxa"/>
            <w:tcBorders>
              <w:top w:val="single" w:color="auto" w:sz="4" w:space="0"/>
              <w:left w:val="single" w:color="auto" w:sz="4" w:space="0"/>
              <w:bottom w:val="single" w:color="auto" w:sz="4" w:space="0"/>
              <w:right w:val="single" w:color="auto" w:sz="4" w:space="0"/>
            </w:tcBorders>
            <w:vAlign w:val="center"/>
          </w:tcPr>
          <w:p w14:paraId="44736EC2">
            <w:pPr>
              <w:spacing w:line="380" w:lineRule="exact"/>
              <w:ind w:firstLine="105" w:firstLineChars="50"/>
              <w:rPr>
                <w:rFonts w:ascii="宋体" w:hAnsi="宋体" w:cs="宋体"/>
                <w:szCs w:val="21"/>
              </w:rPr>
            </w:pPr>
            <w:r>
              <w:rPr>
                <w:rFonts w:hint="eastAsia" w:ascii="宋体" w:hAnsi="宋体" w:cs="宋体"/>
                <w:color w:val="000000"/>
                <w:szCs w:val="21"/>
              </w:rPr>
              <w:t>1</w:t>
            </w:r>
          </w:p>
        </w:tc>
        <w:tc>
          <w:tcPr>
            <w:tcW w:w="866" w:type="dxa"/>
            <w:tcBorders>
              <w:top w:val="single" w:color="auto" w:sz="4" w:space="0"/>
              <w:left w:val="single" w:color="auto" w:sz="4" w:space="0"/>
              <w:bottom w:val="single" w:color="auto" w:sz="4" w:space="0"/>
              <w:right w:val="single" w:color="auto" w:sz="4" w:space="0"/>
            </w:tcBorders>
            <w:vAlign w:val="center"/>
          </w:tcPr>
          <w:p w14:paraId="1D0574ED">
            <w:pPr>
              <w:spacing w:line="380" w:lineRule="exact"/>
              <w:jc w:val="center"/>
              <w:rPr>
                <w:rFonts w:ascii="宋体" w:hAnsi="宋体" w:cs="宋体"/>
                <w:szCs w:val="21"/>
              </w:rPr>
            </w:pPr>
            <w:r>
              <w:rPr>
                <w:rFonts w:hint="eastAsia" w:ascii="宋体" w:hAnsi="宋体" w:cs="宋体"/>
                <w:szCs w:val="21"/>
              </w:rPr>
              <w:t>彩超仪（超声诊断设备3探头）（1）</w:t>
            </w:r>
          </w:p>
        </w:tc>
        <w:tc>
          <w:tcPr>
            <w:tcW w:w="567" w:type="dxa"/>
            <w:tcBorders>
              <w:top w:val="single" w:color="auto" w:sz="4" w:space="0"/>
              <w:left w:val="single" w:color="auto" w:sz="4" w:space="0"/>
              <w:bottom w:val="single" w:color="auto" w:sz="4" w:space="0"/>
              <w:right w:val="single" w:color="auto" w:sz="4" w:space="0"/>
            </w:tcBorders>
            <w:vAlign w:val="center"/>
          </w:tcPr>
          <w:p w14:paraId="1D2DD2D6">
            <w:pPr>
              <w:spacing w:line="380" w:lineRule="exact"/>
              <w:jc w:val="center"/>
              <w:rPr>
                <w:rFonts w:ascii="宋体" w:hAnsi="宋体" w:cs="宋体"/>
                <w:szCs w:val="21"/>
              </w:rPr>
            </w:pPr>
            <w:r>
              <w:rPr>
                <w:rFonts w:hint="eastAsia" w:ascii="宋体" w:hAnsi="宋体" w:cs="宋体"/>
                <w:szCs w:val="21"/>
              </w:rPr>
              <w:t>2</w:t>
            </w:r>
          </w:p>
        </w:tc>
        <w:tc>
          <w:tcPr>
            <w:tcW w:w="567" w:type="dxa"/>
            <w:tcBorders>
              <w:top w:val="single" w:color="auto" w:sz="4" w:space="0"/>
              <w:left w:val="single" w:color="auto" w:sz="4" w:space="0"/>
              <w:bottom w:val="single" w:color="auto" w:sz="4" w:space="0"/>
              <w:right w:val="single" w:color="auto" w:sz="4" w:space="0"/>
            </w:tcBorders>
            <w:vAlign w:val="center"/>
          </w:tcPr>
          <w:p w14:paraId="156965DA">
            <w:pPr>
              <w:spacing w:line="380" w:lineRule="exact"/>
              <w:jc w:val="center"/>
              <w:rPr>
                <w:rFonts w:ascii="宋体" w:hAnsi="宋体" w:cs="宋体"/>
                <w:szCs w:val="21"/>
              </w:rPr>
            </w:pPr>
            <w:r>
              <w:rPr>
                <w:rFonts w:hint="eastAsia" w:ascii="宋体" w:hAnsi="宋体" w:cs="宋体"/>
                <w:szCs w:val="21"/>
              </w:rPr>
              <w:t>套</w:t>
            </w:r>
          </w:p>
        </w:tc>
        <w:tc>
          <w:tcPr>
            <w:tcW w:w="6033" w:type="dxa"/>
            <w:tcBorders>
              <w:top w:val="single" w:color="auto" w:sz="4" w:space="0"/>
              <w:left w:val="single" w:color="auto" w:sz="4" w:space="0"/>
              <w:bottom w:val="single" w:color="auto" w:sz="4" w:space="0"/>
              <w:right w:val="single" w:color="auto" w:sz="4" w:space="0"/>
            </w:tcBorders>
          </w:tcPr>
          <w:p w14:paraId="56B80AAC">
            <w:pPr>
              <w:spacing w:line="380" w:lineRule="exact"/>
              <w:rPr>
                <w:rFonts w:ascii="宋体" w:hAnsi="宋体" w:cs="宋体"/>
                <w:szCs w:val="21"/>
              </w:rPr>
            </w:pPr>
            <w:r>
              <w:rPr>
                <w:rFonts w:hint="eastAsia" w:ascii="宋体" w:hAnsi="宋体" w:cs="宋体"/>
                <w:szCs w:val="21"/>
              </w:rPr>
              <w:t>一、设备名称：彩色多普勒超声诊断仪</w:t>
            </w:r>
          </w:p>
          <w:p w14:paraId="6980CFFA">
            <w:pPr>
              <w:spacing w:line="380" w:lineRule="exact"/>
              <w:rPr>
                <w:rFonts w:ascii="宋体" w:hAnsi="宋体" w:cs="宋体"/>
                <w:szCs w:val="21"/>
              </w:rPr>
            </w:pPr>
            <w:r>
              <w:rPr>
                <w:rFonts w:hint="eastAsia" w:ascii="宋体" w:hAnsi="宋体" w:cs="宋体"/>
                <w:szCs w:val="21"/>
              </w:rPr>
              <w:t>二、数量：2套</w:t>
            </w:r>
          </w:p>
          <w:p w14:paraId="79AB1518">
            <w:pPr>
              <w:spacing w:line="380" w:lineRule="exact"/>
              <w:rPr>
                <w:rFonts w:ascii="宋体" w:hAnsi="宋体" w:cs="宋体"/>
                <w:szCs w:val="21"/>
              </w:rPr>
            </w:pPr>
            <w:r>
              <w:rPr>
                <w:rFonts w:hint="eastAsia" w:ascii="宋体" w:hAnsi="宋体" w:cs="宋体"/>
                <w:szCs w:val="21"/>
              </w:rPr>
              <w:t>三、设备用途说明及主要要求：</w:t>
            </w:r>
          </w:p>
          <w:p w14:paraId="71588584">
            <w:pPr>
              <w:spacing w:line="380" w:lineRule="exact"/>
              <w:rPr>
                <w:rFonts w:ascii="宋体" w:hAnsi="宋体" w:cs="宋体"/>
                <w:szCs w:val="21"/>
              </w:rPr>
            </w:pPr>
            <w:r>
              <w:rPr>
                <w:rFonts w:hint="eastAsia" w:ascii="宋体" w:hAnsi="宋体" w:cs="宋体"/>
                <w:szCs w:val="21"/>
              </w:rPr>
              <w:t>3.1用途：主要用于腹部、妇产科、外周血管、小器官、浅表组织、介入等方面的临床超声诊断，具备持续升级能力，能满足开展新的临床应用需求</w:t>
            </w:r>
          </w:p>
          <w:p w14:paraId="16159839">
            <w:pPr>
              <w:spacing w:line="380" w:lineRule="exact"/>
              <w:rPr>
                <w:rFonts w:ascii="宋体" w:hAnsi="宋体" w:cs="宋体"/>
                <w:szCs w:val="21"/>
              </w:rPr>
            </w:pPr>
            <w:r>
              <w:rPr>
                <w:rFonts w:hint="eastAsia" w:ascii="宋体" w:hAnsi="宋体" w:cs="宋体"/>
                <w:szCs w:val="21"/>
              </w:rPr>
              <w:t>3.2采用最新的软硬件版本</w:t>
            </w:r>
          </w:p>
          <w:p w14:paraId="2EBCA2E2">
            <w:pPr>
              <w:spacing w:line="380" w:lineRule="exact"/>
              <w:rPr>
                <w:rFonts w:ascii="宋体" w:hAnsi="宋体" w:cs="宋体"/>
                <w:szCs w:val="21"/>
              </w:rPr>
            </w:pPr>
            <w:r>
              <w:rPr>
                <w:rFonts w:hint="eastAsia" w:ascii="宋体" w:hAnsi="宋体" w:cs="宋体"/>
                <w:szCs w:val="21"/>
              </w:rPr>
              <w:t>四、主要规格及系统概述：</w:t>
            </w:r>
          </w:p>
          <w:p w14:paraId="34C783A8">
            <w:pPr>
              <w:spacing w:line="380" w:lineRule="exact"/>
              <w:rPr>
                <w:rFonts w:ascii="宋体" w:hAnsi="宋体" w:cs="宋体"/>
                <w:szCs w:val="21"/>
              </w:rPr>
            </w:pPr>
            <w:r>
              <w:rPr>
                <w:rFonts w:hint="eastAsia" w:ascii="宋体" w:hAnsi="宋体" w:cs="宋体"/>
                <w:szCs w:val="21"/>
              </w:rPr>
              <w:t>4.1 彩色多普勒超声诊断仪包括：</w:t>
            </w:r>
          </w:p>
          <w:p w14:paraId="27BC3D44">
            <w:pPr>
              <w:spacing w:line="380" w:lineRule="exact"/>
              <w:rPr>
                <w:rFonts w:ascii="宋体" w:hAnsi="宋体" w:cs="宋体"/>
                <w:szCs w:val="21"/>
              </w:rPr>
            </w:pPr>
            <w:r>
              <w:rPr>
                <w:rFonts w:hint="eastAsia" w:ascii="宋体" w:hAnsi="宋体" w:cs="宋体"/>
                <w:szCs w:val="21"/>
              </w:rPr>
              <w:t>4.1.1 ≥21英寸高分辨率宽屏显示器，分辨率为1920×1080，采用灵活、可调节支撑臂</w:t>
            </w:r>
          </w:p>
          <w:p w14:paraId="5BC3BF42">
            <w:pPr>
              <w:spacing w:line="380" w:lineRule="exact"/>
              <w:rPr>
                <w:rFonts w:ascii="宋体" w:hAnsi="宋体" w:cs="宋体"/>
                <w:szCs w:val="21"/>
              </w:rPr>
            </w:pPr>
            <w:r>
              <w:rPr>
                <w:rFonts w:hint="eastAsia" w:ascii="宋体" w:hAnsi="宋体" w:cs="宋体"/>
                <w:szCs w:val="21"/>
              </w:rPr>
              <w:t>4.1.2最新智能波束形成技术，包括多同步脉冲激励、多声束高密度接收及多声束谐波回波复合等技术，提升图像的空间分辨率、对比分辨率、穿透力及成像帧频</w:t>
            </w:r>
          </w:p>
          <w:p w14:paraId="66DC7E0E">
            <w:pPr>
              <w:spacing w:line="380" w:lineRule="exact"/>
              <w:rPr>
                <w:rFonts w:ascii="宋体" w:hAnsi="宋体" w:cs="宋体"/>
                <w:szCs w:val="21"/>
              </w:rPr>
            </w:pPr>
            <w:r>
              <w:rPr>
                <w:rFonts w:hint="eastAsia" w:ascii="宋体" w:hAnsi="宋体" w:cs="宋体"/>
                <w:szCs w:val="21"/>
              </w:rPr>
              <w:t>4.1.3 组织特性优化成像，根据声波在组织内传播的声学特性差异，进行接收聚焦补偿，有效提升组织细节分辨率。可实现自动补偿。支持凸阵/线阵等探头，分级可调</w:t>
            </w:r>
          </w:p>
          <w:p w14:paraId="2FA7BE69">
            <w:pPr>
              <w:spacing w:line="380" w:lineRule="exact"/>
              <w:rPr>
                <w:rFonts w:ascii="宋体" w:hAnsi="宋体" w:cs="宋体"/>
                <w:szCs w:val="21"/>
              </w:rPr>
            </w:pPr>
            <w:r>
              <w:rPr>
                <w:rFonts w:hint="eastAsia" w:ascii="宋体" w:hAnsi="宋体" w:cs="宋体"/>
                <w:szCs w:val="21"/>
              </w:rPr>
              <w:t>4.1.4 组织谐波技术≥3种，包括脉冲减影组织谐波、滤波组织谐波和差量组织谐波成像</w:t>
            </w:r>
          </w:p>
          <w:p w14:paraId="125D9AE0">
            <w:pPr>
              <w:spacing w:line="380" w:lineRule="exact"/>
              <w:rPr>
                <w:rFonts w:ascii="宋体" w:hAnsi="宋体" w:cs="宋体"/>
                <w:szCs w:val="21"/>
              </w:rPr>
            </w:pPr>
            <w:r>
              <w:rPr>
                <w:rFonts w:hint="eastAsia" w:ascii="宋体" w:hAnsi="宋体" w:cs="宋体"/>
                <w:szCs w:val="21"/>
              </w:rPr>
              <w:t>4.1.5 空间/频率双复合成像，可增强组织的边界显示，减少斑点噪声，支持凸阵、线阵、双平面腔内、专用穿刺等探头</w:t>
            </w:r>
          </w:p>
          <w:p w14:paraId="4A6F3D10">
            <w:pPr>
              <w:spacing w:line="380" w:lineRule="exact"/>
              <w:rPr>
                <w:rFonts w:ascii="宋体" w:hAnsi="宋体" w:cs="宋体"/>
                <w:szCs w:val="21"/>
              </w:rPr>
            </w:pPr>
            <w:r>
              <w:rPr>
                <w:rFonts w:hint="eastAsia" w:ascii="宋体" w:hAnsi="宋体" w:cs="宋体"/>
                <w:szCs w:val="21"/>
              </w:rPr>
              <w:t>4.1.6 高分辨率血流成像，采用宽带多普勒技术，提高细小血管的空间分辨率，无外溢显示≤0.2mm的血管血流，具有方向性显示，可进行频谱测量</w:t>
            </w:r>
          </w:p>
          <w:p w14:paraId="63D04429">
            <w:pPr>
              <w:spacing w:line="380" w:lineRule="exact"/>
              <w:rPr>
                <w:rFonts w:ascii="宋体" w:hAnsi="宋体" w:cs="宋体"/>
                <w:szCs w:val="21"/>
              </w:rPr>
            </w:pPr>
            <w:r>
              <w:rPr>
                <w:rFonts w:hint="eastAsia" w:ascii="宋体" w:hAnsi="宋体" w:cs="宋体"/>
                <w:szCs w:val="21"/>
              </w:rPr>
              <w:t>4.1.7精确成像，组织结构显示清晰、自然，背景更加平滑，有效降低组织结构中高回声区域的饱和度，可应用在所有探头上</w:t>
            </w:r>
          </w:p>
          <w:p w14:paraId="7B363DE7">
            <w:pPr>
              <w:spacing w:line="380" w:lineRule="exact"/>
              <w:rPr>
                <w:rFonts w:ascii="宋体" w:hAnsi="宋体" w:cs="宋体"/>
                <w:szCs w:val="21"/>
              </w:rPr>
            </w:pPr>
            <w:r>
              <w:rPr>
                <w:rFonts w:hint="eastAsia" w:ascii="宋体" w:hAnsi="宋体" w:cs="宋体"/>
                <w:szCs w:val="21"/>
              </w:rPr>
              <w:t>4.1.8智能图像一键优化功能，可应用在二维、频谱及彩色多普勒等模式。可自动调节彩色多普勒框的位置和角度、频谱多普勒取样门的位置和角度等</w:t>
            </w:r>
          </w:p>
          <w:p w14:paraId="3F7DFAD4">
            <w:pPr>
              <w:spacing w:line="380" w:lineRule="exact"/>
              <w:rPr>
                <w:rFonts w:ascii="宋体" w:hAnsi="宋体" w:cs="宋体"/>
                <w:szCs w:val="21"/>
              </w:rPr>
            </w:pPr>
            <w:r>
              <w:rPr>
                <w:rFonts w:hint="eastAsia" w:ascii="宋体" w:hAnsi="宋体" w:cs="宋体"/>
                <w:szCs w:val="21"/>
              </w:rPr>
              <w:t>4.1.9组织多普勒成像，支持相控阵探头、凸阵探头和经食道探头</w:t>
            </w:r>
          </w:p>
          <w:p w14:paraId="5DDA3BC1">
            <w:pPr>
              <w:spacing w:line="380" w:lineRule="exact"/>
              <w:rPr>
                <w:rFonts w:ascii="宋体" w:hAnsi="宋体" w:cs="宋体"/>
                <w:szCs w:val="21"/>
              </w:rPr>
            </w:pPr>
            <w:r>
              <w:rPr>
                <w:rFonts w:hint="eastAsia" w:ascii="宋体" w:hAnsi="宋体" w:cs="宋体"/>
                <w:szCs w:val="21"/>
              </w:rPr>
              <w:t>4.1.10 穿刺针增强显示功能，提高穿刺介入的成功率，可选择不同的增强模式</w:t>
            </w:r>
          </w:p>
          <w:p w14:paraId="4B733CBF">
            <w:pPr>
              <w:spacing w:line="380" w:lineRule="exact"/>
              <w:rPr>
                <w:rFonts w:ascii="宋体" w:hAnsi="宋体" w:cs="宋体"/>
                <w:szCs w:val="21"/>
              </w:rPr>
            </w:pPr>
            <w:r>
              <w:rPr>
                <w:rFonts w:hint="eastAsia" w:ascii="宋体" w:hAnsi="宋体" w:cs="宋体"/>
                <w:szCs w:val="21"/>
              </w:rPr>
              <w:t>4.1.11超低速血流显示：超微血流成像，可消除运动伪像，增强超低速血流信号的显示</w:t>
            </w:r>
          </w:p>
          <w:p w14:paraId="74B253B3">
            <w:pPr>
              <w:spacing w:line="380" w:lineRule="exact"/>
              <w:rPr>
                <w:rFonts w:ascii="宋体" w:hAnsi="宋体" w:cs="宋体"/>
                <w:szCs w:val="21"/>
              </w:rPr>
            </w:pPr>
            <w:r>
              <w:rPr>
                <w:rFonts w:hint="eastAsia" w:ascii="宋体" w:hAnsi="宋体" w:cs="宋体"/>
                <w:szCs w:val="21"/>
              </w:rPr>
              <w:t>4.1.11.1应用彩色多普勒技术</w:t>
            </w:r>
          </w:p>
          <w:p w14:paraId="6E1F5E99">
            <w:pPr>
              <w:spacing w:line="380" w:lineRule="exact"/>
              <w:rPr>
                <w:rFonts w:ascii="宋体" w:hAnsi="宋体" w:cs="宋体"/>
                <w:szCs w:val="21"/>
              </w:rPr>
            </w:pPr>
            <w:r>
              <w:rPr>
                <w:rFonts w:hint="eastAsia" w:ascii="宋体" w:hAnsi="宋体" w:cs="宋体"/>
                <w:color w:val="000000"/>
                <w:szCs w:val="21"/>
              </w:rPr>
              <w:t>▲</w:t>
            </w:r>
            <w:r>
              <w:rPr>
                <w:rFonts w:hint="eastAsia" w:ascii="宋体" w:hAnsi="宋体" w:cs="宋体"/>
                <w:szCs w:val="21"/>
              </w:rPr>
              <w:t>4.1.11.2彩色标尺具有速度范围显示，彩色标尺最低显示≤0.4cm/s</w:t>
            </w:r>
          </w:p>
          <w:p w14:paraId="0957E09D">
            <w:pPr>
              <w:spacing w:line="380" w:lineRule="exact"/>
              <w:rPr>
                <w:rFonts w:ascii="宋体" w:hAnsi="宋体" w:cs="宋体"/>
                <w:color w:val="000000"/>
                <w:szCs w:val="21"/>
              </w:rPr>
            </w:pPr>
            <w:r>
              <w:rPr>
                <w:rFonts w:hint="eastAsia" w:ascii="宋体" w:hAnsi="宋体" w:cs="宋体"/>
                <w:color w:val="000000"/>
                <w:szCs w:val="21"/>
              </w:rPr>
              <w:t>*4.1.11.3具有三同步显示功能，可取频谱进行定量</w:t>
            </w:r>
          </w:p>
          <w:p w14:paraId="49EAD3E4">
            <w:pPr>
              <w:spacing w:line="380" w:lineRule="exact"/>
              <w:rPr>
                <w:rFonts w:ascii="宋体" w:hAnsi="宋体" w:cs="宋体"/>
                <w:color w:val="000000"/>
                <w:szCs w:val="21"/>
              </w:rPr>
            </w:pPr>
            <w:r>
              <w:rPr>
                <w:rFonts w:hint="eastAsia" w:ascii="宋体" w:hAnsi="宋体" w:cs="宋体"/>
                <w:color w:val="000000"/>
                <w:szCs w:val="21"/>
              </w:rPr>
              <w:t>*4.1.11.4常规检查条件下成像帧频≥50帧/秒</w:t>
            </w:r>
          </w:p>
          <w:p w14:paraId="08B2971E">
            <w:pPr>
              <w:spacing w:line="380" w:lineRule="exact"/>
              <w:rPr>
                <w:rFonts w:ascii="宋体" w:hAnsi="宋体" w:cs="宋体"/>
                <w:color w:val="000000"/>
                <w:szCs w:val="21"/>
              </w:rPr>
            </w:pPr>
            <w:r>
              <w:rPr>
                <w:rFonts w:hint="eastAsia" w:ascii="宋体" w:hAnsi="宋体" w:cs="宋体"/>
                <w:color w:val="000000"/>
                <w:szCs w:val="21"/>
              </w:rPr>
              <w:t>*4.1.11.5具有三维成像模式，使用常规探头，实现超低速血流的高分辨率立体显示</w:t>
            </w:r>
          </w:p>
          <w:p w14:paraId="4449860F">
            <w:pPr>
              <w:spacing w:line="380" w:lineRule="exact"/>
              <w:rPr>
                <w:rFonts w:ascii="宋体" w:hAnsi="宋体" w:cs="宋体"/>
                <w:color w:val="000000"/>
                <w:szCs w:val="21"/>
              </w:rPr>
            </w:pPr>
            <w:r>
              <w:rPr>
                <w:rFonts w:hint="eastAsia" w:ascii="宋体" w:hAnsi="宋体" w:cs="宋体"/>
                <w:color w:val="000000"/>
                <w:szCs w:val="21"/>
              </w:rPr>
              <w:t>▲4.1.11.6可进行血管指数定量，检测超低速血流信号分布密度，计算血流信号在目标区域内的像素、面积及像素比</w:t>
            </w:r>
          </w:p>
          <w:p w14:paraId="0F117E10">
            <w:pPr>
              <w:spacing w:line="380" w:lineRule="exact"/>
              <w:rPr>
                <w:rFonts w:ascii="宋体" w:hAnsi="宋体" w:cs="宋体"/>
                <w:color w:val="000000"/>
                <w:szCs w:val="21"/>
              </w:rPr>
            </w:pPr>
            <w:r>
              <w:rPr>
                <w:rFonts w:hint="eastAsia" w:ascii="宋体" w:hAnsi="宋体" w:cs="宋体"/>
                <w:color w:val="000000"/>
                <w:szCs w:val="21"/>
              </w:rPr>
              <w:t>4.1.12应变弹性成像，具有成像质量控制曲线显示，提高弹性成像准确度；具有定量分析功能，可实现组织弹性对比分析；支持凸阵、线阵、腔内、腔内容积、双平面腔内及腹腔镜等探头</w:t>
            </w:r>
          </w:p>
          <w:p w14:paraId="38BA0643">
            <w:pPr>
              <w:spacing w:line="380" w:lineRule="exact"/>
              <w:rPr>
                <w:rFonts w:ascii="宋体" w:hAnsi="宋体" w:cs="宋体"/>
                <w:color w:val="000000"/>
                <w:szCs w:val="21"/>
              </w:rPr>
            </w:pPr>
            <w:r>
              <w:rPr>
                <w:rFonts w:hint="eastAsia" w:ascii="宋体" w:hAnsi="宋体" w:cs="宋体"/>
                <w:color w:val="000000"/>
                <w:szCs w:val="21"/>
              </w:rPr>
              <w:t>▲4.1.13微小钙化增强显示，采用蓝色组织背景，将微小钙化从组织背景中提取并增强亮度显示。可以与原始图像实时双幅对比显示，可应用在乳腺、甲状腺等腺体组织恶性肿瘤的早期筛查及穿刺引导</w:t>
            </w:r>
          </w:p>
          <w:p w14:paraId="3031E081">
            <w:pPr>
              <w:spacing w:line="380" w:lineRule="exact"/>
              <w:rPr>
                <w:rFonts w:ascii="宋体" w:hAnsi="宋体" w:cs="宋体"/>
                <w:szCs w:val="21"/>
              </w:rPr>
            </w:pPr>
            <w:r>
              <w:rPr>
                <w:rFonts w:hint="eastAsia" w:ascii="宋体" w:hAnsi="宋体" w:cs="宋体"/>
                <w:szCs w:val="21"/>
              </w:rPr>
              <w:t>4.2 测量和分析：（B型、M型、频谱多普勒、彩色多普勒）</w:t>
            </w:r>
          </w:p>
          <w:p w14:paraId="55FE511F">
            <w:pPr>
              <w:spacing w:line="380" w:lineRule="exact"/>
              <w:rPr>
                <w:rFonts w:ascii="宋体" w:hAnsi="宋体" w:cs="宋体"/>
                <w:szCs w:val="21"/>
              </w:rPr>
            </w:pPr>
            <w:r>
              <w:rPr>
                <w:rFonts w:hint="eastAsia" w:ascii="宋体" w:hAnsi="宋体" w:cs="宋体"/>
                <w:szCs w:val="21"/>
              </w:rPr>
              <w:t>4.2.1 一般测量</w:t>
            </w:r>
          </w:p>
          <w:p w14:paraId="221F52F5">
            <w:pPr>
              <w:spacing w:line="380" w:lineRule="exact"/>
              <w:rPr>
                <w:rFonts w:ascii="宋体" w:hAnsi="宋体" w:cs="宋体"/>
                <w:szCs w:val="21"/>
              </w:rPr>
            </w:pPr>
            <w:r>
              <w:rPr>
                <w:rFonts w:hint="eastAsia" w:ascii="宋体" w:hAnsi="宋体" w:cs="宋体"/>
                <w:szCs w:val="21"/>
              </w:rPr>
              <w:t>4.2.2 妇、产科测量与分析</w:t>
            </w:r>
          </w:p>
          <w:p w14:paraId="0924DFD3">
            <w:pPr>
              <w:spacing w:line="380" w:lineRule="exact"/>
              <w:rPr>
                <w:rFonts w:ascii="宋体" w:hAnsi="宋体" w:cs="宋体"/>
                <w:szCs w:val="21"/>
              </w:rPr>
            </w:pPr>
            <w:r>
              <w:rPr>
                <w:rFonts w:hint="eastAsia" w:ascii="宋体" w:hAnsi="宋体" w:cs="宋体"/>
                <w:szCs w:val="21"/>
              </w:rPr>
              <w:t>4.2.3 血管血流测量与分析</w:t>
            </w:r>
          </w:p>
          <w:p w14:paraId="1BF2E3D4">
            <w:pPr>
              <w:spacing w:line="380" w:lineRule="exact"/>
              <w:rPr>
                <w:rFonts w:ascii="宋体" w:hAnsi="宋体" w:cs="宋体"/>
                <w:szCs w:val="21"/>
              </w:rPr>
            </w:pPr>
            <w:r>
              <w:rPr>
                <w:rFonts w:hint="eastAsia" w:ascii="宋体" w:hAnsi="宋体" w:cs="宋体"/>
                <w:szCs w:val="21"/>
              </w:rPr>
              <w:t>4.2.4 血管内中膜自动测量</w:t>
            </w:r>
          </w:p>
          <w:p w14:paraId="27C9B926">
            <w:pPr>
              <w:spacing w:line="380" w:lineRule="exact"/>
              <w:rPr>
                <w:rFonts w:ascii="宋体" w:hAnsi="宋体" w:cs="宋体"/>
                <w:szCs w:val="21"/>
              </w:rPr>
            </w:pPr>
            <w:r>
              <w:rPr>
                <w:rFonts w:hint="eastAsia" w:ascii="宋体" w:hAnsi="宋体" w:cs="宋体"/>
                <w:szCs w:val="21"/>
              </w:rPr>
              <w:t>4.2.5 颈后透明层自动测量</w:t>
            </w:r>
          </w:p>
          <w:p w14:paraId="758861A4">
            <w:pPr>
              <w:spacing w:line="380" w:lineRule="exact"/>
              <w:rPr>
                <w:rFonts w:ascii="宋体" w:hAnsi="宋体" w:cs="宋体"/>
                <w:szCs w:val="21"/>
              </w:rPr>
            </w:pPr>
            <w:r>
              <w:rPr>
                <w:rFonts w:hint="eastAsia" w:ascii="宋体" w:hAnsi="宋体" w:cs="宋体"/>
                <w:szCs w:val="21"/>
              </w:rPr>
              <w:t>4.2.6 血管指数分析工具，可定量评估感兴趣区域内的血流密度</w:t>
            </w:r>
          </w:p>
          <w:p w14:paraId="099DD104">
            <w:pPr>
              <w:spacing w:line="380" w:lineRule="exact"/>
              <w:rPr>
                <w:rFonts w:ascii="宋体" w:hAnsi="宋体" w:cs="宋体"/>
                <w:szCs w:val="21"/>
              </w:rPr>
            </w:pPr>
            <w:r>
              <w:rPr>
                <w:rFonts w:hint="eastAsia" w:ascii="宋体" w:hAnsi="宋体" w:cs="宋体"/>
                <w:szCs w:val="21"/>
              </w:rPr>
              <w:t>4.2.7 2D直方图分析工具</w:t>
            </w:r>
          </w:p>
          <w:p w14:paraId="2B87A07C">
            <w:pPr>
              <w:spacing w:line="380" w:lineRule="exact"/>
              <w:rPr>
                <w:rFonts w:ascii="宋体" w:hAnsi="宋体" w:cs="宋体"/>
                <w:szCs w:val="21"/>
              </w:rPr>
            </w:pPr>
            <w:r>
              <w:rPr>
                <w:rFonts w:hint="eastAsia" w:ascii="宋体" w:hAnsi="宋体" w:cs="宋体"/>
                <w:szCs w:val="21"/>
              </w:rPr>
              <w:t>4.3 输入/输出信号，包括DVI、USB接口，USB接口≥5个</w:t>
            </w:r>
          </w:p>
          <w:p w14:paraId="14469209">
            <w:pPr>
              <w:spacing w:line="380" w:lineRule="exact"/>
              <w:rPr>
                <w:rFonts w:ascii="宋体" w:hAnsi="宋体" w:cs="宋体"/>
                <w:szCs w:val="21"/>
              </w:rPr>
            </w:pPr>
            <w:r>
              <w:rPr>
                <w:rFonts w:hint="eastAsia" w:ascii="宋体" w:hAnsi="宋体" w:cs="宋体"/>
                <w:szCs w:val="21"/>
              </w:rPr>
              <w:t>4.4 连通性：医学数字图像和通信DICOM3.0版接口部件，装机后可正常使用</w:t>
            </w:r>
          </w:p>
          <w:p w14:paraId="4019C388">
            <w:pPr>
              <w:spacing w:line="380" w:lineRule="exact"/>
              <w:rPr>
                <w:rFonts w:ascii="宋体" w:hAnsi="宋体" w:cs="宋体"/>
                <w:szCs w:val="21"/>
              </w:rPr>
            </w:pPr>
            <w:r>
              <w:rPr>
                <w:rFonts w:hint="eastAsia" w:ascii="宋体" w:hAnsi="宋体" w:cs="宋体"/>
                <w:szCs w:val="21"/>
              </w:rPr>
              <w:t>4.5 图像管理与记录装置：</w:t>
            </w:r>
          </w:p>
          <w:p w14:paraId="7F09F699">
            <w:pPr>
              <w:spacing w:line="380" w:lineRule="exact"/>
              <w:rPr>
                <w:rFonts w:ascii="宋体" w:hAnsi="宋体" w:cs="宋体"/>
                <w:szCs w:val="21"/>
              </w:rPr>
            </w:pPr>
            <w:r>
              <w:rPr>
                <w:rFonts w:hint="eastAsia" w:ascii="宋体" w:hAnsi="宋体" w:cs="宋体"/>
                <w:szCs w:val="21"/>
              </w:rPr>
              <w:t>4.5.1 内置超声图像存档与病案管理功能，在主机中完成病人静态图像和动态图像的存储、管理及回放，可完成硬盘、DVD/CD、USB存储盘等多种文件格式静态及动态图像的存储</w:t>
            </w:r>
          </w:p>
          <w:p w14:paraId="10A2D99C">
            <w:pPr>
              <w:spacing w:line="380" w:lineRule="exact"/>
              <w:rPr>
                <w:rFonts w:ascii="宋体" w:hAnsi="宋体" w:cs="宋体"/>
                <w:szCs w:val="21"/>
              </w:rPr>
            </w:pPr>
            <w:r>
              <w:rPr>
                <w:rFonts w:hint="eastAsia" w:ascii="宋体" w:hAnsi="宋体" w:cs="宋体"/>
                <w:szCs w:val="21"/>
              </w:rPr>
              <w:t>4.5.2 支持原始数据存储（RAW DATA）</w:t>
            </w:r>
          </w:p>
          <w:p w14:paraId="62CB66CB">
            <w:pPr>
              <w:spacing w:line="380" w:lineRule="exact"/>
              <w:rPr>
                <w:rFonts w:ascii="宋体" w:hAnsi="宋体" w:cs="宋体"/>
                <w:szCs w:val="21"/>
              </w:rPr>
            </w:pPr>
            <w:r>
              <w:rPr>
                <w:rFonts w:hint="eastAsia" w:ascii="宋体" w:hAnsi="宋体" w:cs="宋体"/>
                <w:szCs w:val="21"/>
              </w:rPr>
              <w:t xml:space="preserve">4.5.3采用内置双盘设置，包括固态盘SSD和硬盘HDD。固态盘SSD：容量≥128 GB；硬盘HDD：容量≥1 TB </w:t>
            </w:r>
          </w:p>
          <w:p w14:paraId="4F1754AE">
            <w:pPr>
              <w:spacing w:line="380" w:lineRule="exact"/>
              <w:rPr>
                <w:rFonts w:ascii="宋体" w:hAnsi="宋体" w:cs="宋体"/>
                <w:szCs w:val="21"/>
              </w:rPr>
            </w:pPr>
            <w:r>
              <w:rPr>
                <w:rFonts w:hint="eastAsia" w:ascii="宋体" w:hAnsi="宋体" w:cs="宋体"/>
                <w:szCs w:val="21"/>
              </w:rPr>
              <w:t>五、技术参数及要求：</w:t>
            </w:r>
          </w:p>
          <w:p w14:paraId="5836DDAC">
            <w:pPr>
              <w:spacing w:line="380" w:lineRule="exact"/>
              <w:rPr>
                <w:rFonts w:ascii="宋体" w:hAnsi="宋体" w:cs="宋体"/>
                <w:szCs w:val="21"/>
              </w:rPr>
            </w:pPr>
            <w:r>
              <w:rPr>
                <w:rFonts w:hint="eastAsia" w:ascii="宋体" w:hAnsi="宋体" w:cs="宋体"/>
                <w:szCs w:val="21"/>
              </w:rPr>
              <w:t>5.1 系统通用功能：</w:t>
            </w:r>
          </w:p>
          <w:p w14:paraId="1C30A538">
            <w:pPr>
              <w:spacing w:line="380" w:lineRule="exact"/>
              <w:rPr>
                <w:rFonts w:ascii="宋体" w:hAnsi="宋体" w:cs="宋体"/>
                <w:szCs w:val="21"/>
              </w:rPr>
            </w:pPr>
            <w:r>
              <w:rPr>
                <w:rFonts w:hint="eastAsia" w:ascii="宋体" w:hAnsi="宋体" w:cs="宋体"/>
                <w:szCs w:val="21"/>
              </w:rPr>
              <w:t>5.1.1 显示器：≥21英寸高分辨率宽屏显示器，分辨率为1920 × 1080</w:t>
            </w:r>
          </w:p>
          <w:p w14:paraId="0EAEAAB1">
            <w:pPr>
              <w:spacing w:line="380" w:lineRule="exact"/>
              <w:rPr>
                <w:rFonts w:ascii="宋体" w:hAnsi="宋体" w:cs="宋体"/>
                <w:szCs w:val="21"/>
              </w:rPr>
            </w:pPr>
            <w:r>
              <w:rPr>
                <w:rFonts w:hint="eastAsia" w:ascii="宋体" w:hAnsi="宋体" w:cs="宋体"/>
                <w:szCs w:val="21"/>
              </w:rPr>
              <w:t>5.1.2 ≥12英寸彩色液晶触摸屏，分辨率为1280 × 800，滑动翻页设计</w:t>
            </w:r>
          </w:p>
          <w:p w14:paraId="25DAE3FA">
            <w:pPr>
              <w:spacing w:line="380" w:lineRule="exact"/>
              <w:rPr>
                <w:rFonts w:ascii="宋体" w:hAnsi="宋体" w:cs="宋体"/>
                <w:szCs w:val="21"/>
              </w:rPr>
            </w:pPr>
            <w:r>
              <w:rPr>
                <w:rFonts w:hint="eastAsia" w:ascii="宋体" w:hAnsi="宋体" w:cs="宋体"/>
                <w:szCs w:val="21"/>
              </w:rPr>
              <w:t>5.1.3 操作控制台可上下及旋转调节</w:t>
            </w:r>
          </w:p>
          <w:p w14:paraId="6ABF1A28">
            <w:pPr>
              <w:spacing w:line="380" w:lineRule="exact"/>
              <w:rPr>
                <w:rFonts w:ascii="宋体" w:hAnsi="宋体" w:cs="宋体"/>
                <w:szCs w:val="21"/>
              </w:rPr>
            </w:pPr>
            <w:r>
              <w:rPr>
                <w:rFonts w:hint="eastAsia" w:ascii="宋体" w:hAnsi="宋体" w:cs="宋体"/>
                <w:szCs w:val="21"/>
              </w:rPr>
              <w:t>5.1.4 探头个数：3个</w:t>
            </w:r>
          </w:p>
          <w:p w14:paraId="51CC3C84">
            <w:pPr>
              <w:spacing w:line="380" w:lineRule="exact"/>
              <w:rPr>
                <w:rFonts w:ascii="宋体" w:hAnsi="宋体" w:cs="宋体"/>
                <w:szCs w:val="21"/>
              </w:rPr>
            </w:pPr>
            <w:r>
              <w:rPr>
                <w:rFonts w:hint="eastAsia" w:ascii="宋体" w:hAnsi="宋体" w:cs="宋体"/>
                <w:szCs w:val="21"/>
              </w:rPr>
              <w:t>5.1.5激活成像探头接口≥4个，通用可互换</w:t>
            </w:r>
          </w:p>
          <w:p w14:paraId="7D244524">
            <w:pPr>
              <w:spacing w:line="380" w:lineRule="exact"/>
              <w:rPr>
                <w:rFonts w:ascii="宋体" w:hAnsi="宋体" w:cs="宋体"/>
                <w:szCs w:val="21"/>
              </w:rPr>
            </w:pPr>
            <w:r>
              <w:rPr>
                <w:rFonts w:hint="eastAsia" w:ascii="宋体" w:hAnsi="宋体" w:cs="宋体"/>
                <w:color w:val="000000"/>
                <w:szCs w:val="21"/>
              </w:rPr>
              <w:t>*</w:t>
            </w:r>
            <w:r>
              <w:rPr>
                <w:rFonts w:hint="eastAsia" w:ascii="宋体" w:hAnsi="宋体" w:cs="宋体"/>
                <w:szCs w:val="21"/>
              </w:rPr>
              <w:t>5.1.6 系统最大成像深度≥50cm（依据探头）</w:t>
            </w:r>
          </w:p>
          <w:p w14:paraId="20F572BC">
            <w:pPr>
              <w:spacing w:line="380" w:lineRule="exact"/>
              <w:rPr>
                <w:rFonts w:ascii="宋体" w:hAnsi="宋体" w:cs="宋体"/>
                <w:szCs w:val="21"/>
              </w:rPr>
            </w:pPr>
            <w:r>
              <w:rPr>
                <w:rFonts w:hint="eastAsia" w:ascii="宋体" w:hAnsi="宋体" w:cs="宋体"/>
                <w:szCs w:val="21"/>
              </w:rPr>
              <w:t>5.2探头规格：</w:t>
            </w:r>
          </w:p>
          <w:p w14:paraId="260D5FD9">
            <w:pPr>
              <w:spacing w:line="380" w:lineRule="exact"/>
              <w:rPr>
                <w:rFonts w:ascii="宋体" w:hAnsi="宋体" w:cs="宋体"/>
                <w:szCs w:val="21"/>
              </w:rPr>
            </w:pPr>
            <w:r>
              <w:rPr>
                <w:rFonts w:hint="eastAsia" w:ascii="宋体" w:hAnsi="宋体" w:cs="宋体"/>
                <w:szCs w:val="21"/>
              </w:rPr>
              <w:t>5.2.1性能：超宽频带变频探头，中心频率的变频在屏幕上可视可调</w:t>
            </w:r>
          </w:p>
          <w:p w14:paraId="7D7D8A7A">
            <w:pPr>
              <w:spacing w:line="380" w:lineRule="exact"/>
              <w:rPr>
                <w:rFonts w:ascii="宋体" w:hAnsi="宋体" w:cs="宋体"/>
                <w:szCs w:val="21"/>
              </w:rPr>
            </w:pPr>
            <w:r>
              <w:rPr>
                <w:rFonts w:hint="eastAsia" w:ascii="宋体" w:hAnsi="宋体" w:cs="宋体"/>
                <w:szCs w:val="21"/>
              </w:rPr>
              <w:t>5.2.2探头类型：凸阵、线阵探头等</w:t>
            </w:r>
          </w:p>
          <w:p w14:paraId="56993D9D">
            <w:pPr>
              <w:spacing w:line="380" w:lineRule="exact"/>
              <w:rPr>
                <w:rFonts w:ascii="宋体" w:hAnsi="宋体" w:cs="宋体"/>
                <w:szCs w:val="21"/>
              </w:rPr>
            </w:pPr>
            <w:r>
              <w:rPr>
                <w:rFonts w:hint="eastAsia" w:ascii="宋体" w:hAnsi="宋体" w:cs="宋体"/>
                <w:szCs w:val="21"/>
              </w:rPr>
              <w:t>5.2.3系统支持双平面经直肠探头，包括凸阵/线阵、凸阵/凸阵两种方式</w:t>
            </w:r>
          </w:p>
          <w:p w14:paraId="3765D301">
            <w:pPr>
              <w:spacing w:line="380" w:lineRule="exact"/>
              <w:rPr>
                <w:rFonts w:ascii="宋体" w:hAnsi="宋体" w:cs="宋体"/>
                <w:szCs w:val="21"/>
              </w:rPr>
            </w:pPr>
            <w:r>
              <w:rPr>
                <w:rFonts w:hint="eastAsia" w:ascii="宋体" w:hAnsi="宋体" w:cs="宋体"/>
                <w:szCs w:val="21"/>
              </w:rPr>
              <w:t>5.2.4 凸阵探头：频率范围：1~6MHz，单晶体探头，最大成像角度≥110°</w:t>
            </w:r>
          </w:p>
          <w:p w14:paraId="4DB2D6F9">
            <w:pPr>
              <w:spacing w:line="380" w:lineRule="exact"/>
              <w:rPr>
                <w:rFonts w:ascii="宋体" w:hAnsi="宋体" w:cs="宋体"/>
                <w:szCs w:val="21"/>
              </w:rPr>
            </w:pPr>
            <w:r>
              <w:rPr>
                <w:rFonts w:hint="eastAsia" w:ascii="宋体" w:hAnsi="宋体" w:cs="宋体"/>
                <w:color w:val="000000"/>
                <w:szCs w:val="21"/>
              </w:rPr>
              <w:t>*</w:t>
            </w:r>
            <w:r>
              <w:rPr>
                <w:rFonts w:hint="eastAsia" w:ascii="宋体" w:hAnsi="宋体" w:cs="宋体"/>
                <w:szCs w:val="21"/>
              </w:rPr>
              <w:t xml:space="preserve">5.2.5 线阵探头：频率范围：5~14MHz，成像宽度≥50mm </w:t>
            </w:r>
          </w:p>
          <w:p w14:paraId="456EDED6">
            <w:pPr>
              <w:spacing w:line="380" w:lineRule="exact"/>
              <w:rPr>
                <w:rFonts w:ascii="宋体" w:hAnsi="宋体" w:cs="宋体"/>
                <w:szCs w:val="21"/>
              </w:rPr>
            </w:pPr>
            <w:r>
              <w:rPr>
                <w:rFonts w:hint="eastAsia" w:ascii="宋体" w:hAnsi="宋体" w:cs="宋体"/>
                <w:szCs w:val="21"/>
              </w:rPr>
              <w:t>5.2.6 腔内探头：频率范围：3~11MHz，成像角度≥170°</w:t>
            </w:r>
          </w:p>
          <w:p w14:paraId="0C798725">
            <w:pPr>
              <w:spacing w:line="380" w:lineRule="exact"/>
              <w:rPr>
                <w:rFonts w:ascii="宋体" w:hAnsi="宋体" w:cs="宋体"/>
                <w:szCs w:val="21"/>
              </w:rPr>
            </w:pPr>
            <w:r>
              <w:rPr>
                <w:rFonts w:hint="eastAsia" w:ascii="宋体" w:hAnsi="宋体" w:cs="宋体"/>
                <w:szCs w:val="21"/>
              </w:rPr>
              <w:t>5.3 二维灰阶成像主要参数：</w:t>
            </w:r>
          </w:p>
          <w:p w14:paraId="30804361">
            <w:pPr>
              <w:spacing w:line="380" w:lineRule="exact"/>
              <w:rPr>
                <w:rFonts w:ascii="宋体" w:hAnsi="宋体" w:cs="宋体"/>
                <w:szCs w:val="21"/>
              </w:rPr>
            </w:pPr>
            <w:r>
              <w:rPr>
                <w:rFonts w:hint="eastAsia" w:ascii="宋体" w:hAnsi="宋体" w:cs="宋体"/>
                <w:szCs w:val="21"/>
              </w:rPr>
              <w:t>5.3.1 智能高密度波束形成器，全程动态聚焦、可变孔径及动态变迹</w:t>
            </w:r>
          </w:p>
          <w:p w14:paraId="256F9439">
            <w:pPr>
              <w:spacing w:line="380" w:lineRule="exact"/>
              <w:rPr>
                <w:rFonts w:ascii="宋体" w:hAnsi="宋体" w:cs="宋体"/>
                <w:szCs w:val="21"/>
              </w:rPr>
            </w:pPr>
            <w:r>
              <w:rPr>
                <w:rFonts w:hint="eastAsia" w:ascii="宋体" w:hAnsi="宋体" w:cs="宋体"/>
                <w:szCs w:val="21"/>
              </w:rPr>
              <w:t>5.3.2 A/D≥14bit</w:t>
            </w:r>
          </w:p>
          <w:p w14:paraId="621F2469">
            <w:pPr>
              <w:spacing w:line="380" w:lineRule="exact"/>
              <w:rPr>
                <w:rFonts w:ascii="宋体" w:hAnsi="宋体" w:cs="宋体"/>
                <w:szCs w:val="21"/>
              </w:rPr>
            </w:pPr>
            <w:r>
              <w:rPr>
                <w:rFonts w:hint="eastAsia" w:ascii="宋体" w:hAnsi="宋体" w:cs="宋体"/>
                <w:szCs w:val="21"/>
              </w:rPr>
              <w:t>5.3.3 声束发射聚焦：发射≥8段；接收可连续聚焦</w:t>
            </w:r>
          </w:p>
          <w:p w14:paraId="1A34EAA0">
            <w:pPr>
              <w:spacing w:line="380" w:lineRule="exact"/>
              <w:rPr>
                <w:rFonts w:ascii="宋体" w:hAnsi="宋体" w:cs="宋体"/>
                <w:szCs w:val="21"/>
              </w:rPr>
            </w:pPr>
            <w:r>
              <w:rPr>
                <w:rFonts w:hint="eastAsia" w:ascii="宋体" w:hAnsi="宋体" w:cs="宋体"/>
                <w:szCs w:val="21"/>
              </w:rPr>
              <w:t>5.3.4 扫描线：最大每帧线密度≥400超声线（线阵探头）</w:t>
            </w:r>
          </w:p>
          <w:p w14:paraId="359388A6">
            <w:pPr>
              <w:spacing w:line="380" w:lineRule="exact"/>
              <w:rPr>
                <w:rFonts w:ascii="宋体" w:hAnsi="宋体" w:cs="宋体"/>
                <w:szCs w:val="21"/>
              </w:rPr>
            </w:pPr>
            <w:r>
              <w:rPr>
                <w:rFonts w:hint="eastAsia" w:ascii="宋体" w:hAnsi="宋体" w:cs="宋体"/>
                <w:szCs w:val="21"/>
              </w:rPr>
              <w:t>5.3.5回放重现：灰阶图像回放≥9900幅，回放时间≥180秒</w:t>
            </w:r>
          </w:p>
          <w:p w14:paraId="52B882C9">
            <w:pPr>
              <w:spacing w:line="380" w:lineRule="exact"/>
              <w:rPr>
                <w:rFonts w:ascii="宋体" w:hAnsi="宋体" w:cs="宋体"/>
                <w:szCs w:val="21"/>
              </w:rPr>
            </w:pPr>
            <w:r>
              <w:rPr>
                <w:rFonts w:hint="eastAsia" w:ascii="宋体" w:hAnsi="宋体" w:cs="宋体"/>
                <w:szCs w:val="21"/>
              </w:rPr>
              <w:t>5.3.6 增益调节：纵向增益STC（DGC）采用硬/软件双模式调节，分段≥8</w:t>
            </w:r>
          </w:p>
          <w:p w14:paraId="7553C227">
            <w:pPr>
              <w:spacing w:line="380" w:lineRule="exact"/>
              <w:rPr>
                <w:rFonts w:ascii="宋体" w:hAnsi="宋体" w:cs="宋体"/>
                <w:szCs w:val="21"/>
              </w:rPr>
            </w:pPr>
            <w:r>
              <w:rPr>
                <w:rFonts w:hint="eastAsia" w:ascii="宋体" w:hAnsi="宋体" w:cs="宋体"/>
                <w:szCs w:val="21"/>
              </w:rPr>
              <w:t>横向增益可进行调节，分段≥6</w:t>
            </w:r>
          </w:p>
          <w:p w14:paraId="6B99C25F">
            <w:pPr>
              <w:spacing w:line="380" w:lineRule="exact"/>
              <w:rPr>
                <w:rFonts w:ascii="宋体" w:hAnsi="宋体" w:cs="宋体"/>
                <w:szCs w:val="21"/>
              </w:rPr>
            </w:pPr>
            <w:r>
              <w:rPr>
                <w:rFonts w:hint="eastAsia" w:ascii="宋体" w:hAnsi="宋体" w:cs="宋体"/>
                <w:szCs w:val="21"/>
              </w:rPr>
              <w:t>5.4 频谱多普勒：</w:t>
            </w:r>
          </w:p>
          <w:p w14:paraId="72552127">
            <w:pPr>
              <w:spacing w:line="380" w:lineRule="exact"/>
              <w:rPr>
                <w:rFonts w:ascii="宋体" w:hAnsi="宋体" w:cs="宋体"/>
                <w:szCs w:val="21"/>
              </w:rPr>
            </w:pPr>
            <w:r>
              <w:rPr>
                <w:rFonts w:hint="eastAsia" w:ascii="宋体" w:hAnsi="宋体" w:cs="宋体"/>
                <w:szCs w:val="21"/>
              </w:rPr>
              <w:t xml:space="preserve">5.4.1 方式： PWD、HPRF PWD、CWD </w:t>
            </w:r>
          </w:p>
          <w:p w14:paraId="037A89F4">
            <w:pPr>
              <w:spacing w:line="380" w:lineRule="exact"/>
              <w:rPr>
                <w:rFonts w:ascii="宋体" w:hAnsi="宋体" w:cs="宋体"/>
                <w:szCs w:val="21"/>
              </w:rPr>
            </w:pPr>
            <w:r>
              <w:rPr>
                <w:rFonts w:hint="eastAsia" w:ascii="宋体" w:hAnsi="宋体" w:cs="宋体"/>
                <w:szCs w:val="21"/>
              </w:rPr>
              <w:t>5.4.2 频谱显示具有自动包络、智能化显示功能</w:t>
            </w:r>
          </w:p>
          <w:p w14:paraId="5F0526F7">
            <w:pPr>
              <w:spacing w:line="380" w:lineRule="exact"/>
              <w:rPr>
                <w:rFonts w:ascii="宋体" w:hAnsi="宋体" w:cs="宋体"/>
                <w:szCs w:val="21"/>
              </w:rPr>
            </w:pPr>
            <w:r>
              <w:rPr>
                <w:rFonts w:hint="eastAsia" w:ascii="宋体" w:hAnsi="宋体" w:cs="宋体"/>
                <w:szCs w:val="21"/>
              </w:rPr>
              <w:t>5.4.3 智能多普勒优化功能，可根据多普勒取样位置自动聚焦，多普勒标尺及基线可自动调节</w:t>
            </w:r>
          </w:p>
          <w:p w14:paraId="5C77E5BE">
            <w:pPr>
              <w:spacing w:line="380" w:lineRule="exact"/>
              <w:rPr>
                <w:rFonts w:ascii="宋体" w:hAnsi="宋体" w:cs="宋体"/>
                <w:szCs w:val="21"/>
              </w:rPr>
            </w:pPr>
            <w:r>
              <w:rPr>
                <w:rFonts w:hint="eastAsia" w:ascii="宋体" w:hAnsi="宋体" w:cs="宋体"/>
                <w:szCs w:val="21"/>
              </w:rPr>
              <w:t>5.4.4 最大可测量速度：PWD：最大血流速度≥17.0m/s</w:t>
            </w:r>
          </w:p>
          <w:p w14:paraId="0951B3A7">
            <w:pPr>
              <w:spacing w:line="380" w:lineRule="exact"/>
              <w:rPr>
                <w:rFonts w:ascii="宋体" w:hAnsi="宋体" w:cs="宋体"/>
                <w:szCs w:val="21"/>
              </w:rPr>
            </w:pPr>
            <w:r>
              <w:rPr>
                <w:rFonts w:hint="eastAsia" w:ascii="宋体" w:hAnsi="宋体" w:cs="宋体"/>
                <w:szCs w:val="21"/>
              </w:rPr>
              <w:t xml:space="preserve">                     CWD：最大血流速度≥22.0m/s              </w:t>
            </w:r>
          </w:p>
          <w:p w14:paraId="0A217EAA">
            <w:pPr>
              <w:spacing w:line="380" w:lineRule="exact"/>
              <w:rPr>
                <w:rFonts w:ascii="宋体" w:hAnsi="宋体" w:cs="宋体"/>
                <w:szCs w:val="21"/>
              </w:rPr>
            </w:pPr>
            <w:r>
              <w:rPr>
                <w:rFonts w:hint="eastAsia" w:ascii="宋体" w:hAnsi="宋体" w:cs="宋体"/>
                <w:szCs w:val="21"/>
              </w:rPr>
              <w:t>5.4.5 最低测量速度：≤0.1cm/s（非噪声信号，依据探头）</w:t>
            </w:r>
          </w:p>
          <w:p w14:paraId="762470DB">
            <w:pPr>
              <w:spacing w:line="380" w:lineRule="exact"/>
              <w:rPr>
                <w:rFonts w:ascii="宋体" w:hAnsi="宋体" w:cs="宋体"/>
                <w:szCs w:val="21"/>
              </w:rPr>
            </w:pPr>
            <w:r>
              <w:rPr>
                <w:rFonts w:hint="eastAsia" w:ascii="宋体" w:hAnsi="宋体" w:cs="宋体"/>
                <w:szCs w:val="21"/>
              </w:rPr>
              <w:t>5.4.6 电影回放时间：≥210秒</w:t>
            </w:r>
          </w:p>
          <w:p w14:paraId="7F12B803">
            <w:pPr>
              <w:spacing w:line="380" w:lineRule="exact"/>
              <w:rPr>
                <w:rFonts w:ascii="宋体" w:hAnsi="宋体" w:cs="宋体"/>
                <w:szCs w:val="21"/>
              </w:rPr>
            </w:pPr>
            <w:r>
              <w:rPr>
                <w:rFonts w:hint="eastAsia" w:ascii="宋体" w:hAnsi="宋体" w:cs="宋体"/>
                <w:color w:val="000000"/>
                <w:szCs w:val="21"/>
              </w:rPr>
              <w:t>*</w:t>
            </w:r>
            <w:r>
              <w:rPr>
                <w:rFonts w:hint="eastAsia" w:ascii="宋体" w:hAnsi="宋体" w:cs="宋体"/>
                <w:szCs w:val="21"/>
              </w:rPr>
              <w:t>5.4.7 取样宽度及位置范围：宽度1mm至20mm；分12级</w:t>
            </w:r>
          </w:p>
          <w:p w14:paraId="71006041">
            <w:pPr>
              <w:spacing w:line="380" w:lineRule="exact"/>
              <w:rPr>
                <w:rFonts w:ascii="宋体" w:hAnsi="宋体" w:cs="宋体"/>
                <w:szCs w:val="21"/>
              </w:rPr>
            </w:pPr>
            <w:r>
              <w:rPr>
                <w:rFonts w:hint="eastAsia" w:ascii="宋体" w:hAnsi="宋体" w:cs="宋体"/>
                <w:szCs w:val="21"/>
              </w:rPr>
              <w:t>5.5 彩色多普勒：</w:t>
            </w:r>
          </w:p>
          <w:p w14:paraId="074702B8">
            <w:pPr>
              <w:spacing w:line="380" w:lineRule="exact"/>
              <w:rPr>
                <w:rFonts w:ascii="宋体" w:hAnsi="宋体" w:cs="宋体"/>
                <w:szCs w:val="21"/>
              </w:rPr>
            </w:pPr>
            <w:r>
              <w:rPr>
                <w:rFonts w:hint="eastAsia" w:ascii="宋体" w:hAnsi="宋体" w:cs="宋体"/>
                <w:szCs w:val="21"/>
              </w:rPr>
              <w:t>5.5.1 显示方式：速度方差显示、能量显示、速度显示、二维图像/频谱多普勒/彩色血流成像三同步显示</w:t>
            </w:r>
          </w:p>
          <w:p w14:paraId="06392615">
            <w:pPr>
              <w:spacing w:line="380" w:lineRule="exact"/>
              <w:rPr>
                <w:rFonts w:ascii="宋体" w:hAnsi="宋体" w:cs="宋体"/>
                <w:szCs w:val="21"/>
              </w:rPr>
            </w:pPr>
            <w:r>
              <w:rPr>
                <w:rFonts w:hint="eastAsia" w:ascii="宋体" w:hAnsi="宋体" w:cs="宋体"/>
                <w:szCs w:val="21"/>
              </w:rPr>
              <w:t>5.5.2 彩色增强功能：组织多普勒成像，方向性能量图，高级动态血流成像，超微血流成像</w:t>
            </w:r>
          </w:p>
          <w:p w14:paraId="3FD48420">
            <w:pPr>
              <w:spacing w:line="380" w:lineRule="exact"/>
              <w:rPr>
                <w:rFonts w:ascii="宋体" w:hAnsi="宋体" w:cs="宋体"/>
                <w:szCs w:val="21"/>
              </w:rPr>
            </w:pPr>
            <w:r>
              <w:rPr>
                <w:rFonts w:hint="eastAsia" w:ascii="宋体" w:hAnsi="宋体" w:cs="宋体"/>
                <w:szCs w:val="21"/>
              </w:rPr>
              <w:t>5.5.3 彩色和二维/频谱多普勒可独立变频</w:t>
            </w:r>
          </w:p>
          <w:p w14:paraId="284798B9">
            <w:pPr>
              <w:spacing w:line="380" w:lineRule="exact"/>
              <w:rPr>
                <w:rFonts w:ascii="宋体" w:hAnsi="宋体" w:cs="宋体"/>
                <w:szCs w:val="21"/>
              </w:rPr>
            </w:pPr>
            <w:r>
              <w:rPr>
                <w:rFonts w:hint="eastAsia" w:ascii="宋体" w:hAnsi="宋体" w:cs="宋体"/>
                <w:color w:val="000000"/>
                <w:szCs w:val="21"/>
              </w:rPr>
              <w:t>*</w:t>
            </w:r>
            <w:r>
              <w:rPr>
                <w:rFonts w:hint="eastAsia" w:ascii="宋体" w:hAnsi="宋体" w:cs="宋体"/>
                <w:szCs w:val="21"/>
              </w:rPr>
              <w:t>5.5.4 显示位置调整：线阵扫描感兴趣的图像范围：-25°～+25°（依据探头）</w:t>
            </w:r>
          </w:p>
          <w:p w14:paraId="6D9BC031">
            <w:pPr>
              <w:spacing w:line="380" w:lineRule="exact"/>
              <w:rPr>
                <w:rFonts w:ascii="宋体" w:hAnsi="宋体" w:cs="宋体"/>
                <w:szCs w:val="21"/>
              </w:rPr>
            </w:pPr>
            <w:r>
              <w:rPr>
                <w:rFonts w:hint="eastAsia" w:ascii="宋体" w:hAnsi="宋体" w:cs="宋体"/>
                <w:szCs w:val="21"/>
              </w:rPr>
              <w:t>5.5.5 显示控制：零位移动分级可调、黑/白与彩色比较、彩色对比</w:t>
            </w:r>
          </w:p>
          <w:p w14:paraId="7555D8BE">
            <w:pPr>
              <w:spacing w:line="380" w:lineRule="exact"/>
              <w:rPr>
                <w:rFonts w:ascii="宋体" w:hAnsi="宋体" w:cs="宋体"/>
                <w:szCs w:val="21"/>
              </w:rPr>
            </w:pPr>
            <w:r>
              <w:rPr>
                <w:rFonts w:hint="eastAsia" w:ascii="宋体" w:hAnsi="宋体" w:cs="宋体"/>
                <w:szCs w:val="21"/>
              </w:rPr>
              <w:t>5.5.6 彩色分辨率：最小血管空间分辨率≤0.2mm</w:t>
            </w:r>
          </w:p>
          <w:p w14:paraId="33BB95D7">
            <w:pPr>
              <w:spacing w:line="380" w:lineRule="exact"/>
              <w:rPr>
                <w:rFonts w:ascii="宋体" w:hAnsi="宋体" w:cs="宋体"/>
                <w:szCs w:val="21"/>
              </w:rPr>
            </w:pPr>
            <w:r>
              <w:rPr>
                <w:rFonts w:hint="eastAsia" w:ascii="宋体" w:hAnsi="宋体" w:cs="宋体"/>
                <w:szCs w:val="21"/>
              </w:rPr>
              <w:t>5.6 超声功率输出调节：B/M、PWD、CWD、彩色多普勒输出功率可调</w:t>
            </w:r>
          </w:p>
          <w:p w14:paraId="4F780508">
            <w:pPr>
              <w:spacing w:line="380" w:lineRule="exact"/>
              <w:rPr>
                <w:rFonts w:ascii="宋体" w:hAnsi="宋体" w:cs="宋体"/>
                <w:szCs w:val="21"/>
              </w:rPr>
            </w:pPr>
            <w:r>
              <w:rPr>
                <w:rFonts w:hint="eastAsia" w:ascii="宋体" w:hAnsi="宋体" w:cs="宋体"/>
                <w:szCs w:val="21"/>
              </w:rPr>
              <w:t>六、其他要求：质保期5年。</w:t>
            </w:r>
          </w:p>
          <w:tbl>
            <w:tblPr>
              <w:tblStyle w:val="49"/>
              <w:tblW w:w="5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8"/>
              <w:gridCol w:w="2409"/>
              <w:gridCol w:w="1943"/>
            </w:tblGrid>
            <w:tr w14:paraId="38663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5820" w:type="dxa"/>
                  <w:gridSpan w:val="3"/>
                  <w:vAlign w:val="center"/>
                </w:tcPr>
                <w:p w14:paraId="78215EC5">
                  <w:pPr>
                    <w:spacing w:line="380" w:lineRule="exact"/>
                    <w:jc w:val="center"/>
                    <w:rPr>
                      <w:rFonts w:ascii="宋体" w:hAnsi="宋体" w:cs="宋体"/>
                    </w:rPr>
                  </w:pPr>
                  <w:r>
                    <w:rPr>
                      <w:rFonts w:hint="eastAsia" w:ascii="宋体" w:hAnsi="宋体" w:cs="宋体"/>
                    </w:rPr>
                    <w:t>高档彩色多普勒超声诊断仪配置清单</w:t>
                  </w:r>
                </w:p>
              </w:tc>
            </w:tr>
            <w:tr w14:paraId="48F5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468" w:type="dxa"/>
                  <w:vAlign w:val="center"/>
                </w:tcPr>
                <w:p w14:paraId="4A3682B7">
                  <w:pPr>
                    <w:spacing w:line="380" w:lineRule="exact"/>
                    <w:jc w:val="center"/>
                    <w:rPr>
                      <w:rFonts w:ascii="宋体" w:hAnsi="宋体" w:cs="宋体"/>
                    </w:rPr>
                  </w:pPr>
                  <w:r>
                    <w:rPr>
                      <w:rFonts w:hint="eastAsia" w:ascii="宋体" w:hAnsi="宋体" w:cs="宋体"/>
                    </w:rPr>
                    <w:t>序号</w:t>
                  </w:r>
                </w:p>
              </w:tc>
              <w:tc>
                <w:tcPr>
                  <w:tcW w:w="2409" w:type="dxa"/>
                  <w:vAlign w:val="center"/>
                </w:tcPr>
                <w:p w14:paraId="0A54C85D">
                  <w:pPr>
                    <w:spacing w:line="380" w:lineRule="exact"/>
                    <w:jc w:val="center"/>
                    <w:rPr>
                      <w:rFonts w:ascii="宋体" w:hAnsi="宋体" w:cs="宋体"/>
                    </w:rPr>
                  </w:pPr>
                  <w:r>
                    <w:rPr>
                      <w:rFonts w:hint="eastAsia" w:ascii="宋体" w:hAnsi="宋体" w:cs="宋体"/>
                    </w:rPr>
                    <w:t>说明</w:t>
                  </w:r>
                </w:p>
              </w:tc>
              <w:tc>
                <w:tcPr>
                  <w:tcW w:w="1943" w:type="dxa"/>
                  <w:vAlign w:val="center"/>
                </w:tcPr>
                <w:p w14:paraId="0E27EB6D">
                  <w:pPr>
                    <w:spacing w:line="380" w:lineRule="exact"/>
                    <w:jc w:val="center"/>
                    <w:rPr>
                      <w:rFonts w:ascii="宋体" w:hAnsi="宋体" w:cs="宋体"/>
                    </w:rPr>
                  </w:pPr>
                  <w:r>
                    <w:rPr>
                      <w:rFonts w:hint="eastAsia" w:ascii="宋体" w:hAnsi="宋体" w:cs="宋体"/>
                    </w:rPr>
                    <w:t>数量</w:t>
                  </w:r>
                </w:p>
              </w:tc>
            </w:tr>
            <w:tr w14:paraId="4A255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468" w:type="dxa"/>
                  <w:vAlign w:val="center"/>
                </w:tcPr>
                <w:p w14:paraId="36F2F07E">
                  <w:pPr>
                    <w:spacing w:line="380" w:lineRule="exact"/>
                    <w:jc w:val="center"/>
                    <w:rPr>
                      <w:rFonts w:ascii="宋体" w:hAnsi="宋体" w:cs="宋体"/>
                    </w:rPr>
                  </w:pPr>
                  <w:r>
                    <w:rPr>
                      <w:rFonts w:hint="eastAsia" w:ascii="宋体" w:hAnsi="宋体" w:cs="宋体"/>
                    </w:rPr>
                    <w:t>1</w:t>
                  </w:r>
                </w:p>
              </w:tc>
              <w:tc>
                <w:tcPr>
                  <w:tcW w:w="2409" w:type="dxa"/>
                  <w:vAlign w:val="center"/>
                </w:tcPr>
                <w:p w14:paraId="6A1E6C55">
                  <w:pPr>
                    <w:spacing w:line="380" w:lineRule="exact"/>
                    <w:jc w:val="center"/>
                    <w:rPr>
                      <w:rFonts w:ascii="宋体" w:hAnsi="宋体" w:cs="宋体"/>
                    </w:rPr>
                  </w:pPr>
                  <w:r>
                    <w:rPr>
                      <w:rFonts w:hint="eastAsia" w:ascii="宋体" w:hAnsi="宋体" w:cs="宋体"/>
                    </w:rPr>
                    <w:t>主机</w:t>
                  </w:r>
                </w:p>
              </w:tc>
              <w:tc>
                <w:tcPr>
                  <w:tcW w:w="1943" w:type="dxa"/>
                  <w:vAlign w:val="center"/>
                </w:tcPr>
                <w:p w14:paraId="1DF9E7E3">
                  <w:pPr>
                    <w:spacing w:line="380" w:lineRule="exact"/>
                    <w:jc w:val="center"/>
                    <w:rPr>
                      <w:rFonts w:ascii="宋体" w:hAnsi="宋体" w:cs="宋体"/>
                    </w:rPr>
                  </w:pPr>
                  <w:r>
                    <w:rPr>
                      <w:rFonts w:hint="eastAsia" w:ascii="宋体" w:hAnsi="宋体" w:cs="宋体"/>
                    </w:rPr>
                    <w:t>2</w:t>
                  </w:r>
                </w:p>
              </w:tc>
            </w:tr>
            <w:tr w14:paraId="5F1A5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468" w:type="dxa"/>
                  <w:vAlign w:val="center"/>
                </w:tcPr>
                <w:p w14:paraId="4DF28B97">
                  <w:pPr>
                    <w:spacing w:line="380" w:lineRule="exact"/>
                    <w:jc w:val="center"/>
                    <w:rPr>
                      <w:rFonts w:ascii="宋体" w:hAnsi="宋体" w:cs="宋体"/>
                    </w:rPr>
                  </w:pPr>
                  <w:r>
                    <w:rPr>
                      <w:rFonts w:hint="eastAsia" w:ascii="宋体" w:hAnsi="宋体" w:cs="宋体"/>
                    </w:rPr>
                    <w:t>2</w:t>
                  </w:r>
                </w:p>
              </w:tc>
              <w:tc>
                <w:tcPr>
                  <w:tcW w:w="2409" w:type="dxa"/>
                  <w:vAlign w:val="center"/>
                </w:tcPr>
                <w:p w14:paraId="2688EF82">
                  <w:pPr>
                    <w:spacing w:line="380" w:lineRule="exact"/>
                    <w:jc w:val="center"/>
                    <w:rPr>
                      <w:rFonts w:ascii="宋体" w:hAnsi="宋体" w:cs="宋体"/>
                    </w:rPr>
                  </w:pPr>
                  <w:r>
                    <w:rPr>
                      <w:rFonts w:hint="eastAsia" w:ascii="宋体" w:hAnsi="宋体" w:cs="宋体"/>
                    </w:rPr>
                    <w:t>超微血流成像</w:t>
                  </w:r>
                </w:p>
              </w:tc>
              <w:tc>
                <w:tcPr>
                  <w:tcW w:w="1943" w:type="dxa"/>
                  <w:vAlign w:val="center"/>
                </w:tcPr>
                <w:p w14:paraId="4D5F46A6">
                  <w:pPr>
                    <w:spacing w:line="380" w:lineRule="exact"/>
                    <w:jc w:val="center"/>
                    <w:rPr>
                      <w:rFonts w:ascii="宋体" w:hAnsi="宋体" w:cs="宋体"/>
                    </w:rPr>
                  </w:pPr>
                  <w:r>
                    <w:rPr>
                      <w:rFonts w:hint="eastAsia" w:ascii="宋体" w:hAnsi="宋体" w:cs="宋体"/>
                    </w:rPr>
                    <w:t>2</w:t>
                  </w:r>
                </w:p>
              </w:tc>
            </w:tr>
            <w:tr w14:paraId="66735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468" w:type="dxa"/>
                  <w:vAlign w:val="center"/>
                </w:tcPr>
                <w:p w14:paraId="0A96A612">
                  <w:pPr>
                    <w:spacing w:line="380" w:lineRule="exact"/>
                    <w:jc w:val="center"/>
                    <w:rPr>
                      <w:rFonts w:ascii="宋体" w:hAnsi="宋体" w:cs="宋体"/>
                    </w:rPr>
                  </w:pPr>
                  <w:r>
                    <w:rPr>
                      <w:rFonts w:hint="eastAsia" w:ascii="宋体" w:hAnsi="宋体" w:cs="宋体"/>
                    </w:rPr>
                    <w:t>3</w:t>
                  </w:r>
                </w:p>
              </w:tc>
              <w:tc>
                <w:tcPr>
                  <w:tcW w:w="2409" w:type="dxa"/>
                  <w:vAlign w:val="center"/>
                </w:tcPr>
                <w:p w14:paraId="270D90A4">
                  <w:pPr>
                    <w:spacing w:line="380" w:lineRule="exact"/>
                    <w:jc w:val="center"/>
                    <w:rPr>
                      <w:rFonts w:ascii="宋体" w:hAnsi="宋体" w:cs="宋体"/>
                    </w:rPr>
                  </w:pPr>
                  <w:r>
                    <w:rPr>
                      <w:rFonts w:hint="eastAsia" w:ascii="宋体" w:hAnsi="宋体" w:cs="宋体"/>
                    </w:rPr>
                    <w:t>应变式弹性成像</w:t>
                  </w:r>
                </w:p>
              </w:tc>
              <w:tc>
                <w:tcPr>
                  <w:tcW w:w="1943" w:type="dxa"/>
                  <w:vAlign w:val="center"/>
                </w:tcPr>
                <w:p w14:paraId="55CAD9FE">
                  <w:pPr>
                    <w:spacing w:line="380" w:lineRule="exact"/>
                    <w:jc w:val="center"/>
                    <w:rPr>
                      <w:rFonts w:ascii="宋体" w:hAnsi="宋体" w:cs="宋体"/>
                    </w:rPr>
                  </w:pPr>
                  <w:r>
                    <w:rPr>
                      <w:rFonts w:hint="eastAsia" w:ascii="宋体" w:hAnsi="宋体" w:cs="宋体"/>
                    </w:rPr>
                    <w:t>2</w:t>
                  </w:r>
                </w:p>
              </w:tc>
            </w:tr>
            <w:tr w14:paraId="44E4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468" w:type="dxa"/>
                  <w:vAlign w:val="center"/>
                </w:tcPr>
                <w:p w14:paraId="0D80F362">
                  <w:pPr>
                    <w:spacing w:line="380" w:lineRule="exact"/>
                    <w:jc w:val="center"/>
                    <w:rPr>
                      <w:rFonts w:ascii="宋体" w:hAnsi="宋体" w:cs="宋体"/>
                    </w:rPr>
                  </w:pPr>
                  <w:r>
                    <w:rPr>
                      <w:rFonts w:hint="eastAsia" w:ascii="宋体" w:hAnsi="宋体" w:cs="宋体"/>
                    </w:rPr>
                    <w:t>4</w:t>
                  </w:r>
                </w:p>
              </w:tc>
              <w:tc>
                <w:tcPr>
                  <w:tcW w:w="2409" w:type="dxa"/>
                  <w:vAlign w:val="center"/>
                </w:tcPr>
                <w:p w14:paraId="2A9426CD">
                  <w:pPr>
                    <w:spacing w:line="380" w:lineRule="exact"/>
                    <w:jc w:val="center"/>
                    <w:rPr>
                      <w:rFonts w:ascii="宋体" w:hAnsi="宋体" w:cs="宋体"/>
                    </w:rPr>
                  </w:pPr>
                  <w:r>
                    <w:rPr>
                      <w:rFonts w:hint="eastAsia" w:ascii="宋体" w:hAnsi="宋体" w:cs="宋体"/>
                    </w:rPr>
                    <w:t>微小钙化增强显示技术</w:t>
                  </w:r>
                </w:p>
              </w:tc>
              <w:tc>
                <w:tcPr>
                  <w:tcW w:w="1943" w:type="dxa"/>
                  <w:vAlign w:val="center"/>
                </w:tcPr>
                <w:p w14:paraId="20DF16F9">
                  <w:pPr>
                    <w:spacing w:line="380" w:lineRule="exact"/>
                    <w:jc w:val="center"/>
                    <w:rPr>
                      <w:rFonts w:ascii="宋体" w:hAnsi="宋体" w:cs="宋体"/>
                    </w:rPr>
                  </w:pPr>
                  <w:r>
                    <w:rPr>
                      <w:rFonts w:hint="eastAsia" w:ascii="宋体" w:hAnsi="宋体" w:cs="宋体"/>
                    </w:rPr>
                    <w:t>2</w:t>
                  </w:r>
                </w:p>
              </w:tc>
            </w:tr>
            <w:tr w14:paraId="44AD2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468" w:type="dxa"/>
                  <w:vAlign w:val="center"/>
                </w:tcPr>
                <w:p w14:paraId="23FCD8CE">
                  <w:pPr>
                    <w:spacing w:line="380" w:lineRule="exact"/>
                    <w:jc w:val="center"/>
                    <w:rPr>
                      <w:rFonts w:ascii="宋体" w:hAnsi="宋体" w:cs="宋体"/>
                    </w:rPr>
                  </w:pPr>
                  <w:r>
                    <w:rPr>
                      <w:rFonts w:hint="eastAsia" w:ascii="宋体" w:hAnsi="宋体" w:cs="宋体"/>
                    </w:rPr>
                    <w:t>5</w:t>
                  </w:r>
                </w:p>
              </w:tc>
              <w:tc>
                <w:tcPr>
                  <w:tcW w:w="2409" w:type="dxa"/>
                  <w:vAlign w:val="center"/>
                </w:tcPr>
                <w:p w14:paraId="59770967">
                  <w:pPr>
                    <w:spacing w:line="380" w:lineRule="exact"/>
                    <w:jc w:val="center"/>
                    <w:rPr>
                      <w:rFonts w:ascii="宋体" w:hAnsi="宋体" w:cs="宋体"/>
                    </w:rPr>
                  </w:pPr>
                  <w:r>
                    <w:rPr>
                      <w:rFonts w:hint="eastAsia" w:ascii="宋体" w:hAnsi="宋体" w:cs="宋体"/>
                    </w:rPr>
                    <w:t>凸阵探头</w:t>
                  </w:r>
                </w:p>
              </w:tc>
              <w:tc>
                <w:tcPr>
                  <w:tcW w:w="1943" w:type="dxa"/>
                  <w:vAlign w:val="center"/>
                </w:tcPr>
                <w:p w14:paraId="4B067DCD">
                  <w:pPr>
                    <w:spacing w:line="380" w:lineRule="exact"/>
                    <w:jc w:val="center"/>
                    <w:rPr>
                      <w:rFonts w:ascii="宋体" w:hAnsi="宋体" w:cs="宋体"/>
                    </w:rPr>
                  </w:pPr>
                  <w:r>
                    <w:rPr>
                      <w:rFonts w:hint="eastAsia" w:ascii="宋体" w:hAnsi="宋体" w:cs="宋体"/>
                    </w:rPr>
                    <w:t>2</w:t>
                  </w:r>
                </w:p>
              </w:tc>
            </w:tr>
            <w:tr w14:paraId="693DE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468" w:type="dxa"/>
                  <w:vAlign w:val="center"/>
                </w:tcPr>
                <w:p w14:paraId="60C821DF">
                  <w:pPr>
                    <w:spacing w:line="380" w:lineRule="exact"/>
                    <w:jc w:val="center"/>
                    <w:rPr>
                      <w:rFonts w:ascii="宋体" w:hAnsi="宋体" w:cs="宋体"/>
                    </w:rPr>
                  </w:pPr>
                  <w:r>
                    <w:rPr>
                      <w:rFonts w:hint="eastAsia" w:ascii="宋体" w:hAnsi="宋体" w:cs="宋体"/>
                    </w:rPr>
                    <w:t>6</w:t>
                  </w:r>
                </w:p>
              </w:tc>
              <w:tc>
                <w:tcPr>
                  <w:tcW w:w="2409" w:type="dxa"/>
                  <w:vAlign w:val="center"/>
                </w:tcPr>
                <w:p w14:paraId="17AEE62E">
                  <w:pPr>
                    <w:spacing w:line="380" w:lineRule="exact"/>
                    <w:jc w:val="center"/>
                    <w:rPr>
                      <w:rFonts w:ascii="宋体" w:hAnsi="宋体" w:cs="宋体"/>
                    </w:rPr>
                  </w:pPr>
                  <w:r>
                    <w:rPr>
                      <w:rFonts w:hint="eastAsia" w:ascii="宋体" w:hAnsi="宋体" w:cs="宋体"/>
                    </w:rPr>
                    <w:t>线阵探头</w:t>
                  </w:r>
                </w:p>
              </w:tc>
              <w:tc>
                <w:tcPr>
                  <w:tcW w:w="1943" w:type="dxa"/>
                  <w:vAlign w:val="center"/>
                </w:tcPr>
                <w:p w14:paraId="5F3A1583">
                  <w:pPr>
                    <w:spacing w:line="380" w:lineRule="exact"/>
                    <w:jc w:val="center"/>
                    <w:rPr>
                      <w:rFonts w:ascii="宋体" w:hAnsi="宋体" w:cs="宋体"/>
                    </w:rPr>
                  </w:pPr>
                  <w:r>
                    <w:rPr>
                      <w:rFonts w:hint="eastAsia" w:ascii="宋体" w:hAnsi="宋体" w:cs="宋体"/>
                    </w:rPr>
                    <w:t>2</w:t>
                  </w:r>
                </w:p>
              </w:tc>
            </w:tr>
            <w:tr w14:paraId="09C42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468" w:type="dxa"/>
                  <w:vAlign w:val="center"/>
                </w:tcPr>
                <w:p w14:paraId="04DDEB69">
                  <w:pPr>
                    <w:spacing w:line="380" w:lineRule="exact"/>
                    <w:jc w:val="center"/>
                    <w:rPr>
                      <w:rFonts w:ascii="宋体" w:hAnsi="宋体" w:cs="宋体"/>
                    </w:rPr>
                  </w:pPr>
                  <w:r>
                    <w:rPr>
                      <w:rFonts w:hint="eastAsia" w:ascii="宋体" w:hAnsi="宋体" w:cs="宋体"/>
                    </w:rPr>
                    <w:t>7</w:t>
                  </w:r>
                </w:p>
              </w:tc>
              <w:tc>
                <w:tcPr>
                  <w:tcW w:w="2409" w:type="dxa"/>
                  <w:vAlign w:val="center"/>
                </w:tcPr>
                <w:p w14:paraId="61B55B9C">
                  <w:pPr>
                    <w:spacing w:line="380" w:lineRule="exact"/>
                    <w:jc w:val="center"/>
                    <w:rPr>
                      <w:rFonts w:ascii="宋体" w:hAnsi="宋体" w:cs="宋体"/>
                    </w:rPr>
                  </w:pPr>
                  <w:r>
                    <w:rPr>
                      <w:rFonts w:hint="eastAsia" w:ascii="宋体" w:hAnsi="宋体" w:cs="宋体"/>
                    </w:rPr>
                    <w:t>腔内探头</w:t>
                  </w:r>
                </w:p>
              </w:tc>
              <w:tc>
                <w:tcPr>
                  <w:tcW w:w="1943" w:type="dxa"/>
                  <w:vAlign w:val="center"/>
                </w:tcPr>
                <w:p w14:paraId="142EDDF2">
                  <w:pPr>
                    <w:spacing w:line="380" w:lineRule="exact"/>
                    <w:jc w:val="center"/>
                    <w:rPr>
                      <w:rFonts w:ascii="宋体" w:hAnsi="宋体" w:cs="宋体"/>
                    </w:rPr>
                  </w:pPr>
                  <w:r>
                    <w:rPr>
                      <w:rFonts w:hint="eastAsia" w:ascii="宋体" w:hAnsi="宋体" w:cs="宋体"/>
                    </w:rPr>
                    <w:t>2</w:t>
                  </w:r>
                </w:p>
              </w:tc>
            </w:tr>
            <w:tr w14:paraId="2BC6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468" w:type="dxa"/>
                  <w:vAlign w:val="center"/>
                </w:tcPr>
                <w:p w14:paraId="08AAFFB3">
                  <w:pPr>
                    <w:spacing w:line="380" w:lineRule="exact"/>
                    <w:jc w:val="center"/>
                    <w:rPr>
                      <w:rFonts w:ascii="宋体" w:hAnsi="宋体" w:cs="宋体"/>
                    </w:rPr>
                  </w:pPr>
                  <w:r>
                    <w:rPr>
                      <w:rFonts w:hint="eastAsia" w:ascii="宋体" w:hAnsi="宋体" w:cs="宋体"/>
                    </w:rPr>
                    <w:t>8</w:t>
                  </w:r>
                </w:p>
              </w:tc>
              <w:tc>
                <w:tcPr>
                  <w:tcW w:w="2409" w:type="dxa"/>
                  <w:vAlign w:val="center"/>
                </w:tcPr>
                <w:p w14:paraId="76291336">
                  <w:pPr>
                    <w:spacing w:line="380" w:lineRule="exact"/>
                    <w:jc w:val="center"/>
                    <w:rPr>
                      <w:rFonts w:ascii="宋体" w:hAnsi="宋体" w:cs="宋体"/>
                    </w:rPr>
                  </w:pPr>
                  <w:r>
                    <w:rPr>
                      <w:rFonts w:hint="eastAsia" w:ascii="宋体" w:hAnsi="宋体" w:cs="宋体"/>
                    </w:rPr>
                    <w:t>说明书和合格证</w:t>
                  </w:r>
                </w:p>
              </w:tc>
              <w:tc>
                <w:tcPr>
                  <w:tcW w:w="1943" w:type="dxa"/>
                  <w:vAlign w:val="center"/>
                </w:tcPr>
                <w:p w14:paraId="5A49C373">
                  <w:pPr>
                    <w:spacing w:line="380" w:lineRule="exact"/>
                    <w:jc w:val="center"/>
                    <w:rPr>
                      <w:rFonts w:ascii="宋体" w:hAnsi="宋体" w:cs="宋体"/>
                    </w:rPr>
                  </w:pPr>
                  <w:r>
                    <w:rPr>
                      <w:rFonts w:hint="eastAsia" w:ascii="宋体" w:hAnsi="宋体" w:cs="宋体"/>
                    </w:rPr>
                    <w:t>2</w:t>
                  </w:r>
                </w:p>
              </w:tc>
            </w:tr>
            <w:tr w14:paraId="2E08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468" w:type="dxa"/>
                  <w:vAlign w:val="center"/>
                </w:tcPr>
                <w:p w14:paraId="74AFB614">
                  <w:pPr>
                    <w:spacing w:line="380" w:lineRule="exact"/>
                    <w:jc w:val="center"/>
                    <w:rPr>
                      <w:rFonts w:ascii="宋体" w:hAnsi="宋体" w:cs="宋体"/>
                    </w:rPr>
                  </w:pPr>
                  <w:r>
                    <w:rPr>
                      <w:rFonts w:hint="eastAsia" w:ascii="宋体" w:hAnsi="宋体" w:cs="宋体"/>
                    </w:rPr>
                    <w:t>9</w:t>
                  </w:r>
                </w:p>
              </w:tc>
              <w:tc>
                <w:tcPr>
                  <w:tcW w:w="2409" w:type="dxa"/>
                  <w:vAlign w:val="center"/>
                </w:tcPr>
                <w:p w14:paraId="44CB51AE">
                  <w:pPr>
                    <w:spacing w:line="380" w:lineRule="exact"/>
                    <w:jc w:val="center"/>
                    <w:rPr>
                      <w:rFonts w:ascii="宋体" w:hAnsi="宋体" w:cs="宋体"/>
                    </w:rPr>
                  </w:pPr>
                  <w:r>
                    <w:rPr>
                      <w:rFonts w:hint="eastAsia" w:ascii="宋体" w:hAnsi="宋体" w:cs="宋体"/>
                    </w:rPr>
                    <w:t>图文影像工作站</w:t>
                  </w:r>
                </w:p>
              </w:tc>
              <w:tc>
                <w:tcPr>
                  <w:tcW w:w="1943" w:type="dxa"/>
                  <w:vAlign w:val="center"/>
                </w:tcPr>
                <w:p w14:paraId="6D54AA3C">
                  <w:pPr>
                    <w:spacing w:line="380" w:lineRule="exact"/>
                    <w:jc w:val="center"/>
                    <w:rPr>
                      <w:rFonts w:ascii="宋体" w:hAnsi="宋体" w:cs="宋体"/>
                    </w:rPr>
                  </w:pPr>
                  <w:r>
                    <w:rPr>
                      <w:rFonts w:hint="eastAsia" w:ascii="宋体" w:hAnsi="宋体" w:cs="宋体"/>
                    </w:rPr>
                    <w:t>2</w:t>
                  </w:r>
                </w:p>
              </w:tc>
            </w:tr>
            <w:tr w14:paraId="65F9F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468" w:type="dxa"/>
                  <w:vAlign w:val="center"/>
                </w:tcPr>
                <w:p w14:paraId="5C471C64">
                  <w:pPr>
                    <w:spacing w:line="380" w:lineRule="exact"/>
                    <w:jc w:val="center"/>
                    <w:rPr>
                      <w:rFonts w:ascii="宋体" w:hAnsi="宋体" w:cs="宋体"/>
                    </w:rPr>
                  </w:pPr>
                  <w:r>
                    <w:rPr>
                      <w:rFonts w:hint="eastAsia" w:ascii="宋体" w:hAnsi="宋体" w:cs="宋体"/>
                    </w:rPr>
                    <w:t>10</w:t>
                  </w:r>
                </w:p>
              </w:tc>
              <w:tc>
                <w:tcPr>
                  <w:tcW w:w="2409" w:type="dxa"/>
                  <w:vAlign w:val="center"/>
                </w:tcPr>
                <w:p w14:paraId="135FC4B3">
                  <w:pPr>
                    <w:spacing w:line="380" w:lineRule="exact"/>
                    <w:jc w:val="center"/>
                    <w:rPr>
                      <w:rFonts w:ascii="宋体" w:hAnsi="宋体" w:cs="宋体"/>
                    </w:rPr>
                  </w:pPr>
                  <w:r>
                    <w:rPr>
                      <w:rFonts w:hint="eastAsia" w:ascii="宋体" w:hAnsi="宋体" w:cs="宋体"/>
                    </w:rPr>
                    <w:t>高清采集卡</w:t>
                  </w:r>
                </w:p>
              </w:tc>
              <w:tc>
                <w:tcPr>
                  <w:tcW w:w="1943" w:type="dxa"/>
                  <w:vAlign w:val="center"/>
                </w:tcPr>
                <w:p w14:paraId="0FAF719A">
                  <w:pPr>
                    <w:spacing w:line="380" w:lineRule="exact"/>
                    <w:jc w:val="center"/>
                    <w:rPr>
                      <w:rFonts w:ascii="宋体" w:hAnsi="宋体" w:cs="宋体"/>
                    </w:rPr>
                  </w:pPr>
                  <w:r>
                    <w:rPr>
                      <w:rFonts w:hint="eastAsia" w:ascii="宋体" w:hAnsi="宋体" w:cs="宋体"/>
                    </w:rPr>
                    <w:t>2</w:t>
                  </w:r>
                </w:p>
              </w:tc>
            </w:tr>
          </w:tbl>
          <w:p w14:paraId="50F52074">
            <w:pPr>
              <w:spacing w:line="380" w:lineRule="exact"/>
              <w:rPr>
                <w:rFonts w:ascii="宋体" w:hAnsi="宋体" w:cs="宋体"/>
                <w:szCs w:val="21"/>
              </w:rPr>
            </w:pPr>
          </w:p>
        </w:tc>
        <w:tc>
          <w:tcPr>
            <w:tcW w:w="1413" w:type="dxa"/>
            <w:tcBorders>
              <w:top w:val="single" w:color="auto" w:sz="4" w:space="0"/>
              <w:left w:val="single" w:color="auto" w:sz="4" w:space="0"/>
              <w:bottom w:val="single" w:color="auto" w:sz="4" w:space="0"/>
              <w:right w:val="single" w:color="auto" w:sz="4" w:space="0"/>
            </w:tcBorders>
            <w:vAlign w:val="center"/>
          </w:tcPr>
          <w:p w14:paraId="13CE2776">
            <w:pPr>
              <w:spacing w:line="380" w:lineRule="exact"/>
              <w:jc w:val="center"/>
              <w:rPr>
                <w:rFonts w:ascii="宋体" w:hAnsi="宋体" w:cs="宋体"/>
                <w:szCs w:val="21"/>
              </w:rPr>
            </w:pPr>
            <w:r>
              <w:rPr>
                <w:rFonts w:ascii="宋体" w:hAnsi="宋体" w:cs="宋体"/>
                <w:szCs w:val="21"/>
              </w:rPr>
              <w:t>167</w:t>
            </w:r>
          </w:p>
        </w:tc>
      </w:tr>
      <w:tr w14:paraId="4C2B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584" w:type="dxa"/>
            <w:tcBorders>
              <w:top w:val="single" w:color="auto" w:sz="4" w:space="0"/>
              <w:left w:val="single" w:color="auto" w:sz="4" w:space="0"/>
              <w:bottom w:val="single" w:color="auto" w:sz="4" w:space="0"/>
              <w:right w:val="single" w:color="auto" w:sz="4" w:space="0"/>
            </w:tcBorders>
            <w:vAlign w:val="center"/>
          </w:tcPr>
          <w:p w14:paraId="6A14992B">
            <w:pPr>
              <w:spacing w:line="380" w:lineRule="exact"/>
              <w:ind w:firstLine="105" w:firstLineChars="50"/>
              <w:rPr>
                <w:rFonts w:ascii="宋体" w:hAnsi="宋体" w:cs="宋体"/>
                <w:color w:val="000000"/>
                <w:szCs w:val="21"/>
              </w:rPr>
            </w:pPr>
            <w:r>
              <w:rPr>
                <w:rFonts w:hint="eastAsia" w:ascii="宋体" w:hAnsi="宋体" w:cs="宋体"/>
                <w:color w:val="000000"/>
                <w:szCs w:val="21"/>
              </w:rPr>
              <w:t>2</w:t>
            </w:r>
          </w:p>
        </w:tc>
        <w:tc>
          <w:tcPr>
            <w:tcW w:w="866" w:type="dxa"/>
            <w:tcBorders>
              <w:top w:val="single" w:color="auto" w:sz="4" w:space="0"/>
              <w:left w:val="single" w:color="auto" w:sz="4" w:space="0"/>
              <w:bottom w:val="single" w:color="auto" w:sz="4" w:space="0"/>
              <w:right w:val="single" w:color="auto" w:sz="4" w:space="0"/>
            </w:tcBorders>
            <w:vAlign w:val="center"/>
          </w:tcPr>
          <w:p w14:paraId="0F4A0BDD">
            <w:pPr>
              <w:spacing w:line="380" w:lineRule="exact"/>
              <w:jc w:val="center"/>
              <w:rPr>
                <w:rFonts w:ascii="宋体" w:hAnsi="宋体" w:cs="宋体"/>
                <w:szCs w:val="21"/>
              </w:rPr>
            </w:pPr>
            <w:r>
              <w:rPr>
                <w:rFonts w:hint="eastAsia" w:ascii="宋体" w:hAnsi="宋体" w:cs="宋体"/>
                <w:szCs w:val="21"/>
              </w:rPr>
              <w:t>彩超仪（超声诊断设备4探头）（2）</w:t>
            </w:r>
          </w:p>
        </w:tc>
        <w:tc>
          <w:tcPr>
            <w:tcW w:w="567" w:type="dxa"/>
            <w:tcBorders>
              <w:top w:val="single" w:color="auto" w:sz="4" w:space="0"/>
              <w:left w:val="single" w:color="auto" w:sz="4" w:space="0"/>
              <w:bottom w:val="single" w:color="auto" w:sz="4" w:space="0"/>
              <w:right w:val="single" w:color="auto" w:sz="4" w:space="0"/>
            </w:tcBorders>
            <w:vAlign w:val="center"/>
          </w:tcPr>
          <w:p w14:paraId="1272CBB3">
            <w:pPr>
              <w:spacing w:line="380" w:lineRule="exact"/>
              <w:jc w:val="center"/>
              <w:rPr>
                <w:rFonts w:ascii="宋体" w:hAnsi="宋体" w:cs="宋体"/>
                <w:szCs w:val="21"/>
              </w:rPr>
            </w:pPr>
            <w:r>
              <w:rPr>
                <w:rFonts w:hint="eastAsia" w:ascii="宋体" w:hAnsi="宋体" w:cs="宋体"/>
                <w:szCs w:val="21"/>
              </w:rPr>
              <w:t>1</w:t>
            </w:r>
          </w:p>
        </w:tc>
        <w:tc>
          <w:tcPr>
            <w:tcW w:w="567" w:type="dxa"/>
            <w:tcBorders>
              <w:top w:val="single" w:color="auto" w:sz="4" w:space="0"/>
              <w:left w:val="single" w:color="auto" w:sz="4" w:space="0"/>
              <w:bottom w:val="single" w:color="auto" w:sz="4" w:space="0"/>
              <w:right w:val="single" w:color="auto" w:sz="4" w:space="0"/>
            </w:tcBorders>
            <w:vAlign w:val="center"/>
          </w:tcPr>
          <w:p w14:paraId="6A85E779">
            <w:pPr>
              <w:spacing w:line="380" w:lineRule="exact"/>
              <w:jc w:val="center"/>
              <w:rPr>
                <w:rFonts w:ascii="宋体" w:hAnsi="宋体" w:cs="宋体"/>
                <w:szCs w:val="21"/>
              </w:rPr>
            </w:pPr>
            <w:r>
              <w:rPr>
                <w:rFonts w:hint="eastAsia" w:ascii="宋体" w:hAnsi="宋体" w:cs="宋体"/>
                <w:szCs w:val="21"/>
              </w:rPr>
              <w:t>套</w:t>
            </w:r>
          </w:p>
        </w:tc>
        <w:tc>
          <w:tcPr>
            <w:tcW w:w="6033" w:type="dxa"/>
            <w:tcBorders>
              <w:top w:val="single" w:color="auto" w:sz="4" w:space="0"/>
              <w:left w:val="single" w:color="auto" w:sz="4" w:space="0"/>
              <w:bottom w:val="single" w:color="auto" w:sz="4" w:space="0"/>
              <w:right w:val="single" w:color="auto" w:sz="4" w:space="0"/>
            </w:tcBorders>
          </w:tcPr>
          <w:p w14:paraId="58A94DC9">
            <w:pPr>
              <w:spacing w:line="380" w:lineRule="exact"/>
              <w:rPr>
                <w:rFonts w:ascii="宋体" w:hAnsi="宋体" w:cs="宋体"/>
                <w:szCs w:val="21"/>
              </w:rPr>
            </w:pPr>
            <w:r>
              <w:rPr>
                <w:rFonts w:hint="eastAsia" w:ascii="宋体" w:hAnsi="宋体" w:cs="宋体"/>
                <w:szCs w:val="21"/>
              </w:rPr>
              <w:t>一、设备名称：彩色多普勒超声诊断仪</w:t>
            </w:r>
          </w:p>
          <w:p w14:paraId="504BD5D7">
            <w:pPr>
              <w:spacing w:line="380" w:lineRule="exact"/>
              <w:rPr>
                <w:rFonts w:ascii="宋体" w:hAnsi="宋体" w:cs="宋体"/>
                <w:szCs w:val="21"/>
              </w:rPr>
            </w:pPr>
            <w:r>
              <w:rPr>
                <w:rFonts w:hint="eastAsia" w:ascii="宋体" w:hAnsi="宋体" w:cs="宋体"/>
                <w:szCs w:val="21"/>
              </w:rPr>
              <w:t>二、数量：一套</w:t>
            </w:r>
          </w:p>
          <w:p w14:paraId="2FBDD0F7">
            <w:pPr>
              <w:spacing w:line="380" w:lineRule="exact"/>
              <w:rPr>
                <w:rFonts w:ascii="宋体" w:hAnsi="宋体" w:cs="宋体"/>
                <w:szCs w:val="21"/>
              </w:rPr>
            </w:pPr>
            <w:r>
              <w:rPr>
                <w:rFonts w:hint="eastAsia" w:ascii="宋体" w:hAnsi="宋体" w:cs="宋体"/>
                <w:szCs w:val="21"/>
              </w:rPr>
              <w:t>三、设备用途说明及主要要求：</w:t>
            </w:r>
          </w:p>
          <w:p w14:paraId="6EC56224">
            <w:pPr>
              <w:spacing w:line="380" w:lineRule="exact"/>
              <w:rPr>
                <w:rFonts w:ascii="宋体" w:hAnsi="宋体" w:cs="宋体"/>
                <w:szCs w:val="21"/>
              </w:rPr>
            </w:pPr>
            <w:r>
              <w:rPr>
                <w:rFonts w:hint="eastAsia" w:ascii="宋体" w:hAnsi="宋体" w:cs="宋体"/>
                <w:szCs w:val="21"/>
              </w:rPr>
              <w:t>3.1用途：主要用于腹部、妇产科、外周血管、小器官、浅表组织、介入等方面的临床超声诊断，具备持续升级能力，能满足开展新的临床应用需求</w:t>
            </w:r>
          </w:p>
          <w:p w14:paraId="3C8D083E">
            <w:pPr>
              <w:spacing w:line="380" w:lineRule="exact"/>
              <w:rPr>
                <w:rFonts w:ascii="宋体" w:hAnsi="宋体" w:cs="宋体"/>
                <w:szCs w:val="21"/>
              </w:rPr>
            </w:pPr>
            <w:r>
              <w:rPr>
                <w:rFonts w:hint="eastAsia" w:ascii="宋体" w:hAnsi="宋体" w:cs="宋体"/>
                <w:szCs w:val="21"/>
              </w:rPr>
              <w:t>3.2采用最新的软硬件版本</w:t>
            </w:r>
          </w:p>
          <w:p w14:paraId="44D3225F">
            <w:pPr>
              <w:spacing w:line="380" w:lineRule="exact"/>
              <w:rPr>
                <w:rFonts w:ascii="宋体" w:hAnsi="宋体" w:cs="宋体"/>
                <w:szCs w:val="21"/>
              </w:rPr>
            </w:pPr>
            <w:r>
              <w:rPr>
                <w:rFonts w:hint="eastAsia" w:ascii="宋体" w:hAnsi="宋体" w:cs="宋体"/>
                <w:szCs w:val="21"/>
              </w:rPr>
              <w:t>四、主要规格及系统概述：</w:t>
            </w:r>
          </w:p>
          <w:p w14:paraId="40CFF8A2">
            <w:pPr>
              <w:spacing w:line="380" w:lineRule="exact"/>
              <w:rPr>
                <w:rFonts w:ascii="宋体" w:hAnsi="宋体" w:cs="宋体"/>
                <w:szCs w:val="21"/>
              </w:rPr>
            </w:pPr>
            <w:r>
              <w:rPr>
                <w:rFonts w:hint="eastAsia" w:ascii="宋体" w:hAnsi="宋体" w:cs="宋体"/>
                <w:szCs w:val="21"/>
              </w:rPr>
              <w:t>4.1 彩色多普勒超声诊断仪包括：</w:t>
            </w:r>
          </w:p>
          <w:p w14:paraId="72FFE0B0">
            <w:pPr>
              <w:spacing w:line="380" w:lineRule="exact"/>
              <w:rPr>
                <w:rFonts w:ascii="宋体" w:hAnsi="宋体" w:cs="宋体"/>
                <w:szCs w:val="21"/>
              </w:rPr>
            </w:pPr>
            <w:r>
              <w:rPr>
                <w:rFonts w:hint="eastAsia" w:ascii="宋体" w:hAnsi="宋体" w:cs="宋体"/>
                <w:szCs w:val="21"/>
              </w:rPr>
              <w:t>4.1.1 ≥21英寸高分辨率宽屏显示器，分辨率为1920 × 1080，采用灵活、可调节支撑臂</w:t>
            </w:r>
          </w:p>
          <w:p w14:paraId="3BDCF913">
            <w:pPr>
              <w:spacing w:line="380" w:lineRule="exact"/>
              <w:rPr>
                <w:rFonts w:ascii="宋体" w:hAnsi="宋体" w:cs="宋体"/>
                <w:szCs w:val="21"/>
              </w:rPr>
            </w:pPr>
            <w:r>
              <w:rPr>
                <w:rFonts w:hint="eastAsia" w:ascii="宋体" w:hAnsi="宋体" w:cs="宋体"/>
                <w:szCs w:val="21"/>
              </w:rPr>
              <w:t>4.1.2最新智能波束形成技术，包括多同步脉冲激励、多声束高密度接收及多声束谐波回波复合等技术，提升图像的空间分辨率、对比分辨率、穿透力及成像帧频</w:t>
            </w:r>
          </w:p>
          <w:p w14:paraId="5541C7FE">
            <w:pPr>
              <w:spacing w:line="380" w:lineRule="exact"/>
              <w:rPr>
                <w:rFonts w:ascii="宋体" w:hAnsi="宋体" w:cs="宋体"/>
                <w:szCs w:val="21"/>
              </w:rPr>
            </w:pPr>
            <w:r>
              <w:rPr>
                <w:rFonts w:hint="eastAsia" w:ascii="宋体" w:hAnsi="宋体" w:cs="宋体"/>
                <w:szCs w:val="21"/>
              </w:rPr>
              <w:t>4.1.3 组织特性优化成像，根据声波在组织内传播的声学特性差异，进行接收聚焦补偿，有效提升组织细节分辨率。可实现自动补偿。支持凸阵/线阵等探头，分级可调</w:t>
            </w:r>
          </w:p>
          <w:p w14:paraId="3E43F484">
            <w:pPr>
              <w:spacing w:line="380" w:lineRule="exact"/>
              <w:rPr>
                <w:rFonts w:ascii="宋体" w:hAnsi="宋体" w:cs="宋体"/>
                <w:szCs w:val="21"/>
              </w:rPr>
            </w:pPr>
            <w:r>
              <w:rPr>
                <w:rFonts w:hint="eastAsia" w:ascii="宋体" w:hAnsi="宋体" w:cs="宋体"/>
                <w:szCs w:val="21"/>
              </w:rPr>
              <w:t>4.1.4 组织谐波技术≥3种，包括脉冲减影组织谐波、滤波组织谐波和差量组织谐波成像</w:t>
            </w:r>
          </w:p>
          <w:p w14:paraId="655196F2">
            <w:pPr>
              <w:spacing w:line="380" w:lineRule="exact"/>
              <w:rPr>
                <w:rFonts w:ascii="宋体" w:hAnsi="宋体" w:cs="宋体"/>
                <w:szCs w:val="21"/>
              </w:rPr>
            </w:pPr>
            <w:r>
              <w:rPr>
                <w:rFonts w:hint="eastAsia" w:ascii="宋体" w:hAnsi="宋体" w:cs="宋体"/>
                <w:szCs w:val="21"/>
              </w:rPr>
              <w:t>4.1.5 空间/频率双复合成像，可增强组织的边界显示，减少斑点噪声，支持凸阵、线阵、双平面腔内、专用穿刺等探头</w:t>
            </w:r>
          </w:p>
          <w:p w14:paraId="309AD270">
            <w:pPr>
              <w:spacing w:line="380" w:lineRule="exact"/>
              <w:rPr>
                <w:rFonts w:ascii="宋体" w:hAnsi="宋体" w:cs="宋体"/>
                <w:szCs w:val="21"/>
              </w:rPr>
            </w:pPr>
            <w:r>
              <w:rPr>
                <w:rFonts w:hint="eastAsia" w:ascii="宋体" w:hAnsi="宋体" w:cs="宋体"/>
                <w:szCs w:val="21"/>
              </w:rPr>
              <w:t>4.1.6 高分辨率血流成像，采用宽带多普勒技术，提高细小血管的空间分辨率，无外溢显示≤0.2mm的血管血流，具有方向性显示，可进行频谱测量</w:t>
            </w:r>
          </w:p>
          <w:p w14:paraId="59E481E8">
            <w:pPr>
              <w:spacing w:line="380" w:lineRule="exact"/>
              <w:rPr>
                <w:rFonts w:ascii="宋体" w:hAnsi="宋体" w:cs="宋体"/>
                <w:szCs w:val="21"/>
              </w:rPr>
            </w:pPr>
            <w:r>
              <w:rPr>
                <w:rFonts w:hint="eastAsia" w:ascii="宋体" w:hAnsi="宋体" w:cs="宋体"/>
                <w:szCs w:val="21"/>
              </w:rPr>
              <w:t>4.1.7精确成像，组织结构显示清晰、自然，背景更加平滑，有效降低组织结构中高回声区域的饱和度，可应用在所有探头上</w:t>
            </w:r>
          </w:p>
          <w:p w14:paraId="1C6F06E5">
            <w:pPr>
              <w:spacing w:line="380" w:lineRule="exact"/>
              <w:rPr>
                <w:rFonts w:ascii="宋体" w:hAnsi="宋体" w:cs="宋体"/>
                <w:szCs w:val="21"/>
              </w:rPr>
            </w:pPr>
            <w:r>
              <w:rPr>
                <w:rFonts w:hint="eastAsia" w:ascii="宋体" w:hAnsi="宋体" w:cs="宋体"/>
                <w:szCs w:val="21"/>
              </w:rPr>
              <w:t>4.1.8智能图像一键优化功能，可应用在二维、频谱及彩色多普勒等模式。可自动调节彩色多普勒框的位置和角度、频谱多普勒取样门的位置和角度等</w:t>
            </w:r>
          </w:p>
          <w:p w14:paraId="24B43364">
            <w:pPr>
              <w:spacing w:line="380" w:lineRule="exact"/>
              <w:rPr>
                <w:rFonts w:ascii="宋体" w:hAnsi="宋体" w:cs="宋体"/>
                <w:szCs w:val="21"/>
              </w:rPr>
            </w:pPr>
            <w:r>
              <w:rPr>
                <w:rFonts w:hint="eastAsia" w:ascii="宋体" w:hAnsi="宋体" w:cs="宋体"/>
                <w:szCs w:val="21"/>
              </w:rPr>
              <w:t>4.1.9组织多普勒成像，支持相控阵探头、凸阵探头和经食道探头</w:t>
            </w:r>
          </w:p>
          <w:p w14:paraId="2A93620B">
            <w:pPr>
              <w:spacing w:line="380" w:lineRule="exact"/>
              <w:rPr>
                <w:rFonts w:ascii="宋体" w:hAnsi="宋体" w:cs="宋体"/>
                <w:szCs w:val="21"/>
              </w:rPr>
            </w:pPr>
            <w:r>
              <w:rPr>
                <w:rFonts w:hint="eastAsia" w:ascii="宋体" w:hAnsi="宋体" w:cs="宋体"/>
                <w:szCs w:val="21"/>
              </w:rPr>
              <w:t>4.1.10 穿刺针增强显示功能，提高穿刺介入的成功率，可选择不同的增强模式</w:t>
            </w:r>
          </w:p>
          <w:p w14:paraId="79525DA5">
            <w:pPr>
              <w:spacing w:line="380" w:lineRule="exact"/>
              <w:rPr>
                <w:rFonts w:ascii="宋体" w:hAnsi="宋体" w:cs="宋体"/>
                <w:szCs w:val="21"/>
              </w:rPr>
            </w:pPr>
            <w:r>
              <w:rPr>
                <w:rFonts w:hint="eastAsia" w:ascii="宋体" w:hAnsi="宋体" w:cs="宋体"/>
                <w:szCs w:val="21"/>
              </w:rPr>
              <w:t>4.1.11超低速血流显示：超微血流成像，可消除运动伪像，增强超低速血流信号的显示</w:t>
            </w:r>
          </w:p>
          <w:p w14:paraId="08712A37">
            <w:pPr>
              <w:spacing w:line="380" w:lineRule="exact"/>
              <w:rPr>
                <w:rFonts w:ascii="宋体" w:hAnsi="宋体" w:cs="宋体"/>
                <w:szCs w:val="21"/>
              </w:rPr>
            </w:pPr>
            <w:r>
              <w:rPr>
                <w:rFonts w:hint="eastAsia" w:ascii="宋体" w:hAnsi="宋体" w:cs="宋体"/>
                <w:szCs w:val="21"/>
              </w:rPr>
              <w:t>4.1.11.1应用彩色多普勒技术</w:t>
            </w:r>
          </w:p>
          <w:p w14:paraId="4446D790">
            <w:pPr>
              <w:spacing w:line="380" w:lineRule="exact"/>
              <w:rPr>
                <w:rFonts w:ascii="宋体" w:hAnsi="宋体" w:cs="宋体"/>
                <w:color w:val="000000"/>
                <w:szCs w:val="21"/>
              </w:rPr>
            </w:pPr>
            <w:r>
              <w:rPr>
                <w:rFonts w:hint="eastAsia" w:ascii="宋体" w:hAnsi="宋体" w:cs="宋体"/>
                <w:color w:val="000000"/>
                <w:szCs w:val="21"/>
              </w:rPr>
              <w:t>▲4.1.11.2彩色标尺具有速度范围显示，彩色标尺最低显示≤0.4cm/s</w:t>
            </w:r>
          </w:p>
          <w:p w14:paraId="2FAAF5B7">
            <w:pPr>
              <w:spacing w:line="380" w:lineRule="exact"/>
              <w:rPr>
                <w:rFonts w:ascii="宋体" w:hAnsi="宋体" w:cs="宋体"/>
                <w:color w:val="000000"/>
                <w:szCs w:val="21"/>
              </w:rPr>
            </w:pPr>
            <w:r>
              <w:rPr>
                <w:rFonts w:hint="eastAsia" w:ascii="宋体" w:hAnsi="宋体" w:cs="宋体"/>
                <w:color w:val="000000"/>
                <w:szCs w:val="21"/>
              </w:rPr>
              <w:t>*4.1.11.3具有三同步显示功能，可取频谱进行定量</w:t>
            </w:r>
          </w:p>
          <w:p w14:paraId="7E6A55D9">
            <w:pPr>
              <w:spacing w:line="380" w:lineRule="exact"/>
              <w:rPr>
                <w:rFonts w:ascii="宋体" w:hAnsi="宋体" w:cs="宋体"/>
                <w:color w:val="000000"/>
                <w:szCs w:val="21"/>
              </w:rPr>
            </w:pPr>
            <w:r>
              <w:rPr>
                <w:rFonts w:hint="eastAsia" w:ascii="宋体" w:hAnsi="宋体" w:cs="宋体"/>
                <w:color w:val="000000"/>
                <w:szCs w:val="21"/>
              </w:rPr>
              <w:t>*4.1.11.4常规检查条件下成像帧频≥50帧/秒</w:t>
            </w:r>
          </w:p>
          <w:p w14:paraId="271E30FF">
            <w:pPr>
              <w:spacing w:line="380" w:lineRule="exact"/>
              <w:rPr>
                <w:rFonts w:ascii="宋体" w:hAnsi="宋体" w:cs="宋体"/>
                <w:color w:val="000000"/>
                <w:szCs w:val="21"/>
              </w:rPr>
            </w:pPr>
            <w:r>
              <w:rPr>
                <w:rFonts w:hint="eastAsia" w:ascii="宋体" w:hAnsi="宋体" w:cs="宋体"/>
                <w:color w:val="000000"/>
                <w:szCs w:val="21"/>
              </w:rPr>
              <w:t>*4.1.11.5具有三维成像模式，使用常规探头，实现超低速血流的高分辨率立体显示</w:t>
            </w:r>
          </w:p>
          <w:p w14:paraId="623588D3">
            <w:pPr>
              <w:spacing w:line="380" w:lineRule="exact"/>
              <w:rPr>
                <w:rFonts w:ascii="宋体" w:hAnsi="宋体" w:cs="宋体"/>
                <w:color w:val="000000"/>
                <w:szCs w:val="21"/>
              </w:rPr>
            </w:pPr>
            <w:r>
              <w:rPr>
                <w:rFonts w:hint="eastAsia" w:ascii="宋体" w:hAnsi="宋体" w:cs="宋体"/>
                <w:color w:val="000000"/>
                <w:szCs w:val="21"/>
              </w:rPr>
              <w:t>▲4.1.11.6可进行血管指数定量，检测超低速血流信号分布密度，计算血流信号在目标区域内的像素、面积及像素比</w:t>
            </w:r>
          </w:p>
          <w:p w14:paraId="440249CF">
            <w:pPr>
              <w:spacing w:line="380" w:lineRule="exact"/>
              <w:rPr>
                <w:rFonts w:ascii="宋体" w:hAnsi="宋体" w:cs="宋体"/>
                <w:szCs w:val="21"/>
              </w:rPr>
            </w:pPr>
            <w:r>
              <w:rPr>
                <w:rFonts w:hint="eastAsia" w:ascii="宋体" w:hAnsi="宋体" w:cs="宋体"/>
                <w:color w:val="000000"/>
                <w:szCs w:val="21"/>
              </w:rPr>
              <w:t>▲4.1.1</w:t>
            </w:r>
            <w:r>
              <w:rPr>
                <w:rFonts w:hint="eastAsia" w:ascii="宋体" w:hAnsi="宋体" w:cs="宋体"/>
                <w:szCs w:val="21"/>
              </w:rPr>
              <w:t>2微小钙化增强显示，采用蓝色组织背景，将微小钙化从组织背景中提取并增强亮度显示。可以与原始图像实时双幅对比显示，可应用在乳腺、甲状腺等腺体组织恶性肿瘤的早期筛查及穿刺引导</w:t>
            </w:r>
          </w:p>
          <w:p w14:paraId="4ED91252">
            <w:pPr>
              <w:spacing w:line="380" w:lineRule="exact"/>
              <w:rPr>
                <w:rFonts w:ascii="宋体" w:hAnsi="宋体" w:cs="宋体"/>
                <w:szCs w:val="21"/>
              </w:rPr>
            </w:pPr>
            <w:r>
              <w:rPr>
                <w:rFonts w:hint="eastAsia" w:ascii="宋体" w:hAnsi="宋体" w:cs="宋体"/>
                <w:szCs w:val="21"/>
              </w:rPr>
              <w:t>4.2 测量和分析：（B型、M型、频谱多普勒、彩色多普勒）</w:t>
            </w:r>
          </w:p>
          <w:p w14:paraId="4297D5B3">
            <w:pPr>
              <w:spacing w:line="380" w:lineRule="exact"/>
              <w:rPr>
                <w:rFonts w:ascii="宋体" w:hAnsi="宋体" w:cs="宋体"/>
                <w:szCs w:val="21"/>
              </w:rPr>
            </w:pPr>
            <w:r>
              <w:rPr>
                <w:rFonts w:hint="eastAsia" w:ascii="宋体" w:hAnsi="宋体" w:cs="宋体"/>
                <w:szCs w:val="21"/>
              </w:rPr>
              <w:t>4.2.1 一般测量</w:t>
            </w:r>
          </w:p>
          <w:p w14:paraId="576B9D4E">
            <w:pPr>
              <w:spacing w:line="380" w:lineRule="exact"/>
              <w:rPr>
                <w:rFonts w:ascii="宋体" w:hAnsi="宋体" w:cs="宋体"/>
                <w:szCs w:val="21"/>
              </w:rPr>
            </w:pPr>
            <w:r>
              <w:rPr>
                <w:rFonts w:hint="eastAsia" w:ascii="宋体" w:hAnsi="宋体" w:cs="宋体"/>
                <w:szCs w:val="21"/>
              </w:rPr>
              <w:t>4.2.2 妇、产科测量与分析</w:t>
            </w:r>
          </w:p>
          <w:p w14:paraId="142423AC">
            <w:pPr>
              <w:spacing w:line="380" w:lineRule="exact"/>
              <w:rPr>
                <w:rFonts w:ascii="宋体" w:hAnsi="宋体" w:cs="宋体"/>
                <w:szCs w:val="21"/>
              </w:rPr>
            </w:pPr>
            <w:r>
              <w:rPr>
                <w:rFonts w:hint="eastAsia" w:ascii="宋体" w:hAnsi="宋体" w:cs="宋体"/>
                <w:szCs w:val="21"/>
              </w:rPr>
              <w:t>4.2.3 血管血流测量与分析</w:t>
            </w:r>
          </w:p>
          <w:p w14:paraId="48B632F9">
            <w:pPr>
              <w:spacing w:line="380" w:lineRule="exact"/>
              <w:rPr>
                <w:rFonts w:ascii="宋体" w:hAnsi="宋体" w:cs="宋体"/>
                <w:szCs w:val="21"/>
              </w:rPr>
            </w:pPr>
            <w:r>
              <w:rPr>
                <w:rFonts w:hint="eastAsia" w:ascii="宋体" w:hAnsi="宋体" w:cs="宋体"/>
                <w:szCs w:val="21"/>
              </w:rPr>
              <w:t>4.2.4 血管内中膜自动测量</w:t>
            </w:r>
          </w:p>
          <w:p w14:paraId="30CB92A4">
            <w:pPr>
              <w:spacing w:line="380" w:lineRule="exact"/>
              <w:rPr>
                <w:rFonts w:ascii="宋体" w:hAnsi="宋体" w:cs="宋体"/>
                <w:szCs w:val="21"/>
              </w:rPr>
            </w:pPr>
            <w:r>
              <w:rPr>
                <w:rFonts w:hint="eastAsia" w:ascii="宋体" w:hAnsi="宋体" w:cs="宋体"/>
                <w:szCs w:val="21"/>
              </w:rPr>
              <w:t>4.2.5 颈后透明层自动测量</w:t>
            </w:r>
          </w:p>
          <w:p w14:paraId="0370AAF7">
            <w:pPr>
              <w:spacing w:line="380" w:lineRule="exact"/>
              <w:rPr>
                <w:rFonts w:ascii="宋体" w:hAnsi="宋体" w:cs="宋体"/>
                <w:szCs w:val="21"/>
              </w:rPr>
            </w:pPr>
            <w:r>
              <w:rPr>
                <w:rFonts w:hint="eastAsia" w:ascii="宋体" w:hAnsi="宋体" w:cs="宋体"/>
                <w:szCs w:val="21"/>
              </w:rPr>
              <w:t>4.2.6 血管指数分析工具，可定量评估感兴趣区域内的血流密度</w:t>
            </w:r>
          </w:p>
          <w:p w14:paraId="3B863A43">
            <w:pPr>
              <w:spacing w:line="380" w:lineRule="exact"/>
              <w:rPr>
                <w:rFonts w:ascii="宋体" w:hAnsi="宋体" w:cs="宋体"/>
                <w:szCs w:val="21"/>
              </w:rPr>
            </w:pPr>
            <w:r>
              <w:rPr>
                <w:rFonts w:hint="eastAsia" w:ascii="宋体" w:hAnsi="宋体" w:cs="宋体"/>
                <w:szCs w:val="21"/>
              </w:rPr>
              <w:t>4.2.7 2D直方图分析工具</w:t>
            </w:r>
          </w:p>
          <w:p w14:paraId="7EB26ED1">
            <w:pPr>
              <w:spacing w:line="380" w:lineRule="exact"/>
              <w:rPr>
                <w:rFonts w:ascii="宋体" w:hAnsi="宋体" w:cs="宋体"/>
                <w:szCs w:val="21"/>
              </w:rPr>
            </w:pPr>
            <w:r>
              <w:rPr>
                <w:rFonts w:hint="eastAsia" w:ascii="宋体" w:hAnsi="宋体" w:cs="宋体"/>
                <w:szCs w:val="21"/>
              </w:rPr>
              <w:t>4.3 输入/输出信号，包括DVI、USB接口，USB接口≥5个</w:t>
            </w:r>
          </w:p>
          <w:p w14:paraId="1EAFBB49">
            <w:pPr>
              <w:spacing w:line="380" w:lineRule="exact"/>
              <w:rPr>
                <w:rFonts w:ascii="宋体" w:hAnsi="宋体" w:cs="宋体"/>
                <w:szCs w:val="21"/>
              </w:rPr>
            </w:pPr>
            <w:r>
              <w:rPr>
                <w:rFonts w:hint="eastAsia" w:ascii="宋体" w:hAnsi="宋体" w:cs="宋体"/>
                <w:szCs w:val="21"/>
              </w:rPr>
              <w:t>4.4 连通性：医学数字图像和通信DICOM3.0版接口部件，装机后可正常使用</w:t>
            </w:r>
          </w:p>
          <w:p w14:paraId="110559AA">
            <w:pPr>
              <w:spacing w:line="380" w:lineRule="exact"/>
              <w:rPr>
                <w:rFonts w:ascii="宋体" w:hAnsi="宋体" w:cs="宋体"/>
                <w:szCs w:val="21"/>
              </w:rPr>
            </w:pPr>
            <w:r>
              <w:rPr>
                <w:rFonts w:hint="eastAsia" w:ascii="宋体" w:hAnsi="宋体" w:cs="宋体"/>
                <w:szCs w:val="21"/>
              </w:rPr>
              <w:t>4.5 图像管理与记录装置：</w:t>
            </w:r>
          </w:p>
          <w:p w14:paraId="6DB4F7B5">
            <w:pPr>
              <w:spacing w:line="380" w:lineRule="exact"/>
              <w:rPr>
                <w:rFonts w:ascii="宋体" w:hAnsi="宋体" w:cs="宋体"/>
                <w:szCs w:val="21"/>
              </w:rPr>
            </w:pPr>
            <w:r>
              <w:rPr>
                <w:rFonts w:hint="eastAsia" w:ascii="宋体" w:hAnsi="宋体" w:cs="宋体"/>
                <w:szCs w:val="21"/>
              </w:rPr>
              <w:t>4.5.1 内置超声图像存档与病案管理功能，在主机中完成病人静态图像和动态图像的存储、管理及回放，可完成硬盘、DVD/CD、USB存储盘等多种文件格式静态及动态图像的存储</w:t>
            </w:r>
          </w:p>
          <w:p w14:paraId="70100FC7">
            <w:pPr>
              <w:spacing w:line="380" w:lineRule="exact"/>
              <w:rPr>
                <w:rFonts w:ascii="宋体" w:hAnsi="宋体" w:cs="宋体"/>
                <w:szCs w:val="21"/>
              </w:rPr>
            </w:pPr>
            <w:r>
              <w:rPr>
                <w:rFonts w:hint="eastAsia" w:ascii="宋体" w:hAnsi="宋体" w:cs="宋体"/>
                <w:szCs w:val="21"/>
              </w:rPr>
              <w:t>4.5.2 支持原始数据存储（RAW DATA）</w:t>
            </w:r>
          </w:p>
          <w:p w14:paraId="36F06BB6">
            <w:pPr>
              <w:spacing w:line="380" w:lineRule="exact"/>
              <w:rPr>
                <w:rFonts w:ascii="宋体" w:hAnsi="宋体" w:cs="宋体"/>
                <w:szCs w:val="21"/>
              </w:rPr>
            </w:pPr>
            <w:r>
              <w:rPr>
                <w:rFonts w:hint="eastAsia" w:ascii="宋体" w:hAnsi="宋体" w:cs="宋体"/>
                <w:szCs w:val="21"/>
              </w:rPr>
              <w:t xml:space="preserve">4.5.3采用内置双盘设置，包括固态盘SSD和硬盘HDD。固态盘SSD：容量≥128 GB；硬盘HDD：容量≥1 TB </w:t>
            </w:r>
          </w:p>
          <w:p w14:paraId="21A972D1">
            <w:pPr>
              <w:spacing w:line="380" w:lineRule="exact"/>
              <w:rPr>
                <w:rFonts w:ascii="宋体" w:hAnsi="宋体" w:cs="宋体"/>
                <w:szCs w:val="21"/>
              </w:rPr>
            </w:pPr>
            <w:r>
              <w:rPr>
                <w:rFonts w:hint="eastAsia" w:ascii="宋体" w:hAnsi="宋体" w:cs="宋体"/>
                <w:szCs w:val="21"/>
              </w:rPr>
              <w:t>五、技术参数及要求：</w:t>
            </w:r>
          </w:p>
          <w:p w14:paraId="5849DDB5">
            <w:pPr>
              <w:spacing w:line="380" w:lineRule="exact"/>
              <w:rPr>
                <w:rFonts w:ascii="宋体" w:hAnsi="宋体" w:cs="宋体"/>
                <w:szCs w:val="21"/>
              </w:rPr>
            </w:pPr>
            <w:r>
              <w:rPr>
                <w:rFonts w:hint="eastAsia" w:ascii="宋体" w:hAnsi="宋体" w:cs="宋体"/>
                <w:szCs w:val="21"/>
              </w:rPr>
              <w:t>5.1 系统通用功能：</w:t>
            </w:r>
          </w:p>
          <w:p w14:paraId="0FF09FFF">
            <w:pPr>
              <w:spacing w:line="380" w:lineRule="exact"/>
              <w:rPr>
                <w:rFonts w:ascii="宋体" w:hAnsi="宋体" w:cs="宋体"/>
                <w:szCs w:val="21"/>
              </w:rPr>
            </w:pPr>
            <w:r>
              <w:rPr>
                <w:rFonts w:hint="eastAsia" w:ascii="宋体" w:hAnsi="宋体" w:cs="宋体"/>
                <w:szCs w:val="21"/>
              </w:rPr>
              <w:t>5.1.1 显示器：≥21英寸高分辨率宽屏显示器，分辨率为1920×1080</w:t>
            </w:r>
          </w:p>
          <w:p w14:paraId="1513D1D3">
            <w:pPr>
              <w:spacing w:line="380" w:lineRule="exact"/>
              <w:rPr>
                <w:rFonts w:ascii="宋体" w:hAnsi="宋体" w:cs="宋体"/>
                <w:szCs w:val="21"/>
              </w:rPr>
            </w:pPr>
            <w:r>
              <w:rPr>
                <w:rFonts w:hint="eastAsia" w:ascii="宋体" w:hAnsi="宋体" w:cs="宋体"/>
                <w:szCs w:val="21"/>
              </w:rPr>
              <w:t>5.1.2 ≥12英寸彩色液晶触摸屏，分辨率为1280×800，滑动翻页设计</w:t>
            </w:r>
          </w:p>
          <w:p w14:paraId="3886AEE8">
            <w:pPr>
              <w:spacing w:line="380" w:lineRule="exact"/>
              <w:rPr>
                <w:rFonts w:ascii="宋体" w:hAnsi="宋体" w:cs="宋体"/>
                <w:szCs w:val="21"/>
              </w:rPr>
            </w:pPr>
            <w:r>
              <w:rPr>
                <w:rFonts w:hint="eastAsia" w:ascii="宋体" w:hAnsi="宋体" w:cs="宋体"/>
                <w:szCs w:val="21"/>
              </w:rPr>
              <w:t>5.1.3 操作控制台可上下及旋转调节</w:t>
            </w:r>
          </w:p>
          <w:p w14:paraId="22DDF4BA">
            <w:pPr>
              <w:spacing w:line="380" w:lineRule="exact"/>
              <w:rPr>
                <w:rFonts w:ascii="宋体" w:hAnsi="宋体" w:cs="宋体"/>
                <w:szCs w:val="21"/>
              </w:rPr>
            </w:pPr>
            <w:r>
              <w:rPr>
                <w:rFonts w:hint="eastAsia" w:ascii="宋体" w:hAnsi="宋体" w:cs="宋体"/>
                <w:szCs w:val="21"/>
              </w:rPr>
              <w:t>5.1.4 探头个数：4个</w:t>
            </w:r>
          </w:p>
          <w:p w14:paraId="1AFA5CA8">
            <w:pPr>
              <w:spacing w:line="380" w:lineRule="exact"/>
              <w:rPr>
                <w:rFonts w:ascii="宋体" w:hAnsi="宋体" w:cs="宋体"/>
                <w:szCs w:val="21"/>
              </w:rPr>
            </w:pPr>
            <w:r>
              <w:rPr>
                <w:rFonts w:hint="eastAsia" w:ascii="宋体" w:hAnsi="宋体" w:cs="宋体"/>
                <w:szCs w:val="21"/>
              </w:rPr>
              <w:t>5.1.5激活成像探头接口≥4个，通用可互换</w:t>
            </w:r>
          </w:p>
          <w:p w14:paraId="530DA4D7">
            <w:pPr>
              <w:spacing w:line="380" w:lineRule="exact"/>
              <w:rPr>
                <w:rFonts w:ascii="宋体" w:hAnsi="宋体" w:cs="宋体"/>
                <w:szCs w:val="21"/>
              </w:rPr>
            </w:pPr>
            <w:r>
              <w:rPr>
                <w:rFonts w:hint="eastAsia" w:ascii="宋体" w:hAnsi="宋体" w:cs="宋体"/>
                <w:color w:val="000000"/>
                <w:szCs w:val="21"/>
              </w:rPr>
              <w:t>*</w:t>
            </w:r>
            <w:r>
              <w:rPr>
                <w:rFonts w:hint="eastAsia" w:ascii="宋体" w:hAnsi="宋体" w:cs="宋体"/>
                <w:szCs w:val="21"/>
              </w:rPr>
              <w:t>5.1.6 系统最大成像深度≥50cm（依据探头）</w:t>
            </w:r>
          </w:p>
          <w:p w14:paraId="3E6B3C69">
            <w:pPr>
              <w:spacing w:line="380" w:lineRule="exact"/>
              <w:rPr>
                <w:rFonts w:ascii="宋体" w:hAnsi="宋体" w:cs="宋体"/>
                <w:szCs w:val="21"/>
              </w:rPr>
            </w:pPr>
            <w:r>
              <w:rPr>
                <w:rFonts w:hint="eastAsia" w:ascii="宋体" w:hAnsi="宋体" w:cs="宋体"/>
                <w:szCs w:val="21"/>
              </w:rPr>
              <w:t>5.2探头规格：</w:t>
            </w:r>
          </w:p>
          <w:p w14:paraId="462A845A">
            <w:pPr>
              <w:spacing w:line="380" w:lineRule="exact"/>
              <w:rPr>
                <w:rFonts w:ascii="宋体" w:hAnsi="宋体" w:cs="宋体"/>
                <w:szCs w:val="21"/>
              </w:rPr>
            </w:pPr>
            <w:r>
              <w:rPr>
                <w:rFonts w:hint="eastAsia" w:ascii="宋体" w:hAnsi="宋体" w:cs="宋体"/>
                <w:szCs w:val="21"/>
              </w:rPr>
              <w:t>5.2.1性能：超宽频带变频探头，中心频率的变频在屏幕上可视可调</w:t>
            </w:r>
          </w:p>
          <w:p w14:paraId="6AD1BF05">
            <w:pPr>
              <w:spacing w:line="380" w:lineRule="exact"/>
              <w:rPr>
                <w:rFonts w:ascii="宋体" w:hAnsi="宋体" w:cs="宋体"/>
                <w:szCs w:val="21"/>
              </w:rPr>
            </w:pPr>
            <w:r>
              <w:rPr>
                <w:rFonts w:hint="eastAsia" w:ascii="宋体" w:hAnsi="宋体" w:cs="宋体"/>
                <w:szCs w:val="21"/>
              </w:rPr>
              <w:t>5.2.2探头类型：凸阵、线阵探头等</w:t>
            </w:r>
          </w:p>
          <w:p w14:paraId="01295966">
            <w:pPr>
              <w:spacing w:line="380" w:lineRule="exact"/>
              <w:rPr>
                <w:rFonts w:ascii="宋体" w:hAnsi="宋体" w:cs="宋体"/>
                <w:szCs w:val="21"/>
              </w:rPr>
            </w:pPr>
            <w:r>
              <w:rPr>
                <w:rFonts w:hint="eastAsia" w:ascii="宋体" w:hAnsi="宋体" w:cs="宋体"/>
                <w:szCs w:val="21"/>
              </w:rPr>
              <w:t>5.2.3系统支持双平面经直肠探头，包括凸阵/线阵、凸阵/凸阵两种方式</w:t>
            </w:r>
          </w:p>
          <w:p w14:paraId="4DBA1D11">
            <w:pPr>
              <w:spacing w:line="380" w:lineRule="exact"/>
              <w:rPr>
                <w:rFonts w:ascii="宋体" w:hAnsi="宋体" w:cs="宋体"/>
                <w:szCs w:val="21"/>
              </w:rPr>
            </w:pPr>
            <w:r>
              <w:rPr>
                <w:rFonts w:hint="eastAsia" w:ascii="宋体" w:hAnsi="宋体" w:cs="宋体"/>
                <w:szCs w:val="21"/>
              </w:rPr>
              <w:t>5.2.4 凸阵探头：频率范围：1~6MHz，单晶体探头，最大成像角度≥110°</w:t>
            </w:r>
          </w:p>
          <w:p w14:paraId="1A6D3EF3">
            <w:pPr>
              <w:spacing w:line="380" w:lineRule="exact"/>
              <w:rPr>
                <w:rFonts w:ascii="宋体" w:hAnsi="宋体" w:cs="宋体"/>
                <w:szCs w:val="21"/>
              </w:rPr>
            </w:pPr>
            <w:r>
              <w:rPr>
                <w:rFonts w:hint="eastAsia" w:ascii="宋体" w:hAnsi="宋体" w:cs="宋体"/>
                <w:color w:val="000000"/>
                <w:szCs w:val="21"/>
              </w:rPr>
              <w:t>*</w:t>
            </w:r>
            <w:r>
              <w:rPr>
                <w:rFonts w:hint="eastAsia" w:ascii="宋体" w:hAnsi="宋体" w:cs="宋体"/>
                <w:szCs w:val="21"/>
              </w:rPr>
              <w:t xml:space="preserve">5.2.5 线阵探头：频率范围：5~14MHz，成像宽度≥50mm </w:t>
            </w:r>
          </w:p>
          <w:p w14:paraId="0707690A">
            <w:pPr>
              <w:spacing w:line="380" w:lineRule="exact"/>
              <w:rPr>
                <w:rFonts w:ascii="宋体" w:hAnsi="宋体" w:cs="宋体"/>
                <w:szCs w:val="21"/>
              </w:rPr>
            </w:pPr>
            <w:r>
              <w:rPr>
                <w:rFonts w:hint="eastAsia" w:ascii="宋体" w:hAnsi="宋体" w:cs="宋体"/>
                <w:szCs w:val="21"/>
              </w:rPr>
              <w:t>5.2.6 线阵探头：频率范围：7~18MHz</w:t>
            </w:r>
          </w:p>
          <w:p w14:paraId="4A512250">
            <w:pPr>
              <w:spacing w:line="380" w:lineRule="exact"/>
              <w:rPr>
                <w:rFonts w:ascii="宋体" w:hAnsi="宋体" w:cs="宋体"/>
                <w:szCs w:val="21"/>
              </w:rPr>
            </w:pPr>
            <w:r>
              <w:rPr>
                <w:rFonts w:hint="eastAsia" w:ascii="宋体" w:hAnsi="宋体" w:cs="宋体"/>
                <w:szCs w:val="21"/>
              </w:rPr>
              <w:t>5.2.7微凸探头：频率范围：4~11MHz</w:t>
            </w:r>
          </w:p>
          <w:p w14:paraId="671F5FC2">
            <w:pPr>
              <w:spacing w:line="380" w:lineRule="exact"/>
              <w:rPr>
                <w:rFonts w:ascii="宋体" w:hAnsi="宋体" w:cs="宋体"/>
                <w:szCs w:val="21"/>
              </w:rPr>
            </w:pPr>
            <w:r>
              <w:rPr>
                <w:rFonts w:hint="eastAsia" w:ascii="宋体" w:hAnsi="宋体" w:cs="宋体"/>
                <w:szCs w:val="21"/>
              </w:rPr>
              <w:t>5.3 二维灰阶成像主要参数：</w:t>
            </w:r>
          </w:p>
          <w:p w14:paraId="5CE25E63">
            <w:pPr>
              <w:spacing w:line="380" w:lineRule="exact"/>
              <w:rPr>
                <w:rFonts w:ascii="宋体" w:hAnsi="宋体" w:cs="宋体"/>
                <w:szCs w:val="21"/>
              </w:rPr>
            </w:pPr>
            <w:r>
              <w:rPr>
                <w:rFonts w:hint="eastAsia" w:ascii="宋体" w:hAnsi="宋体" w:cs="宋体"/>
                <w:szCs w:val="21"/>
              </w:rPr>
              <w:t>5.3.1 智能高密度波束形成器，全程动态聚焦、可变孔径及动态变迹</w:t>
            </w:r>
          </w:p>
          <w:p w14:paraId="6ABE1931">
            <w:pPr>
              <w:spacing w:line="380" w:lineRule="exact"/>
              <w:rPr>
                <w:rFonts w:ascii="宋体" w:hAnsi="宋体" w:cs="宋体"/>
                <w:szCs w:val="21"/>
              </w:rPr>
            </w:pPr>
            <w:r>
              <w:rPr>
                <w:rFonts w:hint="eastAsia" w:ascii="宋体" w:hAnsi="宋体" w:cs="宋体"/>
                <w:szCs w:val="21"/>
              </w:rPr>
              <w:t>5.3.2 A/D≥14bit</w:t>
            </w:r>
          </w:p>
          <w:p w14:paraId="6D663C39">
            <w:pPr>
              <w:spacing w:line="380" w:lineRule="exact"/>
              <w:rPr>
                <w:rFonts w:ascii="宋体" w:hAnsi="宋体" w:cs="宋体"/>
                <w:szCs w:val="21"/>
              </w:rPr>
            </w:pPr>
            <w:r>
              <w:rPr>
                <w:rFonts w:hint="eastAsia" w:ascii="宋体" w:hAnsi="宋体" w:cs="宋体"/>
                <w:szCs w:val="21"/>
              </w:rPr>
              <w:t>5.3.3 声束发射聚焦：发射≥8段；接收可连续聚焦</w:t>
            </w:r>
          </w:p>
          <w:p w14:paraId="06BB1F15">
            <w:pPr>
              <w:spacing w:line="380" w:lineRule="exact"/>
              <w:rPr>
                <w:rFonts w:ascii="宋体" w:hAnsi="宋体" w:cs="宋体"/>
                <w:szCs w:val="21"/>
              </w:rPr>
            </w:pPr>
            <w:r>
              <w:rPr>
                <w:rFonts w:hint="eastAsia" w:ascii="宋体" w:hAnsi="宋体" w:cs="宋体"/>
                <w:szCs w:val="21"/>
              </w:rPr>
              <w:t>5.3.4 扫描线：最大每帧线密度≥400超声线（线阵探头）</w:t>
            </w:r>
          </w:p>
          <w:p w14:paraId="5588BAFD">
            <w:pPr>
              <w:spacing w:line="380" w:lineRule="exact"/>
              <w:rPr>
                <w:rFonts w:ascii="宋体" w:hAnsi="宋体" w:cs="宋体"/>
                <w:szCs w:val="21"/>
              </w:rPr>
            </w:pPr>
            <w:r>
              <w:rPr>
                <w:rFonts w:hint="eastAsia" w:ascii="宋体" w:hAnsi="宋体" w:cs="宋体"/>
                <w:szCs w:val="21"/>
              </w:rPr>
              <w:t>5.3.5回放重现：灰阶图像回放≥9900幅，回放时间≥180秒</w:t>
            </w:r>
          </w:p>
          <w:p w14:paraId="33530B68">
            <w:pPr>
              <w:spacing w:line="380" w:lineRule="exact"/>
              <w:rPr>
                <w:rFonts w:ascii="宋体" w:hAnsi="宋体" w:cs="宋体"/>
                <w:szCs w:val="21"/>
              </w:rPr>
            </w:pPr>
            <w:r>
              <w:rPr>
                <w:rFonts w:hint="eastAsia" w:ascii="宋体" w:hAnsi="宋体" w:cs="宋体"/>
                <w:szCs w:val="21"/>
              </w:rPr>
              <w:t>5.3.6 增益调节：纵向增益STC（DGC）采用硬/软件双模式调节，分段≥8</w:t>
            </w:r>
          </w:p>
          <w:p w14:paraId="60F3F9FF">
            <w:pPr>
              <w:spacing w:line="380" w:lineRule="exact"/>
              <w:rPr>
                <w:rFonts w:ascii="宋体" w:hAnsi="宋体" w:cs="宋体"/>
                <w:szCs w:val="21"/>
              </w:rPr>
            </w:pPr>
            <w:r>
              <w:rPr>
                <w:rFonts w:hint="eastAsia" w:ascii="宋体" w:hAnsi="宋体" w:cs="宋体"/>
                <w:szCs w:val="21"/>
              </w:rPr>
              <w:t>横向增益可进行调节，分段≥6</w:t>
            </w:r>
          </w:p>
          <w:p w14:paraId="69F80EED">
            <w:pPr>
              <w:spacing w:line="380" w:lineRule="exact"/>
              <w:rPr>
                <w:rFonts w:ascii="宋体" w:hAnsi="宋体" w:cs="宋体"/>
                <w:szCs w:val="21"/>
              </w:rPr>
            </w:pPr>
            <w:r>
              <w:rPr>
                <w:rFonts w:hint="eastAsia" w:ascii="宋体" w:hAnsi="宋体" w:cs="宋体"/>
                <w:szCs w:val="21"/>
              </w:rPr>
              <w:t>5.4 频谱多普勒：</w:t>
            </w:r>
          </w:p>
          <w:p w14:paraId="76B671ED">
            <w:pPr>
              <w:spacing w:line="380" w:lineRule="exact"/>
              <w:rPr>
                <w:rFonts w:ascii="宋体" w:hAnsi="宋体" w:cs="宋体"/>
                <w:szCs w:val="21"/>
              </w:rPr>
            </w:pPr>
            <w:r>
              <w:rPr>
                <w:rFonts w:hint="eastAsia" w:ascii="宋体" w:hAnsi="宋体" w:cs="宋体"/>
                <w:szCs w:val="21"/>
              </w:rPr>
              <w:t xml:space="preserve">5.4.1 方式： PWD、HPRF PWD、CWD </w:t>
            </w:r>
          </w:p>
          <w:p w14:paraId="301F7A25">
            <w:pPr>
              <w:spacing w:line="380" w:lineRule="exact"/>
              <w:rPr>
                <w:rFonts w:ascii="宋体" w:hAnsi="宋体" w:cs="宋体"/>
                <w:szCs w:val="21"/>
              </w:rPr>
            </w:pPr>
            <w:r>
              <w:rPr>
                <w:rFonts w:hint="eastAsia" w:ascii="宋体" w:hAnsi="宋体" w:cs="宋体"/>
                <w:szCs w:val="21"/>
              </w:rPr>
              <w:t>5.4.2 频谱显示具有自动包络、智能化显示功能</w:t>
            </w:r>
          </w:p>
          <w:p w14:paraId="12A9873E">
            <w:pPr>
              <w:spacing w:line="380" w:lineRule="exact"/>
              <w:rPr>
                <w:rFonts w:ascii="宋体" w:hAnsi="宋体" w:cs="宋体"/>
                <w:szCs w:val="21"/>
              </w:rPr>
            </w:pPr>
            <w:r>
              <w:rPr>
                <w:rFonts w:hint="eastAsia" w:ascii="宋体" w:hAnsi="宋体" w:cs="宋体"/>
                <w:szCs w:val="21"/>
              </w:rPr>
              <w:t>5.4.3 智能多普勒优化功能，可根据多普勒取样位置自动聚焦，多普勒标尺及基线可自动调节</w:t>
            </w:r>
          </w:p>
          <w:p w14:paraId="0ECE3EE4">
            <w:pPr>
              <w:spacing w:line="380" w:lineRule="exact"/>
              <w:rPr>
                <w:rFonts w:ascii="宋体" w:hAnsi="宋体" w:cs="宋体"/>
                <w:szCs w:val="21"/>
              </w:rPr>
            </w:pPr>
            <w:r>
              <w:rPr>
                <w:rFonts w:hint="eastAsia" w:ascii="宋体" w:hAnsi="宋体" w:cs="宋体"/>
                <w:szCs w:val="21"/>
              </w:rPr>
              <w:t>5.4.4 最大可测量速度：PWD：最大血流速度≥17.0m/s</w:t>
            </w:r>
          </w:p>
          <w:p w14:paraId="1D78E5E9">
            <w:pPr>
              <w:spacing w:line="380" w:lineRule="exact"/>
              <w:rPr>
                <w:rFonts w:ascii="宋体" w:hAnsi="宋体" w:cs="宋体"/>
                <w:szCs w:val="21"/>
              </w:rPr>
            </w:pPr>
            <w:r>
              <w:rPr>
                <w:rFonts w:hint="eastAsia" w:ascii="宋体" w:hAnsi="宋体" w:cs="宋体"/>
                <w:szCs w:val="21"/>
              </w:rPr>
              <w:t xml:space="preserve">                     CWD：最大血流速度≥22.0m/s              </w:t>
            </w:r>
          </w:p>
          <w:p w14:paraId="3E2E1986">
            <w:pPr>
              <w:spacing w:line="380" w:lineRule="exact"/>
              <w:rPr>
                <w:rFonts w:ascii="宋体" w:hAnsi="宋体" w:cs="宋体"/>
                <w:szCs w:val="21"/>
              </w:rPr>
            </w:pPr>
            <w:r>
              <w:rPr>
                <w:rFonts w:hint="eastAsia" w:ascii="宋体" w:hAnsi="宋体" w:cs="宋体"/>
                <w:szCs w:val="21"/>
              </w:rPr>
              <w:t>5.4.5 最低测量速度：≤0.1cm/s（非噪声信号，依据探头）</w:t>
            </w:r>
          </w:p>
          <w:p w14:paraId="6947E224">
            <w:pPr>
              <w:spacing w:line="380" w:lineRule="exact"/>
              <w:rPr>
                <w:rFonts w:ascii="宋体" w:hAnsi="宋体" w:cs="宋体"/>
                <w:szCs w:val="21"/>
              </w:rPr>
            </w:pPr>
            <w:r>
              <w:rPr>
                <w:rFonts w:hint="eastAsia" w:ascii="宋体" w:hAnsi="宋体" w:cs="宋体"/>
                <w:szCs w:val="21"/>
              </w:rPr>
              <w:t>5.4.6 电影回放时间：≥210秒</w:t>
            </w:r>
          </w:p>
          <w:p w14:paraId="2CEB573F">
            <w:pPr>
              <w:spacing w:line="380" w:lineRule="exact"/>
              <w:rPr>
                <w:rFonts w:ascii="宋体" w:hAnsi="宋体" w:cs="宋体"/>
                <w:szCs w:val="21"/>
              </w:rPr>
            </w:pPr>
            <w:r>
              <w:rPr>
                <w:rFonts w:hint="eastAsia" w:ascii="宋体" w:hAnsi="宋体" w:cs="宋体"/>
                <w:color w:val="000000"/>
                <w:szCs w:val="21"/>
              </w:rPr>
              <w:t>*</w:t>
            </w:r>
            <w:r>
              <w:rPr>
                <w:rFonts w:hint="eastAsia" w:ascii="宋体" w:hAnsi="宋体" w:cs="宋体"/>
                <w:szCs w:val="21"/>
              </w:rPr>
              <w:t>5.4.7 取样宽度及位置范围：宽度1mm至20mm；分12级</w:t>
            </w:r>
          </w:p>
          <w:p w14:paraId="499242DB">
            <w:pPr>
              <w:spacing w:line="380" w:lineRule="exact"/>
              <w:rPr>
                <w:rFonts w:ascii="宋体" w:hAnsi="宋体" w:cs="宋体"/>
                <w:szCs w:val="21"/>
              </w:rPr>
            </w:pPr>
            <w:r>
              <w:rPr>
                <w:rFonts w:hint="eastAsia" w:ascii="宋体" w:hAnsi="宋体" w:cs="宋体"/>
                <w:szCs w:val="21"/>
              </w:rPr>
              <w:t>5.5 彩色多普勒：</w:t>
            </w:r>
          </w:p>
          <w:p w14:paraId="2C80C79C">
            <w:pPr>
              <w:spacing w:line="380" w:lineRule="exact"/>
              <w:rPr>
                <w:rFonts w:ascii="宋体" w:hAnsi="宋体" w:cs="宋体"/>
                <w:szCs w:val="21"/>
              </w:rPr>
            </w:pPr>
            <w:r>
              <w:rPr>
                <w:rFonts w:hint="eastAsia" w:ascii="宋体" w:hAnsi="宋体" w:cs="宋体"/>
                <w:szCs w:val="21"/>
              </w:rPr>
              <w:t>5.5.1 显示方式：速度方差显示、能量显示、速度显示、二维图像/频谱多普勒/彩色血流成像三同步显示</w:t>
            </w:r>
          </w:p>
          <w:p w14:paraId="0B5EC79D">
            <w:pPr>
              <w:spacing w:line="380" w:lineRule="exact"/>
              <w:rPr>
                <w:rFonts w:ascii="宋体" w:hAnsi="宋体" w:cs="宋体"/>
                <w:szCs w:val="21"/>
              </w:rPr>
            </w:pPr>
            <w:r>
              <w:rPr>
                <w:rFonts w:hint="eastAsia" w:ascii="宋体" w:hAnsi="宋体" w:cs="宋体"/>
                <w:szCs w:val="21"/>
              </w:rPr>
              <w:t>5.5.2 彩色增强功能：组织多普勒成像，方向性能量图，高级动态血流成像，超微血流成像</w:t>
            </w:r>
          </w:p>
          <w:p w14:paraId="53268B5A">
            <w:pPr>
              <w:spacing w:line="380" w:lineRule="exact"/>
              <w:rPr>
                <w:rFonts w:ascii="宋体" w:hAnsi="宋体" w:cs="宋体"/>
                <w:szCs w:val="21"/>
              </w:rPr>
            </w:pPr>
            <w:r>
              <w:rPr>
                <w:rFonts w:hint="eastAsia" w:ascii="宋体" w:hAnsi="宋体" w:cs="宋体"/>
                <w:szCs w:val="21"/>
              </w:rPr>
              <w:t>5.5.3 彩色和二维/频谱多普勒可独立变频</w:t>
            </w:r>
          </w:p>
          <w:p w14:paraId="5C3CAEE2">
            <w:pPr>
              <w:spacing w:line="380" w:lineRule="exact"/>
              <w:rPr>
                <w:rFonts w:ascii="宋体" w:hAnsi="宋体" w:cs="宋体"/>
                <w:szCs w:val="21"/>
              </w:rPr>
            </w:pPr>
            <w:r>
              <w:rPr>
                <w:rFonts w:hint="eastAsia" w:ascii="宋体" w:hAnsi="宋体" w:cs="宋体"/>
                <w:color w:val="000000"/>
                <w:szCs w:val="21"/>
              </w:rPr>
              <w:t>*</w:t>
            </w:r>
            <w:r>
              <w:rPr>
                <w:rFonts w:hint="eastAsia" w:ascii="宋体" w:hAnsi="宋体" w:cs="宋体"/>
                <w:szCs w:val="21"/>
              </w:rPr>
              <w:t>5.5.4 显示位置调整：线阵扫描感兴趣的图像范围：-25°～+25°（依据探头）</w:t>
            </w:r>
          </w:p>
          <w:p w14:paraId="10AE7D48">
            <w:pPr>
              <w:spacing w:line="380" w:lineRule="exact"/>
              <w:rPr>
                <w:rFonts w:ascii="宋体" w:hAnsi="宋体" w:cs="宋体"/>
                <w:szCs w:val="21"/>
              </w:rPr>
            </w:pPr>
            <w:r>
              <w:rPr>
                <w:rFonts w:hint="eastAsia" w:ascii="宋体" w:hAnsi="宋体" w:cs="宋体"/>
                <w:szCs w:val="21"/>
              </w:rPr>
              <w:t>5.5.5 显示控制：零位移动分级可调、黑/白与彩色比较、彩色对比</w:t>
            </w:r>
          </w:p>
          <w:p w14:paraId="35D13594">
            <w:pPr>
              <w:spacing w:line="380" w:lineRule="exact"/>
              <w:rPr>
                <w:rFonts w:ascii="宋体" w:hAnsi="宋体" w:cs="宋体"/>
                <w:szCs w:val="21"/>
              </w:rPr>
            </w:pPr>
            <w:r>
              <w:rPr>
                <w:rFonts w:hint="eastAsia" w:ascii="宋体" w:hAnsi="宋体" w:cs="宋体"/>
                <w:szCs w:val="21"/>
              </w:rPr>
              <w:t>5.5.6 彩色分辨率：最小血管空间分辨率≤0.2mm</w:t>
            </w:r>
          </w:p>
          <w:p w14:paraId="53568AC6">
            <w:pPr>
              <w:spacing w:line="380" w:lineRule="exact"/>
              <w:rPr>
                <w:rFonts w:ascii="宋体" w:hAnsi="宋体" w:cs="宋体"/>
                <w:szCs w:val="21"/>
              </w:rPr>
            </w:pPr>
            <w:r>
              <w:rPr>
                <w:rFonts w:hint="eastAsia" w:ascii="宋体" w:hAnsi="宋体" w:cs="宋体"/>
                <w:szCs w:val="21"/>
              </w:rPr>
              <w:t>5.6 超声功率输出调节：B/M、PWD、CWD、彩色多普勒输出功率可调</w:t>
            </w:r>
          </w:p>
          <w:p w14:paraId="5C1B894C">
            <w:pPr>
              <w:spacing w:line="380" w:lineRule="exact"/>
              <w:rPr>
                <w:rFonts w:ascii="宋体" w:hAnsi="宋体" w:cs="宋体"/>
                <w:szCs w:val="21"/>
              </w:rPr>
            </w:pPr>
            <w:r>
              <w:rPr>
                <w:rFonts w:hint="eastAsia" w:ascii="宋体" w:hAnsi="宋体" w:cs="宋体"/>
                <w:szCs w:val="21"/>
              </w:rPr>
              <w:t>六、其他要求：质保期5年。</w:t>
            </w:r>
          </w:p>
          <w:tbl>
            <w:tblPr>
              <w:tblStyle w:val="49"/>
              <w:tblW w:w="58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4"/>
              <w:gridCol w:w="1945"/>
              <w:gridCol w:w="1951"/>
            </w:tblGrid>
            <w:tr w14:paraId="31497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40" w:type="dxa"/>
                  <w:gridSpan w:val="3"/>
                </w:tcPr>
                <w:p w14:paraId="4713ED54">
                  <w:pPr>
                    <w:spacing w:line="380" w:lineRule="exact"/>
                    <w:jc w:val="center"/>
                    <w:rPr>
                      <w:rFonts w:ascii="宋体" w:hAnsi="宋体" w:cs="宋体"/>
                    </w:rPr>
                  </w:pPr>
                  <w:r>
                    <w:rPr>
                      <w:rFonts w:hint="eastAsia" w:ascii="宋体" w:hAnsi="宋体" w:cs="宋体"/>
                    </w:rPr>
                    <w:t>高档彩色多普勒超声诊断仪配置清单</w:t>
                  </w:r>
                </w:p>
              </w:tc>
            </w:tr>
            <w:tr w14:paraId="089F0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44" w:type="dxa"/>
                </w:tcPr>
                <w:p w14:paraId="64D51AB6">
                  <w:pPr>
                    <w:spacing w:line="380" w:lineRule="exact"/>
                    <w:jc w:val="center"/>
                    <w:rPr>
                      <w:rFonts w:ascii="宋体" w:hAnsi="宋体" w:cs="宋体"/>
                    </w:rPr>
                  </w:pPr>
                  <w:r>
                    <w:rPr>
                      <w:rFonts w:hint="eastAsia" w:ascii="宋体" w:hAnsi="宋体" w:cs="宋体"/>
                    </w:rPr>
                    <w:t>序号</w:t>
                  </w:r>
                </w:p>
              </w:tc>
              <w:tc>
                <w:tcPr>
                  <w:tcW w:w="1945" w:type="dxa"/>
                </w:tcPr>
                <w:p w14:paraId="31BC77AC">
                  <w:pPr>
                    <w:spacing w:line="380" w:lineRule="exact"/>
                    <w:jc w:val="center"/>
                    <w:rPr>
                      <w:rFonts w:ascii="宋体" w:hAnsi="宋体" w:cs="宋体"/>
                    </w:rPr>
                  </w:pPr>
                  <w:r>
                    <w:rPr>
                      <w:rFonts w:hint="eastAsia" w:ascii="宋体" w:hAnsi="宋体" w:cs="宋体"/>
                    </w:rPr>
                    <w:t>说明</w:t>
                  </w:r>
                </w:p>
              </w:tc>
              <w:tc>
                <w:tcPr>
                  <w:tcW w:w="1951" w:type="dxa"/>
                </w:tcPr>
                <w:p w14:paraId="3D20408A">
                  <w:pPr>
                    <w:spacing w:line="380" w:lineRule="exact"/>
                    <w:jc w:val="center"/>
                    <w:rPr>
                      <w:rFonts w:ascii="宋体" w:hAnsi="宋体" w:cs="宋体"/>
                    </w:rPr>
                  </w:pPr>
                  <w:r>
                    <w:rPr>
                      <w:rFonts w:hint="eastAsia" w:ascii="宋体" w:hAnsi="宋体" w:cs="宋体"/>
                    </w:rPr>
                    <w:t>数量</w:t>
                  </w:r>
                </w:p>
              </w:tc>
            </w:tr>
            <w:tr w14:paraId="7DDF3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44" w:type="dxa"/>
                </w:tcPr>
                <w:p w14:paraId="6D7588D4">
                  <w:pPr>
                    <w:spacing w:line="380" w:lineRule="exact"/>
                    <w:jc w:val="center"/>
                    <w:rPr>
                      <w:rFonts w:ascii="宋体" w:hAnsi="宋体" w:cs="宋体"/>
                    </w:rPr>
                  </w:pPr>
                  <w:r>
                    <w:rPr>
                      <w:rFonts w:hint="eastAsia" w:ascii="宋体" w:hAnsi="宋体" w:cs="宋体"/>
                    </w:rPr>
                    <w:t>1</w:t>
                  </w:r>
                </w:p>
              </w:tc>
              <w:tc>
                <w:tcPr>
                  <w:tcW w:w="1945" w:type="dxa"/>
                </w:tcPr>
                <w:p w14:paraId="59F1D4CE">
                  <w:pPr>
                    <w:spacing w:line="380" w:lineRule="exact"/>
                    <w:jc w:val="center"/>
                    <w:rPr>
                      <w:rFonts w:ascii="宋体" w:hAnsi="宋体" w:cs="宋体"/>
                    </w:rPr>
                  </w:pPr>
                  <w:r>
                    <w:rPr>
                      <w:rFonts w:hint="eastAsia" w:ascii="宋体" w:hAnsi="宋体" w:cs="宋体"/>
                    </w:rPr>
                    <w:t>主机</w:t>
                  </w:r>
                </w:p>
              </w:tc>
              <w:tc>
                <w:tcPr>
                  <w:tcW w:w="1951" w:type="dxa"/>
                </w:tcPr>
                <w:p w14:paraId="1C4C0517">
                  <w:pPr>
                    <w:spacing w:line="380" w:lineRule="exact"/>
                    <w:jc w:val="center"/>
                    <w:rPr>
                      <w:rFonts w:ascii="宋体" w:hAnsi="宋体" w:cs="宋体"/>
                    </w:rPr>
                  </w:pPr>
                  <w:r>
                    <w:rPr>
                      <w:rFonts w:hint="eastAsia" w:ascii="宋体" w:hAnsi="宋体" w:cs="宋体"/>
                    </w:rPr>
                    <w:t>1</w:t>
                  </w:r>
                </w:p>
              </w:tc>
            </w:tr>
            <w:tr w14:paraId="4E6AE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44" w:type="dxa"/>
                </w:tcPr>
                <w:p w14:paraId="001D617F">
                  <w:pPr>
                    <w:spacing w:line="380" w:lineRule="exact"/>
                    <w:jc w:val="center"/>
                    <w:rPr>
                      <w:rFonts w:ascii="宋体" w:hAnsi="宋体" w:cs="宋体"/>
                    </w:rPr>
                  </w:pPr>
                  <w:r>
                    <w:rPr>
                      <w:rFonts w:hint="eastAsia" w:ascii="宋体" w:hAnsi="宋体" w:cs="宋体"/>
                    </w:rPr>
                    <w:t>2</w:t>
                  </w:r>
                </w:p>
              </w:tc>
              <w:tc>
                <w:tcPr>
                  <w:tcW w:w="1945" w:type="dxa"/>
                </w:tcPr>
                <w:p w14:paraId="047BE4FA">
                  <w:pPr>
                    <w:spacing w:line="380" w:lineRule="exact"/>
                    <w:jc w:val="center"/>
                    <w:rPr>
                      <w:rFonts w:ascii="宋体" w:hAnsi="宋体" w:cs="宋体"/>
                    </w:rPr>
                  </w:pPr>
                  <w:r>
                    <w:rPr>
                      <w:rFonts w:hint="eastAsia" w:ascii="宋体" w:hAnsi="宋体" w:cs="宋体"/>
                    </w:rPr>
                    <w:t>超微血流成像</w:t>
                  </w:r>
                </w:p>
              </w:tc>
              <w:tc>
                <w:tcPr>
                  <w:tcW w:w="1951" w:type="dxa"/>
                </w:tcPr>
                <w:p w14:paraId="5ADFDA0C">
                  <w:pPr>
                    <w:spacing w:line="380" w:lineRule="exact"/>
                    <w:jc w:val="center"/>
                    <w:rPr>
                      <w:rFonts w:ascii="宋体" w:hAnsi="宋体" w:cs="宋体"/>
                    </w:rPr>
                  </w:pPr>
                  <w:r>
                    <w:rPr>
                      <w:rFonts w:hint="eastAsia" w:ascii="宋体" w:hAnsi="宋体" w:cs="宋体"/>
                    </w:rPr>
                    <w:t>1</w:t>
                  </w:r>
                </w:p>
              </w:tc>
            </w:tr>
            <w:tr w14:paraId="04B40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44" w:type="dxa"/>
                </w:tcPr>
                <w:p w14:paraId="4A7A4D70">
                  <w:pPr>
                    <w:spacing w:line="380" w:lineRule="exact"/>
                    <w:jc w:val="center"/>
                    <w:rPr>
                      <w:rFonts w:ascii="宋体" w:hAnsi="宋体" w:cs="宋体"/>
                    </w:rPr>
                  </w:pPr>
                  <w:r>
                    <w:rPr>
                      <w:rFonts w:hint="eastAsia" w:ascii="宋体" w:hAnsi="宋体" w:cs="宋体"/>
                    </w:rPr>
                    <w:t>3</w:t>
                  </w:r>
                </w:p>
              </w:tc>
              <w:tc>
                <w:tcPr>
                  <w:tcW w:w="1945" w:type="dxa"/>
                </w:tcPr>
                <w:p w14:paraId="68D07848">
                  <w:pPr>
                    <w:spacing w:line="380" w:lineRule="exact"/>
                    <w:jc w:val="center"/>
                    <w:rPr>
                      <w:rFonts w:ascii="宋体" w:hAnsi="宋体" w:cs="宋体"/>
                    </w:rPr>
                  </w:pPr>
                  <w:r>
                    <w:rPr>
                      <w:rFonts w:hint="eastAsia" w:ascii="宋体" w:hAnsi="宋体" w:cs="宋体"/>
                    </w:rPr>
                    <w:t>凸阵探头</w:t>
                  </w:r>
                </w:p>
              </w:tc>
              <w:tc>
                <w:tcPr>
                  <w:tcW w:w="1951" w:type="dxa"/>
                </w:tcPr>
                <w:p w14:paraId="3390EDAC">
                  <w:pPr>
                    <w:spacing w:line="380" w:lineRule="exact"/>
                    <w:jc w:val="center"/>
                    <w:rPr>
                      <w:rFonts w:ascii="宋体" w:hAnsi="宋体" w:cs="宋体"/>
                    </w:rPr>
                  </w:pPr>
                  <w:r>
                    <w:rPr>
                      <w:rFonts w:hint="eastAsia" w:ascii="宋体" w:hAnsi="宋体" w:cs="宋体"/>
                    </w:rPr>
                    <w:t>1</w:t>
                  </w:r>
                </w:p>
              </w:tc>
            </w:tr>
            <w:tr w14:paraId="56C55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44" w:type="dxa"/>
                </w:tcPr>
                <w:p w14:paraId="57437087">
                  <w:pPr>
                    <w:spacing w:line="380" w:lineRule="exact"/>
                    <w:jc w:val="center"/>
                    <w:rPr>
                      <w:rFonts w:ascii="宋体" w:hAnsi="宋体" w:cs="宋体"/>
                    </w:rPr>
                  </w:pPr>
                  <w:r>
                    <w:rPr>
                      <w:rFonts w:hint="eastAsia" w:ascii="宋体" w:hAnsi="宋体" w:cs="宋体"/>
                    </w:rPr>
                    <w:t>4</w:t>
                  </w:r>
                </w:p>
              </w:tc>
              <w:tc>
                <w:tcPr>
                  <w:tcW w:w="1945" w:type="dxa"/>
                </w:tcPr>
                <w:p w14:paraId="4A799902">
                  <w:pPr>
                    <w:spacing w:line="380" w:lineRule="exact"/>
                    <w:jc w:val="center"/>
                    <w:rPr>
                      <w:rFonts w:ascii="宋体" w:hAnsi="宋体" w:cs="宋体"/>
                    </w:rPr>
                  </w:pPr>
                  <w:r>
                    <w:rPr>
                      <w:rFonts w:hint="eastAsia" w:ascii="宋体" w:hAnsi="宋体" w:cs="宋体"/>
                    </w:rPr>
                    <w:t>线阵探头</w:t>
                  </w:r>
                </w:p>
              </w:tc>
              <w:tc>
                <w:tcPr>
                  <w:tcW w:w="1951" w:type="dxa"/>
                </w:tcPr>
                <w:p w14:paraId="64604952">
                  <w:pPr>
                    <w:spacing w:line="380" w:lineRule="exact"/>
                    <w:jc w:val="center"/>
                    <w:rPr>
                      <w:rFonts w:ascii="宋体" w:hAnsi="宋体" w:cs="宋体"/>
                    </w:rPr>
                  </w:pPr>
                  <w:r>
                    <w:rPr>
                      <w:rFonts w:hint="eastAsia" w:ascii="宋体" w:hAnsi="宋体" w:cs="宋体"/>
                    </w:rPr>
                    <w:t>1</w:t>
                  </w:r>
                </w:p>
              </w:tc>
            </w:tr>
            <w:tr w14:paraId="0F471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44" w:type="dxa"/>
                </w:tcPr>
                <w:p w14:paraId="38CF480F">
                  <w:pPr>
                    <w:spacing w:line="380" w:lineRule="exact"/>
                    <w:jc w:val="center"/>
                    <w:rPr>
                      <w:rFonts w:ascii="宋体" w:hAnsi="宋体" w:cs="宋体"/>
                    </w:rPr>
                  </w:pPr>
                  <w:r>
                    <w:rPr>
                      <w:rFonts w:hint="eastAsia" w:ascii="宋体" w:hAnsi="宋体" w:cs="宋体"/>
                    </w:rPr>
                    <w:t>5</w:t>
                  </w:r>
                </w:p>
              </w:tc>
              <w:tc>
                <w:tcPr>
                  <w:tcW w:w="1945" w:type="dxa"/>
                </w:tcPr>
                <w:p w14:paraId="7CFC9CF9">
                  <w:pPr>
                    <w:spacing w:line="380" w:lineRule="exact"/>
                    <w:jc w:val="center"/>
                    <w:rPr>
                      <w:rFonts w:ascii="宋体" w:hAnsi="宋体" w:cs="宋体"/>
                    </w:rPr>
                  </w:pPr>
                  <w:r>
                    <w:rPr>
                      <w:rFonts w:hint="eastAsia" w:ascii="宋体" w:hAnsi="宋体" w:cs="宋体"/>
                    </w:rPr>
                    <w:t>高频线阵探头</w:t>
                  </w:r>
                </w:p>
              </w:tc>
              <w:tc>
                <w:tcPr>
                  <w:tcW w:w="1951" w:type="dxa"/>
                </w:tcPr>
                <w:p w14:paraId="7581BC9E">
                  <w:pPr>
                    <w:spacing w:line="380" w:lineRule="exact"/>
                    <w:jc w:val="center"/>
                    <w:rPr>
                      <w:rFonts w:ascii="宋体" w:hAnsi="宋体" w:cs="宋体"/>
                    </w:rPr>
                  </w:pPr>
                  <w:r>
                    <w:rPr>
                      <w:rFonts w:hint="eastAsia" w:ascii="宋体" w:hAnsi="宋体" w:cs="宋体"/>
                    </w:rPr>
                    <w:t>1</w:t>
                  </w:r>
                </w:p>
              </w:tc>
            </w:tr>
            <w:tr w14:paraId="49C09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44" w:type="dxa"/>
                </w:tcPr>
                <w:p w14:paraId="61D33830">
                  <w:pPr>
                    <w:spacing w:line="380" w:lineRule="exact"/>
                    <w:jc w:val="center"/>
                    <w:rPr>
                      <w:rFonts w:ascii="宋体" w:hAnsi="宋体" w:cs="宋体"/>
                    </w:rPr>
                  </w:pPr>
                  <w:r>
                    <w:rPr>
                      <w:rFonts w:hint="eastAsia" w:ascii="宋体" w:hAnsi="宋体" w:cs="宋体"/>
                    </w:rPr>
                    <w:t>6</w:t>
                  </w:r>
                </w:p>
              </w:tc>
              <w:tc>
                <w:tcPr>
                  <w:tcW w:w="1945" w:type="dxa"/>
                </w:tcPr>
                <w:p w14:paraId="5642FC9D">
                  <w:pPr>
                    <w:spacing w:line="380" w:lineRule="exact"/>
                    <w:jc w:val="center"/>
                    <w:rPr>
                      <w:rFonts w:ascii="宋体" w:hAnsi="宋体" w:cs="宋体"/>
                    </w:rPr>
                  </w:pPr>
                  <w:r>
                    <w:rPr>
                      <w:rFonts w:hint="eastAsia" w:ascii="宋体" w:hAnsi="宋体" w:cs="宋体"/>
                    </w:rPr>
                    <w:t>小凸阵探头</w:t>
                  </w:r>
                </w:p>
              </w:tc>
              <w:tc>
                <w:tcPr>
                  <w:tcW w:w="1951" w:type="dxa"/>
                </w:tcPr>
                <w:p w14:paraId="221C4D91">
                  <w:pPr>
                    <w:spacing w:line="380" w:lineRule="exact"/>
                    <w:jc w:val="center"/>
                    <w:rPr>
                      <w:rFonts w:ascii="宋体" w:hAnsi="宋体" w:cs="宋体"/>
                    </w:rPr>
                  </w:pPr>
                  <w:r>
                    <w:rPr>
                      <w:rFonts w:hint="eastAsia" w:ascii="宋体" w:hAnsi="宋体" w:cs="宋体"/>
                    </w:rPr>
                    <w:t>1</w:t>
                  </w:r>
                </w:p>
              </w:tc>
            </w:tr>
            <w:tr w14:paraId="4FD29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44" w:type="dxa"/>
                </w:tcPr>
                <w:p w14:paraId="60A0E001">
                  <w:pPr>
                    <w:spacing w:line="380" w:lineRule="exact"/>
                    <w:jc w:val="center"/>
                    <w:rPr>
                      <w:rFonts w:ascii="宋体" w:hAnsi="宋体" w:cs="宋体"/>
                    </w:rPr>
                  </w:pPr>
                  <w:r>
                    <w:rPr>
                      <w:rFonts w:hint="eastAsia" w:ascii="宋体" w:hAnsi="宋体" w:cs="宋体"/>
                    </w:rPr>
                    <w:t>7</w:t>
                  </w:r>
                </w:p>
              </w:tc>
              <w:tc>
                <w:tcPr>
                  <w:tcW w:w="1945" w:type="dxa"/>
                </w:tcPr>
                <w:p w14:paraId="56EA63AB">
                  <w:pPr>
                    <w:spacing w:line="380" w:lineRule="exact"/>
                    <w:jc w:val="center"/>
                    <w:rPr>
                      <w:rFonts w:ascii="宋体" w:hAnsi="宋体" w:cs="宋体"/>
                    </w:rPr>
                  </w:pPr>
                  <w:r>
                    <w:rPr>
                      <w:rFonts w:hint="eastAsia" w:ascii="宋体" w:hAnsi="宋体" w:cs="宋体"/>
                    </w:rPr>
                    <w:t>说明书和合格证</w:t>
                  </w:r>
                </w:p>
              </w:tc>
              <w:tc>
                <w:tcPr>
                  <w:tcW w:w="1951" w:type="dxa"/>
                </w:tcPr>
                <w:p w14:paraId="0E74EAB7">
                  <w:pPr>
                    <w:spacing w:line="380" w:lineRule="exact"/>
                    <w:jc w:val="center"/>
                    <w:rPr>
                      <w:rFonts w:ascii="宋体" w:hAnsi="宋体" w:cs="宋体"/>
                    </w:rPr>
                  </w:pPr>
                  <w:r>
                    <w:rPr>
                      <w:rFonts w:hint="eastAsia" w:ascii="宋体" w:hAnsi="宋体" w:cs="宋体"/>
                    </w:rPr>
                    <w:t>1</w:t>
                  </w:r>
                </w:p>
              </w:tc>
            </w:tr>
            <w:tr w14:paraId="082B3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44" w:type="dxa"/>
                </w:tcPr>
                <w:p w14:paraId="5D382022">
                  <w:pPr>
                    <w:spacing w:line="380" w:lineRule="exact"/>
                    <w:jc w:val="center"/>
                    <w:rPr>
                      <w:rFonts w:ascii="宋体" w:hAnsi="宋体" w:cs="宋体"/>
                    </w:rPr>
                  </w:pPr>
                  <w:r>
                    <w:rPr>
                      <w:rFonts w:hint="eastAsia" w:ascii="宋体" w:hAnsi="宋体" w:cs="宋体"/>
                    </w:rPr>
                    <w:t>8</w:t>
                  </w:r>
                </w:p>
              </w:tc>
              <w:tc>
                <w:tcPr>
                  <w:tcW w:w="1945" w:type="dxa"/>
                </w:tcPr>
                <w:p w14:paraId="51A99E20">
                  <w:pPr>
                    <w:spacing w:line="380" w:lineRule="exact"/>
                    <w:jc w:val="center"/>
                    <w:rPr>
                      <w:rFonts w:ascii="宋体" w:hAnsi="宋体" w:cs="宋体"/>
                    </w:rPr>
                  </w:pPr>
                  <w:r>
                    <w:rPr>
                      <w:rFonts w:hint="eastAsia" w:ascii="宋体" w:hAnsi="宋体" w:cs="宋体"/>
                    </w:rPr>
                    <w:t>图文影像工作站</w:t>
                  </w:r>
                </w:p>
              </w:tc>
              <w:tc>
                <w:tcPr>
                  <w:tcW w:w="1951" w:type="dxa"/>
                </w:tcPr>
                <w:p w14:paraId="45E6CE37">
                  <w:pPr>
                    <w:spacing w:line="380" w:lineRule="exact"/>
                    <w:jc w:val="center"/>
                    <w:rPr>
                      <w:rFonts w:ascii="宋体" w:hAnsi="宋体" w:cs="宋体"/>
                    </w:rPr>
                  </w:pPr>
                  <w:r>
                    <w:rPr>
                      <w:rFonts w:hint="eastAsia" w:ascii="宋体" w:hAnsi="宋体" w:cs="宋体"/>
                    </w:rPr>
                    <w:t>1</w:t>
                  </w:r>
                </w:p>
              </w:tc>
            </w:tr>
            <w:tr w14:paraId="72E0E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44" w:type="dxa"/>
                </w:tcPr>
                <w:p w14:paraId="3280E183">
                  <w:pPr>
                    <w:spacing w:line="380" w:lineRule="exact"/>
                    <w:jc w:val="center"/>
                    <w:rPr>
                      <w:rFonts w:ascii="宋体" w:hAnsi="宋体" w:cs="宋体"/>
                    </w:rPr>
                  </w:pPr>
                  <w:r>
                    <w:rPr>
                      <w:rFonts w:hint="eastAsia" w:ascii="宋体" w:hAnsi="宋体" w:cs="宋体"/>
                    </w:rPr>
                    <w:t>9</w:t>
                  </w:r>
                </w:p>
              </w:tc>
              <w:tc>
                <w:tcPr>
                  <w:tcW w:w="1945" w:type="dxa"/>
                </w:tcPr>
                <w:p w14:paraId="0EDDE6AE">
                  <w:pPr>
                    <w:spacing w:line="380" w:lineRule="exact"/>
                    <w:jc w:val="center"/>
                    <w:rPr>
                      <w:rFonts w:ascii="宋体" w:hAnsi="宋体" w:cs="宋体"/>
                    </w:rPr>
                  </w:pPr>
                  <w:r>
                    <w:rPr>
                      <w:rFonts w:hint="eastAsia" w:ascii="宋体" w:hAnsi="宋体" w:cs="宋体"/>
                    </w:rPr>
                    <w:t>高清采集卡</w:t>
                  </w:r>
                </w:p>
              </w:tc>
              <w:tc>
                <w:tcPr>
                  <w:tcW w:w="1951" w:type="dxa"/>
                </w:tcPr>
                <w:p w14:paraId="6C2F29F7">
                  <w:pPr>
                    <w:spacing w:line="380" w:lineRule="exact"/>
                    <w:jc w:val="center"/>
                    <w:rPr>
                      <w:rFonts w:ascii="宋体" w:hAnsi="宋体" w:cs="宋体"/>
                    </w:rPr>
                  </w:pPr>
                  <w:r>
                    <w:rPr>
                      <w:rFonts w:hint="eastAsia" w:ascii="宋体" w:hAnsi="宋体" w:cs="宋体"/>
                    </w:rPr>
                    <w:t>1</w:t>
                  </w:r>
                </w:p>
              </w:tc>
            </w:tr>
          </w:tbl>
          <w:p w14:paraId="57E364BE">
            <w:pPr>
              <w:spacing w:line="380" w:lineRule="exact"/>
              <w:rPr>
                <w:rFonts w:ascii="宋体" w:hAnsi="宋体" w:cs="宋体"/>
                <w:szCs w:val="21"/>
              </w:rPr>
            </w:pPr>
          </w:p>
        </w:tc>
        <w:tc>
          <w:tcPr>
            <w:tcW w:w="1413" w:type="dxa"/>
            <w:tcBorders>
              <w:top w:val="single" w:color="auto" w:sz="4" w:space="0"/>
              <w:left w:val="single" w:color="auto" w:sz="4" w:space="0"/>
              <w:bottom w:val="single" w:color="auto" w:sz="4" w:space="0"/>
              <w:right w:val="single" w:color="auto" w:sz="4" w:space="0"/>
            </w:tcBorders>
            <w:vAlign w:val="center"/>
          </w:tcPr>
          <w:p w14:paraId="39A53D86">
            <w:pPr>
              <w:spacing w:line="380" w:lineRule="exact"/>
              <w:jc w:val="center"/>
              <w:rPr>
                <w:rFonts w:ascii="宋体" w:hAnsi="宋体" w:cs="宋体"/>
                <w:szCs w:val="21"/>
              </w:rPr>
            </w:pPr>
            <w:r>
              <w:rPr>
                <w:rFonts w:ascii="宋体" w:hAnsi="宋体" w:cs="宋体"/>
                <w:szCs w:val="21"/>
              </w:rPr>
              <w:t>178</w:t>
            </w:r>
          </w:p>
        </w:tc>
      </w:tr>
      <w:tr w14:paraId="0BE08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0030" w:type="dxa"/>
            <w:gridSpan w:val="6"/>
            <w:tcBorders>
              <w:top w:val="single" w:color="auto" w:sz="4" w:space="0"/>
              <w:left w:val="single" w:color="auto" w:sz="4" w:space="0"/>
              <w:bottom w:val="single" w:color="auto" w:sz="4" w:space="0"/>
              <w:right w:val="single" w:color="auto" w:sz="4" w:space="0"/>
            </w:tcBorders>
            <w:vAlign w:val="center"/>
          </w:tcPr>
          <w:p w14:paraId="2CAA5DA4">
            <w:pPr>
              <w:spacing w:line="380" w:lineRule="exact"/>
              <w:rPr>
                <w:rFonts w:ascii="宋体" w:hAnsi="宋体" w:cs="宋体"/>
                <w:b/>
                <w:szCs w:val="21"/>
              </w:rPr>
            </w:pPr>
            <w:r>
              <w:rPr>
                <w:rFonts w:hint="eastAsia" w:ascii="宋体" w:hAnsi="宋体" w:cs="宋体"/>
                <w:b/>
                <w:szCs w:val="21"/>
              </w:rPr>
              <w:t>商务要求表</w:t>
            </w:r>
          </w:p>
        </w:tc>
      </w:tr>
      <w:tr w14:paraId="20B9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50" w:type="dxa"/>
            <w:gridSpan w:val="2"/>
            <w:tcBorders>
              <w:top w:val="single" w:color="auto" w:sz="4" w:space="0"/>
              <w:left w:val="single" w:color="auto" w:sz="4" w:space="0"/>
              <w:bottom w:val="single" w:color="auto" w:sz="4" w:space="0"/>
              <w:right w:val="single" w:color="auto" w:sz="4" w:space="0"/>
            </w:tcBorders>
            <w:vAlign w:val="center"/>
          </w:tcPr>
          <w:p w14:paraId="33F8C1E1">
            <w:pPr>
              <w:spacing w:line="380" w:lineRule="exact"/>
              <w:jc w:val="center"/>
              <w:rPr>
                <w:rFonts w:ascii="宋体" w:hAnsi="宋体" w:cs="宋体"/>
                <w:szCs w:val="21"/>
              </w:rPr>
            </w:pPr>
            <w:r>
              <w:rPr>
                <w:rFonts w:hint="eastAsia" w:ascii="宋体" w:hAnsi="宋体" w:cs="宋体"/>
                <w:szCs w:val="21"/>
              </w:rPr>
              <w:t>交付使用时间及地点</w:t>
            </w:r>
          </w:p>
        </w:tc>
        <w:tc>
          <w:tcPr>
            <w:tcW w:w="8580" w:type="dxa"/>
            <w:gridSpan w:val="4"/>
            <w:tcBorders>
              <w:top w:val="single" w:color="auto" w:sz="4" w:space="0"/>
              <w:left w:val="single" w:color="auto" w:sz="4" w:space="0"/>
              <w:bottom w:val="single" w:color="auto" w:sz="4" w:space="0"/>
              <w:right w:val="single" w:color="auto" w:sz="4" w:space="0"/>
            </w:tcBorders>
            <w:vAlign w:val="center"/>
          </w:tcPr>
          <w:p w14:paraId="5FCCCE90">
            <w:pPr>
              <w:spacing w:line="380" w:lineRule="exact"/>
              <w:rPr>
                <w:rFonts w:ascii="宋体" w:hAnsi="宋体" w:cs="宋体"/>
                <w:szCs w:val="21"/>
              </w:rPr>
            </w:pPr>
            <w:r>
              <w:rPr>
                <w:rFonts w:hint="eastAsia" w:ascii="宋体" w:hAnsi="宋体" w:cs="宋体"/>
                <w:szCs w:val="21"/>
              </w:rPr>
              <w:t>1.交付使用时间：非进口设备自签订合同之日起</w:t>
            </w:r>
            <w:r>
              <w:rPr>
                <w:rFonts w:hint="eastAsia" w:ascii="宋体" w:hAnsi="宋体" w:cs="宋体"/>
                <w:szCs w:val="21"/>
                <w:u w:val="single"/>
              </w:rPr>
              <w:t xml:space="preserve"> </w:t>
            </w:r>
            <w:r>
              <w:rPr>
                <w:rFonts w:ascii="宋体" w:hAnsi="宋体" w:cs="宋体"/>
                <w:szCs w:val="21"/>
                <w:u w:val="single"/>
              </w:rPr>
              <w:t>30</w:t>
            </w:r>
            <w:r>
              <w:rPr>
                <w:rFonts w:hint="eastAsia" w:ascii="宋体" w:hAnsi="宋体" w:cs="宋体"/>
                <w:szCs w:val="21"/>
                <w:u w:val="single"/>
              </w:rPr>
              <w:t xml:space="preserve"> </w:t>
            </w:r>
            <w:r>
              <w:rPr>
                <w:rFonts w:hint="eastAsia" w:ascii="宋体" w:hAnsi="宋体" w:cs="宋体"/>
                <w:szCs w:val="21"/>
              </w:rPr>
              <w:t>个工作日内交货并安装调试合格交付使用；投标产品为进口产品的：自签订合同之日起</w:t>
            </w:r>
            <w:r>
              <w:rPr>
                <w:rFonts w:hint="eastAsia" w:ascii="宋体" w:hAnsi="宋体" w:cs="宋体"/>
                <w:szCs w:val="21"/>
                <w:u w:val="single"/>
              </w:rPr>
              <w:t xml:space="preserve"> </w:t>
            </w:r>
            <w:r>
              <w:rPr>
                <w:rFonts w:ascii="宋体" w:hAnsi="宋体" w:cs="宋体"/>
                <w:szCs w:val="21"/>
                <w:u w:val="single"/>
              </w:rPr>
              <w:t>90</w:t>
            </w:r>
            <w:r>
              <w:rPr>
                <w:rFonts w:hint="eastAsia" w:ascii="宋体" w:hAnsi="宋体" w:cs="宋体"/>
                <w:szCs w:val="21"/>
                <w:u w:val="single"/>
              </w:rPr>
              <w:t xml:space="preserve"> </w:t>
            </w:r>
            <w:r>
              <w:rPr>
                <w:rFonts w:hint="eastAsia" w:ascii="宋体" w:hAnsi="宋体" w:cs="宋体"/>
                <w:szCs w:val="21"/>
              </w:rPr>
              <w:t>个工作日内交货并安装调试合格交付使用。</w:t>
            </w:r>
          </w:p>
          <w:p w14:paraId="3C49339E">
            <w:pPr>
              <w:spacing w:line="380" w:lineRule="exact"/>
              <w:rPr>
                <w:rFonts w:ascii="宋体" w:hAnsi="宋体" w:cs="宋体"/>
                <w:szCs w:val="21"/>
              </w:rPr>
            </w:pPr>
            <w:r>
              <w:rPr>
                <w:rFonts w:hint="eastAsia" w:ascii="宋体" w:hAnsi="宋体" w:cs="宋体"/>
                <w:szCs w:val="21"/>
              </w:rPr>
              <w:t>2.交付使用地点：</w:t>
            </w:r>
            <w:r>
              <w:rPr>
                <w:rFonts w:hint="eastAsia" w:ascii="宋体" w:hAnsi="宋体" w:cs="宋体"/>
                <w:kern w:val="0"/>
                <w:szCs w:val="21"/>
              </w:rPr>
              <w:t>广西壮族自治区（采购人指定地点）。</w:t>
            </w:r>
          </w:p>
        </w:tc>
      </w:tr>
      <w:tr w14:paraId="3CCA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450" w:type="dxa"/>
            <w:gridSpan w:val="2"/>
            <w:tcBorders>
              <w:top w:val="single" w:color="auto" w:sz="4" w:space="0"/>
              <w:left w:val="single" w:color="auto" w:sz="4" w:space="0"/>
              <w:bottom w:val="single" w:color="auto" w:sz="4" w:space="0"/>
              <w:right w:val="single" w:color="auto" w:sz="4" w:space="0"/>
            </w:tcBorders>
            <w:vAlign w:val="center"/>
          </w:tcPr>
          <w:p w14:paraId="04406C4F">
            <w:pPr>
              <w:spacing w:line="380" w:lineRule="exact"/>
              <w:jc w:val="center"/>
              <w:rPr>
                <w:rFonts w:ascii="宋体" w:hAnsi="宋体" w:cs="宋体"/>
                <w:szCs w:val="21"/>
              </w:rPr>
            </w:pPr>
            <w:r>
              <w:rPr>
                <w:rFonts w:hint="eastAsia" w:ascii="宋体" w:hAnsi="宋体" w:cs="宋体"/>
                <w:szCs w:val="21"/>
              </w:rPr>
              <w:t>质量保证</w:t>
            </w:r>
          </w:p>
        </w:tc>
        <w:tc>
          <w:tcPr>
            <w:tcW w:w="8580" w:type="dxa"/>
            <w:gridSpan w:val="4"/>
            <w:tcBorders>
              <w:top w:val="single" w:color="auto" w:sz="4" w:space="0"/>
              <w:left w:val="single" w:color="auto" w:sz="4" w:space="0"/>
              <w:bottom w:val="single" w:color="auto" w:sz="4" w:space="0"/>
              <w:right w:val="single" w:color="auto" w:sz="4" w:space="0"/>
            </w:tcBorders>
            <w:vAlign w:val="center"/>
          </w:tcPr>
          <w:p w14:paraId="130DFAB5">
            <w:pPr>
              <w:spacing w:line="380" w:lineRule="exact"/>
              <w:rPr>
                <w:rFonts w:ascii="宋体" w:hAnsi="宋体" w:cs="宋体"/>
                <w:szCs w:val="21"/>
              </w:rPr>
            </w:pPr>
            <w:r>
              <w:rPr>
                <w:rFonts w:hint="eastAsia" w:ascii="宋体" w:hAnsi="宋体" w:cs="宋体"/>
                <w:szCs w:val="21"/>
              </w:rPr>
              <w:t>1.质保期内实行“包修、包换、包退”的三包服务；供应商须对货物制造、安装以及使用过程中的一切质量问题承担责任。按国家有关的产品“包”规定实行“三包”，所有产品为全新产品，符合国家相关标准。除了在功能目标要求及技术指标中对质量保证期另有规定的货物及服务外，其余所有设备安装调试并经采购人验收合格之日起质保期不少于5年(若国家或生产厂家对本项目所涉及货物的质量保证期的规定高于本项目要求的，应按国家或生产厂家的规定执行，若供应商在投标文件中承诺高于该期限，按照供应商承诺)。质保期内负责维修、更换配件，负责向采购人提供设备维修及正常维护保养所需的零部件，质保期外提供终身维护和保养服务，如技术需求另有要求的根据国家设备质量标准要求的有关规定。质保期内中标供应商对货物出现的维修、质量及安全问题负责处理解决并承担一切费用，并向采购人提供每次维保的相关资料（佐证照片、维保清单及报告）。如采购需求表中特别注明的按需求表中的内容执行。</w:t>
            </w:r>
          </w:p>
          <w:p w14:paraId="7424BDEA">
            <w:pPr>
              <w:spacing w:line="380" w:lineRule="exact"/>
              <w:rPr>
                <w:rFonts w:ascii="宋体" w:hAnsi="宋体" w:cs="宋体"/>
                <w:szCs w:val="21"/>
              </w:rPr>
            </w:pPr>
            <w:r>
              <w:rPr>
                <w:rFonts w:hint="eastAsia" w:ascii="宋体" w:hAnsi="宋体" w:cs="宋体"/>
                <w:szCs w:val="21"/>
              </w:rPr>
              <w:t>2.质保期内，供应商按要求提供以下质保服务：</w:t>
            </w:r>
          </w:p>
          <w:p w14:paraId="715C76EF">
            <w:pPr>
              <w:spacing w:line="380" w:lineRule="exact"/>
              <w:ind w:firstLine="420" w:firstLineChars="200"/>
              <w:rPr>
                <w:rFonts w:ascii="宋体" w:hAnsi="宋体" w:cs="宋体"/>
                <w:szCs w:val="21"/>
              </w:rPr>
            </w:pPr>
            <w:r>
              <w:rPr>
                <w:rFonts w:hint="eastAsia" w:ascii="宋体" w:hAnsi="宋体" w:cs="宋体"/>
                <w:szCs w:val="21"/>
              </w:rPr>
              <w:t>属于保修（三包）范围和内容的项目，中标供应商应在接到修理通知之后按售后维修响应要求时限内派人修理。中标供应商不在约定期限内派人修理，采购人可委托其他人员修理，修理费用由中标供应商负责。如果需要更换配件的，所更换的配件应为原供货产品品牌、类型相一致或者是同等档次的替代品，后者需征得采购人书面同意；若采购人发现产品存在制造上的缺陷，中标供应商应负责采取补救措施，若该缺陷导致产品存在安全隐患或不能使用的，中标供应商应负责更换整件产品。</w:t>
            </w:r>
          </w:p>
          <w:p w14:paraId="76CAEA79">
            <w:pPr>
              <w:spacing w:line="380" w:lineRule="exact"/>
              <w:rPr>
                <w:rFonts w:ascii="宋体" w:hAnsi="宋体" w:cs="宋体"/>
                <w:szCs w:val="21"/>
              </w:rPr>
            </w:pPr>
            <w:r>
              <w:rPr>
                <w:rFonts w:hint="eastAsia" w:ascii="宋体" w:hAnsi="宋体" w:cs="宋体"/>
                <w:szCs w:val="21"/>
              </w:rPr>
              <w:t>3.保修完成后，由采购人组织有关单位人员验收。</w:t>
            </w:r>
          </w:p>
          <w:p w14:paraId="0922D840">
            <w:pPr>
              <w:widowControl/>
              <w:spacing w:line="380" w:lineRule="exact"/>
              <w:rPr>
                <w:rFonts w:ascii="宋体" w:hAnsi="宋体" w:cs="宋体"/>
                <w:szCs w:val="21"/>
              </w:rPr>
            </w:pPr>
            <w:r>
              <w:rPr>
                <w:rFonts w:hint="eastAsia" w:ascii="宋体" w:hAnsi="宋体" w:cs="宋体"/>
                <w:szCs w:val="21"/>
              </w:rPr>
              <w:t>4.产品质量按现行国家标准和技术规范。</w:t>
            </w:r>
          </w:p>
        </w:tc>
      </w:tr>
      <w:tr w14:paraId="7DAE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50" w:type="dxa"/>
            <w:gridSpan w:val="2"/>
            <w:tcBorders>
              <w:top w:val="single" w:color="auto" w:sz="4" w:space="0"/>
              <w:left w:val="single" w:color="auto" w:sz="4" w:space="0"/>
              <w:bottom w:val="single" w:color="auto" w:sz="4" w:space="0"/>
              <w:right w:val="single" w:color="auto" w:sz="4" w:space="0"/>
            </w:tcBorders>
            <w:vAlign w:val="center"/>
          </w:tcPr>
          <w:p w14:paraId="2AA88DB0">
            <w:pPr>
              <w:spacing w:line="380" w:lineRule="exact"/>
              <w:jc w:val="center"/>
              <w:rPr>
                <w:rFonts w:ascii="宋体" w:hAnsi="宋体" w:cs="宋体"/>
                <w:szCs w:val="21"/>
              </w:rPr>
            </w:pPr>
            <w:r>
              <w:rPr>
                <w:rFonts w:hint="eastAsia" w:ascii="宋体" w:hAnsi="宋体" w:cs="宋体"/>
                <w:szCs w:val="21"/>
              </w:rPr>
              <w:t>付款条件</w:t>
            </w:r>
          </w:p>
        </w:tc>
        <w:tc>
          <w:tcPr>
            <w:tcW w:w="8580" w:type="dxa"/>
            <w:gridSpan w:val="4"/>
            <w:tcBorders>
              <w:top w:val="single" w:color="auto" w:sz="4" w:space="0"/>
              <w:left w:val="single" w:color="auto" w:sz="4" w:space="0"/>
              <w:bottom w:val="single" w:color="auto" w:sz="4" w:space="0"/>
              <w:right w:val="single" w:color="auto" w:sz="4" w:space="0"/>
            </w:tcBorders>
            <w:vAlign w:val="center"/>
          </w:tcPr>
          <w:p w14:paraId="5DDE6924">
            <w:pPr>
              <w:spacing w:line="360" w:lineRule="exact"/>
              <w:ind w:right="139" w:rightChars="66" w:firstLine="79" w:firstLineChars="38"/>
              <w:jc w:val="left"/>
              <w:rPr>
                <w:rFonts w:ascii="宋体" w:hAnsi="宋体"/>
                <w:szCs w:val="21"/>
              </w:rPr>
            </w:pPr>
            <w:r>
              <w:rPr>
                <w:rFonts w:hint="eastAsia" w:ascii="宋体" w:hAnsi="宋体"/>
                <w:szCs w:val="21"/>
              </w:rPr>
              <w:t>1.合同价款分三期支付：</w:t>
            </w:r>
          </w:p>
          <w:p w14:paraId="7BFF5AD6">
            <w:pPr>
              <w:spacing w:line="360" w:lineRule="exact"/>
              <w:ind w:left="86" w:leftChars="41" w:right="139" w:rightChars="66" w:firstLine="2"/>
              <w:jc w:val="left"/>
              <w:rPr>
                <w:rFonts w:ascii="宋体" w:hAnsi="宋体"/>
                <w:szCs w:val="21"/>
              </w:rPr>
            </w:pPr>
            <w:r>
              <w:rPr>
                <w:rFonts w:hint="eastAsia" w:ascii="宋体" w:hAnsi="宋体"/>
                <w:szCs w:val="21"/>
              </w:rPr>
              <w:t>第一期在货物安装且验收合格后，甲方收到乙方开具的发票起10个工作日内支付至合同总价的30%；</w:t>
            </w:r>
          </w:p>
          <w:p w14:paraId="404CEBFE">
            <w:pPr>
              <w:spacing w:line="360" w:lineRule="exact"/>
              <w:ind w:left="86" w:leftChars="41" w:right="139" w:rightChars="66" w:firstLine="2"/>
              <w:jc w:val="left"/>
              <w:rPr>
                <w:rFonts w:ascii="宋体" w:hAnsi="宋体"/>
                <w:szCs w:val="21"/>
              </w:rPr>
            </w:pPr>
            <w:r>
              <w:rPr>
                <w:rFonts w:hint="eastAsia" w:ascii="宋体" w:hAnsi="宋体"/>
                <w:szCs w:val="21"/>
              </w:rPr>
              <w:t>第二期在货物验收合格满六个月后，甲方收到乙方开具的发票起10个工作日内支付至合同总价的70%；</w:t>
            </w:r>
          </w:p>
          <w:p w14:paraId="7020D445">
            <w:pPr>
              <w:spacing w:line="360" w:lineRule="exact"/>
              <w:ind w:left="86" w:leftChars="41" w:right="139" w:rightChars="66" w:firstLine="2"/>
              <w:jc w:val="left"/>
              <w:rPr>
                <w:rFonts w:ascii="宋体" w:hAnsi="宋体"/>
                <w:szCs w:val="21"/>
              </w:rPr>
            </w:pPr>
            <w:r>
              <w:rPr>
                <w:rFonts w:hint="eastAsia" w:ascii="宋体" w:hAnsi="宋体"/>
                <w:szCs w:val="21"/>
              </w:rPr>
              <w:t>第三期在货物验收合格满十二个月后，甲方收到乙方开具的发票起 10个工作日内支付至合同总价的100%；</w:t>
            </w:r>
          </w:p>
          <w:p w14:paraId="3BFCC6CE">
            <w:pPr>
              <w:spacing w:line="360" w:lineRule="exact"/>
              <w:ind w:left="86" w:leftChars="41" w:right="139" w:rightChars="66" w:firstLine="2"/>
              <w:jc w:val="left"/>
              <w:rPr>
                <w:rFonts w:ascii="宋体" w:hAnsi="宋体"/>
                <w:szCs w:val="21"/>
              </w:rPr>
            </w:pPr>
            <w:r>
              <w:rPr>
                <w:rFonts w:hint="eastAsia" w:ascii="宋体" w:hAnsi="宋体"/>
                <w:szCs w:val="21"/>
              </w:rPr>
              <w:t>2.每一期付款时乙方需提供请款报告、足额发票及货物运行正常的报告。</w:t>
            </w:r>
          </w:p>
        </w:tc>
      </w:tr>
      <w:tr w14:paraId="3C0DC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50" w:type="dxa"/>
            <w:gridSpan w:val="2"/>
            <w:tcBorders>
              <w:top w:val="single" w:color="auto" w:sz="4" w:space="0"/>
              <w:left w:val="single" w:color="auto" w:sz="4" w:space="0"/>
              <w:bottom w:val="single" w:color="auto" w:sz="4" w:space="0"/>
              <w:right w:val="single" w:color="auto" w:sz="4" w:space="0"/>
            </w:tcBorders>
            <w:vAlign w:val="center"/>
          </w:tcPr>
          <w:p w14:paraId="5249208A">
            <w:pPr>
              <w:spacing w:line="380" w:lineRule="exact"/>
              <w:jc w:val="center"/>
              <w:rPr>
                <w:rFonts w:ascii="宋体" w:hAnsi="宋体" w:cs="宋体"/>
                <w:szCs w:val="21"/>
              </w:rPr>
            </w:pPr>
            <w:r>
              <w:rPr>
                <w:rFonts w:hint="eastAsia" w:ascii="宋体" w:hAnsi="宋体" w:cs="宋体"/>
                <w:szCs w:val="21"/>
              </w:rPr>
              <w:t>售后服务要求</w:t>
            </w:r>
          </w:p>
        </w:tc>
        <w:tc>
          <w:tcPr>
            <w:tcW w:w="8580" w:type="dxa"/>
            <w:gridSpan w:val="4"/>
            <w:tcBorders>
              <w:top w:val="single" w:color="auto" w:sz="4" w:space="0"/>
              <w:left w:val="single" w:color="auto" w:sz="4" w:space="0"/>
              <w:bottom w:val="single" w:color="auto" w:sz="4" w:space="0"/>
              <w:right w:val="single" w:color="auto" w:sz="4" w:space="0"/>
            </w:tcBorders>
            <w:vAlign w:val="center"/>
          </w:tcPr>
          <w:p w14:paraId="0D9C78A2">
            <w:pPr>
              <w:spacing w:line="380" w:lineRule="exact"/>
              <w:rPr>
                <w:rFonts w:ascii="宋体" w:hAnsi="宋体" w:cs="宋体"/>
                <w:szCs w:val="21"/>
              </w:rPr>
            </w:pPr>
            <w:r>
              <w:rPr>
                <w:rFonts w:hint="eastAsia" w:ascii="宋体" w:hAnsi="宋体" w:cs="宋体"/>
                <w:szCs w:val="21"/>
              </w:rPr>
              <w:t>1.</w:t>
            </w:r>
            <w:r>
              <w:rPr>
                <w:rFonts w:hint="eastAsia" w:ascii="宋体" w:hAnsi="宋体" w:cs="宋体"/>
                <w:szCs w:val="21"/>
                <w:lang w:val="zh-CN"/>
              </w:rPr>
              <w:t>投标产品必须是按厂家出厂标准配置提供的整套具备全新正规合法经销渠道的符合国家各项有关质量标准的合格产品（禁止供应商使用贴牌、代工设备参与投标）。相关部件及服务须满足本表</w:t>
            </w:r>
            <w:r>
              <w:rPr>
                <w:rFonts w:hint="eastAsia" w:ascii="宋体" w:hAnsi="宋体" w:cs="宋体"/>
                <w:szCs w:val="21"/>
              </w:rPr>
              <w:t>技术要求</w:t>
            </w:r>
            <w:r>
              <w:rPr>
                <w:rFonts w:hint="eastAsia" w:ascii="宋体" w:hAnsi="宋体" w:cs="宋体"/>
                <w:szCs w:val="21"/>
                <w:lang w:val="zh-CN"/>
              </w:rPr>
              <w:t>中各项要求。</w:t>
            </w:r>
          </w:p>
          <w:p w14:paraId="287BE16A">
            <w:pPr>
              <w:spacing w:line="380" w:lineRule="exact"/>
              <w:rPr>
                <w:rFonts w:ascii="宋体" w:hAnsi="宋体" w:cs="宋体"/>
                <w:szCs w:val="21"/>
              </w:rPr>
            </w:pPr>
            <w:r>
              <w:rPr>
                <w:rFonts w:hint="eastAsia" w:ascii="宋体" w:hAnsi="宋体" w:cs="宋体"/>
                <w:szCs w:val="21"/>
              </w:rPr>
              <w:t>2.供货产品必须满足招标文件要求，并符合国家规定的质量标准，否则采购人有权退货，由此引发的费用及其他经济损失全部由中标供应商承担。</w:t>
            </w:r>
          </w:p>
          <w:p w14:paraId="18CBC216">
            <w:pPr>
              <w:spacing w:line="380" w:lineRule="exact"/>
              <w:rPr>
                <w:rFonts w:ascii="宋体" w:hAnsi="宋体" w:cs="宋体"/>
                <w:szCs w:val="21"/>
              </w:rPr>
            </w:pPr>
            <w:r>
              <w:rPr>
                <w:rFonts w:hint="eastAsia" w:ascii="宋体" w:hAnsi="宋体" w:cs="宋体"/>
                <w:szCs w:val="21"/>
              </w:rPr>
              <w:t xml:space="preserve">3.由于货物本身质量原因造成的任何损伤、损坏或因包装、运输不当引起的货物外观或内部的损坏及错发、漏发的情况，中标人负责补发、更换，直到达到采购要求，不得再收取任何的额外费用。如果中标人在接到通知后没有更换有缺陷的产品，所造成的损失由中标人承担。  </w:t>
            </w:r>
          </w:p>
          <w:p w14:paraId="0194080B">
            <w:pPr>
              <w:spacing w:line="380" w:lineRule="exact"/>
              <w:rPr>
                <w:rFonts w:ascii="宋体" w:hAnsi="宋体" w:cs="宋体"/>
                <w:szCs w:val="21"/>
              </w:rPr>
            </w:pPr>
            <w:r>
              <w:rPr>
                <w:rFonts w:hint="eastAsia" w:ascii="宋体" w:hAnsi="宋体" w:cs="宋体"/>
                <w:szCs w:val="21"/>
              </w:rPr>
              <w:t>4.所提供货品如有质量、规格、数量等不符合参数要求，采购人有权要求中标供应商在2个工作日内整改，中标供应商应及时调整且在规定时间内提供符合要求的货物，否则视为违约。如情况特殊可与采购人协商后适当延长交货时间。</w:t>
            </w:r>
          </w:p>
          <w:p w14:paraId="54A70882">
            <w:pPr>
              <w:spacing w:line="380" w:lineRule="exact"/>
              <w:rPr>
                <w:rFonts w:ascii="宋体" w:hAnsi="宋体" w:cs="宋体"/>
                <w:szCs w:val="21"/>
              </w:rPr>
            </w:pPr>
            <w:r>
              <w:rPr>
                <w:rFonts w:hint="eastAsia" w:ascii="宋体" w:hAnsi="宋体" w:cs="宋体"/>
                <w:szCs w:val="21"/>
              </w:rPr>
              <w:t>5.如产品在使用过程中出现任何问题，中标供应商1小时内电话响应，3小时内答复；如有必要，在12小时内直接到采购人指定现场了解情况，现场排查问题直至保证产品能够正常使用。</w:t>
            </w:r>
          </w:p>
          <w:p w14:paraId="77F1500C">
            <w:pPr>
              <w:spacing w:line="380" w:lineRule="exact"/>
              <w:rPr>
                <w:rFonts w:ascii="宋体" w:hAnsi="宋体" w:cs="宋体"/>
                <w:szCs w:val="21"/>
              </w:rPr>
            </w:pPr>
            <w:r>
              <w:rPr>
                <w:rFonts w:hint="eastAsia" w:ascii="宋体" w:hAnsi="宋体" w:cs="宋体"/>
                <w:szCs w:val="21"/>
              </w:rPr>
              <w:t>6.交付产品必须按照投标文件和合同约定的品牌、规格供货，且提供产品保证均为厂家原装正品，如出现以次充好等违约现象，采购人有权终止并解除合同。货品在质保期内涉及产品质量问题的中标供应商应在采购人指定期限内无条件退换。若退换后的货品经采购人二次验收后仍不满足采购人实验需求或检定不合格时，中标供应商必须更换品质更好的同类产品，价格不变。</w:t>
            </w:r>
          </w:p>
          <w:p w14:paraId="2E3119B2">
            <w:pPr>
              <w:spacing w:line="380" w:lineRule="exact"/>
              <w:rPr>
                <w:rFonts w:ascii="宋体" w:hAnsi="宋体" w:cs="宋体"/>
                <w:szCs w:val="21"/>
              </w:rPr>
            </w:pPr>
            <w:r>
              <w:rPr>
                <w:rFonts w:hint="eastAsia" w:ascii="宋体" w:hAnsi="宋体" w:cs="宋体"/>
                <w:szCs w:val="21"/>
              </w:rPr>
              <w:t>7.交付货品清单同货物一并送达采购人。货品在交付前发生的风险均由中标供应商自行负责。</w:t>
            </w:r>
          </w:p>
        </w:tc>
      </w:tr>
      <w:tr w14:paraId="63CFC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450" w:type="dxa"/>
            <w:gridSpan w:val="2"/>
            <w:tcBorders>
              <w:top w:val="single" w:color="auto" w:sz="4" w:space="0"/>
              <w:left w:val="single" w:color="auto" w:sz="4" w:space="0"/>
              <w:bottom w:val="single" w:color="auto" w:sz="4" w:space="0"/>
              <w:right w:val="single" w:color="auto" w:sz="4" w:space="0"/>
            </w:tcBorders>
            <w:vAlign w:val="center"/>
          </w:tcPr>
          <w:p w14:paraId="579FF6A5">
            <w:pPr>
              <w:spacing w:line="380" w:lineRule="exact"/>
              <w:jc w:val="center"/>
              <w:rPr>
                <w:rFonts w:ascii="宋体" w:hAnsi="宋体" w:cs="宋体"/>
                <w:szCs w:val="21"/>
              </w:rPr>
            </w:pPr>
            <w:r>
              <w:rPr>
                <w:rFonts w:hint="eastAsia" w:ascii="宋体" w:hAnsi="宋体" w:cs="宋体"/>
                <w:szCs w:val="21"/>
              </w:rPr>
              <w:t>报价及其他要求</w:t>
            </w:r>
          </w:p>
        </w:tc>
        <w:tc>
          <w:tcPr>
            <w:tcW w:w="8580" w:type="dxa"/>
            <w:gridSpan w:val="4"/>
            <w:tcBorders>
              <w:top w:val="single" w:color="auto" w:sz="4" w:space="0"/>
              <w:left w:val="single" w:color="auto" w:sz="4" w:space="0"/>
              <w:bottom w:val="single" w:color="auto" w:sz="4" w:space="0"/>
              <w:right w:val="single" w:color="auto" w:sz="4" w:space="0"/>
            </w:tcBorders>
            <w:vAlign w:val="center"/>
          </w:tcPr>
          <w:p w14:paraId="380F5A2E">
            <w:pPr>
              <w:spacing w:line="380" w:lineRule="exact"/>
              <w:rPr>
                <w:rFonts w:ascii="宋体" w:hAnsi="宋体" w:cs="宋体"/>
                <w:szCs w:val="21"/>
              </w:rPr>
            </w:pPr>
            <w:r>
              <w:rPr>
                <w:rFonts w:hint="eastAsia" w:ascii="宋体" w:hAnsi="宋体" w:cs="宋体"/>
                <w:szCs w:val="21"/>
              </w:rPr>
              <w:t>1.投标人的投标报价为人民币含税价，为采购人指定地点的现场交货价。投标报价包含产品及售后服务所需的一切费用总和，包括但不限于货物价格、标准附件、备品备件、专用工具、包装、运输、物流、装卸、保管、验收、产品检验检测、售后服务、技术支持、人员服务、保险、招标代理服务费、税金等，以及合同明示所有责任、义务和一般风险等，采购人不再支付任何费用。投标人应自行考虑市场价格波动等因素，合同期内产品价格不再变动。</w:t>
            </w:r>
          </w:p>
          <w:p w14:paraId="2EC36A4F">
            <w:pPr>
              <w:spacing w:line="380" w:lineRule="exact"/>
              <w:rPr>
                <w:rFonts w:ascii="宋体" w:hAnsi="宋体" w:cs="宋体"/>
                <w:szCs w:val="21"/>
              </w:rPr>
            </w:pPr>
            <w:r>
              <w:rPr>
                <w:rFonts w:hint="eastAsia" w:ascii="宋体" w:hAnsi="宋体" w:cs="宋体"/>
                <w:szCs w:val="21"/>
              </w:rPr>
              <w:t>2.包装和运输</w:t>
            </w:r>
          </w:p>
          <w:p w14:paraId="53FC7025">
            <w:pPr>
              <w:spacing w:line="380" w:lineRule="exact"/>
              <w:ind w:firstLine="420" w:firstLineChars="200"/>
              <w:rPr>
                <w:rFonts w:ascii="宋体" w:hAnsi="宋体" w:cs="宋体"/>
                <w:szCs w:val="21"/>
              </w:rPr>
            </w:pPr>
            <w:r>
              <w:rPr>
                <w:rFonts w:hint="eastAsia" w:ascii="宋体" w:hAnsi="宋体" w:cs="宋体"/>
                <w:szCs w:val="21"/>
              </w:rPr>
              <w:t>（1）原厂原包装，包装完好、完整无破损、未开封。</w:t>
            </w:r>
          </w:p>
          <w:p w14:paraId="3DBD1F24">
            <w:pPr>
              <w:spacing w:line="380" w:lineRule="exact"/>
              <w:ind w:firstLine="420" w:firstLineChars="200"/>
              <w:rPr>
                <w:rFonts w:ascii="宋体" w:hAnsi="宋体" w:cs="宋体"/>
                <w:szCs w:val="21"/>
              </w:rPr>
            </w:pPr>
            <w:r>
              <w:rPr>
                <w:rFonts w:hint="eastAsia" w:ascii="宋体" w:hAnsi="宋体" w:cs="宋体"/>
                <w:szCs w:val="21"/>
              </w:rPr>
              <w:t>（2）包装及运输方式应综合考虑运输距离、防潮、防震、防破损、装卸等要求。</w:t>
            </w:r>
          </w:p>
          <w:p w14:paraId="140777D2">
            <w:pPr>
              <w:spacing w:line="380" w:lineRule="exact"/>
              <w:ind w:firstLine="420" w:firstLineChars="200"/>
              <w:rPr>
                <w:rFonts w:ascii="宋体" w:hAnsi="宋体" w:cs="宋体"/>
                <w:szCs w:val="21"/>
              </w:rPr>
            </w:pPr>
            <w:r>
              <w:rPr>
                <w:rFonts w:hint="eastAsia" w:ascii="宋体" w:hAnsi="宋体" w:cs="宋体"/>
                <w:szCs w:val="21"/>
              </w:rPr>
              <w:t>（3）国家对包装及运输有相关强制性标准或要求的，供应商应当执行。</w:t>
            </w:r>
          </w:p>
          <w:p w14:paraId="3F586627">
            <w:pPr>
              <w:spacing w:line="380" w:lineRule="exact"/>
              <w:ind w:firstLine="420" w:firstLineChars="200"/>
              <w:rPr>
                <w:rFonts w:ascii="宋体" w:hAnsi="宋体" w:cs="宋体"/>
                <w:szCs w:val="21"/>
              </w:rPr>
            </w:pPr>
            <w:r>
              <w:rPr>
                <w:rFonts w:hint="eastAsia" w:ascii="宋体" w:hAnsi="宋体" w:cs="宋体"/>
                <w:szCs w:val="21"/>
              </w:rPr>
              <w:t>（4）产品（含包装）运抵采购人指定交付地点前发生损坏的，相关损失由供应商自行承担。</w:t>
            </w:r>
          </w:p>
          <w:p w14:paraId="547B667F">
            <w:pPr>
              <w:spacing w:line="380" w:lineRule="exact"/>
              <w:ind w:firstLine="420" w:firstLineChars="200"/>
              <w:rPr>
                <w:rFonts w:ascii="宋体" w:hAnsi="宋体" w:cs="宋体"/>
                <w:szCs w:val="21"/>
              </w:rPr>
            </w:pPr>
            <w:r>
              <w:rPr>
                <w:rFonts w:hint="eastAsia" w:ascii="宋体" w:hAnsi="宋体" w:cs="宋体"/>
                <w:szCs w:val="21"/>
              </w:rPr>
              <w:t>（5）中标人需负责将所有产品运输到采购人指定地点，费用包含在投标报价中。</w:t>
            </w:r>
          </w:p>
          <w:p w14:paraId="1D25EDA4">
            <w:pPr>
              <w:spacing w:line="380" w:lineRule="exact"/>
              <w:rPr>
                <w:rFonts w:ascii="宋体" w:hAnsi="宋体" w:cs="宋体"/>
                <w:b/>
                <w:bCs/>
                <w:szCs w:val="21"/>
              </w:rPr>
            </w:pPr>
            <w:r>
              <w:rPr>
                <w:rFonts w:hint="eastAsia" w:ascii="宋体" w:hAnsi="宋体" w:cs="宋体"/>
                <w:b/>
                <w:bCs/>
                <w:szCs w:val="21"/>
              </w:rPr>
              <w:t>3.投标人如单价报价超出上控单价的或存在漏项报价的，投标文件按投标无效处理。</w:t>
            </w:r>
          </w:p>
          <w:p w14:paraId="6EF06F59">
            <w:pPr>
              <w:spacing w:line="380" w:lineRule="exact"/>
              <w:rPr>
                <w:rFonts w:ascii="宋体" w:hAnsi="宋体" w:cs="宋体"/>
                <w:szCs w:val="21"/>
              </w:rPr>
            </w:pPr>
            <w:r>
              <w:rPr>
                <w:rFonts w:hint="eastAsia" w:ascii="宋体" w:hAnsi="宋体" w:cs="宋体"/>
                <w:szCs w:val="21"/>
              </w:rPr>
              <w:t>4.供应商应严格按照国家、自治区、行业等相关规范要求，投入符合本项目设备安装、调试、运行操作的人员开展项目实施，按时按质按量完成项目安装及调试。</w:t>
            </w:r>
          </w:p>
          <w:p w14:paraId="0171CA46">
            <w:pPr>
              <w:spacing w:line="380" w:lineRule="exact"/>
              <w:rPr>
                <w:rFonts w:ascii="宋体" w:hAnsi="宋体" w:cs="宋体"/>
                <w:szCs w:val="21"/>
              </w:rPr>
            </w:pPr>
            <w:r>
              <w:rPr>
                <w:rFonts w:hint="eastAsia" w:ascii="宋体" w:hAnsi="宋体" w:cs="宋体"/>
                <w:szCs w:val="21"/>
              </w:rPr>
              <w:t>5.投标人根据自身情况，结合本招标文件第四章“评标办法及评分标准”在投标文件中自行提供相关证明材料。</w:t>
            </w:r>
          </w:p>
          <w:p w14:paraId="4D75D1A8">
            <w:pPr>
              <w:spacing w:line="380" w:lineRule="exact"/>
              <w:rPr>
                <w:rFonts w:ascii="宋体" w:hAnsi="宋体" w:cs="宋体"/>
                <w:szCs w:val="21"/>
              </w:rPr>
            </w:pPr>
            <w:r>
              <w:rPr>
                <w:rFonts w:hint="eastAsia" w:ascii="宋体" w:hAnsi="宋体" w:cs="宋体"/>
                <w:szCs w:val="21"/>
              </w:rPr>
              <w:t>6.本项目货物</w:t>
            </w:r>
            <w:r>
              <w:rPr>
                <w:rFonts w:hint="eastAsia" w:ascii="宋体" w:hAnsi="宋体" w:cs="宋体"/>
                <w:bCs/>
                <w:szCs w:val="21"/>
              </w:rPr>
              <w:t>已按规定办妥进口产品采购审核手续，投标产品可选用进口产品；但如选用进口产品时必须为全套原装进口产品（即通过中国海关报关验放进入中国境内且产自关境外的产品），同时供应商必须负责办理进口产品所有相关手续并承担所有费用。在进口产品投标报价相同的情况下，优先采购向我国企业转让技术、与我国企业签订消化吸收再创新方案的供应商的进口产品；</w:t>
            </w:r>
          </w:p>
          <w:p w14:paraId="5250F4F1">
            <w:pPr>
              <w:spacing w:line="380" w:lineRule="exact"/>
              <w:rPr>
                <w:rFonts w:ascii="宋体" w:hAnsi="宋体" w:cs="宋体"/>
                <w:szCs w:val="21"/>
              </w:rPr>
            </w:pPr>
            <w:r>
              <w:rPr>
                <w:rFonts w:hint="eastAsia" w:ascii="宋体" w:hAnsi="宋体" w:cs="宋体"/>
                <w:szCs w:val="21"/>
              </w:rPr>
              <w:t>7.原厂商授权及相关要求：</w:t>
            </w:r>
            <w:r>
              <w:rPr>
                <w:rFonts w:hint="eastAsia" w:ascii="宋体" w:hAnsi="宋体" w:cs="宋体"/>
                <w:bCs/>
                <w:szCs w:val="21"/>
              </w:rPr>
              <w:t>如选用进口产品时，</w:t>
            </w:r>
            <w:r>
              <w:rPr>
                <w:rFonts w:hint="eastAsia" w:ascii="宋体" w:hAnsi="宋体" w:cs="宋体"/>
                <w:kern w:val="0"/>
                <w:szCs w:val="21"/>
              </w:rPr>
              <w:t>供应商在投标文件中</w:t>
            </w:r>
            <w:r>
              <w:rPr>
                <w:rFonts w:hint="eastAsia" w:ascii="宋体" w:hAnsi="宋体" w:cs="宋体"/>
                <w:szCs w:val="21"/>
              </w:rPr>
              <w:t>必须提供原厂商或区域总代理商出具的针对本项目的授权书，否则投标无效。</w:t>
            </w:r>
          </w:p>
        </w:tc>
      </w:tr>
      <w:tr w14:paraId="1FD80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450" w:type="dxa"/>
            <w:gridSpan w:val="2"/>
            <w:tcBorders>
              <w:top w:val="single" w:color="auto" w:sz="4" w:space="0"/>
              <w:left w:val="single" w:color="auto" w:sz="4" w:space="0"/>
              <w:bottom w:val="single" w:color="auto" w:sz="4" w:space="0"/>
              <w:right w:val="single" w:color="auto" w:sz="4" w:space="0"/>
            </w:tcBorders>
            <w:vAlign w:val="center"/>
          </w:tcPr>
          <w:p w14:paraId="3CAE99C9">
            <w:pPr>
              <w:spacing w:line="380" w:lineRule="exact"/>
              <w:jc w:val="center"/>
              <w:rPr>
                <w:rFonts w:ascii="宋体" w:hAnsi="宋体" w:cs="宋体"/>
                <w:szCs w:val="21"/>
              </w:rPr>
            </w:pPr>
            <w:r>
              <w:rPr>
                <w:rFonts w:hint="eastAsia" w:ascii="宋体" w:hAnsi="宋体" w:cs="宋体"/>
                <w:szCs w:val="21"/>
              </w:rPr>
              <w:t>知识产权</w:t>
            </w:r>
          </w:p>
        </w:tc>
        <w:tc>
          <w:tcPr>
            <w:tcW w:w="8580" w:type="dxa"/>
            <w:gridSpan w:val="4"/>
            <w:tcBorders>
              <w:top w:val="single" w:color="auto" w:sz="4" w:space="0"/>
              <w:left w:val="single" w:color="auto" w:sz="4" w:space="0"/>
              <w:bottom w:val="single" w:color="auto" w:sz="4" w:space="0"/>
              <w:right w:val="single" w:color="auto" w:sz="4" w:space="0"/>
            </w:tcBorders>
            <w:vAlign w:val="center"/>
          </w:tcPr>
          <w:p w14:paraId="63E34C65">
            <w:pPr>
              <w:spacing w:line="380" w:lineRule="exact"/>
              <w:ind w:firstLine="420" w:firstLineChars="200"/>
              <w:jc w:val="left"/>
              <w:rPr>
                <w:rFonts w:ascii="宋体" w:hAnsi="宋体" w:cs="宋体"/>
                <w:szCs w:val="21"/>
              </w:rPr>
            </w:pPr>
            <w:r>
              <w:rPr>
                <w:rFonts w:hint="eastAsia" w:ascii="宋体" w:hAnsi="宋体" w:cs="宋体"/>
                <w:szCs w:val="21"/>
              </w:rPr>
              <w:t>中标供应商保证所提供的产品及服务涉及到的知识产权和相关技术资料是合法取得的，采购人在使用产品及服务时不会侵犯任何第三方的专利权、商标权、工业设计权或其他权利，不会因为采购人的使用遭受第三方侵权指控，包括被责令致歉、停止使用、追偿或要求赔偿损失等。否则，中标供应商负责解决由此引起的一切纠纷，采购人有权追究中标供应商的法律责任，其不利后果由中标供应商全部承担。</w:t>
            </w:r>
          </w:p>
        </w:tc>
      </w:tr>
      <w:tr w14:paraId="723BA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50" w:type="dxa"/>
            <w:gridSpan w:val="2"/>
            <w:tcBorders>
              <w:top w:val="single" w:color="auto" w:sz="4" w:space="0"/>
              <w:left w:val="single" w:color="auto" w:sz="4" w:space="0"/>
              <w:bottom w:val="single" w:color="auto" w:sz="4" w:space="0"/>
              <w:right w:val="single" w:color="auto" w:sz="4" w:space="0"/>
            </w:tcBorders>
            <w:vAlign w:val="center"/>
          </w:tcPr>
          <w:p w14:paraId="0E2C2261">
            <w:pPr>
              <w:snapToGrid w:val="0"/>
              <w:spacing w:line="380" w:lineRule="exact"/>
              <w:jc w:val="center"/>
              <w:rPr>
                <w:rFonts w:ascii="宋体" w:hAnsi="宋体" w:cs="宋体"/>
                <w:szCs w:val="21"/>
              </w:rPr>
            </w:pPr>
            <w:r>
              <w:rPr>
                <w:rFonts w:hint="eastAsia" w:ascii="宋体" w:hAnsi="宋体" w:cs="宋体"/>
                <w:szCs w:val="21"/>
              </w:rPr>
              <w:t>验收要求</w:t>
            </w:r>
          </w:p>
        </w:tc>
        <w:tc>
          <w:tcPr>
            <w:tcW w:w="8580" w:type="dxa"/>
            <w:gridSpan w:val="4"/>
            <w:tcBorders>
              <w:top w:val="single" w:color="auto" w:sz="4" w:space="0"/>
              <w:left w:val="single" w:color="auto" w:sz="4" w:space="0"/>
              <w:bottom w:val="single" w:color="auto" w:sz="4" w:space="0"/>
              <w:right w:val="single" w:color="auto" w:sz="4" w:space="0"/>
            </w:tcBorders>
            <w:vAlign w:val="center"/>
          </w:tcPr>
          <w:p w14:paraId="6287EADC">
            <w:pPr>
              <w:pStyle w:val="25"/>
              <w:snapToGrid w:val="0"/>
              <w:spacing w:line="380" w:lineRule="exact"/>
              <w:outlineLvl w:val="0"/>
              <w:rPr>
                <w:rFonts w:hAnsi="宋体" w:cs="宋体"/>
                <w:sz w:val="21"/>
              </w:rPr>
            </w:pPr>
            <w:r>
              <w:rPr>
                <w:rFonts w:hint="eastAsia" w:hAnsi="宋体" w:cs="宋体"/>
                <w:sz w:val="21"/>
              </w:rPr>
              <w:t>1.采购人可以根据采购项目具体情况自行组织验收，或者委托第三方机构或部门开展采购项目履约验收工作，验收过程中所产生的费用均由中标人承担，投标人在投标报价时应考虑相关费用。</w:t>
            </w:r>
          </w:p>
          <w:p w14:paraId="19B1DF1E">
            <w:pPr>
              <w:pStyle w:val="25"/>
              <w:snapToGrid w:val="0"/>
              <w:spacing w:line="380" w:lineRule="exact"/>
              <w:outlineLvl w:val="0"/>
              <w:rPr>
                <w:rFonts w:hAnsi="宋体" w:cs="宋体"/>
                <w:sz w:val="21"/>
              </w:rPr>
            </w:pPr>
            <w:r>
              <w:rPr>
                <w:rFonts w:hint="eastAsia" w:hAnsi="宋体" w:cs="宋体"/>
                <w:sz w:val="21"/>
              </w:rPr>
              <w:t>2.在验收过程中发现中标人有违约问题，可暂缓资金结算，待违约问题解决后，方可办理资金结算事宜。</w:t>
            </w:r>
          </w:p>
          <w:p w14:paraId="217ABDBC">
            <w:pPr>
              <w:pStyle w:val="25"/>
              <w:snapToGrid w:val="0"/>
              <w:spacing w:line="380" w:lineRule="exact"/>
              <w:outlineLvl w:val="0"/>
              <w:rPr>
                <w:rFonts w:hAnsi="宋体" w:cs="宋体"/>
                <w:sz w:val="21"/>
              </w:rPr>
            </w:pPr>
            <w:r>
              <w:rPr>
                <w:rFonts w:hint="eastAsia" w:hAnsi="宋体" w:cs="宋体"/>
                <w:sz w:val="21"/>
              </w:rPr>
              <w:t>3.验收依据：按合同（含本招标文件采购需求、中标供应商投标文件承诺）要求及国家标准进行验收。</w:t>
            </w:r>
          </w:p>
          <w:p w14:paraId="3EDB9FA2">
            <w:pPr>
              <w:pStyle w:val="25"/>
              <w:snapToGrid w:val="0"/>
              <w:spacing w:line="380" w:lineRule="exact"/>
              <w:outlineLvl w:val="0"/>
              <w:rPr>
                <w:rFonts w:hAnsi="宋体" w:cs="宋体"/>
                <w:sz w:val="21"/>
              </w:rPr>
            </w:pPr>
            <w:r>
              <w:rPr>
                <w:rFonts w:hint="eastAsia" w:hAnsi="宋体" w:cs="宋体"/>
                <w:sz w:val="21"/>
              </w:rPr>
              <w:t>4.验收标准</w:t>
            </w:r>
          </w:p>
          <w:p w14:paraId="77578537">
            <w:pPr>
              <w:pStyle w:val="25"/>
              <w:snapToGrid w:val="0"/>
              <w:spacing w:line="380" w:lineRule="exact"/>
              <w:outlineLvl w:val="0"/>
              <w:rPr>
                <w:rFonts w:hAnsi="宋体" w:cs="宋体"/>
                <w:sz w:val="21"/>
              </w:rPr>
            </w:pPr>
            <w:r>
              <w:rPr>
                <w:rFonts w:hint="eastAsia" w:hAnsi="宋体" w:cs="宋体"/>
                <w:sz w:val="21"/>
              </w:rPr>
              <w:t>（1）中标供应商按采购人需求清单进行供货，货物交到指定地点后，双方现场进行货品清点。供应商交付的产品须符合有效期要求。</w:t>
            </w:r>
          </w:p>
          <w:p w14:paraId="58DE5B69">
            <w:pPr>
              <w:pStyle w:val="25"/>
              <w:snapToGrid w:val="0"/>
              <w:spacing w:line="380" w:lineRule="exact"/>
              <w:outlineLvl w:val="0"/>
              <w:rPr>
                <w:rFonts w:hAnsi="宋体" w:cs="宋体"/>
                <w:sz w:val="21"/>
              </w:rPr>
            </w:pPr>
            <w:r>
              <w:rPr>
                <w:rFonts w:hint="eastAsia" w:hAnsi="宋体" w:cs="宋体"/>
                <w:sz w:val="21"/>
              </w:rPr>
              <w:t>（2）供应商必须按投标文件和合同约定的品牌、规格供货，验收不合格时，中标供应商必须在采购人指定的时间内无条件更换，由此造成的损失和责任由供应商承担。货物交付并验收合格，双方签署验收单，作为合同款结算依据。如出现停产等问题，供应商在获得厂家说明和承诺的前提下，经采购人同意可以用质量更优于合同约定的产品进行替代交付，价格不变。如采购人不同意更换的，供应商应同意采购人扣减对应产品的费用。</w:t>
            </w:r>
          </w:p>
          <w:p w14:paraId="74BF1490">
            <w:pPr>
              <w:pStyle w:val="25"/>
              <w:snapToGrid w:val="0"/>
              <w:spacing w:line="380" w:lineRule="exact"/>
              <w:outlineLvl w:val="0"/>
              <w:rPr>
                <w:rFonts w:hAnsi="宋体" w:cs="宋体"/>
                <w:sz w:val="21"/>
              </w:rPr>
            </w:pPr>
            <w:r>
              <w:rPr>
                <w:rFonts w:hint="eastAsia" w:hAnsi="宋体" w:cs="宋体"/>
                <w:sz w:val="21"/>
              </w:rPr>
              <w:t>（3）如有抽检要求的，检测结果应符合招标文件采购需求及采购合同约定的要求。</w:t>
            </w:r>
          </w:p>
          <w:p w14:paraId="0A437CE9">
            <w:pPr>
              <w:pStyle w:val="25"/>
              <w:snapToGrid w:val="0"/>
              <w:spacing w:line="380" w:lineRule="exact"/>
              <w:outlineLvl w:val="0"/>
              <w:rPr>
                <w:rFonts w:hAnsi="宋体" w:cs="宋体"/>
                <w:sz w:val="21"/>
              </w:rPr>
            </w:pPr>
            <w:r>
              <w:rPr>
                <w:rFonts w:hint="eastAsia" w:hAnsi="宋体" w:cs="宋体"/>
                <w:sz w:val="21"/>
              </w:rPr>
              <w:t>（4）所有产品均已运输至指定地点。</w:t>
            </w:r>
          </w:p>
          <w:p w14:paraId="50F23C26">
            <w:pPr>
              <w:pStyle w:val="25"/>
              <w:snapToGrid w:val="0"/>
              <w:spacing w:line="380" w:lineRule="exact"/>
              <w:outlineLvl w:val="0"/>
              <w:rPr>
                <w:rFonts w:hAnsi="宋体" w:cs="宋体"/>
                <w:sz w:val="21"/>
              </w:rPr>
            </w:pPr>
            <w:r>
              <w:rPr>
                <w:rFonts w:hint="eastAsia" w:hAnsi="宋体" w:cs="宋体"/>
                <w:sz w:val="21"/>
              </w:rPr>
              <w:t>（5）招标文件采购需求及采购合同约定的附件、工具、技术资料等齐全；提供产品使用说明书、合格证。</w:t>
            </w:r>
          </w:p>
          <w:p w14:paraId="4F1F309C">
            <w:pPr>
              <w:pStyle w:val="25"/>
              <w:snapToGrid w:val="0"/>
              <w:spacing w:line="380" w:lineRule="exact"/>
              <w:outlineLvl w:val="0"/>
              <w:rPr>
                <w:rFonts w:hAnsi="宋体" w:cs="宋体"/>
                <w:sz w:val="21"/>
              </w:rPr>
            </w:pPr>
            <w:r>
              <w:rPr>
                <w:rFonts w:hint="eastAsia" w:hAnsi="宋体" w:cs="宋体"/>
                <w:sz w:val="21"/>
              </w:rPr>
              <w:t>5.验收要求</w:t>
            </w:r>
          </w:p>
          <w:p w14:paraId="040BFC88">
            <w:pPr>
              <w:pStyle w:val="25"/>
              <w:snapToGrid w:val="0"/>
              <w:spacing w:line="380" w:lineRule="exact"/>
              <w:ind w:firstLine="420" w:firstLineChars="200"/>
              <w:outlineLvl w:val="0"/>
              <w:rPr>
                <w:rFonts w:hAnsi="宋体" w:cs="宋体"/>
                <w:sz w:val="21"/>
              </w:rPr>
            </w:pPr>
            <w:r>
              <w:rPr>
                <w:rFonts w:hint="eastAsia" w:hAnsi="宋体" w:cs="宋体"/>
                <w:sz w:val="21"/>
              </w:rPr>
              <w:t>验收小组以项目招标文件、采购合同以及中标单位投标时提供的样品为验收依据，对供货产品技术参数核对检验，如不符合技术参数要求的，中标人承担所有责任和费用。采购人保留进一步追究责任的权利。</w:t>
            </w:r>
          </w:p>
          <w:p w14:paraId="3F9CAFBE">
            <w:pPr>
              <w:pStyle w:val="25"/>
              <w:snapToGrid w:val="0"/>
              <w:spacing w:line="380" w:lineRule="exact"/>
              <w:ind w:firstLine="420" w:firstLineChars="200"/>
              <w:outlineLvl w:val="0"/>
              <w:rPr>
                <w:rFonts w:hAnsi="宋体" w:cs="宋体"/>
                <w:sz w:val="21"/>
              </w:rPr>
            </w:pPr>
            <w:r>
              <w:rPr>
                <w:rFonts w:hint="eastAsia" w:hAnsi="宋体" w:cs="宋体"/>
                <w:sz w:val="21"/>
              </w:rPr>
              <w:t>（1）中标人按时间节点完成货物供货后，应及时整理技术资料并作出全面检查和整理，列出清单，作为采购人验收和使用的技术条件依据，清单应交给采购人；同时以书面形式通知采购人进行验收，采购人在收到通知后五个工作日内进行验收。货物生产厂家须派授权代表参加本项目交货验收，核实所交货物的真伪；中标供应商必须到场配合，验收合格后双方在验收记录上签字确认。</w:t>
            </w:r>
          </w:p>
          <w:p w14:paraId="048E6EDC">
            <w:pPr>
              <w:pStyle w:val="25"/>
              <w:snapToGrid w:val="0"/>
              <w:spacing w:line="380" w:lineRule="exact"/>
              <w:ind w:firstLine="420" w:firstLineChars="200"/>
              <w:outlineLvl w:val="0"/>
              <w:rPr>
                <w:rFonts w:hAnsi="宋体" w:cs="宋体"/>
                <w:sz w:val="21"/>
              </w:rPr>
            </w:pPr>
            <w:r>
              <w:rPr>
                <w:rFonts w:hint="eastAsia" w:hAnsi="宋体" w:cs="宋体"/>
                <w:sz w:val="21"/>
              </w:rPr>
              <w:t>（2）验收小组依据招标文件技术参数条款要求和中标人投标响应文件内容逐条进行验收，采购人在产品验收环节发现产品的技术参数指标不符合投标文件中技术参数响应的内容，验收不合格时，有权要求中标人在限定期限内进行整改，如整改后二次验收仍不合格的，采购人有权拒收货物并单方面终止合同和追究中标供应商违约责任，中标人须赔偿采购人因采购时间延长造成的经济等方面损失，并视情形将违约情况上报政府采购监督管理部门，由此带来的一切责任由中标供应商自行承担。</w:t>
            </w:r>
          </w:p>
          <w:p w14:paraId="68B08B52">
            <w:pPr>
              <w:pStyle w:val="25"/>
              <w:snapToGrid w:val="0"/>
              <w:spacing w:line="380" w:lineRule="exact"/>
              <w:ind w:firstLine="420" w:firstLineChars="200"/>
              <w:outlineLvl w:val="0"/>
              <w:rPr>
                <w:rFonts w:hAnsi="宋体" w:cs="宋体"/>
                <w:sz w:val="21"/>
              </w:rPr>
            </w:pPr>
            <w:r>
              <w:rPr>
                <w:rFonts w:hint="eastAsia" w:hAnsi="宋体" w:cs="宋体"/>
                <w:sz w:val="21"/>
              </w:rPr>
              <w:t>（3）如中标人提供虚假材料的，除按相关规定做违约处理外，采购人依据相关法律规定追究中标人的责任，由此带来的一切责任及损失由中标人自行承担。</w:t>
            </w:r>
          </w:p>
          <w:p w14:paraId="7C4BE63F">
            <w:pPr>
              <w:pStyle w:val="25"/>
              <w:snapToGrid w:val="0"/>
              <w:spacing w:line="380" w:lineRule="exact"/>
              <w:ind w:firstLine="420" w:firstLineChars="200"/>
              <w:outlineLvl w:val="0"/>
              <w:rPr>
                <w:rFonts w:hAnsi="宋体" w:cs="宋体"/>
                <w:sz w:val="21"/>
              </w:rPr>
            </w:pPr>
            <w:r>
              <w:rPr>
                <w:rFonts w:hint="eastAsia" w:hAnsi="宋体" w:cs="宋体"/>
                <w:sz w:val="21"/>
              </w:rPr>
              <w:t>（4）项目验收过程中，若采购人委托第三方检测机构介入的，费用由中标人另行承担。</w:t>
            </w:r>
          </w:p>
          <w:p w14:paraId="6D9740BA">
            <w:pPr>
              <w:spacing w:line="380" w:lineRule="exact"/>
              <w:rPr>
                <w:rFonts w:ascii="宋体" w:hAnsi="宋体" w:cs="宋体"/>
                <w:szCs w:val="21"/>
              </w:rPr>
            </w:pPr>
            <w:r>
              <w:rPr>
                <w:rFonts w:hint="eastAsia" w:ascii="宋体" w:hAnsi="宋体" w:cs="宋体"/>
                <w:szCs w:val="21"/>
              </w:rPr>
              <w:t>6.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702C7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50" w:type="dxa"/>
            <w:gridSpan w:val="2"/>
            <w:tcBorders>
              <w:top w:val="single" w:color="auto" w:sz="4" w:space="0"/>
              <w:left w:val="single" w:color="auto" w:sz="4" w:space="0"/>
              <w:bottom w:val="single" w:color="auto" w:sz="4" w:space="0"/>
              <w:right w:val="single" w:color="auto" w:sz="4" w:space="0"/>
            </w:tcBorders>
            <w:vAlign w:val="center"/>
          </w:tcPr>
          <w:p w14:paraId="7D617278">
            <w:pPr>
              <w:tabs>
                <w:tab w:val="left" w:pos="180"/>
                <w:tab w:val="left" w:pos="1620"/>
              </w:tabs>
              <w:spacing w:line="380" w:lineRule="exact"/>
              <w:jc w:val="center"/>
              <w:rPr>
                <w:rFonts w:ascii="宋体" w:hAnsi="宋体" w:cs="宋体"/>
                <w:szCs w:val="21"/>
              </w:rPr>
            </w:pPr>
            <w:r>
              <w:rPr>
                <w:rFonts w:hint="eastAsia" w:ascii="宋体" w:hAnsi="宋体" w:cs="宋体"/>
                <w:szCs w:val="21"/>
              </w:rPr>
              <w:t>核心产品</w:t>
            </w:r>
          </w:p>
        </w:tc>
        <w:tc>
          <w:tcPr>
            <w:tcW w:w="8580" w:type="dxa"/>
            <w:gridSpan w:val="4"/>
            <w:tcBorders>
              <w:top w:val="single" w:color="auto" w:sz="4" w:space="0"/>
              <w:left w:val="single" w:color="auto" w:sz="4" w:space="0"/>
              <w:bottom w:val="single" w:color="auto" w:sz="4" w:space="0"/>
              <w:right w:val="single" w:color="auto" w:sz="4" w:space="0"/>
            </w:tcBorders>
            <w:vAlign w:val="center"/>
          </w:tcPr>
          <w:p w14:paraId="59198BEE">
            <w:pPr>
              <w:spacing w:line="380" w:lineRule="exact"/>
              <w:rPr>
                <w:rFonts w:ascii="宋体" w:hAnsi="宋体" w:cs="宋体"/>
                <w:szCs w:val="21"/>
              </w:rPr>
            </w:pPr>
            <w:r>
              <w:rPr>
                <w:rFonts w:hint="eastAsia" w:ascii="宋体" w:hAnsi="宋体" w:cs="宋体"/>
                <w:b/>
                <w:szCs w:val="21"/>
              </w:rPr>
              <w:t>本标项核心产品为第1项货物“彩色超声多普勒仪”</w:t>
            </w:r>
            <w:r>
              <w:rPr>
                <w:rFonts w:hint="eastAsia" w:ascii="宋体" w:hAnsi="宋体" w:cs="宋体"/>
                <w:szCs w:val="21"/>
              </w:rPr>
              <w:t>。（核心产品品牌相同的，视为提供同品牌产品）</w:t>
            </w:r>
          </w:p>
          <w:p w14:paraId="3FCF2D19">
            <w:pPr>
              <w:autoSpaceDE w:val="0"/>
              <w:autoSpaceDN w:val="0"/>
              <w:snapToGrid w:val="0"/>
              <w:spacing w:line="380" w:lineRule="exact"/>
              <w:textAlignment w:val="bottom"/>
              <w:rPr>
                <w:rFonts w:ascii="宋体" w:hAnsi="宋体" w:cs="宋体"/>
                <w:szCs w:val="21"/>
              </w:rPr>
            </w:pPr>
            <w:r>
              <w:rPr>
                <w:rFonts w:hint="eastAsia" w:ascii="宋体" w:hAnsi="宋体" w:cs="宋体"/>
                <w:szCs w:val="21"/>
              </w:rPr>
              <w:t>注：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报价低优先、按技术指标优劣）确定一个投标人获得中标人推荐资格，招标文件未规定的采取随机抽取方式确定，其他同品牌投标人不作为中标候选人。</w:t>
            </w:r>
          </w:p>
        </w:tc>
      </w:tr>
    </w:tbl>
    <w:p w14:paraId="709E95E6">
      <w:pPr>
        <w:spacing w:line="400" w:lineRule="exact"/>
        <w:ind w:firstLine="435"/>
        <w:rPr>
          <w:rFonts w:ascii="宋体" w:hAnsi="宋体" w:cs="宋体"/>
          <w:b/>
          <w:szCs w:val="21"/>
        </w:rPr>
      </w:pPr>
    </w:p>
    <w:p w14:paraId="44E9FE28">
      <w:pPr>
        <w:spacing w:line="400" w:lineRule="exact"/>
        <w:ind w:firstLine="435"/>
        <w:rPr>
          <w:rFonts w:ascii="宋体" w:hAnsi="宋体" w:cs="宋体"/>
          <w:b/>
          <w:szCs w:val="21"/>
        </w:rPr>
      </w:pPr>
    </w:p>
    <w:p w14:paraId="693B8CFB">
      <w:pPr>
        <w:spacing w:line="400" w:lineRule="exact"/>
        <w:ind w:firstLine="435"/>
        <w:rPr>
          <w:rFonts w:ascii="宋体" w:hAnsi="宋体" w:cs="宋体"/>
          <w:b/>
          <w:szCs w:val="21"/>
        </w:rPr>
      </w:pPr>
    </w:p>
    <w:p w14:paraId="0F1210FD">
      <w:pPr>
        <w:spacing w:line="400" w:lineRule="exact"/>
        <w:ind w:firstLine="435"/>
        <w:rPr>
          <w:rFonts w:ascii="宋体" w:hAnsi="宋体" w:cs="宋体"/>
          <w:b/>
          <w:szCs w:val="21"/>
        </w:rPr>
      </w:pPr>
    </w:p>
    <w:p w14:paraId="47062467">
      <w:pPr>
        <w:spacing w:line="400" w:lineRule="exact"/>
        <w:ind w:firstLine="435"/>
        <w:rPr>
          <w:rFonts w:ascii="宋体" w:hAnsi="宋体" w:cs="宋体"/>
          <w:b/>
          <w:szCs w:val="21"/>
        </w:rPr>
      </w:pPr>
    </w:p>
    <w:p w14:paraId="4CD8B362">
      <w:pPr>
        <w:spacing w:line="400" w:lineRule="exact"/>
        <w:ind w:firstLine="435"/>
        <w:rPr>
          <w:rFonts w:ascii="宋体" w:hAnsi="宋体" w:cs="宋体"/>
          <w:b/>
          <w:szCs w:val="21"/>
        </w:rPr>
      </w:pPr>
    </w:p>
    <w:p w14:paraId="6764DC77">
      <w:pPr>
        <w:spacing w:line="400" w:lineRule="exact"/>
        <w:ind w:firstLine="435"/>
        <w:rPr>
          <w:rFonts w:ascii="宋体" w:hAnsi="宋体" w:cs="宋体"/>
          <w:b/>
          <w:szCs w:val="21"/>
        </w:rPr>
      </w:pPr>
    </w:p>
    <w:p w14:paraId="1B966DB7">
      <w:pPr>
        <w:spacing w:line="400" w:lineRule="exact"/>
        <w:ind w:firstLine="435"/>
        <w:rPr>
          <w:rFonts w:ascii="宋体" w:hAnsi="宋体" w:cs="宋体"/>
          <w:b/>
          <w:szCs w:val="21"/>
        </w:rPr>
      </w:pPr>
    </w:p>
    <w:p w14:paraId="59EE2BEF">
      <w:pPr>
        <w:spacing w:line="400" w:lineRule="exact"/>
        <w:ind w:firstLine="435"/>
        <w:rPr>
          <w:rFonts w:ascii="宋体" w:hAnsi="宋体" w:cs="宋体"/>
          <w:b/>
          <w:szCs w:val="21"/>
        </w:rPr>
      </w:pPr>
    </w:p>
    <w:p w14:paraId="0830BDE2">
      <w:pPr>
        <w:spacing w:line="400" w:lineRule="exact"/>
        <w:ind w:firstLine="435"/>
        <w:rPr>
          <w:rFonts w:ascii="宋体" w:hAnsi="宋体" w:cs="宋体"/>
          <w:b/>
          <w:szCs w:val="21"/>
        </w:rPr>
      </w:pPr>
    </w:p>
    <w:p w14:paraId="0B9955DD">
      <w:pPr>
        <w:spacing w:line="400" w:lineRule="exact"/>
        <w:ind w:firstLine="435"/>
        <w:rPr>
          <w:rFonts w:ascii="宋体" w:hAnsi="宋体" w:cs="宋体"/>
          <w:b/>
          <w:szCs w:val="21"/>
        </w:rPr>
      </w:pPr>
    </w:p>
    <w:p w14:paraId="01D1C638">
      <w:pPr>
        <w:spacing w:line="400" w:lineRule="exact"/>
        <w:ind w:firstLine="435"/>
        <w:rPr>
          <w:rFonts w:ascii="宋体" w:hAnsi="宋体" w:cs="宋体"/>
          <w:b/>
          <w:szCs w:val="21"/>
        </w:rPr>
      </w:pPr>
    </w:p>
    <w:p w14:paraId="5FFEABEE">
      <w:pPr>
        <w:spacing w:line="400" w:lineRule="exact"/>
        <w:ind w:firstLine="435"/>
        <w:rPr>
          <w:rFonts w:ascii="宋体" w:hAnsi="宋体" w:cs="宋体"/>
          <w:b/>
          <w:szCs w:val="21"/>
        </w:rPr>
      </w:pPr>
    </w:p>
    <w:p w14:paraId="5190EA22">
      <w:pPr>
        <w:spacing w:line="400" w:lineRule="exact"/>
        <w:ind w:firstLine="435"/>
        <w:rPr>
          <w:rFonts w:ascii="宋体" w:hAnsi="宋体" w:cs="宋体"/>
          <w:b/>
          <w:szCs w:val="21"/>
        </w:rPr>
      </w:pPr>
    </w:p>
    <w:p w14:paraId="74AEAFA8">
      <w:pPr>
        <w:spacing w:line="400" w:lineRule="exact"/>
        <w:ind w:firstLine="435"/>
        <w:rPr>
          <w:rFonts w:ascii="宋体" w:hAnsi="宋体" w:cs="宋体"/>
          <w:b/>
          <w:szCs w:val="21"/>
        </w:rPr>
      </w:pPr>
    </w:p>
    <w:bookmarkEnd w:id="50"/>
    <w:bookmarkEnd w:id="51"/>
    <w:bookmarkEnd w:id="52"/>
    <w:bookmarkEnd w:id="53"/>
    <w:bookmarkEnd w:id="54"/>
    <w:p w14:paraId="67AC3B12">
      <w:pPr>
        <w:snapToGrid w:val="0"/>
        <w:rPr>
          <w:rFonts w:ascii="宋体" w:hAnsi="宋体"/>
          <w:kern w:val="0"/>
          <w:sz w:val="32"/>
          <w:szCs w:val="32"/>
        </w:rPr>
      </w:pPr>
      <w:r>
        <w:rPr>
          <w:rFonts w:hint="eastAsia" w:ascii="宋体" w:hAnsi="宋体"/>
          <w:kern w:val="0"/>
          <w:sz w:val="32"/>
          <w:szCs w:val="32"/>
        </w:rPr>
        <w:t>附件1：</w:t>
      </w:r>
    </w:p>
    <w:p w14:paraId="3E29F539">
      <w:pPr>
        <w:widowControl/>
        <w:shd w:val="clear" w:color="auto" w:fill="FFFFFF"/>
        <w:spacing w:line="720" w:lineRule="auto"/>
        <w:jc w:val="center"/>
        <w:rPr>
          <w:rFonts w:ascii="宋体" w:hAnsi="宋体" w:cs="宋体"/>
          <w:kern w:val="0"/>
          <w:sz w:val="32"/>
          <w:szCs w:val="32"/>
        </w:rPr>
      </w:pPr>
      <w:r>
        <w:rPr>
          <w:rFonts w:hint="eastAsia" w:ascii="宋体" w:hAnsi="宋体" w:cs="黑体"/>
          <w:kern w:val="0"/>
          <w:sz w:val="32"/>
          <w:szCs w:val="32"/>
        </w:rPr>
        <w:t>广西壮族自治区政府采购项目合同验收书</w:t>
      </w:r>
      <w:r>
        <w:rPr>
          <w:rFonts w:hint="eastAsia" w:ascii="宋体" w:hAnsi="宋体" w:cs="宋体"/>
          <w:kern w:val="0"/>
          <w:sz w:val="32"/>
          <w:szCs w:val="32"/>
        </w:rPr>
        <w:t>（格式）</w:t>
      </w:r>
    </w:p>
    <w:p w14:paraId="2AD86A56">
      <w:pPr>
        <w:widowControl/>
        <w:shd w:val="clear" w:color="auto" w:fill="FFFFFF"/>
        <w:snapToGrid w:val="0"/>
        <w:spacing w:line="380" w:lineRule="exact"/>
        <w:jc w:val="left"/>
        <w:rPr>
          <w:rFonts w:ascii="宋体" w:hAnsi="宋体" w:cs="宋体"/>
          <w:kern w:val="0"/>
          <w:szCs w:val="21"/>
        </w:rPr>
      </w:pPr>
      <w:r>
        <w:rPr>
          <w:rFonts w:hint="eastAsia" w:ascii="宋体" w:hAnsi="宋体" w:cs="宋体"/>
          <w:kern w:val="0"/>
          <w:szCs w:val="21"/>
        </w:rPr>
        <w:t xml:space="preserve">    根据政府采购项目（</w:t>
      </w:r>
      <w:r>
        <w:rPr>
          <w:rFonts w:hint="eastAsia" w:ascii="宋体" w:hAnsi="宋体" w:cs="宋体"/>
          <w:kern w:val="0"/>
          <w:szCs w:val="21"/>
          <w:u w:val="single"/>
        </w:rPr>
        <w:t>采购合同编号：</w:t>
      </w:r>
      <w:r>
        <w:rPr>
          <w:rFonts w:hint="eastAsia" w:ascii="宋体" w:hAnsi="宋体" w:cs="宋体"/>
          <w:kern w:val="0"/>
          <w:szCs w:val="21"/>
          <w:u w:val="single"/>
        </w:rPr>
        <w:softHyphen/>
      </w:r>
      <w:r>
        <w:rPr>
          <w:rFonts w:hint="eastAsia" w:ascii="宋体" w:hAnsi="宋体" w:cs="宋体"/>
          <w:kern w:val="0"/>
          <w:szCs w:val="21"/>
          <w:u w:val="single"/>
        </w:rPr>
        <w:t xml:space="preserve"> </w:t>
      </w:r>
      <w:r>
        <w:rPr>
          <w:rFonts w:hint="eastAsia" w:ascii="宋体" w:hAnsi="宋体" w:cs="宋体"/>
          <w:kern w:val="0"/>
          <w:szCs w:val="21"/>
        </w:rPr>
        <w:t>）的约定，我单位对（</w:t>
      </w:r>
      <w:r>
        <w:rPr>
          <w:rFonts w:hint="eastAsia" w:ascii="宋体" w:hAnsi="宋体" w:cs="宋体"/>
          <w:kern w:val="0"/>
          <w:szCs w:val="21"/>
          <w:u w:val="single"/>
        </w:rPr>
        <w:t xml:space="preserve"> 项目名称 </w:t>
      </w:r>
      <w:r>
        <w:rPr>
          <w:rFonts w:hint="eastAsia" w:ascii="宋体" w:hAnsi="宋体" w:cs="宋体"/>
          <w:kern w:val="0"/>
          <w:szCs w:val="21"/>
        </w:rPr>
        <w:t>） 政府采购项目中标（或成交）供应商（</w:t>
      </w:r>
      <w:r>
        <w:rPr>
          <w:rFonts w:hint="eastAsia" w:ascii="宋体" w:hAnsi="宋体" w:cs="宋体"/>
          <w:kern w:val="0"/>
          <w:szCs w:val="21"/>
          <w:u w:val="single"/>
        </w:rPr>
        <w:t xml:space="preserve"> 公司名称 </w:t>
      </w:r>
      <w:r>
        <w:rPr>
          <w:rFonts w:hint="eastAsia" w:ascii="宋体" w:hAnsi="宋体" w:cs="宋体"/>
          <w:kern w:val="0"/>
          <w:szCs w:val="21"/>
        </w:rPr>
        <w:t>） 提供的货物（或工程、服务）进行了验收，验收情况如下：</w:t>
      </w:r>
    </w:p>
    <w:tbl>
      <w:tblPr>
        <w:tblStyle w:val="48"/>
        <w:tblW w:w="0" w:type="auto"/>
        <w:jc w:val="center"/>
        <w:tblLayout w:type="fixed"/>
        <w:tblCellMar>
          <w:top w:w="0" w:type="dxa"/>
          <w:left w:w="0" w:type="dxa"/>
          <w:bottom w:w="0" w:type="dxa"/>
          <w:right w:w="0" w:type="dxa"/>
        </w:tblCellMar>
      </w:tblPr>
      <w:tblGrid>
        <w:gridCol w:w="1497"/>
        <w:gridCol w:w="2159"/>
        <w:gridCol w:w="897"/>
        <w:gridCol w:w="114"/>
        <w:gridCol w:w="2251"/>
        <w:gridCol w:w="200"/>
        <w:gridCol w:w="770"/>
        <w:gridCol w:w="1606"/>
      </w:tblGrid>
      <w:tr w14:paraId="0179F15B">
        <w:tblPrEx>
          <w:tblCellMar>
            <w:top w:w="0" w:type="dxa"/>
            <w:left w:w="0" w:type="dxa"/>
            <w:bottom w:w="0" w:type="dxa"/>
            <w:right w:w="0" w:type="dxa"/>
          </w:tblCellMar>
        </w:tblPrEx>
        <w:trPr>
          <w:trHeight w:val="523" w:hRule="atLeast"/>
          <w:jc w:val="center"/>
        </w:trPr>
        <w:tc>
          <w:tcPr>
            <w:tcW w:w="3656" w:type="dxa"/>
            <w:gridSpan w:val="2"/>
            <w:tcBorders>
              <w:top w:val="single" w:color="auto" w:sz="8" w:space="0"/>
              <w:left w:val="single" w:color="auto" w:sz="8" w:space="0"/>
              <w:bottom w:val="single" w:color="auto" w:sz="8" w:space="0"/>
              <w:right w:val="single" w:color="auto" w:sz="8" w:space="0"/>
            </w:tcBorders>
            <w:vAlign w:val="center"/>
          </w:tcPr>
          <w:p w14:paraId="5B4062B5">
            <w:pPr>
              <w:widowControl/>
              <w:snapToGrid w:val="0"/>
              <w:spacing w:before="100" w:beforeAutospacing="1" w:after="100" w:afterAutospacing="1" w:line="320" w:lineRule="atLeast"/>
              <w:ind w:firstLine="5"/>
              <w:jc w:val="center"/>
              <w:rPr>
                <w:rFonts w:ascii="宋体" w:hAnsi="宋体" w:cs="宋体"/>
                <w:kern w:val="0"/>
                <w:szCs w:val="21"/>
              </w:rPr>
            </w:pPr>
            <w:r>
              <w:rPr>
                <w:rFonts w:ascii="宋体" w:hAnsi="宋体" w:cs="宋体"/>
                <w:kern w:val="0"/>
                <w:szCs w:val="21"/>
              </w:rPr>
              <w:t>验收方式：</w:t>
            </w:r>
          </w:p>
        </w:tc>
        <w:tc>
          <w:tcPr>
            <w:tcW w:w="5838" w:type="dxa"/>
            <w:gridSpan w:val="6"/>
            <w:tcBorders>
              <w:top w:val="single" w:color="auto" w:sz="8" w:space="0"/>
              <w:left w:val="nil"/>
              <w:bottom w:val="single" w:color="auto" w:sz="8" w:space="0"/>
              <w:right w:val="single" w:color="auto" w:sz="8" w:space="0"/>
            </w:tcBorders>
            <w:vAlign w:val="center"/>
          </w:tcPr>
          <w:p w14:paraId="7697B0BC">
            <w:pPr>
              <w:widowControl/>
              <w:snapToGrid w:val="0"/>
              <w:spacing w:before="100" w:beforeAutospacing="1" w:after="100" w:afterAutospacing="1" w:line="320" w:lineRule="atLeast"/>
              <w:ind w:firstLine="480"/>
              <w:jc w:val="center"/>
              <w:rPr>
                <w:rFonts w:ascii="宋体" w:hAnsi="宋体" w:cs="宋体"/>
                <w:kern w:val="0"/>
                <w:szCs w:val="21"/>
              </w:rPr>
            </w:pPr>
            <w:r>
              <w:rPr>
                <w:rFonts w:ascii="宋体" w:hAnsi="宋体" w:cs="宋体"/>
                <w:kern w:val="0"/>
                <w:szCs w:val="21"/>
              </w:rPr>
              <w:t>□自行验收 □委托验收</w:t>
            </w:r>
          </w:p>
        </w:tc>
      </w:tr>
      <w:tr w14:paraId="4B7DDD3D">
        <w:tblPrEx>
          <w:tblCellMar>
            <w:top w:w="0" w:type="dxa"/>
            <w:left w:w="0" w:type="dxa"/>
            <w:bottom w:w="0" w:type="dxa"/>
            <w:right w:w="0" w:type="dxa"/>
          </w:tblCellMar>
        </w:tblPrEx>
        <w:trPr>
          <w:trHeight w:val="654" w:hRule="atLeast"/>
          <w:jc w:val="center"/>
        </w:trPr>
        <w:tc>
          <w:tcPr>
            <w:tcW w:w="1497" w:type="dxa"/>
            <w:tcBorders>
              <w:top w:val="nil"/>
              <w:left w:val="single" w:color="auto" w:sz="8" w:space="0"/>
              <w:bottom w:val="single" w:color="auto" w:sz="8" w:space="0"/>
              <w:right w:val="single" w:color="auto" w:sz="8" w:space="0"/>
            </w:tcBorders>
            <w:vAlign w:val="center"/>
          </w:tcPr>
          <w:p w14:paraId="49D06B79">
            <w:pPr>
              <w:widowControl/>
              <w:snapToGrid w:val="0"/>
              <w:spacing w:before="100" w:beforeAutospacing="1" w:after="100" w:afterAutospacing="1" w:line="320" w:lineRule="atLeast"/>
              <w:ind w:firstLine="2"/>
              <w:jc w:val="center"/>
              <w:rPr>
                <w:rFonts w:ascii="宋体" w:hAnsi="宋体" w:cs="宋体"/>
                <w:kern w:val="0"/>
                <w:szCs w:val="21"/>
              </w:rPr>
            </w:pPr>
            <w:r>
              <w:rPr>
                <w:rFonts w:ascii="宋体" w:hAnsi="宋体" w:cs="宋体"/>
                <w:kern w:val="0"/>
                <w:szCs w:val="21"/>
              </w:rPr>
              <w:t>序号</w:t>
            </w:r>
          </w:p>
        </w:tc>
        <w:tc>
          <w:tcPr>
            <w:tcW w:w="2159" w:type="dxa"/>
            <w:tcBorders>
              <w:top w:val="nil"/>
              <w:left w:val="nil"/>
              <w:bottom w:val="single" w:color="auto" w:sz="8" w:space="0"/>
              <w:right w:val="single" w:color="auto" w:sz="8" w:space="0"/>
            </w:tcBorders>
            <w:vAlign w:val="center"/>
          </w:tcPr>
          <w:p w14:paraId="64858BA9">
            <w:pPr>
              <w:widowControl/>
              <w:snapToGrid w:val="0"/>
              <w:spacing w:before="100" w:beforeAutospacing="1" w:after="100" w:afterAutospacing="1" w:line="320" w:lineRule="atLeast"/>
              <w:ind w:firstLine="2"/>
              <w:jc w:val="center"/>
              <w:rPr>
                <w:rFonts w:ascii="宋体" w:hAnsi="宋体" w:cs="宋体"/>
                <w:kern w:val="0"/>
                <w:szCs w:val="21"/>
              </w:rPr>
            </w:pPr>
            <w:r>
              <w:rPr>
                <w:rFonts w:ascii="宋体" w:hAnsi="宋体" w:cs="宋体"/>
                <w:kern w:val="0"/>
                <w:szCs w:val="21"/>
              </w:rPr>
              <w:t>名 称</w:t>
            </w:r>
          </w:p>
        </w:tc>
        <w:tc>
          <w:tcPr>
            <w:tcW w:w="3262" w:type="dxa"/>
            <w:gridSpan w:val="3"/>
            <w:tcBorders>
              <w:top w:val="nil"/>
              <w:left w:val="nil"/>
              <w:bottom w:val="single" w:color="auto" w:sz="8" w:space="0"/>
              <w:right w:val="single" w:color="auto" w:sz="8" w:space="0"/>
            </w:tcBorders>
            <w:vAlign w:val="center"/>
          </w:tcPr>
          <w:p w14:paraId="3A7A9757">
            <w:pPr>
              <w:widowControl/>
              <w:snapToGrid w:val="0"/>
              <w:spacing w:before="100" w:beforeAutospacing="1" w:after="100" w:afterAutospacing="1" w:line="320" w:lineRule="atLeast"/>
              <w:ind w:firstLine="2"/>
              <w:jc w:val="center"/>
              <w:rPr>
                <w:rFonts w:ascii="宋体" w:hAnsi="宋体" w:cs="宋体"/>
                <w:kern w:val="0"/>
                <w:szCs w:val="21"/>
              </w:rPr>
            </w:pPr>
            <w:r>
              <w:rPr>
                <w:rFonts w:ascii="宋体" w:hAnsi="宋体" w:cs="宋体"/>
                <w:kern w:val="0"/>
                <w:szCs w:val="21"/>
              </w:rPr>
              <w:t>货物型号规格、标准及配置等（或服务内容、标准）</w:t>
            </w:r>
          </w:p>
        </w:tc>
        <w:tc>
          <w:tcPr>
            <w:tcW w:w="970" w:type="dxa"/>
            <w:gridSpan w:val="2"/>
            <w:tcBorders>
              <w:top w:val="nil"/>
              <w:left w:val="nil"/>
              <w:bottom w:val="single" w:color="auto" w:sz="8" w:space="0"/>
              <w:right w:val="single" w:color="auto" w:sz="8" w:space="0"/>
            </w:tcBorders>
            <w:vAlign w:val="center"/>
          </w:tcPr>
          <w:p w14:paraId="36729F63">
            <w:pPr>
              <w:widowControl/>
              <w:snapToGrid w:val="0"/>
              <w:spacing w:before="100" w:beforeAutospacing="1" w:after="100" w:afterAutospacing="1" w:line="320" w:lineRule="atLeast"/>
              <w:jc w:val="center"/>
              <w:rPr>
                <w:rFonts w:ascii="宋体" w:hAnsi="宋体" w:cs="宋体"/>
                <w:kern w:val="0"/>
                <w:szCs w:val="21"/>
              </w:rPr>
            </w:pPr>
            <w:r>
              <w:rPr>
                <w:rFonts w:ascii="宋体" w:hAnsi="宋体" w:cs="宋体"/>
                <w:kern w:val="0"/>
                <w:szCs w:val="21"/>
              </w:rPr>
              <w:t>数量</w:t>
            </w:r>
          </w:p>
        </w:tc>
        <w:tc>
          <w:tcPr>
            <w:tcW w:w="1606" w:type="dxa"/>
            <w:tcBorders>
              <w:top w:val="nil"/>
              <w:left w:val="nil"/>
              <w:bottom w:val="single" w:color="auto" w:sz="8" w:space="0"/>
              <w:right w:val="single" w:color="auto" w:sz="8" w:space="0"/>
            </w:tcBorders>
            <w:vAlign w:val="center"/>
          </w:tcPr>
          <w:p w14:paraId="2592EC52">
            <w:pPr>
              <w:widowControl/>
              <w:snapToGrid w:val="0"/>
              <w:spacing w:before="100" w:beforeAutospacing="1" w:after="100" w:afterAutospacing="1" w:line="320" w:lineRule="atLeast"/>
              <w:ind w:firstLine="2"/>
              <w:jc w:val="center"/>
              <w:rPr>
                <w:rFonts w:ascii="宋体" w:hAnsi="宋体" w:cs="宋体"/>
                <w:kern w:val="0"/>
                <w:szCs w:val="21"/>
              </w:rPr>
            </w:pPr>
            <w:r>
              <w:rPr>
                <w:rFonts w:ascii="宋体" w:hAnsi="宋体" w:cs="宋体"/>
                <w:kern w:val="0"/>
                <w:szCs w:val="21"/>
              </w:rPr>
              <w:t>金 额</w:t>
            </w:r>
          </w:p>
        </w:tc>
      </w:tr>
      <w:tr w14:paraId="3A734694">
        <w:tblPrEx>
          <w:tblCellMar>
            <w:top w:w="0" w:type="dxa"/>
            <w:left w:w="0" w:type="dxa"/>
            <w:bottom w:w="0" w:type="dxa"/>
            <w:right w:w="0" w:type="dxa"/>
          </w:tblCellMar>
        </w:tblPrEx>
        <w:trPr>
          <w:trHeight w:val="513" w:hRule="atLeast"/>
          <w:jc w:val="center"/>
        </w:trPr>
        <w:tc>
          <w:tcPr>
            <w:tcW w:w="1497" w:type="dxa"/>
            <w:tcBorders>
              <w:top w:val="nil"/>
              <w:left w:val="single" w:color="auto" w:sz="8" w:space="0"/>
              <w:bottom w:val="single" w:color="auto" w:sz="8" w:space="0"/>
              <w:right w:val="single" w:color="auto" w:sz="8" w:space="0"/>
            </w:tcBorders>
            <w:vAlign w:val="center"/>
          </w:tcPr>
          <w:p w14:paraId="0C1946FA">
            <w:pPr>
              <w:widowControl/>
              <w:spacing w:before="100" w:beforeAutospacing="1" w:after="100" w:afterAutospacing="1" w:line="240" w:lineRule="atLeast"/>
              <w:jc w:val="center"/>
              <w:rPr>
                <w:rFonts w:ascii="宋体" w:hAnsi="宋体" w:cs="宋体"/>
                <w:kern w:val="0"/>
                <w:szCs w:val="21"/>
              </w:rPr>
            </w:pPr>
          </w:p>
        </w:tc>
        <w:tc>
          <w:tcPr>
            <w:tcW w:w="2159" w:type="dxa"/>
            <w:tcBorders>
              <w:top w:val="nil"/>
              <w:left w:val="nil"/>
              <w:bottom w:val="single" w:color="auto" w:sz="8" w:space="0"/>
              <w:right w:val="single" w:color="auto" w:sz="8" w:space="0"/>
            </w:tcBorders>
            <w:vAlign w:val="center"/>
          </w:tcPr>
          <w:p w14:paraId="47E6084F">
            <w:pPr>
              <w:widowControl/>
              <w:spacing w:before="100" w:beforeAutospacing="1" w:after="100" w:afterAutospacing="1" w:line="240" w:lineRule="atLeast"/>
              <w:jc w:val="center"/>
              <w:rPr>
                <w:rFonts w:ascii="宋体" w:hAnsi="宋体" w:cs="宋体"/>
                <w:kern w:val="0"/>
                <w:szCs w:val="21"/>
              </w:rPr>
            </w:pPr>
          </w:p>
        </w:tc>
        <w:tc>
          <w:tcPr>
            <w:tcW w:w="3262" w:type="dxa"/>
            <w:gridSpan w:val="3"/>
            <w:tcBorders>
              <w:top w:val="nil"/>
              <w:left w:val="nil"/>
              <w:bottom w:val="single" w:color="auto" w:sz="8" w:space="0"/>
              <w:right w:val="single" w:color="auto" w:sz="8" w:space="0"/>
            </w:tcBorders>
            <w:vAlign w:val="center"/>
          </w:tcPr>
          <w:p w14:paraId="781F40DF">
            <w:pPr>
              <w:widowControl/>
              <w:spacing w:before="100" w:beforeAutospacing="1" w:after="100" w:afterAutospacing="1" w:line="240" w:lineRule="atLeast"/>
              <w:jc w:val="center"/>
              <w:rPr>
                <w:rFonts w:ascii="宋体" w:hAnsi="宋体" w:cs="宋体"/>
                <w:kern w:val="0"/>
                <w:szCs w:val="21"/>
              </w:rPr>
            </w:pPr>
          </w:p>
        </w:tc>
        <w:tc>
          <w:tcPr>
            <w:tcW w:w="970" w:type="dxa"/>
            <w:gridSpan w:val="2"/>
            <w:tcBorders>
              <w:top w:val="nil"/>
              <w:left w:val="nil"/>
              <w:bottom w:val="single" w:color="auto" w:sz="8" w:space="0"/>
              <w:right w:val="single" w:color="auto" w:sz="8" w:space="0"/>
            </w:tcBorders>
            <w:vAlign w:val="center"/>
          </w:tcPr>
          <w:p w14:paraId="05F3E719">
            <w:pPr>
              <w:widowControl/>
              <w:spacing w:before="100" w:beforeAutospacing="1" w:after="100" w:afterAutospacing="1" w:line="240" w:lineRule="atLeast"/>
              <w:jc w:val="center"/>
              <w:rPr>
                <w:rFonts w:ascii="宋体" w:hAnsi="宋体" w:cs="宋体"/>
                <w:kern w:val="0"/>
                <w:szCs w:val="21"/>
              </w:rPr>
            </w:pPr>
          </w:p>
        </w:tc>
        <w:tc>
          <w:tcPr>
            <w:tcW w:w="1606" w:type="dxa"/>
            <w:tcBorders>
              <w:top w:val="nil"/>
              <w:left w:val="nil"/>
              <w:bottom w:val="single" w:color="auto" w:sz="8" w:space="0"/>
              <w:right w:val="single" w:color="auto" w:sz="8" w:space="0"/>
            </w:tcBorders>
            <w:vAlign w:val="center"/>
          </w:tcPr>
          <w:p w14:paraId="28B6DF98">
            <w:pPr>
              <w:widowControl/>
              <w:spacing w:before="100" w:beforeAutospacing="1" w:after="100" w:afterAutospacing="1" w:line="240" w:lineRule="atLeast"/>
              <w:jc w:val="center"/>
              <w:rPr>
                <w:rFonts w:ascii="宋体" w:hAnsi="宋体" w:cs="宋体"/>
                <w:kern w:val="0"/>
                <w:szCs w:val="21"/>
              </w:rPr>
            </w:pPr>
          </w:p>
        </w:tc>
      </w:tr>
      <w:tr w14:paraId="23E28822">
        <w:tblPrEx>
          <w:tblCellMar>
            <w:top w:w="0" w:type="dxa"/>
            <w:left w:w="0" w:type="dxa"/>
            <w:bottom w:w="0" w:type="dxa"/>
            <w:right w:w="0" w:type="dxa"/>
          </w:tblCellMar>
        </w:tblPrEx>
        <w:trPr>
          <w:trHeight w:val="513" w:hRule="atLeast"/>
          <w:jc w:val="center"/>
        </w:trPr>
        <w:tc>
          <w:tcPr>
            <w:tcW w:w="1497" w:type="dxa"/>
            <w:tcBorders>
              <w:top w:val="nil"/>
              <w:left w:val="single" w:color="auto" w:sz="8" w:space="0"/>
              <w:bottom w:val="single" w:color="auto" w:sz="8" w:space="0"/>
              <w:right w:val="single" w:color="auto" w:sz="8" w:space="0"/>
            </w:tcBorders>
            <w:vAlign w:val="center"/>
          </w:tcPr>
          <w:p w14:paraId="21E3DB79">
            <w:pPr>
              <w:widowControl/>
              <w:spacing w:before="100" w:beforeAutospacing="1" w:after="100" w:afterAutospacing="1" w:line="240" w:lineRule="atLeast"/>
              <w:jc w:val="center"/>
              <w:rPr>
                <w:rFonts w:ascii="宋体" w:hAnsi="宋体" w:cs="宋体"/>
                <w:kern w:val="0"/>
                <w:szCs w:val="21"/>
              </w:rPr>
            </w:pPr>
          </w:p>
        </w:tc>
        <w:tc>
          <w:tcPr>
            <w:tcW w:w="2159" w:type="dxa"/>
            <w:tcBorders>
              <w:top w:val="nil"/>
              <w:left w:val="nil"/>
              <w:bottom w:val="single" w:color="auto" w:sz="8" w:space="0"/>
              <w:right w:val="single" w:color="auto" w:sz="8" w:space="0"/>
            </w:tcBorders>
            <w:vAlign w:val="center"/>
          </w:tcPr>
          <w:p w14:paraId="0F523215">
            <w:pPr>
              <w:widowControl/>
              <w:spacing w:before="100" w:beforeAutospacing="1" w:after="100" w:afterAutospacing="1" w:line="240" w:lineRule="atLeast"/>
              <w:jc w:val="center"/>
              <w:rPr>
                <w:rFonts w:ascii="宋体" w:hAnsi="宋体" w:cs="宋体"/>
                <w:kern w:val="0"/>
                <w:szCs w:val="21"/>
              </w:rPr>
            </w:pPr>
          </w:p>
        </w:tc>
        <w:tc>
          <w:tcPr>
            <w:tcW w:w="3262" w:type="dxa"/>
            <w:gridSpan w:val="3"/>
            <w:tcBorders>
              <w:top w:val="nil"/>
              <w:left w:val="nil"/>
              <w:bottom w:val="single" w:color="auto" w:sz="8" w:space="0"/>
              <w:right w:val="single" w:color="auto" w:sz="8" w:space="0"/>
            </w:tcBorders>
            <w:vAlign w:val="center"/>
          </w:tcPr>
          <w:p w14:paraId="68652A65">
            <w:pPr>
              <w:widowControl/>
              <w:spacing w:before="100" w:beforeAutospacing="1" w:after="100" w:afterAutospacing="1" w:line="240" w:lineRule="atLeast"/>
              <w:jc w:val="center"/>
              <w:rPr>
                <w:rFonts w:ascii="宋体" w:hAnsi="宋体" w:cs="宋体"/>
                <w:kern w:val="0"/>
                <w:szCs w:val="21"/>
              </w:rPr>
            </w:pPr>
          </w:p>
        </w:tc>
        <w:tc>
          <w:tcPr>
            <w:tcW w:w="970" w:type="dxa"/>
            <w:gridSpan w:val="2"/>
            <w:tcBorders>
              <w:top w:val="nil"/>
              <w:left w:val="nil"/>
              <w:bottom w:val="single" w:color="auto" w:sz="8" w:space="0"/>
              <w:right w:val="single" w:color="auto" w:sz="8" w:space="0"/>
            </w:tcBorders>
            <w:vAlign w:val="center"/>
          </w:tcPr>
          <w:p w14:paraId="2E6C0321">
            <w:pPr>
              <w:widowControl/>
              <w:spacing w:before="100" w:beforeAutospacing="1" w:after="100" w:afterAutospacing="1" w:line="240" w:lineRule="atLeast"/>
              <w:jc w:val="center"/>
              <w:rPr>
                <w:rFonts w:ascii="宋体" w:hAnsi="宋体" w:cs="宋体"/>
                <w:kern w:val="0"/>
                <w:szCs w:val="21"/>
              </w:rPr>
            </w:pPr>
          </w:p>
        </w:tc>
        <w:tc>
          <w:tcPr>
            <w:tcW w:w="1606" w:type="dxa"/>
            <w:tcBorders>
              <w:top w:val="nil"/>
              <w:left w:val="nil"/>
              <w:bottom w:val="single" w:color="auto" w:sz="8" w:space="0"/>
              <w:right w:val="single" w:color="auto" w:sz="8" w:space="0"/>
            </w:tcBorders>
            <w:vAlign w:val="center"/>
          </w:tcPr>
          <w:p w14:paraId="13B6AB70">
            <w:pPr>
              <w:widowControl/>
              <w:spacing w:before="100" w:beforeAutospacing="1" w:after="100" w:afterAutospacing="1" w:line="240" w:lineRule="atLeast"/>
              <w:jc w:val="center"/>
              <w:rPr>
                <w:rFonts w:ascii="宋体" w:hAnsi="宋体" w:cs="宋体"/>
                <w:kern w:val="0"/>
                <w:szCs w:val="21"/>
              </w:rPr>
            </w:pPr>
          </w:p>
        </w:tc>
      </w:tr>
      <w:tr w14:paraId="737BF330">
        <w:tblPrEx>
          <w:tblCellMar>
            <w:top w:w="0" w:type="dxa"/>
            <w:left w:w="0" w:type="dxa"/>
            <w:bottom w:w="0" w:type="dxa"/>
            <w:right w:w="0" w:type="dxa"/>
          </w:tblCellMar>
        </w:tblPrEx>
        <w:trPr>
          <w:trHeight w:val="513" w:hRule="atLeast"/>
          <w:jc w:val="center"/>
        </w:trPr>
        <w:tc>
          <w:tcPr>
            <w:tcW w:w="1497" w:type="dxa"/>
            <w:tcBorders>
              <w:top w:val="nil"/>
              <w:left w:val="single" w:color="auto" w:sz="8" w:space="0"/>
              <w:bottom w:val="single" w:color="auto" w:sz="8" w:space="0"/>
              <w:right w:val="single" w:color="auto" w:sz="8" w:space="0"/>
            </w:tcBorders>
            <w:vAlign w:val="center"/>
          </w:tcPr>
          <w:p w14:paraId="73AB84E6">
            <w:pPr>
              <w:widowControl/>
              <w:spacing w:before="100" w:beforeAutospacing="1" w:after="100" w:afterAutospacing="1" w:line="240" w:lineRule="atLeast"/>
              <w:jc w:val="center"/>
              <w:rPr>
                <w:rFonts w:ascii="宋体" w:hAnsi="宋体" w:cs="宋体"/>
                <w:kern w:val="0"/>
                <w:szCs w:val="21"/>
              </w:rPr>
            </w:pPr>
          </w:p>
        </w:tc>
        <w:tc>
          <w:tcPr>
            <w:tcW w:w="2159" w:type="dxa"/>
            <w:tcBorders>
              <w:top w:val="nil"/>
              <w:left w:val="nil"/>
              <w:bottom w:val="single" w:color="auto" w:sz="8" w:space="0"/>
              <w:right w:val="single" w:color="auto" w:sz="8" w:space="0"/>
            </w:tcBorders>
            <w:vAlign w:val="center"/>
          </w:tcPr>
          <w:p w14:paraId="6D5D8D7C">
            <w:pPr>
              <w:widowControl/>
              <w:spacing w:before="100" w:beforeAutospacing="1" w:after="100" w:afterAutospacing="1" w:line="240" w:lineRule="atLeast"/>
              <w:jc w:val="center"/>
              <w:rPr>
                <w:rFonts w:ascii="宋体" w:hAnsi="宋体" w:cs="宋体"/>
                <w:kern w:val="0"/>
                <w:szCs w:val="21"/>
              </w:rPr>
            </w:pPr>
          </w:p>
        </w:tc>
        <w:tc>
          <w:tcPr>
            <w:tcW w:w="3262" w:type="dxa"/>
            <w:gridSpan w:val="3"/>
            <w:tcBorders>
              <w:top w:val="nil"/>
              <w:left w:val="nil"/>
              <w:bottom w:val="single" w:color="auto" w:sz="8" w:space="0"/>
              <w:right w:val="single" w:color="auto" w:sz="8" w:space="0"/>
            </w:tcBorders>
            <w:vAlign w:val="center"/>
          </w:tcPr>
          <w:p w14:paraId="2173CCD4">
            <w:pPr>
              <w:widowControl/>
              <w:spacing w:before="100" w:beforeAutospacing="1" w:after="100" w:afterAutospacing="1" w:line="240" w:lineRule="atLeast"/>
              <w:jc w:val="center"/>
              <w:rPr>
                <w:rFonts w:ascii="宋体" w:hAnsi="宋体" w:cs="宋体"/>
                <w:kern w:val="0"/>
                <w:szCs w:val="21"/>
              </w:rPr>
            </w:pPr>
          </w:p>
        </w:tc>
        <w:tc>
          <w:tcPr>
            <w:tcW w:w="970" w:type="dxa"/>
            <w:gridSpan w:val="2"/>
            <w:tcBorders>
              <w:top w:val="nil"/>
              <w:left w:val="nil"/>
              <w:bottom w:val="single" w:color="auto" w:sz="8" w:space="0"/>
              <w:right w:val="single" w:color="auto" w:sz="8" w:space="0"/>
            </w:tcBorders>
            <w:vAlign w:val="center"/>
          </w:tcPr>
          <w:p w14:paraId="558D432A">
            <w:pPr>
              <w:widowControl/>
              <w:spacing w:before="100" w:beforeAutospacing="1" w:after="100" w:afterAutospacing="1" w:line="240" w:lineRule="atLeast"/>
              <w:jc w:val="center"/>
              <w:rPr>
                <w:rFonts w:ascii="宋体" w:hAnsi="宋体" w:cs="宋体"/>
                <w:kern w:val="0"/>
                <w:szCs w:val="21"/>
              </w:rPr>
            </w:pPr>
          </w:p>
        </w:tc>
        <w:tc>
          <w:tcPr>
            <w:tcW w:w="1606" w:type="dxa"/>
            <w:tcBorders>
              <w:top w:val="nil"/>
              <w:left w:val="nil"/>
              <w:bottom w:val="single" w:color="auto" w:sz="8" w:space="0"/>
              <w:right w:val="single" w:color="auto" w:sz="8" w:space="0"/>
            </w:tcBorders>
            <w:vAlign w:val="center"/>
          </w:tcPr>
          <w:p w14:paraId="74CDDFBA">
            <w:pPr>
              <w:widowControl/>
              <w:spacing w:before="100" w:beforeAutospacing="1" w:after="100" w:afterAutospacing="1" w:line="240" w:lineRule="atLeast"/>
              <w:jc w:val="center"/>
              <w:rPr>
                <w:rFonts w:ascii="宋体" w:hAnsi="宋体" w:cs="宋体"/>
                <w:kern w:val="0"/>
                <w:szCs w:val="21"/>
              </w:rPr>
            </w:pPr>
          </w:p>
        </w:tc>
      </w:tr>
      <w:tr w14:paraId="5838FACE">
        <w:tblPrEx>
          <w:tblCellMar>
            <w:top w:w="0" w:type="dxa"/>
            <w:left w:w="0" w:type="dxa"/>
            <w:bottom w:w="0" w:type="dxa"/>
            <w:right w:w="0" w:type="dxa"/>
          </w:tblCellMar>
        </w:tblPrEx>
        <w:trPr>
          <w:trHeight w:val="513" w:hRule="atLeast"/>
          <w:jc w:val="center"/>
        </w:trPr>
        <w:tc>
          <w:tcPr>
            <w:tcW w:w="6918" w:type="dxa"/>
            <w:gridSpan w:val="5"/>
            <w:tcBorders>
              <w:top w:val="nil"/>
              <w:left w:val="single" w:color="auto" w:sz="8" w:space="0"/>
              <w:bottom w:val="single" w:color="auto" w:sz="8" w:space="0"/>
              <w:right w:val="single" w:color="auto" w:sz="8" w:space="0"/>
            </w:tcBorders>
            <w:vAlign w:val="center"/>
          </w:tcPr>
          <w:p w14:paraId="1603D060">
            <w:pPr>
              <w:widowControl/>
              <w:snapToGrid w:val="0"/>
              <w:spacing w:before="100" w:beforeAutospacing="1" w:after="100" w:afterAutospacing="1" w:line="320" w:lineRule="atLeast"/>
              <w:ind w:firstLine="5"/>
              <w:jc w:val="center"/>
              <w:rPr>
                <w:rFonts w:ascii="宋体" w:hAnsi="宋体" w:cs="宋体"/>
                <w:kern w:val="0"/>
                <w:szCs w:val="21"/>
              </w:rPr>
            </w:pPr>
            <w:r>
              <w:rPr>
                <w:rFonts w:ascii="宋体" w:hAnsi="宋体" w:cs="宋体"/>
                <w:kern w:val="0"/>
                <w:szCs w:val="21"/>
              </w:rPr>
              <w:t>合 计</w:t>
            </w:r>
          </w:p>
        </w:tc>
        <w:tc>
          <w:tcPr>
            <w:tcW w:w="970" w:type="dxa"/>
            <w:gridSpan w:val="2"/>
            <w:tcBorders>
              <w:top w:val="nil"/>
              <w:left w:val="nil"/>
              <w:bottom w:val="single" w:color="auto" w:sz="8" w:space="0"/>
              <w:right w:val="single" w:color="auto" w:sz="8" w:space="0"/>
            </w:tcBorders>
            <w:vAlign w:val="center"/>
          </w:tcPr>
          <w:p w14:paraId="5C218111">
            <w:pPr>
              <w:widowControl/>
              <w:spacing w:before="100" w:beforeAutospacing="1" w:after="100" w:afterAutospacing="1" w:line="240" w:lineRule="atLeast"/>
              <w:jc w:val="center"/>
              <w:rPr>
                <w:rFonts w:ascii="宋体" w:hAnsi="宋体" w:cs="宋体"/>
                <w:kern w:val="0"/>
                <w:szCs w:val="21"/>
              </w:rPr>
            </w:pPr>
          </w:p>
        </w:tc>
        <w:tc>
          <w:tcPr>
            <w:tcW w:w="1606" w:type="dxa"/>
            <w:tcBorders>
              <w:top w:val="nil"/>
              <w:left w:val="nil"/>
              <w:bottom w:val="single" w:color="auto" w:sz="8" w:space="0"/>
              <w:right w:val="single" w:color="auto" w:sz="8" w:space="0"/>
            </w:tcBorders>
            <w:vAlign w:val="center"/>
          </w:tcPr>
          <w:p w14:paraId="52412112">
            <w:pPr>
              <w:widowControl/>
              <w:spacing w:before="100" w:beforeAutospacing="1" w:after="100" w:afterAutospacing="1" w:line="240" w:lineRule="atLeast"/>
              <w:jc w:val="center"/>
              <w:rPr>
                <w:rFonts w:ascii="宋体" w:hAnsi="宋体" w:cs="宋体"/>
                <w:kern w:val="0"/>
                <w:szCs w:val="21"/>
              </w:rPr>
            </w:pPr>
          </w:p>
        </w:tc>
      </w:tr>
      <w:tr w14:paraId="759E6AE8">
        <w:tblPrEx>
          <w:tblCellMar>
            <w:top w:w="0" w:type="dxa"/>
            <w:left w:w="0" w:type="dxa"/>
            <w:bottom w:w="0" w:type="dxa"/>
            <w:right w:w="0" w:type="dxa"/>
          </w:tblCellMar>
        </w:tblPrEx>
        <w:trPr>
          <w:trHeight w:val="674" w:hRule="atLeast"/>
          <w:jc w:val="center"/>
        </w:trPr>
        <w:tc>
          <w:tcPr>
            <w:tcW w:w="9494" w:type="dxa"/>
            <w:gridSpan w:val="8"/>
            <w:tcBorders>
              <w:top w:val="nil"/>
              <w:left w:val="single" w:color="auto" w:sz="8" w:space="0"/>
              <w:bottom w:val="single" w:color="auto" w:sz="8" w:space="0"/>
              <w:right w:val="single" w:color="auto" w:sz="8" w:space="0"/>
            </w:tcBorders>
            <w:vAlign w:val="center"/>
          </w:tcPr>
          <w:p w14:paraId="05906C01">
            <w:pPr>
              <w:widowControl/>
              <w:snapToGrid w:val="0"/>
              <w:spacing w:before="100" w:beforeAutospacing="1" w:after="100" w:afterAutospacing="1" w:line="320" w:lineRule="atLeast"/>
              <w:ind w:firstLine="2"/>
              <w:jc w:val="left"/>
              <w:rPr>
                <w:rFonts w:ascii="宋体" w:hAnsi="宋体" w:cs="宋体"/>
                <w:kern w:val="0"/>
                <w:szCs w:val="21"/>
              </w:rPr>
            </w:pPr>
            <w:r>
              <w:rPr>
                <w:rFonts w:ascii="宋体" w:hAnsi="宋体" w:cs="宋体"/>
                <w:kern w:val="0"/>
                <w:szCs w:val="21"/>
              </w:rPr>
              <w:t>合计大写金额： 仟 佰 拾 万 仟 佰 拾 元</w:t>
            </w:r>
          </w:p>
        </w:tc>
      </w:tr>
      <w:tr w14:paraId="1F43EEB6">
        <w:tblPrEx>
          <w:tblCellMar>
            <w:top w:w="0" w:type="dxa"/>
            <w:left w:w="0" w:type="dxa"/>
            <w:bottom w:w="0" w:type="dxa"/>
            <w:right w:w="0" w:type="dxa"/>
          </w:tblCellMar>
        </w:tblPrEx>
        <w:trPr>
          <w:trHeight w:val="674" w:hRule="atLeast"/>
          <w:jc w:val="center"/>
        </w:trPr>
        <w:tc>
          <w:tcPr>
            <w:tcW w:w="1497" w:type="dxa"/>
            <w:tcBorders>
              <w:top w:val="nil"/>
              <w:left w:val="single" w:color="auto" w:sz="8" w:space="0"/>
              <w:bottom w:val="single" w:color="auto" w:sz="8" w:space="0"/>
              <w:right w:val="single" w:color="auto" w:sz="8" w:space="0"/>
            </w:tcBorders>
            <w:vAlign w:val="center"/>
          </w:tcPr>
          <w:p w14:paraId="5B7D8767">
            <w:pPr>
              <w:widowControl/>
              <w:snapToGrid w:val="0"/>
              <w:spacing w:before="100" w:beforeAutospacing="1" w:after="100" w:afterAutospacing="1" w:line="320" w:lineRule="atLeast"/>
              <w:ind w:firstLine="2"/>
              <w:jc w:val="center"/>
              <w:rPr>
                <w:rFonts w:ascii="宋体" w:hAnsi="宋体" w:cs="宋体"/>
                <w:kern w:val="0"/>
                <w:szCs w:val="21"/>
              </w:rPr>
            </w:pPr>
            <w:r>
              <w:rPr>
                <w:rFonts w:ascii="宋体" w:hAnsi="宋体" w:cs="宋体"/>
                <w:kern w:val="0"/>
                <w:szCs w:val="21"/>
              </w:rPr>
              <w:t>实际供货日期</w:t>
            </w:r>
          </w:p>
        </w:tc>
        <w:tc>
          <w:tcPr>
            <w:tcW w:w="3056" w:type="dxa"/>
            <w:gridSpan w:val="2"/>
            <w:tcBorders>
              <w:top w:val="nil"/>
              <w:left w:val="nil"/>
              <w:bottom w:val="single" w:color="auto" w:sz="8" w:space="0"/>
              <w:right w:val="single" w:color="auto" w:sz="8" w:space="0"/>
            </w:tcBorders>
            <w:vAlign w:val="center"/>
          </w:tcPr>
          <w:p w14:paraId="3317441F">
            <w:pPr>
              <w:widowControl/>
              <w:spacing w:before="100" w:beforeAutospacing="1" w:after="100" w:afterAutospacing="1" w:line="240" w:lineRule="atLeast"/>
              <w:jc w:val="center"/>
              <w:rPr>
                <w:rFonts w:ascii="宋体" w:hAnsi="宋体" w:cs="宋体"/>
                <w:kern w:val="0"/>
                <w:szCs w:val="21"/>
              </w:rPr>
            </w:pPr>
          </w:p>
        </w:tc>
        <w:tc>
          <w:tcPr>
            <w:tcW w:w="2565" w:type="dxa"/>
            <w:gridSpan w:val="3"/>
            <w:tcBorders>
              <w:top w:val="nil"/>
              <w:left w:val="nil"/>
              <w:bottom w:val="single" w:color="auto" w:sz="8" w:space="0"/>
              <w:right w:val="single" w:color="auto" w:sz="8" w:space="0"/>
            </w:tcBorders>
            <w:vAlign w:val="center"/>
          </w:tcPr>
          <w:p w14:paraId="12F13A43">
            <w:pPr>
              <w:widowControl/>
              <w:snapToGrid w:val="0"/>
              <w:spacing w:before="100" w:beforeAutospacing="1" w:after="100" w:afterAutospacing="1" w:line="320" w:lineRule="atLeast"/>
              <w:ind w:firstLine="46"/>
              <w:jc w:val="center"/>
              <w:rPr>
                <w:rFonts w:ascii="宋体" w:hAnsi="宋体" w:cs="宋体"/>
                <w:kern w:val="0"/>
                <w:szCs w:val="21"/>
              </w:rPr>
            </w:pPr>
            <w:r>
              <w:rPr>
                <w:rFonts w:ascii="宋体" w:hAnsi="宋体" w:cs="宋体"/>
                <w:kern w:val="0"/>
                <w:szCs w:val="21"/>
              </w:rPr>
              <w:t>合同交货验收日期</w:t>
            </w:r>
          </w:p>
        </w:tc>
        <w:tc>
          <w:tcPr>
            <w:tcW w:w="2376" w:type="dxa"/>
            <w:gridSpan w:val="2"/>
            <w:tcBorders>
              <w:top w:val="nil"/>
              <w:left w:val="nil"/>
              <w:bottom w:val="single" w:color="auto" w:sz="8" w:space="0"/>
              <w:right w:val="single" w:color="auto" w:sz="8" w:space="0"/>
            </w:tcBorders>
            <w:vAlign w:val="center"/>
          </w:tcPr>
          <w:p w14:paraId="47BB0960">
            <w:pPr>
              <w:widowControl/>
              <w:spacing w:before="100" w:beforeAutospacing="1" w:after="100" w:afterAutospacing="1" w:line="240" w:lineRule="atLeast"/>
              <w:jc w:val="center"/>
              <w:rPr>
                <w:rFonts w:ascii="宋体" w:hAnsi="宋体" w:cs="宋体"/>
                <w:kern w:val="0"/>
                <w:szCs w:val="21"/>
              </w:rPr>
            </w:pPr>
          </w:p>
        </w:tc>
      </w:tr>
      <w:tr w14:paraId="7AF54F81">
        <w:trPr>
          <w:trHeight w:val="729" w:hRule="atLeast"/>
          <w:jc w:val="center"/>
        </w:trPr>
        <w:tc>
          <w:tcPr>
            <w:tcW w:w="1497" w:type="dxa"/>
            <w:tcBorders>
              <w:top w:val="nil"/>
              <w:left w:val="single" w:color="auto" w:sz="8" w:space="0"/>
              <w:bottom w:val="single" w:color="auto" w:sz="8" w:space="0"/>
              <w:right w:val="single" w:color="auto" w:sz="8" w:space="0"/>
            </w:tcBorders>
            <w:tcMar>
              <w:left w:w="108" w:type="dxa"/>
              <w:right w:w="108" w:type="dxa"/>
            </w:tcMar>
            <w:vAlign w:val="center"/>
          </w:tcPr>
          <w:p w14:paraId="47A9245F">
            <w:pPr>
              <w:widowControl/>
              <w:snapToGrid w:val="0"/>
              <w:spacing w:before="100" w:beforeAutospacing="1" w:after="100" w:afterAutospacing="1" w:line="320" w:lineRule="atLeast"/>
              <w:jc w:val="left"/>
              <w:rPr>
                <w:rFonts w:ascii="宋体" w:hAnsi="宋体" w:cs="宋体"/>
                <w:kern w:val="0"/>
                <w:szCs w:val="21"/>
              </w:rPr>
            </w:pPr>
            <w:r>
              <w:rPr>
                <w:rFonts w:ascii="宋体" w:hAnsi="宋体" w:cs="宋体"/>
                <w:kern w:val="0"/>
                <w:szCs w:val="21"/>
              </w:rPr>
              <w:t>验收具体内容</w:t>
            </w:r>
          </w:p>
        </w:tc>
        <w:tc>
          <w:tcPr>
            <w:tcW w:w="7997" w:type="dxa"/>
            <w:gridSpan w:val="7"/>
            <w:tcBorders>
              <w:top w:val="nil"/>
              <w:left w:val="nil"/>
              <w:bottom w:val="single" w:color="auto" w:sz="8" w:space="0"/>
              <w:right w:val="single" w:color="auto" w:sz="8" w:space="0"/>
            </w:tcBorders>
            <w:tcMar>
              <w:left w:w="108" w:type="dxa"/>
              <w:right w:w="108" w:type="dxa"/>
            </w:tcMar>
            <w:vAlign w:val="center"/>
          </w:tcPr>
          <w:p w14:paraId="070A2FD9">
            <w:pPr>
              <w:widowControl/>
              <w:snapToGrid w:val="0"/>
              <w:spacing w:before="100" w:beforeAutospacing="1" w:after="100" w:afterAutospacing="1" w:line="320" w:lineRule="atLeast"/>
              <w:jc w:val="left"/>
              <w:rPr>
                <w:rFonts w:ascii="宋体" w:hAnsi="宋体" w:cs="宋体"/>
                <w:kern w:val="0"/>
                <w:szCs w:val="21"/>
              </w:rPr>
            </w:pPr>
            <w:r>
              <w:rPr>
                <w:rFonts w:ascii="宋体" w:hAnsi="宋体" w:cs="宋体"/>
                <w:kern w:val="0"/>
                <w:szCs w:val="21"/>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13A2133F">
        <w:tblPrEx>
          <w:tblCellMar>
            <w:top w:w="0" w:type="dxa"/>
            <w:left w:w="0" w:type="dxa"/>
            <w:bottom w:w="0" w:type="dxa"/>
            <w:right w:w="0" w:type="dxa"/>
          </w:tblCellMar>
        </w:tblPrEx>
        <w:trPr>
          <w:trHeight w:val="1348" w:hRule="atLeast"/>
          <w:jc w:val="center"/>
        </w:trPr>
        <w:tc>
          <w:tcPr>
            <w:tcW w:w="1497" w:type="dxa"/>
            <w:vMerge w:val="restart"/>
            <w:tcBorders>
              <w:top w:val="nil"/>
              <w:left w:val="single" w:color="auto" w:sz="8" w:space="0"/>
              <w:bottom w:val="single" w:color="auto" w:sz="8" w:space="0"/>
              <w:right w:val="single" w:color="auto" w:sz="8" w:space="0"/>
            </w:tcBorders>
            <w:tcMar>
              <w:left w:w="108" w:type="dxa"/>
              <w:right w:w="108" w:type="dxa"/>
            </w:tcMar>
            <w:vAlign w:val="center"/>
          </w:tcPr>
          <w:p w14:paraId="18286A71">
            <w:pPr>
              <w:widowControl/>
              <w:spacing w:before="100" w:beforeAutospacing="1" w:after="100" w:afterAutospacing="1" w:line="320" w:lineRule="atLeast"/>
              <w:jc w:val="left"/>
              <w:rPr>
                <w:rFonts w:ascii="宋体" w:hAnsi="宋体" w:cs="宋体"/>
                <w:kern w:val="0"/>
                <w:szCs w:val="21"/>
              </w:rPr>
            </w:pPr>
            <w:r>
              <w:rPr>
                <w:rFonts w:ascii="宋体" w:hAnsi="宋体" w:cs="宋体"/>
                <w:kern w:val="0"/>
                <w:szCs w:val="21"/>
              </w:rPr>
              <w:t>验收小组意见</w:t>
            </w:r>
          </w:p>
        </w:tc>
        <w:tc>
          <w:tcPr>
            <w:tcW w:w="7997" w:type="dxa"/>
            <w:gridSpan w:val="7"/>
            <w:tcBorders>
              <w:top w:val="nil"/>
              <w:left w:val="nil"/>
              <w:bottom w:val="single" w:color="auto" w:sz="8" w:space="0"/>
              <w:right w:val="single" w:color="auto" w:sz="8" w:space="0"/>
            </w:tcBorders>
            <w:vAlign w:val="center"/>
          </w:tcPr>
          <w:p w14:paraId="3AE55E3C">
            <w:pPr>
              <w:widowControl/>
              <w:spacing w:before="100" w:beforeAutospacing="1" w:after="100" w:afterAutospacing="1" w:line="320" w:lineRule="atLeast"/>
              <w:jc w:val="left"/>
              <w:rPr>
                <w:rFonts w:ascii="宋体" w:hAnsi="宋体" w:cs="宋体"/>
                <w:kern w:val="0"/>
                <w:szCs w:val="21"/>
              </w:rPr>
            </w:pPr>
            <w:r>
              <w:rPr>
                <w:rFonts w:ascii="宋体" w:hAnsi="宋体" w:cs="宋体"/>
                <w:kern w:val="0"/>
                <w:szCs w:val="21"/>
              </w:rPr>
              <w:t>验收结论性意见：</w:t>
            </w:r>
          </w:p>
        </w:tc>
      </w:tr>
      <w:tr w14:paraId="596E240E">
        <w:tblPrEx>
          <w:tblCellMar>
            <w:top w:w="0" w:type="dxa"/>
            <w:left w:w="0" w:type="dxa"/>
            <w:bottom w:w="0" w:type="dxa"/>
            <w:right w:w="0" w:type="dxa"/>
          </w:tblCellMar>
        </w:tblPrEx>
        <w:trPr>
          <w:trHeight w:val="639" w:hRule="atLeast"/>
          <w:jc w:val="center"/>
        </w:trPr>
        <w:tc>
          <w:tcPr>
            <w:tcW w:w="1497" w:type="dxa"/>
            <w:vMerge w:val="continue"/>
            <w:tcBorders>
              <w:top w:val="nil"/>
              <w:left w:val="single" w:color="auto" w:sz="8" w:space="0"/>
              <w:bottom w:val="single" w:color="auto" w:sz="8" w:space="0"/>
              <w:right w:val="single" w:color="auto" w:sz="8" w:space="0"/>
            </w:tcBorders>
            <w:vAlign w:val="center"/>
          </w:tcPr>
          <w:p w14:paraId="46913C19">
            <w:pPr>
              <w:rPr>
                <w:rFonts w:ascii="宋体" w:hAnsi="宋体"/>
              </w:rPr>
            </w:pPr>
          </w:p>
        </w:tc>
        <w:tc>
          <w:tcPr>
            <w:tcW w:w="7997" w:type="dxa"/>
            <w:gridSpan w:val="7"/>
            <w:tcBorders>
              <w:top w:val="nil"/>
              <w:left w:val="nil"/>
              <w:bottom w:val="single" w:color="auto" w:sz="8" w:space="0"/>
              <w:right w:val="single" w:color="auto" w:sz="8" w:space="0"/>
            </w:tcBorders>
            <w:vAlign w:val="center"/>
          </w:tcPr>
          <w:p w14:paraId="36098999">
            <w:pPr>
              <w:widowControl/>
              <w:spacing w:before="100" w:beforeAutospacing="1" w:after="100" w:afterAutospacing="1" w:line="320" w:lineRule="atLeast"/>
              <w:ind w:firstLine="96"/>
              <w:jc w:val="left"/>
              <w:rPr>
                <w:rFonts w:ascii="宋体" w:hAnsi="宋体" w:cs="宋体"/>
                <w:kern w:val="0"/>
                <w:szCs w:val="21"/>
              </w:rPr>
            </w:pPr>
            <w:r>
              <w:rPr>
                <w:rFonts w:ascii="宋体" w:hAnsi="宋体" w:cs="宋体"/>
                <w:kern w:val="0"/>
                <w:szCs w:val="21"/>
              </w:rPr>
              <w:t>有异议的意见和说明理由：</w:t>
            </w:r>
          </w:p>
          <w:p w14:paraId="1D4AB929">
            <w:pPr>
              <w:widowControl/>
              <w:spacing w:before="100" w:beforeAutospacing="1" w:after="100" w:afterAutospacing="1" w:line="320" w:lineRule="atLeast"/>
              <w:jc w:val="left"/>
              <w:rPr>
                <w:rFonts w:ascii="宋体" w:hAnsi="宋体" w:cs="宋体"/>
                <w:kern w:val="0"/>
                <w:szCs w:val="21"/>
              </w:rPr>
            </w:pPr>
            <w:r>
              <w:rPr>
                <w:rFonts w:ascii="宋体" w:hAnsi="宋体" w:cs="宋体"/>
                <w:kern w:val="0"/>
                <w:szCs w:val="21"/>
              </w:rPr>
              <w:t>签字：</w:t>
            </w:r>
          </w:p>
        </w:tc>
      </w:tr>
      <w:tr w14:paraId="4F198ACE">
        <w:tblPrEx>
          <w:tblCellMar>
            <w:top w:w="0" w:type="dxa"/>
            <w:left w:w="0" w:type="dxa"/>
            <w:bottom w:w="0" w:type="dxa"/>
            <w:right w:w="0" w:type="dxa"/>
          </w:tblCellMar>
        </w:tblPrEx>
        <w:trPr>
          <w:trHeight w:val="534" w:hRule="atLeast"/>
          <w:jc w:val="center"/>
        </w:trPr>
        <w:tc>
          <w:tcPr>
            <w:tcW w:w="9494" w:type="dxa"/>
            <w:gridSpan w:val="8"/>
            <w:tcBorders>
              <w:top w:val="nil"/>
              <w:left w:val="single" w:color="auto" w:sz="8" w:space="0"/>
              <w:bottom w:val="single" w:color="auto" w:sz="8" w:space="0"/>
              <w:right w:val="single" w:color="auto" w:sz="8" w:space="0"/>
            </w:tcBorders>
            <w:tcMar>
              <w:left w:w="108" w:type="dxa"/>
              <w:right w:w="108" w:type="dxa"/>
            </w:tcMar>
            <w:vAlign w:val="center"/>
          </w:tcPr>
          <w:p w14:paraId="76C10856">
            <w:pPr>
              <w:widowControl/>
              <w:spacing w:before="100" w:beforeAutospacing="1" w:after="100" w:afterAutospacing="1" w:line="320" w:lineRule="atLeast"/>
              <w:jc w:val="left"/>
              <w:rPr>
                <w:rFonts w:ascii="宋体" w:hAnsi="宋体" w:cs="宋体"/>
                <w:kern w:val="0"/>
                <w:szCs w:val="21"/>
              </w:rPr>
            </w:pPr>
            <w:r>
              <w:rPr>
                <w:rFonts w:ascii="宋体" w:hAnsi="宋体" w:cs="宋体"/>
                <w:kern w:val="0"/>
                <w:szCs w:val="21"/>
              </w:rPr>
              <w:t>验收小组成员签字：</w:t>
            </w:r>
          </w:p>
        </w:tc>
      </w:tr>
      <w:tr w14:paraId="29976728">
        <w:tblPrEx>
          <w:tblCellMar>
            <w:top w:w="0" w:type="dxa"/>
            <w:left w:w="0" w:type="dxa"/>
            <w:bottom w:w="0" w:type="dxa"/>
            <w:right w:w="0" w:type="dxa"/>
          </w:tblCellMar>
        </w:tblPrEx>
        <w:trPr>
          <w:trHeight w:val="774" w:hRule="atLeast"/>
          <w:jc w:val="center"/>
        </w:trPr>
        <w:tc>
          <w:tcPr>
            <w:tcW w:w="9494" w:type="dxa"/>
            <w:gridSpan w:val="8"/>
            <w:tcBorders>
              <w:top w:val="nil"/>
              <w:left w:val="single" w:color="auto" w:sz="8" w:space="0"/>
              <w:bottom w:val="single" w:color="auto" w:sz="8" w:space="0"/>
              <w:right w:val="single" w:color="auto" w:sz="8" w:space="0"/>
            </w:tcBorders>
            <w:tcMar>
              <w:left w:w="108" w:type="dxa"/>
              <w:right w:w="108" w:type="dxa"/>
            </w:tcMar>
            <w:vAlign w:val="center"/>
          </w:tcPr>
          <w:p w14:paraId="657A32B8">
            <w:pPr>
              <w:widowControl/>
              <w:spacing w:before="100" w:beforeAutospacing="1" w:after="100" w:afterAutospacing="1" w:line="320" w:lineRule="atLeast"/>
              <w:jc w:val="left"/>
              <w:rPr>
                <w:rFonts w:ascii="宋体" w:hAnsi="宋体" w:cs="宋体"/>
                <w:kern w:val="0"/>
                <w:szCs w:val="21"/>
              </w:rPr>
            </w:pPr>
            <w:r>
              <w:rPr>
                <w:rFonts w:ascii="宋体" w:hAnsi="宋体" w:cs="宋体"/>
                <w:kern w:val="0"/>
                <w:szCs w:val="21"/>
              </w:rPr>
              <w:t>监督人员或其他相关人员签字：</w:t>
            </w:r>
          </w:p>
          <w:p w14:paraId="0A15C99A">
            <w:pPr>
              <w:widowControl/>
              <w:spacing w:before="100" w:beforeAutospacing="1" w:after="100" w:afterAutospacing="1" w:line="320" w:lineRule="atLeast"/>
              <w:ind w:firstLine="74"/>
              <w:jc w:val="left"/>
              <w:rPr>
                <w:rFonts w:ascii="宋体" w:hAnsi="宋体" w:cs="宋体"/>
                <w:kern w:val="0"/>
                <w:szCs w:val="21"/>
              </w:rPr>
            </w:pPr>
            <w:r>
              <w:rPr>
                <w:rFonts w:ascii="宋体" w:hAnsi="宋体" w:cs="宋体"/>
                <w:kern w:val="0"/>
                <w:szCs w:val="21"/>
              </w:rPr>
              <w:t>或受邀机构的意见（盖章）：</w:t>
            </w:r>
          </w:p>
        </w:tc>
      </w:tr>
      <w:tr w14:paraId="51A1858A">
        <w:tblPrEx>
          <w:tblCellMar>
            <w:top w:w="0" w:type="dxa"/>
            <w:left w:w="0" w:type="dxa"/>
            <w:bottom w:w="0" w:type="dxa"/>
            <w:right w:w="0" w:type="dxa"/>
          </w:tblCellMar>
        </w:tblPrEx>
        <w:trPr>
          <w:trHeight w:val="797" w:hRule="atLeast"/>
          <w:jc w:val="center"/>
        </w:trPr>
        <w:tc>
          <w:tcPr>
            <w:tcW w:w="4667" w:type="dxa"/>
            <w:gridSpan w:val="4"/>
            <w:tcBorders>
              <w:top w:val="nil"/>
              <w:left w:val="single" w:color="auto" w:sz="8" w:space="0"/>
              <w:bottom w:val="single" w:color="auto" w:sz="8" w:space="0"/>
              <w:right w:val="nil"/>
            </w:tcBorders>
            <w:tcMar>
              <w:left w:w="108" w:type="dxa"/>
              <w:right w:w="108" w:type="dxa"/>
            </w:tcMar>
            <w:vAlign w:val="center"/>
          </w:tcPr>
          <w:p w14:paraId="71D5DB5E">
            <w:pPr>
              <w:widowControl/>
              <w:spacing w:before="100" w:beforeAutospacing="1" w:after="100" w:afterAutospacing="1" w:line="320" w:lineRule="atLeast"/>
              <w:ind w:firstLine="74"/>
              <w:jc w:val="left"/>
              <w:rPr>
                <w:rFonts w:ascii="宋体" w:hAnsi="宋体" w:cs="宋体"/>
                <w:kern w:val="0"/>
                <w:szCs w:val="21"/>
              </w:rPr>
            </w:pPr>
            <w:r>
              <w:rPr>
                <w:rFonts w:ascii="宋体" w:hAnsi="宋体" w:cs="宋体"/>
                <w:kern w:val="0"/>
                <w:szCs w:val="21"/>
              </w:rPr>
              <w:t>中标或者成交供应商负责人签字或盖章：</w:t>
            </w:r>
          </w:p>
          <w:p w14:paraId="22DD23AB">
            <w:pPr>
              <w:widowControl/>
              <w:spacing w:before="100" w:beforeAutospacing="1" w:after="100" w:afterAutospacing="1" w:line="320" w:lineRule="atLeast"/>
              <w:jc w:val="left"/>
              <w:rPr>
                <w:rFonts w:ascii="宋体" w:hAnsi="宋体" w:cs="宋体"/>
                <w:kern w:val="0"/>
                <w:szCs w:val="21"/>
              </w:rPr>
            </w:pPr>
            <w:r>
              <w:rPr>
                <w:rFonts w:ascii="宋体" w:hAnsi="宋体" w:cs="宋体"/>
                <w:kern w:val="0"/>
                <w:szCs w:val="21"/>
              </w:rPr>
              <w:t>联系电话： 年 月 日</w:t>
            </w:r>
          </w:p>
        </w:tc>
        <w:tc>
          <w:tcPr>
            <w:tcW w:w="4827" w:type="dxa"/>
            <w:gridSpan w:val="4"/>
            <w:tcBorders>
              <w:top w:val="nil"/>
              <w:left w:val="nil"/>
              <w:bottom w:val="single" w:color="auto" w:sz="8" w:space="0"/>
              <w:right w:val="single" w:color="auto" w:sz="8" w:space="0"/>
            </w:tcBorders>
            <w:vAlign w:val="center"/>
          </w:tcPr>
          <w:p w14:paraId="0A2AB3E1">
            <w:pPr>
              <w:widowControl/>
              <w:spacing w:before="100" w:beforeAutospacing="1" w:after="100" w:afterAutospacing="1" w:line="320" w:lineRule="atLeast"/>
              <w:jc w:val="left"/>
              <w:rPr>
                <w:rFonts w:ascii="宋体" w:hAnsi="宋体" w:cs="宋体"/>
                <w:kern w:val="0"/>
                <w:szCs w:val="21"/>
              </w:rPr>
            </w:pPr>
            <w:r>
              <w:rPr>
                <w:rFonts w:ascii="宋体" w:hAnsi="宋体" w:cs="宋体"/>
                <w:kern w:val="0"/>
                <w:szCs w:val="21"/>
              </w:rPr>
              <w:t>采购人或受托机构的意见（盖章）：</w:t>
            </w:r>
          </w:p>
          <w:p w14:paraId="01ABA2E5">
            <w:pPr>
              <w:widowControl/>
              <w:spacing w:before="100" w:beforeAutospacing="1" w:after="100" w:afterAutospacing="1" w:line="320" w:lineRule="atLeast"/>
              <w:jc w:val="left"/>
              <w:rPr>
                <w:rFonts w:ascii="宋体" w:hAnsi="宋体" w:cs="宋体"/>
                <w:kern w:val="0"/>
                <w:szCs w:val="21"/>
              </w:rPr>
            </w:pPr>
            <w:r>
              <w:rPr>
                <w:rFonts w:ascii="宋体" w:hAnsi="宋体" w:cs="宋体"/>
                <w:kern w:val="0"/>
                <w:szCs w:val="21"/>
              </w:rPr>
              <w:t>联系电话： 年 月 日</w:t>
            </w:r>
          </w:p>
        </w:tc>
      </w:tr>
    </w:tbl>
    <w:p w14:paraId="752C6A15">
      <w:pPr>
        <w:jc w:val="left"/>
        <w:rPr>
          <w:rFonts w:ascii="宋体" w:hAnsi="宋体"/>
        </w:rPr>
      </w:pPr>
    </w:p>
    <w:p w14:paraId="6BE9B6E0">
      <w:pPr>
        <w:pStyle w:val="2"/>
        <w:spacing w:before="0" w:after="0" w:line="600" w:lineRule="auto"/>
        <w:jc w:val="center"/>
        <w:rPr>
          <w:rFonts w:ascii="宋体" w:hAnsi="宋体" w:cs="宋体"/>
        </w:rPr>
      </w:pPr>
      <w:r>
        <w:rPr>
          <w:rFonts w:ascii="宋体" w:hAnsi="宋体"/>
        </w:rPr>
        <w:br w:type="page"/>
      </w:r>
      <w:bookmarkStart w:id="57" w:name="_Toc22141"/>
      <w:r>
        <w:rPr>
          <w:rFonts w:hint="eastAsia" w:ascii="宋体" w:hAnsi="宋体" w:cs="宋体"/>
        </w:rPr>
        <w:t>第三章  投标人须知</w:t>
      </w:r>
      <w:bookmarkEnd w:id="57"/>
    </w:p>
    <w:p w14:paraId="7E8A6453">
      <w:pPr>
        <w:pStyle w:val="3"/>
        <w:spacing w:before="0" w:after="0" w:line="480" w:lineRule="auto"/>
        <w:jc w:val="center"/>
        <w:rPr>
          <w:rFonts w:ascii="宋体" w:hAnsi="宋体" w:eastAsia="宋体" w:cs="宋体"/>
          <w:szCs w:val="30"/>
        </w:rPr>
      </w:pPr>
      <w:bookmarkStart w:id="58" w:name="_Toc6228"/>
      <w:bookmarkStart w:id="59" w:name="_Toc18625"/>
      <w:bookmarkStart w:id="60" w:name="_Toc254970526"/>
      <w:bookmarkStart w:id="61" w:name="_Toc254970667"/>
      <w:r>
        <w:rPr>
          <w:rFonts w:hint="eastAsia" w:ascii="宋体" w:hAnsi="宋体" w:eastAsia="宋体" w:cs="宋体"/>
        </w:rPr>
        <w:t>第一节 投标人须知前附表</w:t>
      </w:r>
      <w:bookmarkEnd w:id="58"/>
      <w:bookmarkEnd w:id="59"/>
    </w:p>
    <w:tbl>
      <w:tblPr>
        <w:tblStyle w:val="48"/>
        <w:tblW w:w="9942" w:type="dxa"/>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0"/>
        <w:gridCol w:w="2053"/>
        <w:gridCol w:w="6999"/>
      </w:tblGrid>
      <w:tr w14:paraId="718EA5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tcBorders>
              <w:top w:val="single" w:color="auto" w:sz="4" w:space="0"/>
              <w:left w:val="single" w:color="auto" w:sz="4" w:space="0"/>
              <w:bottom w:val="single" w:color="auto" w:sz="4" w:space="0"/>
              <w:right w:val="single" w:color="auto" w:sz="4" w:space="0"/>
            </w:tcBorders>
            <w:vAlign w:val="center"/>
          </w:tcPr>
          <w:p w14:paraId="4B744B4B">
            <w:pPr>
              <w:snapToGrid w:val="0"/>
              <w:spacing w:line="400" w:lineRule="exact"/>
              <w:jc w:val="center"/>
              <w:rPr>
                <w:rFonts w:ascii="宋体" w:hAnsi="宋体" w:cs="宋体"/>
                <w:szCs w:val="21"/>
              </w:rPr>
            </w:pPr>
            <w:r>
              <w:rPr>
                <w:rFonts w:hint="eastAsia" w:ascii="宋体" w:hAnsi="宋体" w:cs="宋体"/>
                <w:szCs w:val="21"/>
              </w:rPr>
              <w:t>条款号</w:t>
            </w:r>
          </w:p>
        </w:tc>
        <w:tc>
          <w:tcPr>
            <w:tcW w:w="2053" w:type="dxa"/>
            <w:tcBorders>
              <w:top w:val="single" w:color="auto" w:sz="4" w:space="0"/>
              <w:left w:val="single" w:color="auto" w:sz="4" w:space="0"/>
              <w:bottom w:val="single" w:color="auto" w:sz="4" w:space="0"/>
              <w:right w:val="single" w:color="auto" w:sz="4" w:space="0"/>
            </w:tcBorders>
            <w:vAlign w:val="center"/>
          </w:tcPr>
          <w:p w14:paraId="29A3102A">
            <w:pPr>
              <w:snapToGrid w:val="0"/>
              <w:spacing w:line="400" w:lineRule="exact"/>
              <w:jc w:val="center"/>
              <w:rPr>
                <w:rFonts w:ascii="宋体" w:hAnsi="宋体" w:cs="宋体"/>
                <w:szCs w:val="21"/>
              </w:rPr>
            </w:pPr>
            <w:r>
              <w:rPr>
                <w:rFonts w:hint="eastAsia" w:ascii="宋体" w:hAnsi="宋体" w:cs="宋体"/>
                <w:szCs w:val="21"/>
              </w:rPr>
              <w:t>项目内容</w:t>
            </w:r>
          </w:p>
        </w:tc>
        <w:tc>
          <w:tcPr>
            <w:tcW w:w="6999" w:type="dxa"/>
            <w:tcBorders>
              <w:top w:val="single" w:color="auto" w:sz="4" w:space="0"/>
              <w:left w:val="single" w:color="auto" w:sz="4" w:space="0"/>
              <w:bottom w:val="single" w:color="auto" w:sz="4" w:space="0"/>
              <w:right w:val="single" w:color="auto" w:sz="4" w:space="0"/>
            </w:tcBorders>
            <w:vAlign w:val="center"/>
          </w:tcPr>
          <w:p w14:paraId="620273C5">
            <w:pPr>
              <w:snapToGrid w:val="0"/>
              <w:spacing w:line="400" w:lineRule="exact"/>
              <w:jc w:val="center"/>
              <w:rPr>
                <w:rFonts w:ascii="宋体" w:hAnsi="宋体" w:cs="宋体"/>
                <w:szCs w:val="21"/>
              </w:rPr>
            </w:pPr>
            <w:r>
              <w:rPr>
                <w:rFonts w:hint="eastAsia" w:ascii="宋体" w:hAnsi="宋体" w:cs="宋体"/>
                <w:szCs w:val="21"/>
              </w:rPr>
              <w:t>编列内容</w:t>
            </w:r>
          </w:p>
        </w:tc>
      </w:tr>
      <w:tr w14:paraId="01DC57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tcBorders>
              <w:top w:val="single" w:color="auto" w:sz="4" w:space="0"/>
              <w:left w:val="single" w:color="auto" w:sz="4" w:space="0"/>
              <w:bottom w:val="single" w:color="auto" w:sz="4" w:space="0"/>
              <w:right w:val="single" w:color="auto" w:sz="4" w:space="0"/>
            </w:tcBorders>
            <w:vAlign w:val="center"/>
          </w:tcPr>
          <w:p w14:paraId="1DEABEBA">
            <w:pPr>
              <w:spacing w:line="400" w:lineRule="exact"/>
              <w:jc w:val="center"/>
              <w:rPr>
                <w:rFonts w:ascii="宋体" w:hAnsi="宋体" w:cs="宋体"/>
                <w:szCs w:val="21"/>
              </w:rPr>
            </w:pPr>
            <w:r>
              <w:rPr>
                <w:rFonts w:hint="eastAsia" w:ascii="宋体" w:hAnsi="宋体" w:cs="宋体"/>
                <w:szCs w:val="21"/>
              </w:rPr>
              <w:t>6.1</w:t>
            </w:r>
          </w:p>
        </w:tc>
        <w:tc>
          <w:tcPr>
            <w:tcW w:w="2053" w:type="dxa"/>
            <w:tcBorders>
              <w:top w:val="single" w:color="auto" w:sz="4" w:space="0"/>
              <w:left w:val="single" w:color="auto" w:sz="4" w:space="0"/>
              <w:bottom w:val="single" w:color="auto" w:sz="4" w:space="0"/>
              <w:right w:val="single" w:color="auto" w:sz="4" w:space="0"/>
            </w:tcBorders>
            <w:vAlign w:val="center"/>
          </w:tcPr>
          <w:p w14:paraId="2E331797">
            <w:pPr>
              <w:spacing w:line="400" w:lineRule="exact"/>
              <w:jc w:val="center"/>
              <w:rPr>
                <w:rFonts w:ascii="宋体" w:hAnsi="宋体" w:cs="宋体"/>
                <w:szCs w:val="21"/>
              </w:rPr>
            </w:pPr>
            <w:r>
              <w:rPr>
                <w:rFonts w:hint="eastAsia" w:ascii="宋体" w:hAnsi="宋体" w:cs="宋体"/>
                <w:szCs w:val="21"/>
              </w:rPr>
              <w:t>是否接受联合体投标</w:t>
            </w:r>
          </w:p>
        </w:tc>
        <w:tc>
          <w:tcPr>
            <w:tcW w:w="6999" w:type="dxa"/>
            <w:tcBorders>
              <w:top w:val="single" w:color="auto" w:sz="4" w:space="0"/>
              <w:left w:val="single" w:color="auto" w:sz="4" w:space="0"/>
              <w:bottom w:val="single" w:color="auto" w:sz="4" w:space="0"/>
              <w:right w:val="single" w:color="auto" w:sz="4" w:space="0"/>
            </w:tcBorders>
            <w:vAlign w:val="center"/>
          </w:tcPr>
          <w:p w14:paraId="7C1ED768">
            <w:pPr>
              <w:pStyle w:val="16"/>
              <w:spacing w:line="400" w:lineRule="exact"/>
              <w:jc w:val="both"/>
              <w:rPr>
                <w:rFonts w:ascii="宋体" w:hAnsi="宋体" w:cs="宋体"/>
                <w:szCs w:val="21"/>
              </w:rPr>
            </w:pPr>
            <w:bookmarkStart w:id="62" w:name="PO_3000001867_PM007_1"/>
            <w:r>
              <w:rPr>
                <w:rFonts w:hint="eastAsia" w:ascii="宋体" w:hAnsi="宋体" w:cs="宋体"/>
                <w:szCs w:val="21"/>
              </w:rPr>
              <w:t>不允许联合体投标</w:t>
            </w:r>
            <w:bookmarkEnd w:id="62"/>
            <w:r>
              <w:rPr>
                <w:rFonts w:hint="eastAsia" w:ascii="宋体" w:hAnsi="宋体" w:cs="宋体"/>
                <w:szCs w:val="21"/>
              </w:rPr>
              <w:t>。</w:t>
            </w:r>
          </w:p>
        </w:tc>
      </w:tr>
      <w:tr w14:paraId="3F7FB6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tcBorders>
              <w:top w:val="single" w:color="auto" w:sz="4" w:space="0"/>
              <w:left w:val="single" w:color="auto" w:sz="4" w:space="0"/>
              <w:bottom w:val="single" w:color="auto" w:sz="4" w:space="0"/>
              <w:right w:val="single" w:color="auto" w:sz="4" w:space="0"/>
            </w:tcBorders>
            <w:vAlign w:val="center"/>
          </w:tcPr>
          <w:p w14:paraId="02DD1BC0">
            <w:pPr>
              <w:spacing w:line="400" w:lineRule="exact"/>
              <w:jc w:val="center"/>
              <w:rPr>
                <w:rFonts w:ascii="宋体" w:hAnsi="宋体" w:cs="宋体"/>
                <w:szCs w:val="21"/>
              </w:rPr>
            </w:pPr>
            <w:r>
              <w:rPr>
                <w:rFonts w:hint="eastAsia" w:ascii="宋体" w:hAnsi="宋体" w:cs="宋体"/>
                <w:szCs w:val="21"/>
              </w:rPr>
              <w:t>6.2</w:t>
            </w:r>
          </w:p>
        </w:tc>
        <w:tc>
          <w:tcPr>
            <w:tcW w:w="2053" w:type="dxa"/>
            <w:tcBorders>
              <w:top w:val="single" w:color="auto" w:sz="4" w:space="0"/>
              <w:left w:val="single" w:color="auto" w:sz="4" w:space="0"/>
              <w:bottom w:val="single" w:color="auto" w:sz="4" w:space="0"/>
              <w:right w:val="single" w:color="auto" w:sz="4" w:space="0"/>
            </w:tcBorders>
            <w:vAlign w:val="center"/>
          </w:tcPr>
          <w:p w14:paraId="307698C7">
            <w:pPr>
              <w:spacing w:line="400" w:lineRule="exact"/>
              <w:jc w:val="center"/>
              <w:rPr>
                <w:rFonts w:ascii="宋体" w:hAnsi="宋体" w:cs="宋体"/>
                <w:szCs w:val="21"/>
              </w:rPr>
            </w:pPr>
            <w:r>
              <w:rPr>
                <w:rFonts w:hint="eastAsia" w:ascii="宋体" w:hAnsi="宋体" w:cs="宋体"/>
                <w:szCs w:val="21"/>
              </w:rPr>
              <w:t>联合体投标要求</w:t>
            </w:r>
          </w:p>
        </w:tc>
        <w:tc>
          <w:tcPr>
            <w:tcW w:w="6999" w:type="dxa"/>
            <w:tcBorders>
              <w:top w:val="single" w:color="auto" w:sz="4" w:space="0"/>
              <w:left w:val="single" w:color="auto" w:sz="4" w:space="0"/>
              <w:bottom w:val="single" w:color="auto" w:sz="4" w:space="0"/>
              <w:right w:val="single" w:color="auto" w:sz="4" w:space="0"/>
            </w:tcBorders>
            <w:vAlign w:val="center"/>
          </w:tcPr>
          <w:p w14:paraId="29927CE8">
            <w:pPr>
              <w:pStyle w:val="16"/>
              <w:spacing w:line="400" w:lineRule="exact"/>
              <w:jc w:val="both"/>
              <w:rPr>
                <w:rFonts w:ascii="宋体" w:hAnsi="宋体" w:cs="宋体"/>
                <w:szCs w:val="21"/>
              </w:rPr>
            </w:pPr>
            <w:r>
              <w:rPr>
                <w:rFonts w:hint="eastAsia" w:ascii="宋体" w:hAnsi="宋体" w:cs="宋体"/>
                <w:szCs w:val="21"/>
              </w:rPr>
              <w:t>无</w:t>
            </w:r>
          </w:p>
        </w:tc>
      </w:tr>
      <w:tr w14:paraId="405080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tcBorders>
              <w:top w:val="single" w:color="auto" w:sz="4" w:space="0"/>
              <w:left w:val="single" w:color="auto" w:sz="4" w:space="0"/>
              <w:bottom w:val="single" w:color="auto" w:sz="4" w:space="0"/>
              <w:right w:val="single" w:color="auto" w:sz="4" w:space="0"/>
            </w:tcBorders>
            <w:vAlign w:val="center"/>
          </w:tcPr>
          <w:p w14:paraId="02C10424">
            <w:pPr>
              <w:spacing w:line="400" w:lineRule="exact"/>
              <w:jc w:val="center"/>
              <w:rPr>
                <w:rFonts w:ascii="宋体" w:hAnsi="宋体" w:cs="宋体"/>
                <w:szCs w:val="21"/>
              </w:rPr>
            </w:pPr>
            <w:r>
              <w:rPr>
                <w:rFonts w:hint="eastAsia" w:ascii="宋体" w:hAnsi="宋体" w:cs="宋体"/>
                <w:szCs w:val="21"/>
              </w:rPr>
              <w:t>7.2</w:t>
            </w:r>
          </w:p>
        </w:tc>
        <w:tc>
          <w:tcPr>
            <w:tcW w:w="2053" w:type="dxa"/>
            <w:tcBorders>
              <w:top w:val="single" w:color="auto" w:sz="4" w:space="0"/>
              <w:left w:val="single" w:color="auto" w:sz="4" w:space="0"/>
              <w:bottom w:val="single" w:color="auto" w:sz="4" w:space="0"/>
              <w:right w:val="single" w:color="auto" w:sz="4" w:space="0"/>
            </w:tcBorders>
            <w:vAlign w:val="center"/>
          </w:tcPr>
          <w:p w14:paraId="4948A4C6">
            <w:pPr>
              <w:spacing w:line="400" w:lineRule="exact"/>
              <w:jc w:val="center"/>
              <w:rPr>
                <w:rFonts w:ascii="宋体" w:hAnsi="宋体" w:cs="宋体"/>
                <w:szCs w:val="21"/>
              </w:rPr>
            </w:pPr>
            <w:r>
              <w:rPr>
                <w:rFonts w:hint="eastAsia" w:ascii="宋体" w:hAnsi="宋体" w:cs="宋体"/>
                <w:szCs w:val="21"/>
              </w:rPr>
              <w:t>是否允许转包/分包</w:t>
            </w:r>
          </w:p>
        </w:tc>
        <w:tc>
          <w:tcPr>
            <w:tcW w:w="6999" w:type="dxa"/>
            <w:tcBorders>
              <w:top w:val="single" w:color="auto" w:sz="4" w:space="0"/>
              <w:left w:val="single" w:color="auto" w:sz="4" w:space="0"/>
              <w:bottom w:val="single" w:color="auto" w:sz="4" w:space="0"/>
              <w:right w:val="single" w:color="auto" w:sz="4" w:space="0"/>
            </w:tcBorders>
            <w:vAlign w:val="center"/>
          </w:tcPr>
          <w:p w14:paraId="713771D0">
            <w:pPr>
              <w:pStyle w:val="16"/>
              <w:spacing w:line="400" w:lineRule="exact"/>
              <w:jc w:val="both"/>
              <w:rPr>
                <w:rFonts w:ascii="宋体" w:hAnsi="宋体" w:cs="宋体"/>
                <w:szCs w:val="21"/>
              </w:rPr>
            </w:pPr>
            <w:r>
              <w:rPr>
                <w:rFonts w:hint="eastAsia" w:ascii="宋体" w:hAnsi="宋体" w:cs="宋体"/>
                <w:szCs w:val="21"/>
              </w:rPr>
              <w:t>☑不允许转包</w:t>
            </w:r>
          </w:p>
          <w:p w14:paraId="4AC9D14B">
            <w:pPr>
              <w:pStyle w:val="16"/>
              <w:spacing w:line="400" w:lineRule="exact"/>
              <w:jc w:val="both"/>
              <w:rPr>
                <w:rFonts w:ascii="宋体" w:hAnsi="宋体" w:cs="宋体"/>
                <w:szCs w:val="21"/>
              </w:rPr>
            </w:pPr>
            <w:r>
              <w:rPr>
                <w:rFonts w:hint="eastAsia" w:ascii="宋体" w:hAnsi="宋体" w:cs="宋体"/>
                <w:szCs w:val="21"/>
              </w:rPr>
              <w:t>☑不允许分包</w:t>
            </w:r>
          </w:p>
          <w:p w14:paraId="503AE9D2">
            <w:pPr>
              <w:pStyle w:val="16"/>
              <w:spacing w:line="400" w:lineRule="exact"/>
              <w:jc w:val="both"/>
              <w:rPr>
                <w:rFonts w:ascii="宋体" w:hAnsi="宋体" w:cs="宋体"/>
                <w:szCs w:val="21"/>
              </w:rPr>
            </w:pPr>
            <w:r>
              <w:rPr>
                <w:rFonts w:hint="eastAsia" w:ascii="宋体" w:hAnsi="宋体" w:cs="宋体"/>
                <w:szCs w:val="21"/>
              </w:rPr>
              <w:t>□允许转包</w:t>
            </w:r>
          </w:p>
          <w:p w14:paraId="631BCBC5">
            <w:pPr>
              <w:pStyle w:val="16"/>
              <w:spacing w:line="400" w:lineRule="exact"/>
              <w:jc w:val="both"/>
              <w:rPr>
                <w:rFonts w:ascii="宋体" w:hAnsi="宋体" w:cs="宋体"/>
                <w:szCs w:val="21"/>
              </w:rPr>
            </w:pPr>
            <w:r>
              <w:rPr>
                <w:rFonts w:hint="eastAsia" w:ascii="宋体" w:hAnsi="宋体" w:cs="宋体"/>
                <w:szCs w:val="21"/>
              </w:rPr>
              <w:t>□允许分包</w:t>
            </w:r>
          </w:p>
          <w:p w14:paraId="0AC67647">
            <w:pPr>
              <w:pStyle w:val="16"/>
              <w:spacing w:line="400" w:lineRule="exact"/>
              <w:jc w:val="both"/>
              <w:rPr>
                <w:rFonts w:ascii="宋体" w:hAnsi="宋体" w:cs="宋体"/>
                <w:szCs w:val="21"/>
              </w:rPr>
            </w:pPr>
            <w:r>
              <w:rPr>
                <w:rFonts w:hint="eastAsia" w:ascii="宋体" w:hAnsi="宋体" w:cs="宋体"/>
                <w:szCs w:val="21"/>
              </w:rPr>
              <w:t>分包内容：</w:t>
            </w:r>
            <w:r>
              <w:rPr>
                <w:rFonts w:hint="eastAsia" w:ascii="宋体" w:hAnsi="宋体" w:cs="宋体"/>
                <w:szCs w:val="21"/>
                <w:u w:val="single"/>
              </w:rPr>
              <w:t>/ 。</w:t>
            </w:r>
          </w:p>
          <w:p w14:paraId="490292C9">
            <w:pPr>
              <w:pStyle w:val="16"/>
              <w:spacing w:line="400" w:lineRule="exact"/>
              <w:jc w:val="both"/>
              <w:rPr>
                <w:rFonts w:ascii="宋体" w:hAnsi="宋体" w:cs="宋体"/>
                <w:szCs w:val="21"/>
              </w:rPr>
            </w:pPr>
            <w:r>
              <w:rPr>
                <w:rFonts w:hint="eastAsia" w:ascii="宋体" w:hAnsi="宋体" w:cs="宋体"/>
                <w:szCs w:val="21"/>
              </w:rPr>
              <w:t>分包金额或者比例：</w:t>
            </w:r>
            <w:r>
              <w:rPr>
                <w:rFonts w:hint="eastAsia" w:ascii="宋体" w:hAnsi="宋体" w:cs="宋体"/>
                <w:szCs w:val="21"/>
                <w:u w:val="single"/>
              </w:rPr>
              <w:t xml:space="preserve">/ </w:t>
            </w:r>
            <w:r>
              <w:rPr>
                <w:rFonts w:hint="eastAsia" w:ascii="宋体" w:hAnsi="宋体" w:cs="宋体"/>
                <w:szCs w:val="21"/>
              </w:rPr>
              <w:t>。</w:t>
            </w:r>
          </w:p>
        </w:tc>
      </w:tr>
      <w:tr w14:paraId="6861B0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tcBorders>
              <w:top w:val="single" w:color="auto" w:sz="4" w:space="0"/>
              <w:left w:val="single" w:color="auto" w:sz="4" w:space="0"/>
              <w:bottom w:val="single" w:color="auto" w:sz="4" w:space="0"/>
              <w:right w:val="single" w:color="auto" w:sz="4" w:space="0"/>
            </w:tcBorders>
            <w:vAlign w:val="center"/>
          </w:tcPr>
          <w:p w14:paraId="075331D0">
            <w:pPr>
              <w:spacing w:line="400" w:lineRule="exact"/>
              <w:jc w:val="center"/>
              <w:rPr>
                <w:rFonts w:ascii="宋体" w:hAnsi="宋体" w:cs="宋体"/>
                <w:szCs w:val="21"/>
              </w:rPr>
            </w:pPr>
            <w:r>
              <w:rPr>
                <w:rFonts w:hint="eastAsia" w:ascii="宋体" w:hAnsi="宋体" w:cs="宋体"/>
                <w:szCs w:val="21"/>
              </w:rPr>
              <w:t>11.4</w:t>
            </w:r>
          </w:p>
        </w:tc>
        <w:tc>
          <w:tcPr>
            <w:tcW w:w="2053" w:type="dxa"/>
            <w:tcBorders>
              <w:top w:val="single" w:color="auto" w:sz="4" w:space="0"/>
              <w:left w:val="single" w:color="auto" w:sz="4" w:space="0"/>
              <w:bottom w:val="single" w:color="auto" w:sz="4" w:space="0"/>
              <w:right w:val="single" w:color="auto" w:sz="4" w:space="0"/>
            </w:tcBorders>
            <w:vAlign w:val="center"/>
          </w:tcPr>
          <w:p w14:paraId="6A1B18F1">
            <w:pPr>
              <w:spacing w:line="400" w:lineRule="exact"/>
              <w:jc w:val="center"/>
              <w:rPr>
                <w:rFonts w:ascii="宋体" w:hAnsi="宋体" w:cs="宋体"/>
                <w:szCs w:val="21"/>
              </w:rPr>
            </w:pPr>
            <w:r>
              <w:rPr>
                <w:rFonts w:hint="eastAsia" w:ascii="宋体" w:hAnsi="宋体" w:cs="宋体"/>
                <w:szCs w:val="21"/>
              </w:rPr>
              <w:t>媒体发布渠道</w:t>
            </w:r>
          </w:p>
        </w:tc>
        <w:tc>
          <w:tcPr>
            <w:tcW w:w="6999" w:type="dxa"/>
            <w:tcBorders>
              <w:top w:val="single" w:color="auto" w:sz="4" w:space="0"/>
              <w:left w:val="single" w:color="auto" w:sz="4" w:space="0"/>
              <w:bottom w:val="single" w:color="auto" w:sz="4" w:space="0"/>
              <w:right w:val="single" w:color="auto" w:sz="4" w:space="0"/>
            </w:tcBorders>
            <w:vAlign w:val="center"/>
          </w:tcPr>
          <w:p w14:paraId="360D9F75">
            <w:pPr>
              <w:spacing w:line="400" w:lineRule="exact"/>
              <w:rPr>
                <w:rFonts w:ascii="宋体" w:hAnsi="宋体" w:cs="宋体"/>
                <w:szCs w:val="21"/>
              </w:rPr>
            </w:pPr>
            <w:r>
              <w:rPr>
                <w:rFonts w:hint="eastAsia" w:ascii="宋体" w:hAnsi="宋体" w:cs="宋体"/>
                <w:szCs w:val="21"/>
              </w:rPr>
              <w:t>与本项目相关的政府采购业务澄清、更正及与之相关的事项将在采购公告中“六、其他补充事宜”中网上查询地址上发布</w:t>
            </w:r>
            <w:r>
              <w:rPr>
                <w:rFonts w:hint="eastAsia" w:ascii="宋体" w:hAnsi="宋体" w:cs="宋体"/>
                <w:kern w:val="0"/>
                <w:szCs w:val="21"/>
              </w:rPr>
              <w:t>。</w:t>
            </w:r>
          </w:p>
        </w:tc>
      </w:tr>
      <w:tr w14:paraId="3CF925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vMerge w:val="restart"/>
            <w:tcBorders>
              <w:top w:val="single" w:color="auto" w:sz="4" w:space="0"/>
              <w:left w:val="single" w:color="auto" w:sz="4" w:space="0"/>
              <w:right w:val="single" w:color="auto" w:sz="4" w:space="0"/>
            </w:tcBorders>
            <w:vAlign w:val="center"/>
          </w:tcPr>
          <w:p w14:paraId="676E3101">
            <w:pPr>
              <w:spacing w:line="400" w:lineRule="exact"/>
              <w:jc w:val="center"/>
              <w:rPr>
                <w:rFonts w:ascii="宋体" w:hAnsi="宋体" w:cs="宋体"/>
                <w:szCs w:val="21"/>
              </w:rPr>
            </w:pPr>
            <w:r>
              <w:rPr>
                <w:rFonts w:hint="eastAsia" w:ascii="宋体" w:hAnsi="宋体" w:cs="宋体"/>
                <w:szCs w:val="21"/>
              </w:rPr>
              <w:t>11.5</w:t>
            </w:r>
          </w:p>
        </w:tc>
        <w:tc>
          <w:tcPr>
            <w:tcW w:w="2053" w:type="dxa"/>
            <w:tcBorders>
              <w:top w:val="single" w:color="auto" w:sz="4" w:space="0"/>
              <w:left w:val="single" w:color="auto" w:sz="4" w:space="0"/>
              <w:bottom w:val="single" w:color="auto" w:sz="4" w:space="0"/>
              <w:right w:val="single" w:color="auto" w:sz="4" w:space="0"/>
            </w:tcBorders>
            <w:vAlign w:val="center"/>
          </w:tcPr>
          <w:p w14:paraId="75B5263D">
            <w:pPr>
              <w:spacing w:line="400" w:lineRule="exact"/>
              <w:jc w:val="center"/>
              <w:rPr>
                <w:rFonts w:ascii="宋体" w:hAnsi="宋体" w:cs="宋体"/>
                <w:szCs w:val="21"/>
              </w:rPr>
            </w:pPr>
            <w:r>
              <w:rPr>
                <w:rFonts w:hint="eastAsia" w:ascii="宋体" w:hAnsi="宋体" w:cs="宋体"/>
                <w:szCs w:val="21"/>
              </w:rPr>
              <w:t>是否组织现场考察</w:t>
            </w:r>
          </w:p>
        </w:tc>
        <w:tc>
          <w:tcPr>
            <w:tcW w:w="6999" w:type="dxa"/>
            <w:tcBorders>
              <w:top w:val="single" w:color="auto" w:sz="4" w:space="0"/>
              <w:left w:val="single" w:color="auto" w:sz="4" w:space="0"/>
              <w:bottom w:val="single" w:color="auto" w:sz="4" w:space="0"/>
              <w:right w:val="single" w:color="auto" w:sz="4" w:space="0"/>
            </w:tcBorders>
            <w:vAlign w:val="center"/>
          </w:tcPr>
          <w:p w14:paraId="6C0FDE52">
            <w:pPr>
              <w:snapToGrid w:val="0"/>
              <w:spacing w:line="400" w:lineRule="exact"/>
              <w:rPr>
                <w:rFonts w:ascii="宋体" w:hAnsi="宋体" w:cs="宋体"/>
                <w:szCs w:val="21"/>
              </w:rPr>
            </w:pPr>
            <w:r>
              <w:rPr>
                <w:rFonts w:hint="eastAsia" w:ascii="宋体" w:hAnsi="宋体" w:cs="宋体"/>
                <w:szCs w:val="21"/>
              </w:rPr>
              <w:t>☑不组织现场考察</w:t>
            </w:r>
          </w:p>
          <w:p w14:paraId="3852347C">
            <w:pPr>
              <w:snapToGrid w:val="0"/>
              <w:spacing w:line="400" w:lineRule="exact"/>
              <w:rPr>
                <w:rFonts w:ascii="宋体" w:hAnsi="宋体" w:cs="宋体"/>
                <w:szCs w:val="21"/>
              </w:rPr>
            </w:pPr>
            <w:r>
              <w:rPr>
                <w:rFonts w:hint="eastAsia" w:ascii="宋体" w:hAnsi="宋体" w:cs="宋体"/>
                <w:szCs w:val="21"/>
              </w:rPr>
              <w:t>□组织召开现场考察</w:t>
            </w:r>
          </w:p>
          <w:p w14:paraId="1A0C1473">
            <w:pPr>
              <w:snapToGrid w:val="0"/>
              <w:spacing w:line="400" w:lineRule="exact"/>
              <w:rPr>
                <w:rFonts w:ascii="宋体" w:hAnsi="宋体" w:cs="宋体"/>
                <w:szCs w:val="21"/>
                <w:u w:val="single"/>
              </w:rPr>
            </w:pPr>
            <w:r>
              <w:rPr>
                <w:rFonts w:hint="eastAsia" w:ascii="宋体" w:hAnsi="宋体" w:cs="宋体"/>
                <w:szCs w:val="21"/>
              </w:rPr>
              <w:t>集中时间：</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 xml:space="preserve">日 </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分</w:t>
            </w:r>
            <w:r>
              <w:rPr>
                <w:rFonts w:hint="eastAsia" w:ascii="宋体" w:hAnsi="宋体" w:cs="宋体"/>
                <w:szCs w:val="21"/>
              </w:rPr>
              <w:t>，逾期后果自负。集中地点：</w:t>
            </w:r>
            <w:r>
              <w:rPr>
                <w:rFonts w:hint="eastAsia" w:ascii="宋体" w:hAnsi="宋体" w:cs="宋体"/>
                <w:szCs w:val="21"/>
                <w:u w:val="single"/>
              </w:rPr>
              <w:t xml:space="preserve">             </w:t>
            </w:r>
          </w:p>
        </w:tc>
      </w:tr>
      <w:tr w14:paraId="6E3B2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vMerge w:val="continue"/>
            <w:tcBorders>
              <w:left w:val="single" w:color="auto" w:sz="4" w:space="0"/>
              <w:bottom w:val="single" w:color="auto" w:sz="4" w:space="0"/>
              <w:right w:val="single" w:color="auto" w:sz="4" w:space="0"/>
            </w:tcBorders>
            <w:vAlign w:val="center"/>
          </w:tcPr>
          <w:p w14:paraId="597E9999">
            <w:pPr>
              <w:spacing w:line="400" w:lineRule="exact"/>
              <w:jc w:val="center"/>
              <w:rPr>
                <w:rFonts w:ascii="宋体" w:hAnsi="宋体" w:cs="宋体"/>
                <w:szCs w:val="21"/>
              </w:rPr>
            </w:pPr>
          </w:p>
        </w:tc>
        <w:tc>
          <w:tcPr>
            <w:tcW w:w="2053" w:type="dxa"/>
            <w:tcBorders>
              <w:top w:val="single" w:color="auto" w:sz="4" w:space="0"/>
              <w:left w:val="single" w:color="auto" w:sz="4" w:space="0"/>
              <w:bottom w:val="single" w:color="auto" w:sz="4" w:space="0"/>
              <w:right w:val="single" w:color="auto" w:sz="4" w:space="0"/>
            </w:tcBorders>
            <w:vAlign w:val="center"/>
          </w:tcPr>
          <w:p w14:paraId="56B813A5">
            <w:pPr>
              <w:spacing w:line="400" w:lineRule="exact"/>
              <w:jc w:val="center"/>
              <w:rPr>
                <w:rFonts w:ascii="宋体" w:hAnsi="宋体" w:cs="宋体"/>
                <w:szCs w:val="21"/>
              </w:rPr>
            </w:pPr>
            <w:r>
              <w:rPr>
                <w:rFonts w:hint="eastAsia" w:ascii="宋体" w:hAnsi="宋体" w:cs="宋体"/>
                <w:szCs w:val="21"/>
              </w:rPr>
              <w:t>是否组织标前答疑会</w:t>
            </w:r>
          </w:p>
        </w:tc>
        <w:tc>
          <w:tcPr>
            <w:tcW w:w="6999" w:type="dxa"/>
            <w:tcBorders>
              <w:top w:val="single" w:color="auto" w:sz="4" w:space="0"/>
              <w:left w:val="single" w:color="auto" w:sz="4" w:space="0"/>
              <w:bottom w:val="single" w:color="auto" w:sz="4" w:space="0"/>
              <w:right w:val="single" w:color="auto" w:sz="4" w:space="0"/>
            </w:tcBorders>
            <w:vAlign w:val="center"/>
          </w:tcPr>
          <w:p w14:paraId="06D76CEF">
            <w:pPr>
              <w:snapToGrid w:val="0"/>
              <w:spacing w:line="400" w:lineRule="exact"/>
              <w:rPr>
                <w:rFonts w:ascii="宋体" w:hAnsi="宋体" w:cs="宋体"/>
                <w:szCs w:val="21"/>
              </w:rPr>
            </w:pPr>
            <w:r>
              <w:rPr>
                <w:rFonts w:hint="eastAsia" w:ascii="宋体" w:hAnsi="宋体" w:cs="宋体"/>
                <w:szCs w:val="21"/>
              </w:rPr>
              <w:t>☑不组织召开开标前答疑会</w:t>
            </w:r>
          </w:p>
          <w:p w14:paraId="20811571">
            <w:pPr>
              <w:snapToGrid w:val="0"/>
              <w:spacing w:line="400" w:lineRule="exact"/>
              <w:rPr>
                <w:rFonts w:ascii="宋体" w:hAnsi="宋体" w:cs="宋体"/>
                <w:szCs w:val="21"/>
              </w:rPr>
            </w:pPr>
            <w:r>
              <w:rPr>
                <w:rFonts w:hint="eastAsia" w:ascii="宋体" w:hAnsi="宋体" w:cs="宋体"/>
                <w:szCs w:val="21"/>
              </w:rPr>
              <w:t>□组织召开开标前答疑会</w:t>
            </w:r>
          </w:p>
          <w:p w14:paraId="5CEC7E5A">
            <w:pPr>
              <w:snapToGrid w:val="0"/>
              <w:spacing w:line="400" w:lineRule="exact"/>
              <w:rPr>
                <w:rFonts w:ascii="宋体" w:hAnsi="宋体" w:cs="宋体"/>
                <w:szCs w:val="21"/>
                <w:u w:val="single"/>
              </w:rPr>
            </w:pPr>
            <w:r>
              <w:rPr>
                <w:rFonts w:hint="eastAsia" w:ascii="宋体" w:hAnsi="宋体" w:cs="宋体"/>
                <w:szCs w:val="21"/>
              </w:rPr>
              <w:t>会议开始时间：</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 xml:space="preserve">日 </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分</w:t>
            </w:r>
            <w:r>
              <w:rPr>
                <w:rFonts w:hint="eastAsia" w:ascii="宋体" w:hAnsi="宋体" w:cs="宋体"/>
                <w:szCs w:val="21"/>
              </w:rPr>
              <w:t>，逾期后果自负。会议地点：</w:t>
            </w:r>
            <w:r>
              <w:rPr>
                <w:rFonts w:hint="eastAsia" w:ascii="宋体" w:hAnsi="宋体" w:cs="宋体"/>
                <w:szCs w:val="21"/>
                <w:u w:val="single"/>
              </w:rPr>
              <w:t xml:space="preserve">             </w:t>
            </w:r>
          </w:p>
        </w:tc>
      </w:tr>
      <w:tr w14:paraId="1C3E40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vMerge w:val="restart"/>
            <w:tcBorders>
              <w:left w:val="single" w:color="auto" w:sz="4" w:space="0"/>
              <w:right w:val="single" w:color="auto" w:sz="4" w:space="0"/>
            </w:tcBorders>
            <w:vAlign w:val="center"/>
          </w:tcPr>
          <w:p w14:paraId="64360D48">
            <w:pPr>
              <w:spacing w:line="400" w:lineRule="exact"/>
              <w:jc w:val="center"/>
              <w:rPr>
                <w:rFonts w:ascii="宋体" w:hAnsi="宋体" w:cs="宋体"/>
                <w:szCs w:val="21"/>
              </w:rPr>
            </w:pPr>
            <w:r>
              <w:rPr>
                <w:rFonts w:hint="eastAsia" w:ascii="宋体" w:hAnsi="宋体" w:cs="宋体"/>
                <w:szCs w:val="21"/>
              </w:rPr>
              <w:t>13.1</w:t>
            </w:r>
          </w:p>
        </w:tc>
        <w:tc>
          <w:tcPr>
            <w:tcW w:w="2053" w:type="dxa"/>
            <w:tcBorders>
              <w:top w:val="single" w:color="auto" w:sz="4" w:space="0"/>
              <w:left w:val="single" w:color="auto" w:sz="4" w:space="0"/>
              <w:bottom w:val="single" w:color="auto" w:sz="4" w:space="0"/>
              <w:right w:val="single" w:color="auto" w:sz="4" w:space="0"/>
            </w:tcBorders>
            <w:vAlign w:val="center"/>
          </w:tcPr>
          <w:p w14:paraId="79365E0D">
            <w:pPr>
              <w:snapToGrid w:val="0"/>
              <w:spacing w:line="400" w:lineRule="exact"/>
              <w:jc w:val="center"/>
              <w:rPr>
                <w:rFonts w:ascii="宋体" w:hAnsi="宋体" w:cs="宋体"/>
                <w:szCs w:val="21"/>
              </w:rPr>
            </w:pPr>
            <w:r>
              <w:rPr>
                <w:rFonts w:hint="eastAsia" w:ascii="宋体" w:hAnsi="宋体" w:cs="宋体"/>
                <w:szCs w:val="21"/>
              </w:rPr>
              <w:t>报价文件组成</w:t>
            </w:r>
          </w:p>
        </w:tc>
        <w:tc>
          <w:tcPr>
            <w:tcW w:w="6999" w:type="dxa"/>
            <w:tcBorders>
              <w:top w:val="single" w:color="auto" w:sz="4" w:space="0"/>
              <w:left w:val="single" w:color="auto" w:sz="4" w:space="0"/>
              <w:bottom w:val="single" w:color="auto" w:sz="4" w:space="0"/>
              <w:right w:val="single" w:color="auto" w:sz="4" w:space="0"/>
            </w:tcBorders>
            <w:vAlign w:val="center"/>
          </w:tcPr>
          <w:p w14:paraId="0F600452">
            <w:pPr>
              <w:tabs>
                <w:tab w:val="left" w:pos="459"/>
              </w:tabs>
              <w:snapToGrid w:val="0"/>
              <w:spacing w:line="400" w:lineRule="exact"/>
              <w:rPr>
                <w:rFonts w:ascii="宋体" w:hAnsi="宋体" w:cs="宋体"/>
                <w:szCs w:val="21"/>
              </w:rPr>
            </w:pPr>
            <w:r>
              <w:rPr>
                <w:rFonts w:hint="eastAsia" w:ascii="宋体" w:hAnsi="宋体" w:cs="宋体"/>
                <w:szCs w:val="21"/>
              </w:rPr>
              <w:t>1、投标函（格式后附）；</w:t>
            </w:r>
            <w:r>
              <w:rPr>
                <w:rFonts w:hint="eastAsia" w:ascii="宋体" w:hAnsi="宋体" w:cs="宋体"/>
                <w:b/>
                <w:szCs w:val="21"/>
              </w:rPr>
              <w:t>（必须提供，否则作无效投标处理）</w:t>
            </w:r>
          </w:p>
          <w:p w14:paraId="55A092EF">
            <w:pPr>
              <w:tabs>
                <w:tab w:val="left" w:pos="459"/>
              </w:tabs>
              <w:snapToGrid w:val="0"/>
              <w:spacing w:line="400" w:lineRule="exact"/>
              <w:rPr>
                <w:rFonts w:ascii="宋体" w:hAnsi="宋体" w:cs="宋体"/>
                <w:szCs w:val="21"/>
              </w:rPr>
            </w:pPr>
            <w:r>
              <w:rPr>
                <w:rFonts w:hint="eastAsia" w:ascii="宋体" w:hAnsi="宋体" w:cs="宋体"/>
                <w:szCs w:val="21"/>
              </w:rPr>
              <w:t>2、开标一览表（格式后附）；（</w:t>
            </w:r>
            <w:r>
              <w:rPr>
                <w:rFonts w:hint="eastAsia" w:ascii="宋体" w:hAnsi="宋体" w:cs="宋体"/>
                <w:b/>
                <w:szCs w:val="21"/>
              </w:rPr>
              <w:t>必须提供，否则作无效投标处理</w:t>
            </w:r>
            <w:r>
              <w:rPr>
                <w:rFonts w:hint="eastAsia" w:ascii="宋体" w:hAnsi="宋体" w:cs="宋体"/>
                <w:szCs w:val="21"/>
              </w:rPr>
              <w:t>）</w:t>
            </w:r>
          </w:p>
          <w:p w14:paraId="301D80ED">
            <w:pPr>
              <w:tabs>
                <w:tab w:val="left" w:pos="459"/>
              </w:tabs>
              <w:snapToGrid w:val="0"/>
              <w:spacing w:line="400" w:lineRule="exact"/>
              <w:rPr>
                <w:rFonts w:ascii="宋体" w:hAnsi="宋体" w:cs="宋体"/>
                <w:szCs w:val="21"/>
              </w:rPr>
            </w:pPr>
            <w:r>
              <w:rPr>
                <w:rFonts w:hint="eastAsia" w:ascii="宋体" w:hAnsi="宋体" w:cs="宋体"/>
                <w:szCs w:val="21"/>
              </w:rPr>
              <w:t>3、投标人针对报价需要说明的其他文件和说明。</w:t>
            </w:r>
          </w:p>
          <w:p w14:paraId="26B95D8E">
            <w:pPr>
              <w:snapToGrid w:val="0"/>
              <w:spacing w:line="400" w:lineRule="exact"/>
            </w:pPr>
            <w:r>
              <w:rPr>
                <w:rFonts w:hint="eastAsia" w:ascii="宋体" w:hAnsi="宋体" w:cs="宋体"/>
                <w:b/>
                <w:bCs/>
                <w:szCs w:val="21"/>
              </w:rPr>
              <w:t>注：投标函、开标一览表必须由法定代表人或者委托代理人在规定签章处逐一签字或电子盖章并加盖投标人公章，否则按无效投标处理。</w:t>
            </w:r>
          </w:p>
        </w:tc>
      </w:tr>
      <w:tr w14:paraId="194925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vMerge w:val="continue"/>
            <w:tcBorders>
              <w:left w:val="single" w:color="auto" w:sz="4" w:space="0"/>
              <w:right w:val="single" w:color="auto" w:sz="4" w:space="0"/>
            </w:tcBorders>
            <w:vAlign w:val="center"/>
          </w:tcPr>
          <w:p w14:paraId="1F0331C8">
            <w:pPr>
              <w:spacing w:line="400" w:lineRule="exact"/>
              <w:jc w:val="center"/>
              <w:rPr>
                <w:rFonts w:ascii="宋体" w:hAnsi="宋体" w:cs="宋体"/>
                <w:szCs w:val="21"/>
              </w:rPr>
            </w:pPr>
          </w:p>
        </w:tc>
        <w:tc>
          <w:tcPr>
            <w:tcW w:w="2053" w:type="dxa"/>
            <w:tcBorders>
              <w:top w:val="single" w:color="auto" w:sz="4" w:space="0"/>
              <w:left w:val="single" w:color="auto" w:sz="4" w:space="0"/>
              <w:bottom w:val="single" w:color="auto" w:sz="4" w:space="0"/>
              <w:right w:val="single" w:color="auto" w:sz="4" w:space="0"/>
            </w:tcBorders>
            <w:vAlign w:val="center"/>
          </w:tcPr>
          <w:p w14:paraId="0C426E35">
            <w:pPr>
              <w:snapToGrid w:val="0"/>
              <w:spacing w:line="400" w:lineRule="exact"/>
              <w:jc w:val="center"/>
              <w:rPr>
                <w:rFonts w:ascii="宋体" w:hAnsi="宋体" w:cs="宋体"/>
                <w:szCs w:val="21"/>
              </w:rPr>
            </w:pPr>
            <w:r>
              <w:rPr>
                <w:rFonts w:hint="eastAsia" w:ascii="宋体" w:hAnsi="宋体" w:cs="宋体"/>
                <w:szCs w:val="21"/>
              </w:rPr>
              <w:t>资格证明文件组成</w:t>
            </w:r>
          </w:p>
        </w:tc>
        <w:tc>
          <w:tcPr>
            <w:tcW w:w="6999" w:type="dxa"/>
            <w:tcBorders>
              <w:top w:val="single" w:color="auto" w:sz="4" w:space="0"/>
              <w:left w:val="single" w:color="auto" w:sz="4" w:space="0"/>
              <w:bottom w:val="single" w:color="auto" w:sz="4" w:space="0"/>
              <w:right w:val="single" w:color="auto" w:sz="4" w:space="0"/>
            </w:tcBorders>
            <w:vAlign w:val="center"/>
          </w:tcPr>
          <w:p w14:paraId="41ADFB8C">
            <w:pPr>
              <w:snapToGrid w:val="0"/>
              <w:spacing w:line="400" w:lineRule="exact"/>
              <w:rPr>
                <w:rFonts w:ascii="宋体" w:hAnsi="宋体" w:cs="宋体"/>
                <w:szCs w:val="21"/>
              </w:rPr>
            </w:pPr>
            <w:r>
              <w:rPr>
                <w:rFonts w:hint="eastAsia" w:ascii="宋体" w:hAnsi="宋体" w:cs="宋体"/>
                <w:szCs w:val="21"/>
              </w:rPr>
              <w:t>1.崇左市政府采购供应商信用承诺函（格式后附，供应商应对其承诺内容</w:t>
            </w:r>
          </w:p>
          <w:p w14:paraId="314BBF36">
            <w:pPr>
              <w:snapToGrid w:val="0"/>
              <w:spacing w:line="400" w:lineRule="exact"/>
              <w:rPr>
                <w:rFonts w:ascii="宋体" w:hAnsi="宋体" w:cs="宋体"/>
                <w:szCs w:val="21"/>
              </w:rPr>
            </w:pPr>
            <w:r>
              <w:rPr>
                <w:rFonts w:hint="eastAsia" w:ascii="宋体" w:hAnsi="宋体" w:cs="宋体"/>
                <w:szCs w:val="21"/>
              </w:rPr>
              <w:t>的真实性、合法性、有效性负责）；</w:t>
            </w:r>
            <w:r>
              <w:rPr>
                <w:rFonts w:hint="eastAsia" w:ascii="宋体" w:hAnsi="宋体" w:cs="宋体"/>
                <w:b/>
                <w:szCs w:val="21"/>
              </w:rPr>
              <w:t>（必须提供，否则按无效投标处理）</w:t>
            </w:r>
          </w:p>
          <w:p w14:paraId="551AED4C">
            <w:pPr>
              <w:snapToGrid w:val="0"/>
              <w:spacing w:line="400" w:lineRule="exact"/>
              <w:rPr>
                <w:rFonts w:ascii="宋体" w:hAnsi="宋体" w:cs="宋体"/>
                <w:szCs w:val="21"/>
              </w:rPr>
            </w:pPr>
            <w:r>
              <w:rPr>
                <w:rFonts w:hint="eastAsia" w:ascii="宋体" w:hAnsi="宋体" w:cs="宋体"/>
                <w:szCs w:val="21"/>
              </w:rPr>
              <w:t>2.供应商须按《医疗器械经营监督管理办法》(国家市场监督管理总局令第54号)医疗器械分类管理要求具有有效的医疗器械经营备案凭证或许可证；如投标产品属第二、三类医疗器械产品的，须按《医疗器械注册与备案管理办法》(国家市场监督管理总局令第47号)同时提供该设备有效的医疗器械注册证；（</w:t>
            </w:r>
            <w:r>
              <w:rPr>
                <w:rFonts w:hint="eastAsia" w:ascii="宋体" w:hAnsi="宋体" w:cs="宋体"/>
                <w:b/>
                <w:szCs w:val="21"/>
              </w:rPr>
              <w:t>必须提供，否则作无效投标处理</w:t>
            </w:r>
            <w:r>
              <w:rPr>
                <w:rFonts w:hint="eastAsia" w:ascii="宋体" w:hAnsi="宋体" w:cs="宋体"/>
                <w:szCs w:val="21"/>
              </w:rPr>
              <w:t>）</w:t>
            </w:r>
          </w:p>
          <w:p w14:paraId="6B64175E">
            <w:pPr>
              <w:snapToGrid w:val="0"/>
              <w:spacing w:line="400" w:lineRule="exact"/>
              <w:rPr>
                <w:rFonts w:ascii="宋体" w:hAnsi="宋体" w:cs="宋体"/>
                <w:szCs w:val="21"/>
              </w:rPr>
            </w:pPr>
            <w:r>
              <w:rPr>
                <w:rFonts w:hint="eastAsia" w:ascii="宋体" w:hAnsi="宋体" w:cs="宋体"/>
                <w:szCs w:val="21"/>
              </w:rPr>
              <w:t>3.投标人直接控股、管理关系信息表（格式后附）；（</w:t>
            </w:r>
            <w:r>
              <w:rPr>
                <w:rFonts w:hint="eastAsia" w:ascii="宋体" w:hAnsi="宋体" w:cs="宋体"/>
                <w:b/>
                <w:szCs w:val="21"/>
              </w:rPr>
              <w:t>必须提供，否则作无效投标处理</w:t>
            </w:r>
            <w:r>
              <w:rPr>
                <w:rFonts w:hint="eastAsia" w:ascii="宋体" w:hAnsi="宋体" w:cs="宋体"/>
                <w:szCs w:val="21"/>
              </w:rPr>
              <w:t>）</w:t>
            </w:r>
          </w:p>
          <w:p w14:paraId="0AF33369">
            <w:pPr>
              <w:snapToGrid w:val="0"/>
              <w:spacing w:line="400" w:lineRule="exact"/>
              <w:ind w:left="360" w:hanging="360"/>
              <w:rPr>
                <w:rFonts w:ascii="宋体" w:hAnsi="宋体" w:cs="宋体"/>
                <w:szCs w:val="21"/>
              </w:rPr>
            </w:pPr>
            <w:r>
              <w:rPr>
                <w:rFonts w:hint="eastAsia" w:ascii="宋体" w:hAnsi="宋体" w:cs="宋体"/>
                <w:szCs w:val="21"/>
              </w:rPr>
              <w:t>4.投标声明（格式后附）；（</w:t>
            </w:r>
            <w:r>
              <w:rPr>
                <w:rFonts w:hint="eastAsia" w:ascii="宋体" w:hAnsi="宋体" w:cs="宋体"/>
                <w:b/>
                <w:szCs w:val="21"/>
              </w:rPr>
              <w:t>必须提供，否则作无效投标处理</w:t>
            </w:r>
            <w:r>
              <w:rPr>
                <w:rFonts w:hint="eastAsia" w:ascii="宋体" w:hAnsi="宋体" w:cs="宋体"/>
                <w:szCs w:val="21"/>
              </w:rPr>
              <w:t>）</w:t>
            </w:r>
          </w:p>
          <w:p w14:paraId="080211B3">
            <w:pPr>
              <w:snapToGrid w:val="0"/>
              <w:spacing w:line="400" w:lineRule="exact"/>
              <w:rPr>
                <w:rFonts w:ascii="宋体" w:hAnsi="宋体" w:cs="宋体"/>
                <w:szCs w:val="21"/>
              </w:rPr>
            </w:pPr>
            <w:r>
              <w:rPr>
                <w:rFonts w:hint="eastAsia" w:ascii="宋体" w:hAnsi="宋体" w:cs="宋体"/>
                <w:szCs w:val="21"/>
              </w:rPr>
              <w:t>5.联合体协议书（格式后附）；（</w:t>
            </w:r>
            <w:r>
              <w:rPr>
                <w:rFonts w:hint="eastAsia" w:ascii="宋体" w:hAnsi="宋体" w:cs="宋体"/>
                <w:b/>
                <w:szCs w:val="21"/>
              </w:rPr>
              <w:t>联合体投标时必须提供，否则作无效投标处理</w:t>
            </w:r>
            <w:r>
              <w:rPr>
                <w:rFonts w:hint="eastAsia" w:ascii="宋体" w:hAnsi="宋体" w:cs="宋体"/>
                <w:szCs w:val="21"/>
              </w:rPr>
              <w:t>）</w:t>
            </w:r>
          </w:p>
          <w:p w14:paraId="51D4D6BB">
            <w:pPr>
              <w:snapToGrid w:val="0"/>
              <w:spacing w:line="400" w:lineRule="exact"/>
              <w:jc w:val="left"/>
              <w:rPr>
                <w:rFonts w:ascii="宋体" w:hAnsi="宋体" w:cs="宋体"/>
                <w:szCs w:val="21"/>
              </w:rPr>
            </w:pPr>
            <w:r>
              <w:rPr>
                <w:rFonts w:hint="eastAsia" w:ascii="宋体" w:hAnsi="宋体" w:cs="宋体"/>
                <w:szCs w:val="21"/>
              </w:rPr>
              <w:t>6.中小企业声明函或残疾人福利性单位声明函或属于监狱企业的证明文件（格式后附）；（如有，请提供）</w:t>
            </w:r>
          </w:p>
          <w:p w14:paraId="4846371F">
            <w:pPr>
              <w:snapToGrid w:val="0"/>
              <w:spacing w:line="400" w:lineRule="exact"/>
              <w:rPr>
                <w:rFonts w:ascii="宋体" w:hAnsi="宋体" w:cs="宋体"/>
                <w:szCs w:val="21"/>
              </w:rPr>
            </w:pPr>
            <w:r>
              <w:rPr>
                <w:rFonts w:hint="eastAsia" w:ascii="宋体" w:hAnsi="宋体" w:cs="宋体"/>
                <w:szCs w:val="21"/>
              </w:rPr>
              <w:t>7.</w:t>
            </w:r>
            <w:r>
              <w:rPr>
                <w:rFonts w:hint="eastAsia" w:ascii="宋体" w:hAnsi="宋体"/>
                <w:szCs w:val="21"/>
              </w:rPr>
              <w:t>《关于符合本国产品标准的声明函》或者财政部会同有关部门规定的有关证明文件</w:t>
            </w:r>
            <w:r>
              <w:rPr>
                <w:rFonts w:hint="eastAsia" w:ascii="宋体" w:hAnsi="宋体" w:cs="宋体"/>
                <w:szCs w:val="21"/>
              </w:rPr>
              <w:t>（格式后附）；（如有，请提供）</w:t>
            </w:r>
          </w:p>
          <w:p w14:paraId="0B3D42DD">
            <w:pPr>
              <w:snapToGrid w:val="0"/>
              <w:spacing w:line="400" w:lineRule="exact"/>
              <w:rPr>
                <w:rFonts w:ascii="宋体" w:hAnsi="宋体" w:cs="宋体"/>
                <w:szCs w:val="21"/>
              </w:rPr>
            </w:pPr>
            <w:r>
              <w:rPr>
                <w:rFonts w:hint="eastAsia" w:ascii="宋体" w:hAnsi="宋体" w:cs="宋体"/>
                <w:szCs w:val="21"/>
              </w:rPr>
              <w:t>7.除招标文件规定必须提供以外，投标人认为需要提供的其他证明材料。</w:t>
            </w:r>
          </w:p>
          <w:p w14:paraId="2DA17033">
            <w:pPr>
              <w:snapToGrid w:val="0"/>
              <w:spacing w:line="400" w:lineRule="exact"/>
              <w:rPr>
                <w:rFonts w:ascii="宋体" w:hAnsi="宋体" w:cs="宋体"/>
                <w:b/>
                <w:bCs/>
                <w:szCs w:val="21"/>
              </w:rPr>
            </w:pPr>
            <w:r>
              <w:rPr>
                <w:rFonts w:hint="eastAsia" w:ascii="宋体" w:hAnsi="宋体" w:cs="宋体"/>
                <w:b/>
                <w:bCs/>
                <w:szCs w:val="21"/>
              </w:rPr>
              <w:t>注：</w:t>
            </w:r>
          </w:p>
          <w:p w14:paraId="679B702B">
            <w:pPr>
              <w:snapToGrid w:val="0"/>
              <w:spacing w:line="400" w:lineRule="exact"/>
              <w:rPr>
                <w:rFonts w:ascii="宋体" w:hAnsi="宋体" w:cs="宋体"/>
                <w:b/>
                <w:szCs w:val="21"/>
              </w:rPr>
            </w:pPr>
            <w:r>
              <w:rPr>
                <w:rFonts w:hint="eastAsia" w:ascii="宋体" w:hAnsi="宋体" w:cs="宋体"/>
                <w:b/>
                <w:bCs/>
                <w:szCs w:val="21"/>
              </w:rPr>
              <w:t>1.以上标明“必须提供”的材料</w:t>
            </w:r>
            <w:r>
              <w:rPr>
                <w:rFonts w:hint="eastAsia" w:ascii="宋体" w:hAnsi="宋体" w:cs="宋体"/>
                <w:b/>
                <w:szCs w:val="21"/>
              </w:rPr>
              <w:t>属于复印件的扫描件的</w:t>
            </w:r>
            <w:r>
              <w:rPr>
                <w:rFonts w:hint="eastAsia" w:ascii="宋体" w:hAnsi="宋体" w:cs="宋体"/>
                <w:b/>
                <w:bCs/>
                <w:szCs w:val="21"/>
              </w:rPr>
              <w:t>，必须加盖投标人电子公章，否则</w:t>
            </w:r>
            <w:r>
              <w:rPr>
                <w:rFonts w:hint="eastAsia" w:ascii="宋体" w:hAnsi="宋体" w:cs="宋体"/>
                <w:b/>
                <w:szCs w:val="21"/>
              </w:rPr>
              <w:t>作无效投标处理。</w:t>
            </w:r>
          </w:p>
          <w:p w14:paraId="38B23885">
            <w:pPr>
              <w:snapToGrid w:val="0"/>
              <w:spacing w:line="400" w:lineRule="exact"/>
              <w:rPr>
                <w:rFonts w:ascii="宋体" w:hAnsi="宋体" w:cs="宋体"/>
                <w:b/>
                <w:bCs/>
                <w:szCs w:val="21"/>
              </w:rPr>
            </w:pPr>
            <w:r>
              <w:rPr>
                <w:rFonts w:hint="eastAsia" w:ascii="宋体" w:hAnsi="宋体" w:cs="宋体"/>
                <w:b/>
                <w:bCs/>
                <w:szCs w:val="21"/>
              </w:rPr>
              <w:t>2.投标声明必须由法定代表人在规定签章处签字并加盖投标人公章，否则按无效投标处理。</w:t>
            </w:r>
          </w:p>
          <w:p w14:paraId="777C33B1">
            <w:pPr>
              <w:snapToGrid w:val="0"/>
              <w:spacing w:line="400" w:lineRule="exact"/>
              <w:rPr>
                <w:rFonts w:ascii="宋体" w:hAnsi="宋体" w:cs="宋体"/>
                <w:b/>
                <w:bCs/>
                <w:szCs w:val="21"/>
              </w:rPr>
            </w:pPr>
            <w:r>
              <w:rPr>
                <w:rFonts w:hint="eastAsia" w:ascii="宋体" w:hAnsi="宋体" w:cs="宋体"/>
                <w:b/>
                <w:bCs/>
                <w:szCs w:val="21"/>
              </w:rPr>
              <w:t>3.投标人直接控股、管理关系信息表必须由法定代表人或者委托代理人在规定签章处签字或电子盖章并加盖投标人公章，否则按无效投标处理。</w:t>
            </w:r>
          </w:p>
        </w:tc>
      </w:tr>
      <w:tr w14:paraId="141C30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vMerge w:val="continue"/>
            <w:tcBorders>
              <w:left w:val="single" w:color="auto" w:sz="4" w:space="0"/>
              <w:right w:val="single" w:color="auto" w:sz="4" w:space="0"/>
            </w:tcBorders>
            <w:vAlign w:val="center"/>
          </w:tcPr>
          <w:p w14:paraId="505952FA">
            <w:pPr>
              <w:spacing w:line="400" w:lineRule="exact"/>
              <w:jc w:val="center"/>
              <w:rPr>
                <w:rFonts w:ascii="宋体" w:hAnsi="宋体" w:cs="宋体"/>
                <w:szCs w:val="21"/>
              </w:rPr>
            </w:pPr>
          </w:p>
        </w:tc>
        <w:tc>
          <w:tcPr>
            <w:tcW w:w="2053" w:type="dxa"/>
            <w:tcBorders>
              <w:top w:val="single" w:color="auto" w:sz="4" w:space="0"/>
              <w:left w:val="single" w:color="auto" w:sz="4" w:space="0"/>
              <w:bottom w:val="single" w:color="auto" w:sz="4" w:space="0"/>
              <w:right w:val="single" w:color="auto" w:sz="4" w:space="0"/>
            </w:tcBorders>
            <w:vAlign w:val="center"/>
          </w:tcPr>
          <w:p w14:paraId="58DE5383">
            <w:pPr>
              <w:snapToGrid w:val="0"/>
              <w:spacing w:line="400" w:lineRule="exact"/>
              <w:jc w:val="center"/>
              <w:rPr>
                <w:rFonts w:ascii="宋体" w:hAnsi="宋体" w:cs="宋体"/>
                <w:szCs w:val="21"/>
              </w:rPr>
            </w:pPr>
            <w:r>
              <w:rPr>
                <w:rFonts w:hint="eastAsia" w:ascii="宋体" w:hAnsi="宋体" w:cs="宋体"/>
                <w:szCs w:val="21"/>
              </w:rPr>
              <w:t>商务文件组成</w:t>
            </w:r>
          </w:p>
        </w:tc>
        <w:tc>
          <w:tcPr>
            <w:tcW w:w="6999" w:type="dxa"/>
            <w:tcBorders>
              <w:top w:val="single" w:color="auto" w:sz="4" w:space="0"/>
              <w:left w:val="single" w:color="auto" w:sz="4" w:space="0"/>
              <w:bottom w:val="single" w:color="auto" w:sz="4" w:space="0"/>
              <w:right w:val="single" w:color="auto" w:sz="4" w:space="0"/>
            </w:tcBorders>
            <w:vAlign w:val="center"/>
          </w:tcPr>
          <w:p w14:paraId="5EDCC21D">
            <w:pPr>
              <w:snapToGrid w:val="0"/>
              <w:spacing w:line="400" w:lineRule="exact"/>
              <w:rPr>
                <w:rFonts w:ascii="宋体" w:hAnsi="宋体" w:cs="宋体"/>
                <w:szCs w:val="21"/>
              </w:rPr>
            </w:pPr>
            <w:r>
              <w:rPr>
                <w:rFonts w:hint="eastAsia" w:ascii="宋体" w:hAnsi="宋体" w:cs="宋体"/>
                <w:szCs w:val="21"/>
              </w:rPr>
              <w:t>1.无串通投标行为的承诺函（格式后附）；（</w:t>
            </w:r>
            <w:r>
              <w:rPr>
                <w:rFonts w:hint="eastAsia" w:ascii="宋体" w:hAnsi="宋体" w:cs="宋体"/>
                <w:b/>
                <w:szCs w:val="21"/>
              </w:rPr>
              <w:t>必须提供，否则作无效投标处理</w:t>
            </w:r>
            <w:r>
              <w:rPr>
                <w:rFonts w:hint="eastAsia" w:ascii="宋体" w:hAnsi="宋体" w:cs="宋体"/>
                <w:szCs w:val="21"/>
              </w:rPr>
              <w:t>）</w:t>
            </w:r>
          </w:p>
          <w:p w14:paraId="545663CA">
            <w:pPr>
              <w:snapToGrid w:val="0"/>
              <w:spacing w:line="400" w:lineRule="exact"/>
              <w:rPr>
                <w:rFonts w:ascii="宋体" w:hAnsi="宋体" w:cs="宋体"/>
                <w:szCs w:val="21"/>
              </w:rPr>
            </w:pPr>
            <w:r>
              <w:rPr>
                <w:rFonts w:hint="eastAsia" w:ascii="宋体" w:hAnsi="宋体" w:cs="宋体"/>
                <w:szCs w:val="21"/>
              </w:rPr>
              <w:t>2.法定代表人身份证明及法定代表人有效身份证正反面复印件（格式后附）；（</w:t>
            </w:r>
            <w:r>
              <w:rPr>
                <w:rFonts w:hint="eastAsia" w:ascii="宋体" w:hAnsi="宋体" w:cs="宋体"/>
                <w:b/>
                <w:bCs/>
                <w:szCs w:val="21"/>
              </w:rPr>
              <w:t>除自然人投标外</w:t>
            </w:r>
            <w:r>
              <w:rPr>
                <w:rFonts w:hint="eastAsia" w:ascii="宋体" w:hAnsi="宋体" w:cs="宋体"/>
                <w:b/>
                <w:szCs w:val="21"/>
              </w:rPr>
              <w:t>必须提供，否则作无效投标处理</w:t>
            </w:r>
            <w:r>
              <w:rPr>
                <w:rFonts w:hint="eastAsia" w:ascii="宋体" w:hAnsi="宋体" w:cs="宋体"/>
                <w:szCs w:val="21"/>
              </w:rPr>
              <w:t>）</w:t>
            </w:r>
          </w:p>
          <w:p w14:paraId="3EF38120">
            <w:pPr>
              <w:snapToGrid w:val="0"/>
              <w:spacing w:line="400" w:lineRule="exact"/>
              <w:rPr>
                <w:rFonts w:ascii="宋体" w:hAnsi="宋体" w:cs="宋体"/>
                <w:szCs w:val="21"/>
              </w:rPr>
            </w:pPr>
            <w:r>
              <w:rPr>
                <w:rFonts w:hint="eastAsia" w:ascii="宋体" w:hAnsi="宋体" w:cs="宋体"/>
                <w:szCs w:val="21"/>
              </w:rPr>
              <w:t>3.法定代表人授权委托书及委托代理人有效身份证正反面复印件（格式后附）；（</w:t>
            </w:r>
            <w:r>
              <w:rPr>
                <w:rFonts w:hint="eastAsia" w:ascii="宋体" w:hAnsi="宋体" w:cs="宋体"/>
                <w:b/>
                <w:szCs w:val="21"/>
              </w:rPr>
              <w:t>委托时必须提供，否则作无效投标处理</w:t>
            </w:r>
            <w:r>
              <w:rPr>
                <w:rFonts w:hint="eastAsia" w:ascii="宋体" w:hAnsi="宋体" w:cs="宋体"/>
                <w:szCs w:val="21"/>
              </w:rPr>
              <w:t>）</w:t>
            </w:r>
          </w:p>
          <w:p w14:paraId="67D778D4">
            <w:pPr>
              <w:snapToGrid w:val="0"/>
              <w:spacing w:line="400" w:lineRule="exact"/>
              <w:rPr>
                <w:rFonts w:ascii="宋体" w:hAnsi="宋体" w:cs="宋体"/>
                <w:szCs w:val="21"/>
              </w:rPr>
            </w:pPr>
            <w:r>
              <w:rPr>
                <w:rFonts w:hint="eastAsia" w:ascii="宋体" w:hAnsi="宋体" w:cs="宋体"/>
                <w:szCs w:val="21"/>
              </w:rPr>
              <w:t>4.商务条款偏离表（格式后附）；（</w:t>
            </w:r>
            <w:r>
              <w:rPr>
                <w:rFonts w:hint="eastAsia" w:ascii="宋体" w:hAnsi="宋体" w:cs="宋体"/>
                <w:b/>
                <w:szCs w:val="21"/>
              </w:rPr>
              <w:t>必须提供，否则作无效投标处理</w:t>
            </w:r>
            <w:r>
              <w:rPr>
                <w:rFonts w:hint="eastAsia" w:ascii="宋体" w:hAnsi="宋体" w:cs="宋体"/>
                <w:szCs w:val="21"/>
              </w:rPr>
              <w:t>）</w:t>
            </w:r>
          </w:p>
          <w:p w14:paraId="31FCBDE3">
            <w:pPr>
              <w:snapToGrid w:val="0"/>
              <w:spacing w:line="400" w:lineRule="exact"/>
              <w:rPr>
                <w:rFonts w:ascii="宋体" w:hAnsi="宋体" w:cs="宋体"/>
                <w:szCs w:val="21"/>
              </w:rPr>
            </w:pPr>
            <w:r>
              <w:rPr>
                <w:rFonts w:hint="eastAsia" w:ascii="宋体" w:hAnsi="宋体" w:cs="宋体"/>
                <w:szCs w:val="21"/>
              </w:rPr>
              <w:t>5.“采购需求”商务要求及“评分标准”商务分评标标准中要求提供（视项目情况提供）；</w:t>
            </w:r>
          </w:p>
          <w:p w14:paraId="1B50DB56">
            <w:pPr>
              <w:snapToGrid w:val="0"/>
              <w:spacing w:line="400" w:lineRule="exact"/>
              <w:rPr>
                <w:rFonts w:ascii="宋体" w:hAnsi="宋体" w:cs="宋体"/>
                <w:szCs w:val="21"/>
              </w:rPr>
            </w:pPr>
            <w:r>
              <w:rPr>
                <w:rFonts w:hint="eastAsia" w:ascii="宋体" w:hAnsi="宋体" w:cs="宋体"/>
                <w:szCs w:val="21"/>
              </w:rPr>
              <w:t>6.投标人类似业绩的证明文件；</w:t>
            </w:r>
          </w:p>
          <w:p w14:paraId="7AFC37F1">
            <w:pPr>
              <w:snapToGrid w:val="0"/>
              <w:spacing w:line="400" w:lineRule="exact"/>
              <w:rPr>
                <w:rFonts w:ascii="宋体" w:hAnsi="宋体" w:cs="宋体"/>
                <w:szCs w:val="21"/>
              </w:rPr>
            </w:pPr>
            <w:r>
              <w:rPr>
                <w:rFonts w:hint="eastAsia" w:ascii="宋体" w:hAnsi="宋体" w:cs="宋体"/>
                <w:szCs w:val="21"/>
              </w:rPr>
              <w:t>7.除招标文件规定必须提供以外，投标人认为需要提供的其他证明材料。（投标人根据“第二章 采购需求”及“第四章 评标方法及评标标准”提供有关证明材料）。</w:t>
            </w:r>
          </w:p>
          <w:p w14:paraId="329FBDE3">
            <w:pPr>
              <w:snapToGrid w:val="0"/>
              <w:spacing w:line="400" w:lineRule="exact"/>
              <w:rPr>
                <w:rFonts w:ascii="宋体" w:hAnsi="宋体" w:cs="宋体"/>
                <w:b/>
                <w:bCs/>
                <w:szCs w:val="21"/>
              </w:rPr>
            </w:pPr>
            <w:r>
              <w:rPr>
                <w:rFonts w:hint="eastAsia" w:ascii="宋体" w:hAnsi="宋体" w:cs="宋体"/>
                <w:b/>
                <w:bCs/>
                <w:szCs w:val="21"/>
              </w:rPr>
              <w:t>注：</w:t>
            </w:r>
          </w:p>
          <w:p w14:paraId="7D46AC7F">
            <w:pPr>
              <w:snapToGrid w:val="0"/>
              <w:spacing w:line="400" w:lineRule="exact"/>
              <w:rPr>
                <w:rFonts w:ascii="宋体" w:hAnsi="宋体" w:cs="宋体"/>
                <w:b/>
                <w:bCs/>
                <w:szCs w:val="21"/>
              </w:rPr>
            </w:pPr>
            <w:r>
              <w:rPr>
                <w:rFonts w:hint="eastAsia" w:ascii="宋体" w:hAnsi="宋体" w:cs="宋体"/>
                <w:b/>
                <w:bCs/>
                <w:szCs w:val="21"/>
              </w:rPr>
              <w:t>1.法定代表人授权委托书必须由法定代表人及委托代理人签字或电子盖章，并加盖投标人电子公章，否则作无效投标处理。</w:t>
            </w:r>
          </w:p>
          <w:p w14:paraId="78A873FD">
            <w:pPr>
              <w:snapToGrid w:val="0"/>
              <w:spacing w:line="400" w:lineRule="exact"/>
              <w:rPr>
                <w:rFonts w:ascii="宋体" w:hAnsi="宋体" w:cs="宋体"/>
                <w:b/>
                <w:szCs w:val="21"/>
              </w:rPr>
            </w:pPr>
            <w:r>
              <w:rPr>
                <w:rFonts w:hint="eastAsia" w:ascii="宋体" w:hAnsi="宋体" w:cs="宋体"/>
                <w:b/>
                <w:bCs/>
                <w:szCs w:val="21"/>
              </w:rPr>
              <w:t>2.以上标明“必须提供”的材料</w:t>
            </w:r>
            <w:r>
              <w:rPr>
                <w:rFonts w:hint="eastAsia" w:ascii="宋体" w:hAnsi="宋体" w:cs="宋体"/>
                <w:b/>
                <w:szCs w:val="21"/>
              </w:rPr>
              <w:t>属于复印件的扫描件的</w:t>
            </w:r>
            <w:r>
              <w:rPr>
                <w:rFonts w:hint="eastAsia" w:ascii="宋体" w:hAnsi="宋体" w:cs="宋体"/>
                <w:b/>
                <w:bCs/>
                <w:szCs w:val="21"/>
              </w:rPr>
              <w:t>，必须加盖投标人电子公章，否则</w:t>
            </w:r>
            <w:r>
              <w:rPr>
                <w:rFonts w:hint="eastAsia" w:ascii="宋体" w:hAnsi="宋体" w:cs="宋体"/>
                <w:b/>
                <w:szCs w:val="21"/>
              </w:rPr>
              <w:t>作无效投标处理</w:t>
            </w:r>
            <w:r>
              <w:rPr>
                <w:rFonts w:hint="eastAsia" w:ascii="宋体" w:hAnsi="宋体" w:cs="宋体"/>
                <w:b/>
                <w:bCs/>
                <w:szCs w:val="21"/>
              </w:rPr>
              <w:t>。</w:t>
            </w:r>
          </w:p>
        </w:tc>
      </w:tr>
      <w:tr w14:paraId="48E2A3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vMerge w:val="continue"/>
            <w:tcBorders>
              <w:left w:val="single" w:color="auto" w:sz="4" w:space="0"/>
              <w:right w:val="single" w:color="auto" w:sz="4" w:space="0"/>
            </w:tcBorders>
            <w:vAlign w:val="center"/>
          </w:tcPr>
          <w:p w14:paraId="79257EDC">
            <w:pPr>
              <w:spacing w:line="400" w:lineRule="exact"/>
              <w:jc w:val="center"/>
              <w:rPr>
                <w:rFonts w:ascii="宋体" w:hAnsi="宋体" w:cs="宋体"/>
                <w:szCs w:val="21"/>
              </w:rPr>
            </w:pPr>
          </w:p>
        </w:tc>
        <w:tc>
          <w:tcPr>
            <w:tcW w:w="2053" w:type="dxa"/>
            <w:tcBorders>
              <w:top w:val="single" w:color="auto" w:sz="4" w:space="0"/>
              <w:left w:val="single" w:color="auto" w:sz="4" w:space="0"/>
              <w:right w:val="single" w:color="auto" w:sz="4" w:space="0"/>
            </w:tcBorders>
            <w:vAlign w:val="center"/>
          </w:tcPr>
          <w:p w14:paraId="1E66D2F0">
            <w:pPr>
              <w:snapToGrid w:val="0"/>
              <w:spacing w:line="400" w:lineRule="exact"/>
              <w:jc w:val="center"/>
              <w:rPr>
                <w:rFonts w:ascii="宋体" w:hAnsi="宋体" w:cs="宋体"/>
                <w:szCs w:val="21"/>
              </w:rPr>
            </w:pPr>
            <w:r>
              <w:rPr>
                <w:rFonts w:hint="eastAsia" w:ascii="宋体" w:hAnsi="宋体" w:cs="宋体"/>
                <w:szCs w:val="21"/>
              </w:rPr>
              <w:t>技术文件组成</w:t>
            </w:r>
          </w:p>
        </w:tc>
        <w:tc>
          <w:tcPr>
            <w:tcW w:w="6999" w:type="dxa"/>
            <w:tcBorders>
              <w:top w:val="single" w:color="auto" w:sz="4" w:space="0"/>
              <w:left w:val="single" w:color="auto" w:sz="4" w:space="0"/>
              <w:right w:val="single" w:color="auto" w:sz="4" w:space="0"/>
            </w:tcBorders>
            <w:vAlign w:val="center"/>
          </w:tcPr>
          <w:p w14:paraId="571A53D5">
            <w:pPr>
              <w:snapToGrid w:val="0"/>
              <w:spacing w:line="400" w:lineRule="exact"/>
              <w:rPr>
                <w:rFonts w:ascii="宋体" w:hAnsi="宋体" w:cs="宋体"/>
                <w:szCs w:val="21"/>
              </w:rPr>
            </w:pPr>
            <w:r>
              <w:rPr>
                <w:rFonts w:hint="eastAsia" w:ascii="宋体" w:hAnsi="宋体" w:cs="宋体"/>
                <w:szCs w:val="21"/>
              </w:rPr>
              <w:t>1.技术要求偏离表（格式后附）；（</w:t>
            </w:r>
            <w:r>
              <w:rPr>
                <w:rFonts w:hint="eastAsia" w:ascii="宋体" w:hAnsi="宋体" w:cs="宋体"/>
                <w:b/>
                <w:szCs w:val="21"/>
              </w:rPr>
              <w:t>必须提供，否则作无效投标处理</w:t>
            </w:r>
            <w:r>
              <w:rPr>
                <w:rFonts w:hint="eastAsia" w:ascii="宋体" w:hAnsi="宋体" w:cs="宋体"/>
                <w:szCs w:val="21"/>
              </w:rPr>
              <w:t>）</w:t>
            </w:r>
          </w:p>
          <w:p w14:paraId="537A4A77">
            <w:pPr>
              <w:snapToGrid w:val="0"/>
              <w:spacing w:line="400" w:lineRule="exact"/>
              <w:rPr>
                <w:rFonts w:ascii="宋体" w:hAnsi="宋体" w:cs="宋体"/>
                <w:szCs w:val="21"/>
              </w:rPr>
            </w:pPr>
            <w:r>
              <w:rPr>
                <w:rFonts w:hint="eastAsia" w:ascii="宋体" w:hAnsi="宋体" w:cs="宋体"/>
                <w:szCs w:val="21"/>
              </w:rPr>
              <w:t>2.项目实施人员一览表（格式后附）；（如有，请提供）</w:t>
            </w:r>
          </w:p>
          <w:p w14:paraId="6A90E440">
            <w:pPr>
              <w:snapToGrid w:val="0"/>
              <w:spacing w:line="400" w:lineRule="exact"/>
              <w:rPr>
                <w:rFonts w:ascii="宋体" w:hAnsi="宋体" w:cs="宋体"/>
                <w:szCs w:val="21"/>
              </w:rPr>
            </w:pPr>
            <w:r>
              <w:rPr>
                <w:rFonts w:hint="eastAsia" w:ascii="宋体" w:hAnsi="宋体" w:cs="宋体"/>
                <w:szCs w:val="21"/>
              </w:rPr>
              <w:t>3.项目实施方案（如有，请提供）</w:t>
            </w:r>
          </w:p>
          <w:p w14:paraId="138C6825">
            <w:pPr>
              <w:snapToGrid w:val="0"/>
              <w:spacing w:line="400" w:lineRule="exact"/>
              <w:rPr>
                <w:rFonts w:ascii="宋体" w:hAnsi="宋体" w:cs="宋体"/>
                <w:szCs w:val="21"/>
              </w:rPr>
            </w:pPr>
            <w:r>
              <w:rPr>
                <w:rFonts w:hint="eastAsia" w:ascii="宋体" w:hAnsi="宋体" w:cs="宋体"/>
                <w:szCs w:val="21"/>
              </w:rPr>
              <w:t>4.除招标文件规定必须提供以外，投标人需要说明的其他文件和说明（格</w:t>
            </w:r>
          </w:p>
          <w:p w14:paraId="071DC043">
            <w:pPr>
              <w:snapToGrid w:val="0"/>
              <w:spacing w:line="400" w:lineRule="exact"/>
              <w:rPr>
                <w:rFonts w:ascii="宋体" w:hAnsi="宋体" w:cs="宋体"/>
                <w:szCs w:val="21"/>
              </w:rPr>
            </w:pPr>
            <w:r>
              <w:rPr>
                <w:rFonts w:hint="eastAsia" w:ascii="宋体" w:hAnsi="宋体" w:cs="宋体"/>
                <w:szCs w:val="21"/>
              </w:rPr>
              <w:t>式自拟）。</w:t>
            </w:r>
          </w:p>
          <w:p w14:paraId="2202AB95">
            <w:pPr>
              <w:snapToGrid w:val="0"/>
              <w:spacing w:line="400" w:lineRule="exact"/>
              <w:rPr>
                <w:rFonts w:ascii="宋体" w:hAnsi="宋体" w:cs="宋体"/>
                <w:b/>
                <w:bCs/>
                <w:szCs w:val="21"/>
              </w:rPr>
            </w:pPr>
            <w:r>
              <w:rPr>
                <w:rFonts w:hint="eastAsia" w:ascii="宋体" w:hAnsi="宋体" w:cs="宋体"/>
                <w:b/>
                <w:bCs/>
                <w:szCs w:val="21"/>
              </w:rPr>
              <w:t>注：</w:t>
            </w:r>
          </w:p>
          <w:p w14:paraId="6E4D8B59">
            <w:pPr>
              <w:numPr>
                <w:ilvl w:val="0"/>
                <w:numId w:val="4"/>
              </w:numPr>
              <w:snapToGrid w:val="0"/>
              <w:spacing w:line="400" w:lineRule="exact"/>
              <w:rPr>
                <w:rFonts w:ascii="宋体" w:hAnsi="宋体" w:cs="宋体"/>
                <w:b/>
                <w:bCs/>
                <w:szCs w:val="21"/>
              </w:rPr>
            </w:pPr>
            <w:r>
              <w:rPr>
                <w:rFonts w:hint="eastAsia" w:ascii="宋体" w:hAnsi="宋体" w:cs="宋体"/>
                <w:b/>
                <w:bCs/>
                <w:szCs w:val="21"/>
              </w:rPr>
              <w:t>以上标明“必须提供”的材料</w:t>
            </w:r>
            <w:r>
              <w:rPr>
                <w:rFonts w:hint="eastAsia" w:ascii="宋体" w:hAnsi="宋体" w:cs="宋体"/>
                <w:b/>
                <w:szCs w:val="21"/>
              </w:rPr>
              <w:t>属于复印件的扫描件的</w:t>
            </w:r>
            <w:r>
              <w:rPr>
                <w:rFonts w:hint="eastAsia" w:ascii="宋体" w:hAnsi="宋体" w:cs="宋体"/>
                <w:b/>
                <w:bCs/>
                <w:szCs w:val="21"/>
              </w:rPr>
              <w:t>，必须加盖投标人电子公章，否则</w:t>
            </w:r>
            <w:r>
              <w:rPr>
                <w:rFonts w:hint="eastAsia" w:ascii="宋体" w:hAnsi="宋体" w:cs="宋体"/>
                <w:b/>
                <w:szCs w:val="21"/>
              </w:rPr>
              <w:t>作无效投标处理</w:t>
            </w:r>
            <w:r>
              <w:rPr>
                <w:rFonts w:hint="eastAsia" w:ascii="宋体" w:hAnsi="宋体" w:cs="宋体"/>
                <w:b/>
                <w:bCs/>
                <w:szCs w:val="21"/>
              </w:rPr>
              <w:t>。</w:t>
            </w:r>
          </w:p>
          <w:p w14:paraId="6E38FA66">
            <w:pPr>
              <w:numPr>
                <w:ilvl w:val="0"/>
                <w:numId w:val="4"/>
              </w:numPr>
              <w:snapToGrid w:val="0"/>
              <w:spacing w:line="400" w:lineRule="exact"/>
              <w:rPr>
                <w:rFonts w:ascii="宋体" w:hAnsi="宋体" w:cs="宋体"/>
                <w:b/>
                <w:bCs/>
                <w:szCs w:val="21"/>
              </w:rPr>
            </w:pPr>
            <w:r>
              <w:rPr>
                <w:rFonts w:hint="eastAsia" w:ascii="宋体" w:hAnsi="宋体" w:cs="宋体"/>
                <w:b/>
                <w:bCs/>
                <w:szCs w:val="21"/>
              </w:rPr>
              <w:t>必须由法定代表人或者委托代理人在规定签章处签字或电子盖章并加盖投标人公章，否则按无效投标处理。</w:t>
            </w:r>
          </w:p>
        </w:tc>
      </w:tr>
      <w:tr w14:paraId="1A12F1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tcBorders>
              <w:top w:val="single" w:color="auto" w:sz="4" w:space="0"/>
              <w:left w:val="single" w:color="auto" w:sz="4" w:space="0"/>
              <w:bottom w:val="single" w:color="auto" w:sz="4" w:space="0"/>
              <w:right w:val="single" w:color="auto" w:sz="4" w:space="0"/>
            </w:tcBorders>
            <w:vAlign w:val="center"/>
          </w:tcPr>
          <w:p w14:paraId="3247018C">
            <w:pPr>
              <w:spacing w:line="400" w:lineRule="exact"/>
              <w:jc w:val="center"/>
              <w:rPr>
                <w:rFonts w:ascii="宋体" w:hAnsi="宋体" w:cs="宋体"/>
                <w:szCs w:val="21"/>
              </w:rPr>
            </w:pPr>
            <w:r>
              <w:rPr>
                <w:rFonts w:hint="eastAsia" w:ascii="宋体" w:hAnsi="宋体" w:cs="宋体"/>
                <w:szCs w:val="21"/>
              </w:rPr>
              <w:t>16.2</w:t>
            </w:r>
          </w:p>
        </w:tc>
        <w:tc>
          <w:tcPr>
            <w:tcW w:w="2053" w:type="dxa"/>
            <w:tcBorders>
              <w:top w:val="single" w:color="auto" w:sz="4" w:space="0"/>
              <w:left w:val="single" w:color="auto" w:sz="4" w:space="0"/>
              <w:bottom w:val="single" w:color="auto" w:sz="4" w:space="0"/>
              <w:right w:val="single" w:color="auto" w:sz="4" w:space="0"/>
            </w:tcBorders>
            <w:vAlign w:val="center"/>
          </w:tcPr>
          <w:p w14:paraId="5DD602CA">
            <w:pPr>
              <w:spacing w:line="400" w:lineRule="exact"/>
              <w:jc w:val="center"/>
              <w:rPr>
                <w:rFonts w:ascii="宋体" w:hAnsi="宋体" w:cs="宋体"/>
                <w:szCs w:val="21"/>
              </w:rPr>
            </w:pPr>
            <w:r>
              <w:rPr>
                <w:rFonts w:hint="eastAsia" w:ascii="宋体" w:hAnsi="宋体" w:cs="宋体"/>
                <w:szCs w:val="21"/>
              </w:rPr>
              <w:t>投标报价要求</w:t>
            </w:r>
          </w:p>
        </w:tc>
        <w:tc>
          <w:tcPr>
            <w:tcW w:w="6999" w:type="dxa"/>
            <w:tcBorders>
              <w:top w:val="single" w:color="auto" w:sz="4" w:space="0"/>
              <w:left w:val="single" w:color="auto" w:sz="4" w:space="0"/>
              <w:bottom w:val="single" w:color="auto" w:sz="4" w:space="0"/>
              <w:right w:val="single" w:color="auto" w:sz="4" w:space="0"/>
            </w:tcBorders>
            <w:vAlign w:val="center"/>
          </w:tcPr>
          <w:p w14:paraId="620E5648">
            <w:pPr>
              <w:snapToGrid w:val="0"/>
              <w:spacing w:line="400" w:lineRule="exact"/>
              <w:rPr>
                <w:rFonts w:ascii="宋体" w:hAnsi="宋体" w:cs="宋体"/>
                <w:bCs/>
                <w:szCs w:val="21"/>
              </w:rPr>
            </w:pPr>
            <w:r>
              <w:rPr>
                <w:rFonts w:hint="eastAsia" w:ascii="宋体" w:hAnsi="宋体" w:cs="宋体"/>
                <w:bCs/>
                <w:szCs w:val="21"/>
              </w:rPr>
              <w:t>1.投标报价是履行合同的最终价格，即满足全部采购需求所应提供的服</w:t>
            </w:r>
          </w:p>
          <w:p w14:paraId="5F3577AE">
            <w:pPr>
              <w:snapToGrid w:val="0"/>
              <w:spacing w:line="400" w:lineRule="exact"/>
              <w:rPr>
                <w:rFonts w:ascii="宋体" w:hAnsi="宋体" w:cs="宋体"/>
                <w:b/>
                <w:szCs w:val="21"/>
              </w:rPr>
            </w:pPr>
            <w:r>
              <w:rPr>
                <w:rFonts w:hint="eastAsia" w:ascii="宋体" w:hAnsi="宋体" w:cs="宋体"/>
                <w:bCs/>
                <w:szCs w:val="21"/>
              </w:rPr>
              <w:t>务，以及伴随的货物和工程（如有）的价格。</w:t>
            </w:r>
          </w:p>
        </w:tc>
      </w:tr>
      <w:tr w14:paraId="02F79F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tcBorders>
              <w:top w:val="single" w:color="auto" w:sz="4" w:space="0"/>
              <w:left w:val="single" w:color="auto" w:sz="4" w:space="0"/>
              <w:bottom w:val="single" w:color="auto" w:sz="4" w:space="0"/>
              <w:right w:val="single" w:color="auto" w:sz="4" w:space="0"/>
            </w:tcBorders>
            <w:vAlign w:val="center"/>
          </w:tcPr>
          <w:p w14:paraId="714867E0">
            <w:pPr>
              <w:spacing w:line="400" w:lineRule="exact"/>
              <w:jc w:val="center"/>
              <w:rPr>
                <w:rFonts w:ascii="宋体" w:hAnsi="宋体" w:cs="宋体"/>
                <w:szCs w:val="21"/>
              </w:rPr>
            </w:pPr>
            <w:r>
              <w:rPr>
                <w:rFonts w:hint="eastAsia" w:ascii="宋体" w:hAnsi="宋体" w:cs="宋体"/>
                <w:szCs w:val="21"/>
              </w:rPr>
              <w:t>17.2</w:t>
            </w:r>
          </w:p>
        </w:tc>
        <w:tc>
          <w:tcPr>
            <w:tcW w:w="2053" w:type="dxa"/>
            <w:tcBorders>
              <w:top w:val="single" w:color="auto" w:sz="4" w:space="0"/>
              <w:left w:val="single" w:color="auto" w:sz="4" w:space="0"/>
              <w:bottom w:val="single" w:color="auto" w:sz="4" w:space="0"/>
              <w:right w:val="single" w:color="auto" w:sz="4" w:space="0"/>
            </w:tcBorders>
            <w:vAlign w:val="center"/>
          </w:tcPr>
          <w:p w14:paraId="1367867E">
            <w:pPr>
              <w:spacing w:line="400" w:lineRule="exact"/>
              <w:jc w:val="center"/>
              <w:rPr>
                <w:rFonts w:ascii="宋体" w:hAnsi="宋体" w:cs="宋体"/>
                <w:szCs w:val="21"/>
              </w:rPr>
            </w:pPr>
            <w:r>
              <w:rPr>
                <w:rFonts w:hint="eastAsia" w:ascii="宋体" w:hAnsi="宋体" w:cs="宋体"/>
                <w:szCs w:val="21"/>
              </w:rPr>
              <w:t>投标有效期</w:t>
            </w:r>
          </w:p>
        </w:tc>
        <w:tc>
          <w:tcPr>
            <w:tcW w:w="6999" w:type="dxa"/>
            <w:tcBorders>
              <w:top w:val="single" w:color="auto" w:sz="4" w:space="0"/>
              <w:left w:val="single" w:color="auto" w:sz="4" w:space="0"/>
              <w:bottom w:val="single" w:color="auto" w:sz="4" w:space="0"/>
              <w:right w:val="single" w:color="auto" w:sz="4" w:space="0"/>
            </w:tcBorders>
            <w:vAlign w:val="center"/>
          </w:tcPr>
          <w:p w14:paraId="68F5D0C8">
            <w:pPr>
              <w:snapToGrid w:val="0"/>
              <w:spacing w:line="400" w:lineRule="exact"/>
              <w:rPr>
                <w:rFonts w:ascii="宋体" w:hAnsi="宋体" w:cs="宋体"/>
                <w:szCs w:val="21"/>
              </w:rPr>
            </w:pPr>
            <w:r>
              <w:rPr>
                <w:rFonts w:hint="eastAsia" w:ascii="宋体" w:hAnsi="宋体" w:cs="宋体"/>
                <w:szCs w:val="21"/>
              </w:rPr>
              <w:t>自投标截止之日起</w:t>
            </w:r>
            <w:r>
              <w:rPr>
                <w:rFonts w:hint="eastAsia" w:ascii="宋体" w:hAnsi="宋体" w:cs="宋体"/>
                <w:szCs w:val="21"/>
                <w:u w:val="single"/>
              </w:rPr>
              <w:t>90日</w:t>
            </w:r>
            <w:r>
              <w:rPr>
                <w:rFonts w:hint="eastAsia" w:ascii="宋体" w:hAnsi="宋体" w:cs="宋体"/>
                <w:szCs w:val="21"/>
              </w:rPr>
              <w:t>。</w:t>
            </w:r>
          </w:p>
        </w:tc>
      </w:tr>
      <w:tr w14:paraId="3D15E8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tcBorders>
              <w:top w:val="single" w:color="auto" w:sz="4" w:space="0"/>
              <w:left w:val="single" w:color="auto" w:sz="4" w:space="0"/>
              <w:bottom w:val="single" w:color="auto" w:sz="4" w:space="0"/>
              <w:right w:val="single" w:color="auto" w:sz="4" w:space="0"/>
            </w:tcBorders>
            <w:vAlign w:val="center"/>
          </w:tcPr>
          <w:p w14:paraId="23464E56">
            <w:pPr>
              <w:spacing w:line="400" w:lineRule="exact"/>
              <w:jc w:val="center"/>
              <w:rPr>
                <w:rFonts w:ascii="宋体" w:hAnsi="宋体" w:cs="宋体"/>
                <w:szCs w:val="21"/>
              </w:rPr>
            </w:pPr>
            <w:r>
              <w:rPr>
                <w:rFonts w:hint="eastAsia" w:ascii="宋体" w:hAnsi="宋体" w:cs="宋体"/>
                <w:szCs w:val="21"/>
              </w:rPr>
              <w:t>18</w:t>
            </w:r>
          </w:p>
        </w:tc>
        <w:tc>
          <w:tcPr>
            <w:tcW w:w="2053" w:type="dxa"/>
            <w:tcBorders>
              <w:top w:val="single" w:color="auto" w:sz="4" w:space="0"/>
              <w:left w:val="single" w:color="auto" w:sz="4" w:space="0"/>
              <w:bottom w:val="single" w:color="auto" w:sz="4" w:space="0"/>
              <w:right w:val="single" w:color="auto" w:sz="4" w:space="0"/>
            </w:tcBorders>
            <w:vAlign w:val="center"/>
          </w:tcPr>
          <w:p w14:paraId="0BEEBF88">
            <w:pPr>
              <w:spacing w:line="400" w:lineRule="exact"/>
              <w:jc w:val="center"/>
              <w:rPr>
                <w:rFonts w:ascii="宋体" w:hAnsi="宋体" w:cs="宋体"/>
                <w:szCs w:val="21"/>
              </w:rPr>
            </w:pPr>
            <w:r>
              <w:rPr>
                <w:rFonts w:hint="eastAsia" w:ascii="宋体" w:hAnsi="宋体" w:cs="宋体"/>
                <w:szCs w:val="21"/>
              </w:rPr>
              <w:t>投标保证金</w:t>
            </w:r>
          </w:p>
        </w:tc>
        <w:tc>
          <w:tcPr>
            <w:tcW w:w="6999" w:type="dxa"/>
            <w:tcBorders>
              <w:top w:val="single" w:color="auto" w:sz="4" w:space="0"/>
              <w:left w:val="single" w:color="auto" w:sz="4" w:space="0"/>
              <w:bottom w:val="single" w:color="auto" w:sz="4" w:space="0"/>
              <w:right w:val="single" w:color="auto" w:sz="4" w:space="0"/>
            </w:tcBorders>
            <w:vAlign w:val="center"/>
          </w:tcPr>
          <w:p w14:paraId="31C2414C">
            <w:pPr>
              <w:autoSpaceDE w:val="0"/>
              <w:autoSpaceDN w:val="0"/>
              <w:spacing w:line="400" w:lineRule="exact"/>
              <w:textAlignment w:val="bottom"/>
              <w:rPr>
                <w:rFonts w:ascii="宋体" w:hAnsi="宋体" w:cs="宋体"/>
                <w:color w:val="000000"/>
                <w:szCs w:val="21"/>
              </w:rPr>
            </w:pPr>
            <w:r>
              <w:rPr>
                <w:rFonts w:hint="eastAsia" w:ascii="宋体" w:hAnsi="宋体" w:cs="宋体"/>
                <w:color w:val="000000"/>
                <w:szCs w:val="21"/>
              </w:rPr>
              <w:t>☑本项目不收取投标保证金。</w:t>
            </w:r>
          </w:p>
          <w:p w14:paraId="22819423">
            <w:pPr>
              <w:spacing w:line="400" w:lineRule="exact"/>
              <w:rPr>
                <w:rFonts w:ascii="宋体" w:hAnsi="宋体" w:cs="宋体"/>
                <w:color w:val="000000"/>
                <w:szCs w:val="21"/>
              </w:rPr>
            </w:pPr>
            <w:r>
              <w:rPr>
                <w:rFonts w:hint="eastAsia" w:ascii="宋体" w:hAnsi="宋体" w:cs="宋体"/>
                <w:color w:val="000000"/>
                <w:szCs w:val="21"/>
              </w:rPr>
              <w:t>□本项目收取投标保证金，具体规定如下：</w:t>
            </w:r>
          </w:p>
          <w:p w14:paraId="2B79A718">
            <w:pPr>
              <w:snapToGrid w:val="0"/>
              <w:spacing w:line="400" w:lineRule="exact"/>
              <w:rPr>
                <w:rFonts w:ascii="宋体" w:hAnsi="宋体" w:cs="宋体"/>
                <w:color w:val="000000"/>
                <w:szCs w:val="21"/>
              </w:rPr>
            </w:pPr>
            <w:r>
              <w:rPr>
                <w:rFonts w:hint="eastAsia" w:ascii="宋体" w:hAnsi="宋体" w:cs="宋体"/>
                <w:color w:val="000000"/>
                <w:szCs w:val="21"/>
              </w:rPr>
              <w:t>1.投标保证金的形式：银行转账、支票、汇票、本票或者金融、担保机构出具的保函，禁止采用现钞方式。</w:t>
            </w:r>
          </w:p>
          <w:p w14:paraId="78D7494D">
            <w:pPr>
              <w:snapToGrid w:val="0"/>
              <w:spacing w:line="400" w:lineRule="exact"/>
              <w:rPr>
                <w:rFonts w:ascii="宋体" w:hAnsi="宋体" w:cs="宋体"/>
                <w:color w:val="000000"/>
                <w:szCs w:val="21"/>
              </w:rPr>
            </w:pPr>
            <w:r>
              <w:rPr>
                <w:rFonts w:hint="eastAsia" w:ascii="宋体" w:hAnsi="宋体" w:cs="宋体"/>
                <w:color w:val="000000"/>
                <w:szCs w:val="21"/>
              </w:rPr>
              <w:t>2.投标保证金为人民币：人民币/元。</w:t>
            </w:r>
          </w:p>
          <w:p w14:paraId="528D8C51">
            <w:pPr>
              <w:snapToGrid w:val="0"/>
              <w:spacing w:line="400" w:lineRule="exact"/>
              <w:rPr>
                <w:rFonts w:ascii="宋体" w:hAnsi="宋体" w:cs="宋体"/>
                <w:color w:val="000000"/>
                <w:szCs w:val="21"/>
              </w:rPr>
            </w:pPr>
            <w:r>
              <w:rPr>
                <w:rFonts w:hint="eastAsia" w:ascii="宋体" w:hAnsi="宋体" w:cs="宋体"/>
                <w:color w:val="000000"/>
                <w:szCs w:val="21"/>
              </w:rPr>
              <w:t>采用银行转账方式的，在投标截止时间前交至以下指定账户并且到账以到账时间为准：</w:t>
            </w:r>
          </w:p>
          <w:p w14:paraId="135426A8">
            <w:pPr>
              <w:snapToGrid w:val="0"/>
              <w:spacing w:line="400" w:lineRule="exact"/>
              <w:rPr>
                <w:rFonts w:ascii="宋体" w:hAnsi="宋体" w:cs="宋体"/>
                <w:color w:val="000000"/>
                <w:szCs w:val="21"/>
              </w:rPr>
            </w:pPr>
            <w:r>
              <w:rPr>
                <w:rFonts w:hint="eastAsia" w:ascii="宋体" w:hAnsi="宋体" w:cs="宋体"/>
                <w:color w:val="000000"/>
                <w:szCs w:val="21"/>
              </w:rPr>
              <w:t>开户名称：</w:t>
            </w:r>
            <w:r>
              <w:rPr>
                <w:rFonts w:hint="eastAsia" w:ascii="宋体" w:hAnsi="宋体" w:cs="宋体"/>
                <w:color w:val="000000"/>
                <w:kern w:val="0"/>
                <w:szCs w:val="21"/>
              </w:rPr>
              <w:t>/</w:t>
            </w:r>
          </w:p>
          <w:p w14:paraId="3A269838">
            <w:pPr>
              <w:snapToGrid w:val="0"/>
              <w:spacing w:line="400" w:lineRule="exact"/>
              <w:rPr>
                <w:rFonts w:ascii="宋体" w:hAnsi="宋体" w:cs="宋体"/>
                <w:color w:val="000000"/>
                <w:szCs w:val="21"/>
              </w:rPr>
            </w:pPr>
            <w:r>
              <w:rPr>
                <w:rFonts w:hint="eastAsia" w:ascii="宋体" w:hAnsi="宋体" w:cs="宋体"/>
                <w:color w:val="000000"/>
                <w:szCs w:val="21"/>
              </w:rPr>
              <w:t>开户银行：</w:t>
            </w:r>
            <w:r>
              <w:rPr>
                <w:rFonts w:hint="eastAsia" w:ascii="宋体" w:hAnsi="宋体" w:cs="宋体"/>
                <w:color w:val="000000"/>
                <w:kern w:val="0"/>
                <w:szCs w:val="21"/>
              </w:rPr>
              <w:t>/</w:t>
            </w:r>
          </w:p>
          <w:p w14:paraId="5F4B90F0">
            <w:pPr>
              <w:snapToGrid w:val="0"/>
              <w:spacing w:line="400" w:lineRule="exact"/>
              <w:rPr>
                <w:rFonts w:ascii="宋体" w:hAnsi="宋体" w:cs="宋体"/>
                <w:color w:val="000000"/>
                <w:szCs w:val="21"/>
              </w:rPr>
            </w:pPr>
            <w:r>
              <w:rPr>
                <w:rFonts w:hint="eastAsia" w:ascii="宋体" w:hAnsi="宋体" w:cs="宋体"/>
                <w:color w:val="000000"/>
                <w:szCs w:val="21"/>
              </w:rPr>
              <w:t>账号：</w:t>
            </w:r>
            <w:r>
              <w:rPr>
                <w:rFonts w:hint="eastAsia" w:ascii="宋体" w:hAnsi="宋体" w:cs="宋体"/>
                <w:color w:val="000000"/>
                <w:kern w:val="0"/>
                <w:szCs w:val="21"/>
              </w:rPr>
              <w:t>/</w:t>
            </w:r>
          </w:p>
          <w:p w14:paraId="241C4854">
            <w:pPr>
              <w:snapToGrid w:val="0"/>
              <w:spacing w:line="400" w:lineRule="exact"/>
              <w:rPr>
                <w:rFonts w:ascii="宋体" w:hAnsi="宋体" w:cs="宋体"/>
                <w:color w:val="000000"/>
                <w:szCs w:val="21"/>
              </w:rPr>
            </w:pPr>
            <w:r>
              <w:rPr>
                <w:rFonts w:hint="eastAsia" w:ascii="宋体" w:hAnsi="宋体" w:cs="宋体"/>
                <w:color w:val="000000"/>
                <w:szCs w:val="21"/>
              </w:rPr>
              <w:t>4.自中标、成交通知书发出之日起5个工作日内退还未中标（成交）供应商的投标（响应）保证金，自政府采购合同签订之日起5个工作日内退还中标（成交）供应商的投标（响应）保证金。</w:t>
            </w:r>
          </w:p>
          <w:p w14:paraId="20430216">
            <w:pPr>
              <w:snapToGrid w:val="0"/>
              <w:spacing w:line="400" w:lineRule="exact"/>
              <w:rPr>
                <w:rFonts w:ascii="宋体" w:hAnsi="宋体" w:cs="宋体"/>
                <w:color w:val="000000"/>
                <w:szCs w:val="21"/>
              </w:rPr>
            </w:pPr>
            <w:r>
              <w:rPr>
                <w:rFonts w:hint="eastAsia" w:ascii="宋体" w:hAnsi="宋体" w:cs="宋体"/>
                <w:color w:val="000000"/>
                <w:szCs w:val="21"/>
              </w:rPr>
              <w:t>5.供应商在投标期内撤回其响应文件、放弃投标资格及中标供应商未能在25天内签署合同协议的投标保证金不予退还。</w:t>
            </w:r>
          </w:p>
          <w:p w14:paraId="25DB90DB">
            <w:pPr>
              <w:snapToGrid w:val="0"/>
              <w:spacing w:line="400" w:lineRule="exact"/>
              <w:rPr>
                <w:rFonts w:ascii="宋体" w:hAnsi="宋体" w:cs="宋体"/>
                <w:color w:val="000000"/>
                <w:szCs w:val="21"/>
              </w:rPr>
            </w:pPr>
            <w:r>
              <w:rPr>
                <w:rFonts w:hint="eastAsia" w:ascii="宋体" w:hAnsi="宋体" w:cs="宋体"/>
                <w:color w:val="000000"/>
                <w:szCs w:val="21"/>
              </w:rPr>
              <w:t>6.中标供应商放弃成交资格的投标保证金不予退还。</w:t>
            </w:r>
          </w:p>
          <w:p w14:paraId="047BC7C1">
            <w:pPr>
              <w:snapToGrid w:val="0"/>
              <w:spacing w:line="400" w:lineRule="exact"/>
              <w:rPr>
                <w:rFonts w:ascii="宋体" w:hAnsi="宋体" w:cs="宋体"/>
                <w:szCs w:val="21"/>
              </w:rPr>
            </w:pPr>
            <w:r>
              <w:rPr>
                <w:rFonts w:hint="eastAsia" w:ascii="宋体" w:hAnsi="宋体" w:cs="宋体"/>
                <w:szCs w:val="21"/>
              </w:rPr>
              <w:t>相关要求：</w:t>
            </w:r>
          </w:p>
          <w:p w14:paraId="765E245E">
            <w:pPr>
              <w:pStyle w:val="16"/>
              <w:spacing w:line="400" w:lineRule="exact"/>
              <w:jc w:val="both"/>
              <w:rPr>
                <w:rFonts w:ascii="宋体" w:hAnsi="宋体" w:cs="宋体"/>
                <w:szCs w:val="21"/>
              </w:rPr>
            </w:pPr>
            <w:r>
              <w:rPr>
                <w:rFonts w:hint="eastAsia" w:ascii="宋体" w:hAnsi="宋体" w:cs="宋体"/>
                <w:szCs w:val="21"/>
              </w:rPr>
              <w:t>1.投标保证金采用银行转账交纳方式的，在投标截止时间前交至采购代理机构指定账户并且到账，投标人应将银行转账底单的复印件作为投标保证金提交凭证，放置于商务文件中，</w:t>
            </w:r>
            <w:r>
              <w:rPr>
                <w:rFonts w:hint="eastAsia" w:ascii="宋体" w:hAnsi="宋体" w:cs="宋体"/>
                <w:b/>
                <w:szCs w:val="21"/>
              </w:rPr>
              <w:t>否则投标无效</w:t>
            </w:r>
            <w:r>
              <w:rPr>
                <w:rFonts w:hint="eastAsia" w:ascii="宋体" w:hAnsi="宋体" w:cs="宋体"/>
                <w:szCs w:val="21"/>
              </w:rPr>
              <w:t>。</w:t>
            </w:r>
          </w:p>
          <w:p w14:paraId="64025DE0">
            <w:pPr>
              <w:snapToGrid w:val="0"/>
              <w:spacing w:line="400" w:lineRule="exact"/>
              <w:rPr>
                <w:rFonts w:ascii="宋体" w:hAnsi="宋体" w:cs="宋体"/>
                <w:szCs w:val="21"/>
              </w:rPr>
            </w:pPr>
            <w:r>
              <w:rPr>
                <w:rFonts w:hint="eastAsia" w:ascii="宋体" w:hAnsi="宋体" w:cs="宋体"/>
                <w:szCs w:val="21"/>
              </w:rPr>
              <w:t>2.投标保证金采用支票、汇票、本票或者金融、担保机构出具的保函交纳方式的，投标人应将支票、汇票、本票或者金融、担保机构出具的保函的复印件作为投标保证金提交凭证，放置于商务文件中，</w:t>
            </w:r>
            <w:r>
              <w:rPr>
                <w:rFonts w:hint="eastAsia" w:ascii="宋体" w:hAnsi="宋体" w:cs="宋体"/>
                <w:b/>
                <w:szCs w:val="21"/>
              </w:rPr>
              <w:t>否则投标无效</w:t>
            </w:r>
            <w:r>
              <w:rPr>
                <w:rFonts w:hint="eastAsia" w:ascii="宋体" w:hAnsi="宋体" w:cs="宋体"/>
                <w:szCs w:val="21"/>
              </w:rPr>
              <w:t>。投标人必须于递交投标文件时将支票、汇票、本票或者金融、担保机构出具的保函原件提交给采购人或者采购代理机构，由采购人或者采购代理机构向投标人出具回执，并妥善保管。</w:t>
            </w:r>
          </w:p>
          <w:p w14:paraId="0C43355F">
            <w:pPr>
              <w:snapToGrid w:val="0"/>
              <w:spacing w:line="400" w:lineRule="exact"/>
              <w:rPr>
                <w:rFonts w:ascii="宋体" w:hAnsi="宋体" w:cs="宋体"/>
                <w:szCs w:val="21"/>
              </w:rPr>
            </w:pPr>
            <w:r>
              <w:rPr>
                <w:rFonts w:hint="eastAsia" w:ascii="宋体" w:hAnsi="宋体" w:cs="宋体"/>
                <w:szCs w:val="21"/>
              </w:rPr>
              <w:t>3.投标保证金指定帐户：详见招标公告。</w:t>
            </w:r>
          </w:p>
          <w:p w14:paraId="2EF6BC0B">
            <w:pPr>
              <w:snapToGrid w:val="0"/>
              <w:spacing w:line="400" w:lineRule="exact"/>
              <w:rPr>
                <w:rFonts w:ascii="宋体" w:hAnsi="宋体" w:cs="宋体"/>
                <w:b/>
                <w:szCs w:val="21"/>
              </w:rPr>
            </w:pPr>
            <w:r>
              <w:rPr>
                <w:rFonts w:hint="eastAsia" w:ascii="宋体" w:hAnsi="宋体" w:cs="宋体"/>
                <w:b/>
                <w:szCs w:val="21"/>
              </w:rPr>
              <w:t>备注：</w:t>
            </w:r>
          </w:p>
          <w:p w14:paraId="3EC89751">
            <w:pPr>
              <w:snapToGrid w:val="0"/>
              <w:spacing w:line="400" w:lineRule="exact"/>
              <w:rPr>
                <w:rFonts w:ascii="宋体" w:hAnsi="宋体" w:cs="宋体"/>
                <w:b/>
                <w:szCs w:val="21"/>
              </w:rPr>
            </w:pPr>
            <w:r>
              <w:rPr>
                <w:rFonts w:hint="eastAsia" w:ascii="宋体" w:hAnsi="宋体" w:cs="宋体"/>
                <w:b/>
                <w:szCs w:val="21"/>
              </w:rPr>
              <w:t>1. 投标保证金在投标截止时间后提交的，或者不按规定交纳方式交纳的，或者未足额交纳的（包含保函额度不足的），视为无效投标保证金。</w:t>
            </w:r>
          </w:p>
          <w:p w14:paraId="5F6F03B2">
            <w:pPr>
              <w:snapToGrid w:val="0"/>
              <w:spacing w:line="400" w:lineRule="exact"/>
              <w:rPr>
                <w:rFonts w:ascii="宋体" w:hAnsi="宋体" w:cs="宋体"/>
                <w:b/>
                <w:szCs w:val="21"/>
              </w:rPr>
            </w:pPr>
            <w:r>
              <w:rPr>
                <w:rFonts w:hint="eastAsia" w:ascii="宋体" w:hAnsi="宋体" w:cs="宋体"/>
                <w:b/>
                <w:szCs w:val="21"/>
              </w:rPr>
              <w:t>2.投标人采用现钞方式或者从个人账户（自然人投标除外）转出的投标保证金，视为无效投标保证金。</w:t>
            </w:r>
          </w:p>
          <w:p w14:paraId="15BE11DE">
            <w:pPr>
              <w:snapToGrid w:val="0"/>
              <w:spacing w:line="400" w:lineRule="exact"/>
              <w:rPr>
                <w:rFonts w:ascii="宋体" w:hAnsi="宋体" w:cs="宋体"/>
                <w:b/>
                <w:szCs w:val="21"/>
              </w:rPr>
            </w:pPr>
            <w:r>
              <w:rPr>
                <w:rFonts w:hint="eastAsia" w:ascii="宋体" w:hAnsi="宋体" w:cs="宋体"/>
                <w:b/>
                <w:szCs w:val="21"/>
              </w:rPr>
              <w:t>3.支票、汇票或者本票出现无效或者背书情形的，视为无效投标保证金。</w:t>
            </w:r>
          </w:p>
          <w:p w14:paraId="783D5770">
            <w:pPr>
              <w:snapToGrid w:val="0"/>
              <w:spacing w:line="400" w:lineRule="exact"/>
              <w:rPr>
                <w:rFonts w:ascii="宋体" w:hAnsi="宋体" w:cs="宋体"/>
                <w:b/>
                <w:szCs w:val="21"/>
              </w:rPr>
            </w:pPr>
            <w:r>
              <w:rPr>
                <w:rFonts w:hint="eastAsia" w:ascii="宋体" w:hAnsi="宋体" w:cs="宋体"/>
                <w:b/>
                <w:szCs w:val="21"/>
              </w:rPr>
              <w:t>4.保函有效期低于投标有效期的，视为无效投标保证金。</w:t>
            </w:r>
          </w:p>
          <w:p w14:paraId="545B9887">
            <w:pPr>
              <w:autoSpaceDE w:val="0"/>
              <w:autoSpaceDN w:val="0"/>
              <w:snapToGrid w:val="0"/>
              <w:spacing w:line="400" w:lineRule="exact"/>
              <w:textAlignment w:val="bottom"/>
              <w:rPr>
                <w:rFonts w:ascii="宋体" w:hAnsi="宋体" w:cs="宋体"/>
                <w:szCs w:val="21"/>
              </w:rPr>
            </w:pPr>
            <w:r>
              <w:rPr>
                <w:rFonts w:hint="eastAsia" w:ascii="宋体" w:hAnsi="宋体" w:cs="宋体"/>
                <w:b/>
                <w:szCs w:val="21"/>
              </w:rPr>
              <w:t>5.采用金融、担保机构出具保函的，必须为无条件保函，否则视为无效投标保证金。</w:t>
            </w:r>
          </w:p>
        </w:tc>
      </w:tr>
      <w:tr w14:paraId="27B000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tcBorders>
              <w:top w:val="single" w:color="auto" w:sz="4" w:space="0"/>
              <w:left w:val="single" w:color="auto" w:sz="4" w:space="0"/>
              <w:bottom w:val="single" w:color="auto" w:sz="4" w:space="0"/>
              <w:right w:val="single" w:color="auto" w:sz="4" w:space="0"/>
            </w:tcBorders>
            <w:vAlign w:val="center"/>
          </w:tcPr>
          <w:p w14:paraId="712658A7">
            <w:pPr>
              <w:spacing w:line="400" w:lineRule="exact"/>
              <w:jc w:val="center"/>
              <w:rPr>
                <w:rFonts w:ascii="宋体" w:hAnsi="宋体" w:cs="宋体"/>
                <w:szCs w:val="21"/>
              </w:rPr>
            </w:pPr>
            <w:r>
              <w:rPr>
                <w:rFonts w:hint="eastAsia" w:ascii="宋体" w:hAnsi="宋体" w:cs="宋体"/>
                <w:szCs w:val="21"/>
              </w:rPr>
              <w:t>19.1</w:t>
            </w:r>
          </w:p>
        </w:tc>
        <w:tc>
          <w:tcPr>
            <w:tcW w:w="2053" w:type="dxa"/>
            <w:tcBorders>
              <w:top w:val="single" w:color="auto" w:sz="4" w:space="0"/>
              <w:left w:val="single" w:color="auto" w:sz="4" w:space="0"/>
              <w:bottom w:val="single" w:color="auto" w:sz="4" w:space="0"/>
              <w:right w:val="single" w:color="auto" w:sz="4" w:space="0"/>
            </w:tcBorders>
            <w:vAlign w:val="center"/>
          </w:tcPr>
          <w:p w14:paraId="64F1649A">
            <w:pPr>
              <w:spacing w:line="400" w:lineRule="exact"/>
              <w:jc w:val="center"/>
              <w:rPr>
                <w:rFonts w:ascii="宋体" w:hAnsi="宋体" w:cs="宋体"/>
                <w:szCs w:val="21"/>
              </w:rPr>
            </w:pPr>
            <w:r>
              <w:rPr>
                <w:rFonts w:hint="eastAsia" w:ascii="宋体" w:hAnsi="宋体" w:cs="宋体"/>
                <w:szCs w:val="21"/>
              </w:rPr>
              <w:t>投标文件编制要求</w:t>
            </w:r>
          </w:p>
        </w:tc>
        <w:tc>
          <w:tcPr>
            <w:tcW w:w="6999" w:type="dxa"/>
            <w:tcBorders>
              <w:top w:val="single" w:color="auto" w:sz="4" w:space="0"/>
              <w:left w:val="single" w:color="auto" w:sz="4" w:space="0"/>
              <w:bottom w:val="single" w:color="auto" w:sz="4" w:space="0"/>
              <w:right w:val="single" w:color="auto" w:sz="4" w:space="0"/>
            </w:tcBorders>
            <w:vAlign w:val="center"/>
          </w:tcPr>
          <w:p w14:paraId="60975540">
            <w:pPr>
              <w:spacing w:line="400" w:lineRule="exact"/>
              <w:rPr>
                <w:rFonts w:ascii="宋体" w:hAnsi="宋体" w:cs="宋体"/>
                <w:b/>
                <w:szCs w:val="21"/>
                <w:u w:val="single"/>
              </w:rPr>
            </w:pPr>
            <w:r>
              <w:rPr>
                <w:rFonts w:hint="eastAsia" w:ascii="宋体" w:hAnsi="宋体" w:cs="宋体"/>
                <w:szCs w:val="21"/>
              </w:rPr>
              <w:t>投标文件应按报价文件、资格证明文件、商务文件、技术文件分别编制，报价文件、资格证明文件分别生产电子文件，商务文件和技术文件按顺序合并生成电子文件。</w:t>
            </w:r>
            <w:r>
              <w:rPr>
                <w:rFonts w:hint="eastAsia" w:ascii="宋体" w:hAnsi="宋体" w:cs="宋体"/>
                <w:b/>
                <w:szCs w:val="21"/>
                <w:u w:val="single"/>
              </w:rPr>
              <w:t>电子版投标文件制作方式见招标公告附件。</w:t>
            </w:r>
          </w:p>
          <w:p w14:paraId="1F2FBF7A">
            <w:pPr>
              <w:spacing w:line="400" w:lineRule="exact"/>
              <w:rPr>
                <w:rFonts w:ascii="宋体" w:hAnsi="宋体" w:cs="宋体"/>
                <w:b/>
                <w:szCs w:val="21"/>
                <w:u w:val="single"/>
              </w:rPr>
            </w:pPr>
            <w:r>
              <w:rPr>
                <w:rFonts w:hint="eastAsia" w:ascii="宋体" w:hAnsi="宋体" w:cs="宋体"/>
                <w:b/>
                <w:szCs w:val="21"/>
                <w:u w:val="single"/>
              </w:rPr>
              <w:t>纸质投标文件：中标人在中标通知书发出后5天内须提交3套纸质版投标文件（含报价文件、资格证明文件、商务文件、技术文件。按要求加盖公章）给招标代理机构，1正3副。</w:t>
            </w:r>
          </w:p>
          <w:p w14:paraId="1ECDA985">
            <w:pPr>
              <w:spacing w:line="400" w:lineRule="exact"/>
              <w:rPr>
                <w:rFonts w:ascii="宋体" w:hAnsi="宋体" w:cs="宋体"/>
                <w:b/>
                <w:szCs w:val="21"/>
                <w:u w:val="single"/>
              </w:rPr>
            </w:pPr>
            <w:r>
              <w:rPr>
                <w:rFonts w:hint="eastAsia" w:ascii="宋体" w:hAnsi="宋体" w:cs="宋体"/>
                <w:b/>
                <w:szCs w:val="21"/>
                <w:u w:val="single"/>
              </w:rPr>
              <w:t>提交的纸质版投标文件文本必须与其上传到政采云系统的电子投标文件内容一致，不允许有篡改。如项目验收时因所提供的纸质投标文件与评标的投标文件不一致造成纠纷时，所有责任由中标人承担。</w:t>
            </w:r>
          </w:p>
        </w:tc>
      </w:tr>
      <w:tr w14:paraId="302F0E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tcBorders>
              <w:top w:val="single" w:color="auto" w:sz="4" w:space="0"/>
              <w:left w:val="single" w:color="auto" w:sz="4" w:space="0"/>
              <w:bottom w:val="single" w:color="auto" w:sz="4" w:space="0"/>
              <w:right w:val="single" w:color="auto" w:sz="4" w:space="0"/>
            </w:tcBorders>
            <w:vAlign w:val="center"/>
          </w:tcPr>
          <w:p w14:paraId="1041A887">
            <w:pPr>
              <w:spacing w:line="400" w:lineRule="exact"/>
              <w:jc w:val="center"/>
              <w:rPr>
                <w:rFonts w:ascii="宋体" w:hAnsi="宋体" w:cs="宋体"/>
                <w:szCs w:val="21"/>
              </w:rPr>
            </w:pPr>
            <w:r>
              <w:rPr>
                <w:rFonts w:hint="eastAsia" w:ascii="宋体" w:hAnsi="宋体" w:cs="宋体"/>
                <w:szCs w:val="21"/>
              </w:rPr>
              <w:t>20</w:t>
            </w:r>
          </w:p>
        </w:tc>
        <w:tc>
          <w:tcPr>
            <w:tcW w:w="2053" w:type="dxa"/>
            <w:tcBorders>
              <w:top w:val="single" w:color="auto" w:sz="4" w:space="0"/>
              <w:left w:val="single" w:color="auto" w:sz="4" w:space="0"/>
              <w:bottom w:val="single" w:color="auto" w:sz="4" w:space="0"/>
              <w:right w:val="single" w:color="auto" w:sz="4" w:space="0"/>
            </w:tcBorders>
            <w:vAlign w:val="center"/>
          </w:tcPr>
          <w:p w14:paraId="33FD8FFD">
            <w:pPr>
              <w:spacing w:line="400" w:lineRule="exact"/>
              <w:jc w:val="center"/>
              <w:rPr>
                <w:rFonts w:ascii="宋体" w:hAnsi="宋体" w:cs="宋体"/>
                <w:szCs w:val="21"/>
              </w:rPr>
            </w:pPr>
            <w:r>
              <w:rPr>
                <w:rFonts w:hint="eastAsia" w:ascii="宋体" w:hAnsi="宋体" w:cs="宋体"/>
                <w:szCs w:val="21"/>
              </w:rPr>
              <w:t>备份投标文件</w:t>
            </w:r>
          </w:p>
        </w:tc>
        <w:tc>
          <w:tcPr>
            <w:tcW w:w="6999" w:type="dxa"/>
            <w:tcBorders>
              <w:top w:val="single" w:color="auto" w:sz="4" w:space="0"/>
              <w:left w:val="single" w:color="auto" w:sz="4" w:space="0"/>
              <w:bottom w:val="single" w:color="auto" w:sz="4" w:space="0"/>
              <w:right w:val="single" w:color="auto" w:sz="4" w:space="0"/>
            </w:tcBorders>
            <w:vAlign w:val="center"/>
          </w:tcPr>
          <w:p w14:paraId="22E07B65">
            <w:pPr>
              <w:autoSpaceDE w:val="0"/>
              <w:autoSpaceDN w:val="0"/>
              <w:snapToGrid w:val="0"/>
              <w:spacing w:line="400" w:lineRule="exact"/>
              <w:textAlignment w:val="bottom"/>
              <w:rPr>
                <w:rFonts w:ascii="宋体" w:hAnsi="宋体" w:cs="宋体"/>
                <w:szCs w:val="21"/>
              </w:rPr>
            </w:pPr>
            <w:r>
              <w:rPr>
                <w:rFonts w:hint="eastAsia" w:ascii="宋体" w:hAnsi="宋体" w:cs="宋体"/>
                <w:szCs w:val="21"/>
              </w:rPr>
              <w:t>本项目不接受备份投标文件。</w:t>
            </w:r>
          </w:p>
        </w:tc>
      </w:tr>
      <w:tr w14:paraId="12FB44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vMerge w:val="restart"/>
            <w:tcBorders>
              <w:top w:val="single" w:color="auto" w:sz="4" w:space="0"/>
              <w:left w:val="single" w:color="auto" w:sz="4" w:space="0"/>
              <w:right w:val="single" w:color="auto" w:sz="4" w:space="0"/>
            </w:tcBorders>
            <w:vAlign w:val="center"/>
          </w:tcPr>
          <w:p w14:paraId="42BEAD95">
            <w:pPr>
              <w:spacing w:line="400" w:lineRule="exact"/>
              <w:jc w:val="center"/>
              <w:rPr>
                <w:rFonts w:ascii="宋体" w:hAnsi="宋体" w:cs="宋体"/>
                <w:szCs w:val="21"/>
              </w:rPr>
            </w:pPr>
            <w:r>
              <w:rPr>
                <w:rFonts w:hint="eastAsia" w:ascii="宋体" w:hAnsi="宋体" w:cs="宋体"/>
                <w:szCs w:val="21"/>
              </w:rPr>
              <w:t>21.1</w:t>
            </w:r>
          </w:p>
        </w:tc>
        <w:tc>
          <w:tcPr>
            <w:tcW w:w="2053" w:type="dxa"/>
            <w:tcBorders>
              <w:top w:val="single" w:color="auto" w:sz="4" w:space="0"/>
              <w:left w:val="single" w:color="auto" w:sz="4" w:space="0"/>
              <w:bottom w:val="single" w:color="auto" w:sz="4" w:space="0"/>
              <w:right w:val="single" w:color="auto" w:sz="4" w:space="0"/>
            </w:tcBorders>
            <w:vAlign w:val="center"/>
          </w:tcPr>
          <w:p w14:paraId="31B4F199">
            <w:pPr>
              <w:spacing w:line="400" w:lineRule="exact"/>
              <w:jc w:val="center"/>
              <w:rPr>
                <w:rFonts w:ascii="宋体" w:hAnsi="宋体" w:cs="宋体"/>
                <w:szCs w:val="21"/>
              </w:rPr>
            </w:pPr>
            <w:r>
              <w:rPr>
                <w:rFonts w:hint="eastAsia" w:ascii="宋体" w:hAnsi="宋体" w:cs="宋体"/>
                <w:szCs w:val="21"/>
              </w:rPr>
              <w:t>投标截止时间</w:t>
            </w:r>
          </w:p>
        </w:tc>
        <w:tc>
          <w:tcPr>
            <w:tcW w:w="6999" w:type="dxa"/>
            <w:tcBorders>
              <w:top w:val="single" w:color="auto" w:sz="4" w:space="0"/>
              <w:left w:val="single" w:color="auto" w:sz="4" w:space="0"/>
              <w:bottom w:val="single" w:color="auto" w:sz="4" w:space="0"/>
              <w:right w:val="single" w:color="auto" w:sz="4" w:space="0"/>
            </w:tcBorders>
            <w:vAlign w:val="center"/>
          </w:tcPr>
          <w:p w14:paraId="473D14C4">
            <w:pPr>
              <w:snapToGrid w:val="0"/>
              <w:spacing w:line="400" w:lineRule="exact"/>
              <w:rPr>
                <w:rFonts w:ascii="宋体" w:hAnsi="宋体" w:cs="宋体"/>
                <w:szCs w:val="21"/>
                <w:u w:val="single"/>
              </w:rPr>
            </w:pPr>
            <w:r>
              <w:rPr>
                <w:rFonts w:hint="eastAsia" w:ascii="宋体" w:hAnsi="宋体" w:cs="宋体"/>
                <w:szCs w:val="21"/>
              </w:rPr>
              <w:t>详见招标公告</w:t>
            </w:r>
          </w:p>
        </w:tc>
      </w:tr>
      <w:tr w14:paraId="30F112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vMerge w:val="continue"/>
            <w:tcBorders>
              <w:left w:val="single" w:color="auto" w:sz="4" w:space="0"/>
              <w:right w:val="single" w:color="auto" w:sz="4" w:space="0"/>
            </w:tcBorders>
            <w:vAlign w:val="center"/>
          </w:tcPr>
          <w:p w14:paraId="78B0EA81">
            <w:pPr>
              <w:spacing w:line="400" w:lineRule="exact"/>
              <w:jc w:val="center"/>
              <w:rPr>
                <w:rFonts w:ascii="宋体" w:hAnsi="宋体" w:cs="宋体"/>
                <w:szCs w:val="21"/>
              </w:rPr>
            </w:pPr>
          </w:p>
        </w:tc>
        <w:tc>
          <w:tcPr>
            <w:tcW w:w="2053" w:type="dxa"/>
            <w:tcBorders>
              <w:top w:val="single" w:color="auto" w:sz="4" w:space="0"/>
              <w:left w:val="single" w:color="auto" w:sz="4" w:space="0"/>
              <w:bottom w:val="single" w:color="auto" w:sz="4" w:space="0"/>
              <w:right w:val="single" w:color="auto" w:sz="4" w:space="0"/>
            </w:tcBorders>
            <w:vAlign w:val="center"/>
          </w:tcPr>
          <w:p w14:paraId="6B20E1AC">
            <w:pPr>
              <w:spacing w:line="400" w:lineRule="exact"/>
              <w:jc w:val="center"/>
              <w:rPr>
                <w:rFonts w:ascii="宋体" w:hAnsi="宋体" w:cs="宋体"/>
                <w:szCs w:val="21"/>
              </w:rPr>
            </w:pPr>
            <w:r>
              <w:rPr>
                <w:rFonts w:hint="eastAsia" w:ascii="宋体" w:hAnsi="宋体" w:cs="宋体"/>
                <w:szCs w:val="21"/>
              </w:rPr>
              <w:t>投标文件提交起止时间</w:t>
            </w:r>
          </w:p>
        </w:tc>
        <w:tc>
          <w:tcPr>
            <w:tcW w:w="6999" w:type="dxa"/>
            <w:tcBorders>
              <w:top w:val="single" w:color="auto" w:sz="4" w:space="0"/>
              <w:left w:val="single" w:color="auto" w:sz="4" w:space="0"/>
              <w:bottom w:val="single" w:color="auto" w:sz="4" w:space="0"/>
              <w:right w:val="single" w:color="auto" w:sz="4" w:space="0"/>
            </w:tcBorders>
            <w:vAlign w:val="center"/>
          </w:tcPr>
          <w:p w14:paraId="52CC28EA">
            <w:pPr>
              <w:snapToGrid w:val="0"/>
              <w:spacing w:line="400" w:lineRule="exact"/>
              <w:rPr>
                <w:rFonts w:ascii="宋体" w:hAnsi="宋体" w:cs="宋体"/>
                <w:szCs w:val="21"/>
              </w:rPr>
            </w:pPr>
            <w:r>
              <w:rPr>
                <w:rFonts w:hint="eastAsia" w:ascii="宋体" w:hAnsi="宋体" w:cs="宋体"/>
                <w:szCs w:val="21"/>
              </w:rPr>
              <w:t>详见招标公告</w:t>
            </w:r>
          </w:p>
        </w:tc>
      </w:tr>
      <w:tr w14:paraId="01D641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vMerge w:val="continue"/>
            <w:tcBorders>
              <w:left w:val="single" w:color="auto" w:sz="4" w:space="0"/>
              <w:right w:val="single" w:color="auto" w:sz="4" w:space="0"/>
            </w:tcBorders>
            <w:vAlign w:val="center"/>
          </w:tcPr>
          <w:p w14:paraId="6862E8C3">
            <w:pPr>
              <w:spacing w:line="400" w:lineRule="exact"/>
              <w:jc w:val="center"/>
              <w:rPr>
                <w:rFonts w:ascii="宋体" w:hAnsi="宋体" w:cs="宋体"/>
                <w:szCs w:val="21"/>
              </w:rPr>
            </w:pPr>
          </w:p>
        </w:tc>
        <w:tc>
          <w:tcPr>
            <w:tcW w:w="2053" w:type="dxa"/>
            <w:tcBorders>
              <w:top w:val="single" w:color="auto" w:sz="4" w:space="0"/>
              <w:left w:val="single" w:color="auto" w:sz="4" w:space="0"/>
              <w:bottom w:val="single" w:color="auto" w:sz="4" w:space="0"/>
              <w:right w:val="single" w:color="auto" w:sz="4" w:space="0"/>
            </w:tcBorders>
            <w:vAlign w:val="center"/>
          </w:tcPr>
          <w:p w14:paraId="02582E43">
            <w:pPr>
              <w:spacing w:line="400" w:lineRule="exact"/>
              <w:jc w:val="center"/>
              <w:rPr>
                <w:rFonts w:ascii="宋体" w:hAnsi="宋体" w:cs="宋体"/>
                <w:szCs w:val="21"/>
              </w:rPr>
            </w:pPr>
            <w:r>
              <w:rPr>
                <w:rFonts w:hint="eastAsia" w:ascii="宋体" w:hAnsi="宋体" w:cs="宋体"/>
                <w:szCs w:val="21"/>
              </w:rPr>
              <w:t>投标地点</w:t>
            </w:r>
          </w:p>
        </w:tc>
        <w:tc>
          <w:tcPr>
            <w:tcW w:w="6999" w:type="dxa"/>
            <w:tcBorders>
              <w:top w:val="single" w:color="auto" w:sz="4" w:space="0"/>
              <w:left w:val="single" w:color="auto" w:sz="4" w:space="0"/>
              <w:bottom w:val="single" w:color="auto" w:sz="4" w:space="0"/>
              <w:right w:val="single" w:color="auto" w:sz="4" w:space="0"/>
            </w:tcBorders>
            <w:vAlign w:val="center"/>
          </w:tcPr>
          <w:p w14:paraId="3480D6D3">
            <w:pPr>
              <w:snapToGrid w:val="0"/>
              <w:spacing w:line="400" w:lineRule="exact"/>
              <w:rPr>
                <w:rFonts w:ascii="宋体" w:hAnsi="宋体" w:cs="宋体"/>
                <w:szCs w:val="21"/>
              </w:rPr>
            </w:pPr>
            <w:r>
              <w:rPr>
                <w:rFonts w:hint="eastAsia" w:ascii="宋体" w:hAnsi="宋体" w:cs="宋体"/>
                <w:szCs w:val="21"/>
              </w:rPr>
              <w:t>详见招标公告</w:t>
            </w:r>
          </w:p>
        </w:tc>
      </w:tr>
      <w:tr w14:paraId="211F06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vMerge w:val="continue"/>
            <w:tcBorders>
              <w:left w:val="single" w:color="auto" w:sz="4" w:space="0"/>
              <w:right w:val="single" w:color="auto" w:sz="4" w:space="0"/>
            </w:tcBorders>
            <w:vAlign w:val="center"/>
          </w:tcPr>
          <w:p w14:paraId="5E80B674">
            <w:pPr>
              <w:spacing w:line="400" w:lineRule="exact"/>
              <w:jc w:val="center"/>
              <w:rPr>
                <w:rFonts w:ascii="宋体" w:hAnsi="宋体" w:cs="宋体"/>
                <w:szCs w:val="21"/>
              </w:rPr>
            </w:pPr>
          </w:p>
        </w:tc>
        <w:tc>
          <w:tcPr>
            <w:tcW w:w="2053" w:type="dxa"/>
            <w:tcBorders>
              <w:top w:val="single" w:color="auto" w:sz="4" w:space="0"/>
              <w:left w:val="single" w:color="auto" w:sz="4" w:space="0"/>
              <w:bottom w:val="single" w:color="auto" w:sz="4" w:space="0"/>
              <w:right w:val="single" w:color="auto" w:sz="4" w:space="0"/>
            </w:tcBorders>
            <w:vAlign w:val="center"/>
          </w:tcPr>
          <w:p w14:paraId="3E25CF3E">
            <w:pPr>
              <w:spacing w:line="400" w:lineRule="exact"/>
              <w:jc w:val="center"/>
              <w:rPr>
                <w:rFonts w:ascii="宋体" w:hAnsi="宋体" w:cs="宋体"/>
                <w:szCs w:val="21"/>
              </w:rPr>
            </w:pPr>
            <w:r>
              <w:rPr>
                <w:rFonts w:hint="eastAsia" w:ascii="宋体" w:hAnsi="宋体" w:cs="宋体"/>
                <w:szCs w:val="21"/>
              </w:rPr>
              <w:t>投标人递交投标样品截止时间及地点</w:t>
            </w:r>
          </w:p>
        </w:tc>
        <w:tc>
          <w:tcPr>
            <w:tcW w:w="6999" w:type="dxa"/>
            <w:tcBorders>
              <w:top w:val="single" w:color="auto" w:sz="4" w:space="0"/>
              <w:left w:val="single" w:color="auto" w:sz="4" w:space="0"/>
              <w:bottom w:val="single" w:color="auto" w:sz="4" w:space="0"/>
              <w:right w:val="single" w:color="auto" w:sz="4" w:space="0"/>
            </w:tcBorders>
            <w:vAlign w:val="center"/>
          </w:tcPr>
          <w:p w14:paraId="4AFA2707">
            <w:pPr>
              <w:snapToGrid w:val="0"/>
              <w:spacing w:line="400" w:lineRule="exact"/>
              <w:rPr>
                <w:rFonts w:ascii="宋体" w:hAnsi="宋体" w:cs="宋体"/>
                <w:bCs/>
                <w:szCs w:val="21"/>
              </w:rPr>
            </w:pPr>
            <w:r>
              <w:rPr>
                <w:rFonts w:hint="eastAsia" w:ascii="宋体" w:hAnsi="宋体" w:cs="宋体"/>
                <w:bCs/>
                <w:szCs w:val="21"/>
              </w:rPr>
              <w:t>时间：</w:t>
            </w:r>
            <w:r>
              <w:rPr>
                <w:rFonts w:hint="eastAsia" w:ascii="宋体" w:hAnsi="宋体" w:cs="宋体"/>
                <w:bCs/>
                <w:szCs w:val="21"/>
                <w:u w:val="single"/>
              </w:rPr>
              <w:t xml:space="preserve"> /  年 / 月 / 日  /  时  /  分</w:t>
            </w:r>
            <w:r>
              <w:rPr>
                <w:rFonts w:hint="eastAsia" w:ascii="宋体" w:hAnsi="宋体" w:cs="宋体"/>
                <w:bCs/>
                <w:szCs w:val="21"/>
              </w:rPr>
              <w:t>（北京时间）</w:t>
            </w:r>
          </w:p>
          <w:p w14:paraId="7598A49B">
            <w:pPr>
              <w:snapToGrid w:val="0"/>
              <w:spacing w:line="400" w:lineRule="exact"/>
              <w:rPr>
                <w:rFonts w:ascii="宋体" w:hAnsi="宋体" w:cs="宋体"/>
                <w:szCs w:val="21"/>
              </w:rPr>
            </w:pPr>
            <w:r>
              <w:rPr>
                <w:rFonts w:hint="eastAsia" w:ascii="宋体" w:hAnsi="宋体" w:cs="宋体"/>
                <w:bCs/>
                <w:szCs w:val="21"/>
              </w:rPr>
              <w:t>地点：</w:t>
            </w:r>
            <w:r>
              <w:rPr>
                <w:rFonts w:hint="eastAsia" w:ascii="宋体" w:hAnsi="宋体" w:cs="宋体"/>
                <w:bCs/>
                <w:szCs w:val="21"/>
                <w:u w:val="single"/>
              </w:rPr>
              <w:t xml:space="preserve">          /            </w:t>
            </w:r>
          </w:p>
        </w:tc>
      </w:tr>
      <w:tr w14:paraId="3B0399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tcBorders>
              <w:top w:val="single" w:color="auto" w:sz="4" w:space="0"/>
              <w:left w:val="single" w:color="auto" w:sz="4" w:space="0"/>
              <w:bottom w:val="single" w:color="auto" w:sz="4" w:space="0"/>
              <w:right w:val="single" w:color="auto" w:sz="4" w:space="0"/>
            </w:tcBorders>
            <w:vAlign w:val="center"/>
          </w:tcPr>
          <w:p w14:paraId="759A0460">
            <w:pPr>
              <w:spacing w:line="400" w:lineRule="exact"/>
              <w:jc w:val="center"/>
              <w:rPr>
                <w:rFonts w:ascii="宋体" w:hAnsi="宋体" w:cs="宋体"/>
                <w:szCs w:val="21"/>
              </w:rPr>
            </w:pPr>
            <w:r>
              <w:rPr>
                <w:rFonts w:hint="eastAsia" w:ascii="宋体" w:hAnsi="宋体" w:cs="宋体"/>
                <w:szCs w:val="21"/>
              </w:rPr>
              <w:t>23</w:t>
            </w:r>
          </w:p>
        </w:tc>
        <w:tc>
          <w:tcPr>
            <w:tcW w:w="2053" w:type="dxa"/>
            <w:tcBorders>
              <w:top w:val="single" w:color="auto" w:sz="4" w:space="0"/>
              <w:left w:val="single" w:color="auto" w:sz="4" w:space="0"/>
              <w:bottom w:val="single" w:color="auto" w:sz="4" w:space="0"/>
              <w:right w:val="single" w:color="auto" w:sz="4" w:space="0"/>
            </w:tcBorders>
            <w:vAlign w:val="center"/>
          </w:tcPr>
          <w:p w14:paraId="5658E9DD">
            <w:pPr>
              <w:spacing w:line="400" w:lineRule="exact"/>
              <w:jc w:val="center"/>
              <w:rPr>
                <w:rFonts w:ascii="宋体" w:hAnsi="宋体" w:cs="宋体"/>
                <w:szCs w:val="21"/>
              </w:rPr>
            </w:pPr>
            <w:r>
              <w:rPr>
                <w:rFonts w:hint="eastAsia" w:ascii="宋体" w:hAnsi="宋体" w:cs="宋体"/>
                <w:szCs w:val="21"/>
              </w:rPr>
              <w:t>开标时间、地点</w:t>
            </w:r>
          </w:p>
        </w:tc>
        <w:tc>
          <w:tcPr>
            <w:tcW w:w="6999" w:type="dxa"/>
            <w:tcBorders>
              <w:top w:val="single" w:color="auto" w:sz="4" w:space="0"/>
              <w:left w:val="single" w:color="auto" w:sz="4" w:space="0"/>
              <w:bottom w:val="single" w:color="auto" w:sz="4" w:space="0"/>
              <w:right w:val="single" w:color="auto" w:sz="4" w:space="0"/>
            </w:tcBorders>
            <w:vAlign w:val="center"/>
          </w:tcPr>
          <w:p w14:paraId="6EFFC91B">
            <w:pPr>
              <w:snapToGrid w:val="0"/>
              <w:spacing w:line="400" w:lineRule="exact"/>
              <w:rPr>
                <w:rFonts w:ascii="宋体" w:hAnsi="宋体" w:cs="宋体"/>
                <w:szCs w:val="21"/>
              </w:rPr>
            </w:pPr>
            <w:r>
              <w:rPr>
                <w:rFonts w:hint="eastAsia" w:ascii="宋体" w:hAnsi="宋体" w:cs="宋体"/>
                <w:szCs w:val="21"/>
              </w:rPr>
              <w:t xml:space="preserve">详见招标公告 </w:t>
            </w:r>
          </w:p>
        </w:tc>
      </w:tr>
      <w:tr w14:paraId="201934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vMerge w:val="restart"/>
            <w:tcBorders>
              <w:top w:val="single" w:color="auto" w:sz="4" w:space="0"/>
              <w:left w:val="single" w:color="auto" w:sz="4" w:space="0"/>
              <w:right w:val="single" w:color="auto" w:sz="4" w:space="0"/>
            </w:tcBorders>
            <w:vAlign w:val="center"/>
          </w:tcPr>
          <w:p w14:paraId="2C6197A6">
            <w:pPr>
              <w:spacing w:line="400" w:lineRule="exact"/>
              <w:jc w:val="center"/>
              <w:rPr>
                <w:rFonts w:ascii="宋体" w:hAnsi="宋体" w:cs="宋体"/>
                <w:szCs w:val="21"/>
              </w:rPr>
            </w:pPr>
            <w:r>
              <w:rPr>
                <w:rFonts w:hint="eastAsia" w:ascii="宋体" w:hAnsi="宋体" w:cs="宋体"/>
                <w:szCs w:val="21"/>
              </w:rPr>
              <w:t>25.3（2）</w:t>
            </w:r>
          </w:p>
        </w:tc>
        <w:tc>
          <w:tcPr>
            <w:tcW w:w="2053" w:type="dxa"/>
            <w:tcBorders>
              <w:top w:val="single" w:color="auto" w:sz="4" w:space="0"/>
              <w:left w:val="single" w:color="auto" w:sz="4" w:space="0"/>
              <w:bottom w:val="single" w:color="auto" w:sz="4" w:space="0"/>
              <w:right w:val="single" w:color="auto" w:sz="4" w:space="0"/>
            </w:tcBorders>
            <w:vAlign w:val="center"/>
          </w:tcPr>
          <w:p w14:paraId="4713FBD1">
            <w:pPr>
              <w:spacing w:line="400" w:lineRule="exact"/>
              <w:jc w:val="center"/>
              <w:rPr>
                <w:rFonts w:ascii="宋体" w:hAnsi="宋体" w:cs="宋体"/>
                <w:szCs w:val="21"/>
              </w:rPr>
            </w:pPr>
            <w:r>
              <w:rPr>
                <w:rFonts w:hint="eastAsia" w:ascii="宋体" w:hAnsi="宋体" w:cs="宋体"/>
                <w:szCs w:val="21"/>
              </w:rPr>
              <w:t>投标人信用查询渠道</w:t>
            </w:r>
          </w:p>
        </w:tc>
        <w:tc>
          <w:tcPr>
            <w:tcW w:w="6999" w:type="dxa"/>
            <w:tcBorders>
              <w:top w:val="single" w:color="auto" w:sz="4" w:space="0"/>
              <w:left w:val="single" w:color="auto" w:sz="4" w:space="0"/>
              <w:bottom w:val="single" w:color="auto" w:sz="4" w:space="0"/>
              <w:right w:val="single" w:color="auto" w:sz="4" w:space="0"/>
            </w:tcBorders>
            <w:vAlign w:val="center"/>
          </w:tcPr>
          <w:p w14:paraId="5B29B125">
            <w:pPr>
              <w:snapToGrid w:val="0"/>
              <w:spacing w:line="400" w:lineRule="exact"/>
              <w:rPr>
                <w:rFonts w:ascii="宋体" w:hAnsi="宋体" w:cs="宋体"/>
                <w:szCs w:val="21"/>
              </w:rPr>
            </w:pPr>
            <w:r>
              <w:rPr>
                <w:rFonts w:hint="eastAsia" w:ascii="宋体" w:hAnsi="宋体" w:cs="宋体"/>
                <w:szCs w:val="21"/>
              </w:rPr>
              <w:t>采购人或者采购代理机构在资格审查结束前，对投标人进行信用查询。</w:t>
            </w:r>
          </w:p>
          <w:p w14:paraId="01780916">
            <w:pPr>
              <w:snapToGrid w:val="0"/>
              <w:spacing w:line="400" w:lineRule="exact"/>
              <w:rPr>
                <w:rFonts w:ascii="宋体" w:hAnsi="宋体" w:cs="宋体"/>
                <w:szCs w:val="21"/>
              </w:rPr>
            </w:pPr>
            <w:r>
              <w:rPr>
                <w:rFonts w:hint="eastAsia" w:ascii="宋体" w:hAnsi="宋体" w:cs="宋体"/>
                <w:szCs w:val="21"/>
              </w:rPr>
              <w:t>查询渠道：“信用中国”网站（www.creditchina.gov.cn）、中国政府采购网（www.ccgp.gov.cn）。</w:t>
            </w:r>
          </w:p>
        </w:tc>
      </w:tr>
      <w:tr w14:paraId="6A557F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vMerge w:val="continue"/>
            <w:tcBorders>
              <w:left w:val="single" w:color="auto" w:sz="4" w:space="0"/>
              <w:right w:val="single" w:color="auto" w:sz="4" w:space="0"/>
            </w:tcBorders>
            <w:vAlign w:val="center"/>
          </w:tcPr>
          <w:p w14:paraId="44B805B7">
            <w:pPr>
              <w:spacing w:line="400" w:lineRule="exact"/>
              <w:jc w:val="center"/>
              <w:rPr>
                <w:rFonts w:ascii="宋体" w:hAnsi="宋体" w:cs="宋体"/>
                <w:szCs w:val="21"/>
              </w:rPr>
            </w:pPr>
          </w:p>
        </w:tc>
        <w:tc>
          <w:tcPr>
            <w:tcW w:w="2053" w:type="dxa"/>
            <w:tcBorders>
              <w:top w:val="single" w:color="auto" w:sz="4" w:space="0"/>
              <w:left w:val="single" w:color="auto" w:sz="4" w:space="0"/>
              <w:bottom w:val="single" w:color="auto" w:sz="4" w:space="0"/>
              <w:right w:val="single" w:color="auto" w:sz="4" w:space="0"/>
            </w:tcBorders>
            <w:vAlign w:val="center"/>
          </w:tcPr>
          <w:p w14:paraId="2D5764E5">
            <w:pPr>
              <w:spacing w:line="400" w:lineRule="exact"/>
              <w:jc w:val="center"/>
              <w:rPr>
                <w:rFonts w:ascii="宋体" w:hAnsi="宋体" w:cs="宋体"/>
                <w:szCs w:val="21"/>
              </w:rPr>
            </w:pPr>
            <w:r>
              <w:rPr>
                <w:rFonts w:hint="eastAsia" w:ascii="宋体" w:hAnsi="宋体" w:cs="宋体"/>
                <w:szCs w:val="21"/>
              </w:rPr>
              <w:t>信用查询截止时点</w:t>
            </w:r>
          </w:p>
        </w:tc>
        <w:tc>
          <w:tcPr>
            <w:tcW w:w="6999" w:type="dxa"/>
            <w:tcBorders>
              <w:top w:val="single" w:color="auto" w:sz="4" w:space="0"/>
              <w:left w:val="single" w:color="auto" w:sz="4" w:space="0"/>
              <w:bottom w:val="single" w:color="auto" w:sz="4" w:space="0"/>
              <w:right w:val="single" w:color="auto" w:sz="4" w:space="0"/>
            </w:tcBorders>
            <w:vAlign w:val="center"/>
          </w:tcPr>
          <w:p w14:paraId="4BB61B24">
            <w:pPr>
              <w:snapToGrid w:val="0"/>
              <w:spacing w:line="400" w:lineRule="exact"/>
              <w:rPr>
                <w:rFonts w:ascii="宋体" w:hAnsi="宋体" w:cs="宋体"/>
                <w:szCs w:val="21"/>
              </w:rPr>
            </w:pPr>
            <w:r>
              <w:rPr>
                <w:rFonts w:hint="eastAsia" w:ascii="宋体" w:hAnsi="宋体" w:cs="宋体"/>
                <w:szCs w:val="21"/>
              </w:rPr>
              <w:t>资格审查结束前</w:t>
            </w:r>
          </w:p>
        </w:tc>
      </w:tr>
      <w:tr w14:paraId="57456F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vMerge w:val="continue"/>
            <w:tcBorders>
              <w:left w:val="single" w:color="auto" w:sz="4" w:space="0"/>
              <w:right w:val="single" w:color="auto" w:sz="4" w:space="0"/>
            </w:tcBorders>
            <w:vAlign w:val="center"/>
          </w:tcPr>
          <w:p w14:paraId="25378F9C">
            <w:pPr>
              <w:spacing w:line="400" w:lineRule="exact"/>
              <w:jc w:val="center"/>
              <w:rPr>
                <w:rFonts w:ascii="宋体" w:hAnsi="宋体" w:cs="宋体"/>
                <w:szCs w:val="21"/>
              </w:rPr>
            </w:pPr>
          </w:p>
        </w:tc>
        <w:tc>
          <w:tcPr>
            <w:tcW w:w="2053" w:type="dxa"/>
            <w:tcBorders>
              <w:top w:val="single" w:color="auto" w:sz="4" w:space="0"/>
              <w:left w:val="single" w:color="auto" w:sz="4" w:space="0"/>
              <w:bottom w:val="single" w:color="auto" w:sz="4" w:space="0"/>
              <w:right w:val="single" w:color="auto" w:sz="4" w:space="0"/>
            </w:tcBorders>
            <w:vAlign w:val="center"/>
          </w:tcPr>
          <w:p w14:paraId="7F9F39D4">
            <w:pPr>
              <w:spacing w:line="400" w:lineRule="exact"/>
              <w:jc w:val="center"/>
              <w:rPr>
                <w:rFonts w:ascii="宋体" w:hAnsi="宋体" w:cs="宋体"/>
                <w:szCs w:val="21"/>
              </w:rPr>
            </w:pPr>
            <w:r>
              <w:rPr>
                <w:rFonts w:hint="eastAsia" w:ascii="宋体" w:hAnsi="宋体" w:cs="宋体"/>
                <w:szCs w:val="21"/>
              </w:rPr>
              <w:t>查询记录和证据留存方式</w:t>
            </w:r>
          </w:p>
        </w:tc>
        <w:tc>
          <w:tcPr>
            <w:tcW w:w="6999" w:type="dxa"/>
            <w:tcBorders>
              <w:top w:val="single" w:color="auto" w:sz="4" w:space="0"/>
              <w:left w:val="single" w:color="auto" w:sz="4" w:space="0"/>
              <w:bottom w:val="single" w:color="auto" w:sz="4" w:space="0"/>
              <w:right w:val="single" w:color="auto" w:sz="4" w:space="0"/>
            </w:tcBorders>
            <w:vAlign w:val="center"/>
          </w:tcPr>
          <w:p w14:paraId="63865E33">
            <w:pPr>
              <w:snapToGrid w:val="0"/>
              <w:spacing w:line="400" w:lineRule="exact"/>
              <w:rPr>
                <w:rFonts w:ascii="宋体" w:hAnsi="宋体" w:cs="宋体"/>
                <w:szCs w:val="21"/>
              </w:rPr>
            </w:pPr>
            <w:r>
              <w:rPr>
                <w:rFonts w:hint="eastAsia" w:ascii="宋体" w:hAnsi="宋体" w:cs="宋体"/>
                <w:szCs w:val="21"/>
              </w:rPr>
              <w:t>在查询网站中直接截图查询记录，截图作为在广西政府采购云平台作为附件上传保存。</w:t>
            </w:r>
          </w:p>
        </w:tc>
      </w:tr>
      <w:tr w14:paraId="6F19D1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vMerge w:val="continue"/>
            <w:tcBorders>
              <w:left w:val="single" w:color="auto" w:sz="4" w:space="0"/>
              <w:bottom w:val="single" w:color="auto" w:sz="4" w:space="0"/>
              <w:right w:val="single" w:color="auto" w:sz="4" w:space="0"/>
            </w:tcBorders>
            <w:vAlign w:val="center"/>
          </w:tcPr>
          <w:p w14:paraId="03CEDD85">
            <w:pPr>
              <w:spacing w:line="400" w:lineRule="exact"/>
              <w:jc w:val="center"/>
              <w:rPr>
                <w:rFonts w:ascii="宋体" w:hAnsi="宋体" w:cs="宋体"/>
                <w:szCs w:val="21"/>
              </w:rPr>
            </w:pPr>
          </w:p>
        </w:tc>
        <w:tc>
          <w:tcPr>
            <w:tcW w:w="2053" w:type="dxa"/>
            <w:tcBorders>
              <w:top w:val="single" w:color="auto" w:sz="4" w:space="0"/>
              <w:left w:val="single" w:color="auto" w:sz="4" w:space="0"/>
              <w:bottom w:val="single" w:color="auto" w:sz="4" w:space="0"/>
              <w:right w:val="single" w:color="auto" w:sz="4" w:space="0"/>
            </w:tcBorders>
            <w:vAlign w:val="center"/>
          </w:tcPr>
          <w:p w14:paraId="0F000294">
            <w:pPr>
              <w:spacing w:line="400" w:lineRule="exact"/>
              <w:jc w:val="center"/>
              <w:rPr>
                <w:rFonts w:ascii="宋体" w:hAnsi="宋体" w:cs="宋体"/>
                <w:szCs w:val="21"/>
              </w:rPr>
            </w:pPr>
            <w:r>
              <w:rPr>
                <w:rFonts w:hint="eastAsia" w:ascii="宋体" w:hAnsi="宋体" w:cs="宋体"/>
                <w:szCs w:val="21"/>
              </w:rPr>
              <w:t>信用信息使用规则</w:t>
            </w:r>
          </w:p>
        </w:tc>
        <w:tc>
          <w:tcPr>
            <w:tcW w:w="6999" w:type="dxa"/>
            <w:tcBorders>
              <w:top w:val="single" w:color="auto" w:sz="4" w:space="0"/>
              <w:left w:val="single" w:color="auto" w:sz="4" w:space="0"/>
              <w:bottom w:val="single" w:color="auto" w:sz="4" w:space="0"/>
              <w:right w:val="single" w:color="auto" w:sz="4" w:space="0"/>
            </w:tcBorders>
            <w:vAlign w:val="center"/>
          </w:tcPr>
          <w:p w14:paraId="519ABDEE">
            <w:pPr>
              <w:snapToGrid w:val="0"/>
              <w:spacing w:line="400" w:lineRule="exact"/>
              <w:rPr>
                <w:rFonts w:ascii="宋体" w:hAnsi="宋体" w:cs="宋体"/>
                <w:szCs w:val="21"/>
              </w:rPr>
            </w:pPr>
            <w:r>
              <w:rPr>
                <w:rFonts w:hint="eastAsia" w:ascii="宋体" w:hAnsi="宋体" w:cs="宋体"/>
                <w:szCs w:val="21"/>
              </w:rPr>
              <w:t>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BE7AE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tcBorders>
              <w:top w:val="single" w:color="auto" w:sz="4" w:space="0"/>
              <w:left w:val="single" w:color="auto" w:sz="4" w:space="0"/>
              <w:bottom w:val="single" w:color="auto" w:sz="4" w:space="0"/>
              <w:right w:val="single" w:color="auto" w:sz="4" w:space="0"/>
            </w:tcBorders>
            <w:vAlign w:val="center"/>
          </w:tcPr>
          <w:p w14:paraId="0DD15DB1">
            <w:pPr>
              <w:spacing w:line="400" w:lineRule="exact"/>
              <w:jc w:val="center"/>
              <w:rPr>
                <w:rFonts w:ascii="宋体" w:hAnsi="宋体" w:cs="宋体"/>
                <w:szCs w:val="21"/>
              </w:rPr>
            </w:pPr>
            <w:r>
              <w:rPr>
                <w:rFonts w:hint="eastAsia" w:ascii="宋体" w:hAnsi="宋体" w:cs="宋体"/>
                <w:szCs w:val="21"/>
              </w:rPr>
              <w:t>29.1</w:t>
            </w:r>
          </w:p>
        </w:tc>
        <w:tc>
          <w:tcPr>
            <w:tcW w:w="2053" w:type="dxa"/>
            <w:tcBorders>
              <w:top w:val="single" w:color="auto" w:sz="4" w:space="0"/>
              <w:left w:val="single" w:color="auto" w:sz="4" w:space="0"/>
              <w:bottom w:val="single" w:color="auto" w:sz="4" w:space="0"/>
              <w:right w:val="single" w:color="auto" w:sz="4" w:space="0"/>
            </w:tcBorders>
            <w:vAlign w:val="center"/>
          </w:tcPr>
          <w:p w14:paraId="01A9D82D">
            <w:pPr>
              <w:spacing w:line="400" w:lineRule="exact"/>
              <w:jc w:val="center"/>
              <w:rPr>
                <w:rFonts w:ascii="宋体" w:hAnsi="宋体" w:cs="宋体"/>
                <w:szCs w:val="21"/>
              </w:rPr>
            </w:pPr>
            <w:r>
              <w:rPr>
                <w:rFonts w:hint="eastAsia" w:ascii="宋体" w:hAnsi="宋体" w:cs="宋体"/>
                <w:szCs w:val="21"/>
              </w:rPr>
              <w:t>评标方法</w:t>
            </w:r>
          </w:p>
        </w:tc>
        <w:tc>
          <w:tcPr>
            <w:tcW w:w="6999" w:type="dxa"/>
            <w:tcBorders>
              <w:top w:val="single" w:color="auto" w:sz="4" w:space="0"/>
              <w:left w:val="single" w:color="auto" w:sz="4" w:space="0"/>
              <w:bottom w:val="single" w:color="auto" w:sz="4" w:space="0"/>
              <w:right w:val="single" w:color="auto" w:sz="4" w:space="0"/>
            </w:tcBorders>
            <w:vAlign w:val="center"/>
          </w:tcPr>
          <w:p w14:paraId="5B2D4D31">
            <w:pPr>
              <w:autoSpaceDE w:val="0"/>
              <w:autoSpaceDN w:val="0"/>
              <w:snapToGrid w:val="0"/>
              <w:spacing w:line="400" w:lineRule="exact"/>
              <w:textAlignment w:val="bottom"/>
              <w:rPr>
                <w:rFonts w:ascii="宋体" w:hAnsi="宋体" w:cs="宋体"/>
                <w:szCs w:val="21"/>
              </w:rPr>
            </w:pPr>
            <w:r>
              <w:rPr>
                <w:rFonts w:hint="eastAsia" w:ascii="宋体" w:hAnsi="宋体" w:cs="宋体"/>
                <w:szCs w:val="21"/>
              </w:rPr>
              <w:t>☑综合评分法</w:t>
            </w:r>
          </w:p>
          <w:p w14:paraId="1133DE14">
            <w:pPr>
              <w:autoSpaceDE w:val="0"/>
              <w:autoSpaceDN w:val="0"/>
              <w:snapToGrid w:val="0"/>
              <w:spacing w:line="400" w:lineRule="exact"/>
              <w:textAlignment w:val="bottom"/>
              <w:rPr>
                <w:rFonts w:ascii="宋体" w:hAnsi="宋体" w:cs="宋体"/>
                <w:szCs w:val="21"/>
              </w:rPr>
            </w:pPr>
            <w:r>
              <w:rPr>
                <w:rFonts w:hint="eastAsia" w:ascii="宋体" w:hAnsi="宋体" w:cs="宋体"/>
                <w:szCs w:val="21"/>
              </w:rPr>
              <w:t>□最低评标价法</w:t>
            </w:r>
          </w:p>
        </w:tc>
      </w:tr>
      <w:tr w14:paraId="1B8D44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890" w:type="dxa"/>
            <w:tcBorders>
              <w:top w:val="single" w:color="auto" w:sz="4" w:space="0"/>
              <w:left w:val="single" w:color="auto" w:sz="4" w:space="0"/>
              <w:right w:val="single" w:color="auto" w:sz="4" w:space="0"/>
            </w:tcBorders>
            <w:vAlign w:val="center"/>
          </w:tcPr>
          <w:p w14:paraId="403DED92">
            <w:pPr>
              <w:spacing w:line="400" w:lineRule="exact"/>
              <w:jc w:val="center"/>
              <w:rPr>
                <w:rFonts w:ascii="宋体" w:hAnsi="宋体" w:cs="宋体"/>
                <w:szCs w:val="21"/>
              </w:rPr>
            </w:pPr>
            <w:r>
              <w:rPr>
                <w:rFonts w:hint="eastAsia" w:ascii="宋体" w:hAnsi="宋体" w:cs="宋体"/>
                <w:szCs w:val="21"/>
              </w:rPr>
              <w:t>29.2</w:t>
            </w:r>
          </w:p>
        </w:tc>
        <w:tc>
          <w:tcPr>
            <w:tcW w:w="2053" w:type="dxa"/>
            <w:tcBorders>
              <w:top w:val="single" w:color="auto" w:sz="4" w:space="0"/>
              <w:left w:val="single" w:color="auto" w:sz="4" w:space="0"/>
              <w:right w:val="single" w:color="auto" w:sz="4" w:space="0"/>
            </w:tcBorders>
            <w:vAlign w:val="center"/>
          </w:tcPr>
          <w:p w14:paraId="33D48B16">
            <w:pPr>
              <w:spacing w:line="400" w:lineRule="exact"/>
              <w:jc w:val="center"/>
              <w:rPr>
                <w:rFonts w:ascii="宋体" w:hAnsi="宋体" w:cs="宋体"/>
                <w:szCs w:val="21"/>
              </w:rPr>
            </w:pPr>
            <w:r>
              <w:rPr>
                <w:rFonts w:hint="eastAsia" w:ascii="宋体" w:hAnsi="宋体" w:cs="宋体"/>
                <w:szCs w:val="21"/>
              </w:rPr>
              <w:t>允许负偏离项</w:t>
            </w:r>
          </w:p>
        </w:tc>
        <w:tc>
          <w:tcPr>
            <w:tcW w:w="6999" w:type="dxa"/>
            <w:tcBorders>
              <w:top w:val="single" w:color="auto" w:sz="4" w:space="0"/>
              <w:left w:val="single" w:color="auto" w:sz="4" w:space="0"/>
              <w:right w:val="single" w:color="auto" w:sz="4" w:space="0"/>
            </w:tcBorders>
            <w:vAlign w:val="center"/>
          </w:tcPr>
          <w:p w14:paraId="0B2F5AC0">
            <w:pPr>
              <w:snapToGrid w:val="0"/>
              <w:spacing w:line="400" w:lineRule="exact"/>
              <w:rPr>
                <w:rFonts w:ascii="宋体" w:hAnsi="宋体" w:cs="宋体"/>
                <w:szCs w:val="21"/>
              </w:rPr>
            </w:pPr>
            <w:r>
              <w:rPr>
                <w:rFonts w:hint="eastAsia" w:ascii="宋体" w:hAnsi="宋体" w:cs="宋体"/>
                <w:szCs w:val="21"/>
              </w:rPr>
              <w:t>各标项商务条款评审中允许负偏离的条款数为</w:t>
            </w:r>
            <w:r>
              <w:rPr>
                <w:rFonts w:hint="eastAsia" w:ascii="宋体" w:hAnsi="宋体" w:cs="宋体"/>
                <w:szCs w:val="21"/>
                <w:u w:val="single"/>
              </w:rPr>
              <w:t xml:space="preserve"> 0 </w:t>
            </w:r>
            <w:r>
              <w:rPr>
                <w:rFonts w:hint="eastAsia" w:ascii="宋体" w:hAnsi="宋体" w:cs="宋体"/>
                <w:szCs w:val="21"/>
              </w:rPr>
              <w:t>项。</w:t>
            </w:r>
          </w:p>
          <w:p w14:paraId="3AAF3DFC">
            <w:pPr>
              <w:snapToGrid w:val="0"/>
              <w:spacing w:line="400" w:lineRule="exact"/>
              <w:rPr>
                <w:rFonts w:ascii="宋体" w:hAnsi="宋体" w:cs="宋体"/>
                <w:szCs w:val="21"/>
              </w:rPr>
            </w:pPr>
            <w:r>
              <w:rPr>
                <w:rFonts w:hint="eastAsia" w:ascii="宋体" w:hAnsi="宋体" w:cs="宋体"/>
                <w:szCs w:val="21"/>
              </w:rPr>
              <w:t>各标项技术需求评审中允许负偏离的条款数为</w:t>
            </w:r>
            <w:r>
              <w:rPr>
                <w:rFonts w:hint="eastAsia" w:ascii="宋体" w:hAnsi="宋体" w:cs="宋体"/>
                <w:szCs w:val="21"/>
                <w:u w:val="single"/>
              </w:rPr>
              <w:t xml:space="preserve"> 6 </w:t>
            </w:r>
            <w:r>
              <w:rPr>
                <w:rFonts w:hint="eastAsia" w:ascii="宋体" w:hAnsi="宋体" w:cs="宋体"/>
                <w:szCs w:val="21"/>
              </w:rPr>
              <w:t>项。</w:t>
            </w:r>
          </w:p>
        </w:tc>
      </w:tr>
      <w:tr w14:paraId="65CA48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tcBorders>
              <w:top w:val="single" w:color="auto" w:sz="4" w:space="0"/>
              <w:left w:val="single" w:color="auto" w:sz="4" w:space="0"/>
              <w:bottom w:val="single" w:color="auto" w:sz="4" w:space="0"/>
              <w:right w:val="single" w:color="auto" w:sz="4" w:space="0"/>
            </w:tcBorders>
            <w:vAlign w:val="center"/>
          </w:tcPr>
          <w:p w14:paraId="4350FD47">
            <w:pPr>
              <w:spacing w:line="400" w:lineRule="exact"/>
              <w:jc w:val="center"/>
              <w:rPr>
                <w:rFonts w:ascii="宋体" w:hAnsi="宋体" w:cs="宋体"/>
                <w:szCs w:val="21"/>
              </w:rPr>
            </w:pPr>
            <w:r>
              <w:rPr>
                <w:rFonts w:hint="eastAsia" w:ascii="宋体" w:hAnsi="宋体" w:cs="宋体"/>
                <w:szCs w:val="21"/>
              </w:rPr>
              <w:t>30.1</w:t>
            </w:r>
          </w:p>
        </w:tc>
        <w:tc>
          <w:tcPr>
            <w:tcW w:w="2053" w:type="dxa"/>
            <w:tcBorders>
              <w:top w:val="single" w:color="auto" w:sz="4" w:space="0"/>
              <w:left w:val="single" w:color="auto" w:sz="4" w:space="0"/>
              <w:bottom w:val="single" w:color="auto" w:sz="4" w:space="0"/>
              <w:right w:val="single" w:color="auto" w:sz="4" w:space="0"/>
            </w:tcBorders>
            <w:vAlign w:val="center"/>
          </w:tcPr>
          <w:p w14:paraId="1C470223">
            <w:pPr>
              <w:autoSpaceDE w:val="0"/>
              <w:autoSpaceDN w:val="0"/>
              <w:snapToGrid w:val="0"/>
              <w:spacing w:line="400" w:lineRule="exact"/>
              <w:jc w:val="center"/>
              <w:textAlignment w:val="bottom"/>
              <w:rPr>
                <w:rFonts w:ascii="宋体" w:hAnsi="宋体" w:cs="宋体"/>
                <w:szCs w:val="21"/>
              </w:rPr>
            </w:pPr>
            <w:r>
              <w:rPr>
                <w:rFonts w:hint="eastAsia" w:ascii="宋体" w:hAnsi="宋体" w:cs="宋体"/>
                <w:szCs w:val="21"/>
              </w:rPr>
              <w:t>确定中标人时，出现中标候选人分数并列的情形，确定中标人方式</w:t>
            </w:r>
          </w:p>
        </w:tc>
        <w:tc>
          <w:tcPr>
            <w:tcW w:w="6999" w:type="dxa"/>
            <w:tcBorders>
              <w:top w:val="single" w:color="auto" w:sz="4" w:space="0"/>
              <w:left w:val="single" w:color="auto" w:sz="4" w:space="0"/>
              <w:bottom w:val="single" w:color="auto" w:sz="4" w:space="0"/>
              <w:right w:val="single" w:color="auto" w:sz="4" w:space="0"/>
            </w:tcBorders>
            <w:vAlign w:val="center"/>
          </w:tcPr>
          <w:p w14:paraId="57F2CD73">
            <w:pPr>
              <w:autoSpaceDE w:val="0"/>
              <w:autoSpaceDN w:val="0"/>
              <w:snapToGrid w:val="0"/>
              <w:spacing w:line="400" w:lineRule="exact"/>
              <w:textAlignment w:val="bottom"/>
              <w:rPr>
                <w:rFonts w:ascii="宋体" w:hAnsi="宋体" w:cs="宋体"/>
                <w:szCs w:val="21"/>
              </w:rPr>
            </w:pPr>
            <w:r>
              <w:rPr>
                <w:rFonts w:hint="eastAsia" w:ascii="宋体" w:hAnsi="宋体" w:cs="宋体"/>
                <w:szCs w:val="21"/>
              </w:rPr>
              <w:t>□采用最低评标价法的，投标文件满足招标文件全部实质性要求且投标报价最低的投标人为排名第一的中标候选人；</w:t>
            </w:r>
          </w:p>
          <w:p w14:paraId="423DFBEC">
            <w:pPr>
              <w:autoSpaceDE w:val="0"/>
              <w:autoSpaceDN w:val="0"/>
              <w:snapToGrid w:val="0"/>
              <w:spacing w:line="400" w:lineRule="exact"/>
              <w:textAlignment w:val="bottom"/>
              <w:rPr>
                <w:rFonts w:ascii="宋体" w:hAnsi="宋体" w:cs="宋体"/>
                <w:b/>
                <w:szCs w:val="21"/>
              </w:rPr>
            </w:pPr>
            <w:r>
              <w:rPr>
                <w:rFonts w:hint="eastAsia" w:ascii="宋体" w:hAnsi="宋体" w:cs="宋体"/>
                <w:szCs w:val="21"/>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70AB10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tcBorders>
              <w:top w:val="single" w:color="auto" w:sz="4" w:space="0"/>
              <w:left w:val="single" w:color="auto" w:sz="4" w:space="0"/>
              <w:bottom w:val="single" w:color="auto" w:sz="4" w:space="0"/>
              <w:right w:val="single" w:color="auto" w:sz="4" w:space="0"/>
            </w:tcBorders>
            <w:vAlign w:val="center"/>
          </w:tcPr>
          <w:p w14:paraId="5433776E">
            <w:pPr>
              <w:spacing w:line="400" w:lineRule="exact"/>
              <w:jc w:val="center"/>
              <w:rPr>
                <w:rFonts w:ascii="宋体" w:hAnsi="宋体" w:cs="宋体"/>
                <w:szCs w:val="21"/>
              </w:rPr>
            </w:pPr>
            <w:r>
              <w:rPr>
                <w:rFonts w:hint="eastAsia" w:ascii="宋体" w:hAnsi="宋体" w:cs="宋体"/>
                <w:szCs w:val="21"/>
              </w:rPr>
              <w:t>35</w:t>
            </w:r>
          </w:p>
        </w:tc>
        <w:tc>
          <w:tcPr>
            <w:tcW w:w="2053" w:type="dxa"/>
            <w:tcBorders>
              <w:top w:val="single" w:color="auto" w:sz="4" w:space="0"/>
              <w:left w:val="single" w:color="auto" w:sz="4" w:space="0"/>
              <w:bottom w:val="single" w:color="auto" w:sz="4" w:space="0"/>
              <w:right w:val="single" w:color="auto" w:sz="4" w:space="0"/>
            </w:tcBorders>
            <w:vAlign w:val="center"/>
          </w:tcPr>
          <w:p w14:paraId="6733C5BE">
            <w:pPr>
              <w:spacing w:line="400" w:lineRule="exact"/>
              <w:jc w:val="center"/>
              <w:rPr>
                <w:rFonts w:ascii="宋体" w:hAnsi="宋体" w:cs="宋体"/>
                <w:szCs w:val="21"/>
              </w:rPr>
            </w:pPr>
            <w:r>
              <w:rPr>
                <w:rFonts w:hint="eastAsia" w:ascii="宋体" w:hAnsi="宋体" w:cs="宋体"/>
                <w:szCs w:val="21"/>
              </w:rPr>
              <w:t>履约保证金金额</w:t>
            </w:r>
          </w:p>
        </w:tc>
        <w:tc>
          <w:tcPr>
            <w:tcW w:w="6999" w:type="dxa"/>
            <w:tcBorders>
              <w:top w:val="single" w:color="auto" w:sz="4" w:space="0"/>
              <w:left w:val="single" w:color="auto" w:sz="4" w:space="0"/>
              <w:bottom w:val="single" w:color="auto" w:sz="4" w:space="0"/>
              <w:right w:val="single" w:color="auto" w:sz="4" w:space="0"/>
            </w:tcBorders>
            <w:vAlign w:val="center"/>
          </w:tcPr>
          <w:p w14:paraId="762E9030">
            <w:pPr>
              <w:autoSpaceDE w:val="0"/>
              <w:autoSpaceDN w:val="0"/>
              <w:snapToGrid w:val="0"/>
              <w:spacing w:line="400" w:lineRule="exact"/>
              <w:textAlignment w:val="bottom"/>
              <w:rPr>
                <w:rFonts w:ascii="宋体" w:hAnsi="宋体" w:cs="宋体"/>
                <w:szCs w:val="21"/>
              </w:rPr>
            </w:pPr>
            <w:r>
              <w:rPr>
                <w:rFonts w:hint="eastAsia" w:ascii="宋体" w:hAnsi="宋体" w:cs="宋体"/>
                <w:szCs w:val="21"/>
              </w:rPr>
              <w:t>本项目不收取履约保证金。</w:t>
            </w:r>
          </w:p>
        </w:tc>
      </w:tr>
      <w:tr w14:paraId="5C9846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tcBorders>
              <w:top w:val="single" w:color="auto" w:sz="4" w:space="0"/>
              <w:left w:val="single" w:color="auto" w:sz="4" w:space="0"/>
              <w:bottom w:val="single" w:color="auto" w:sz="4" w:space="0"/>
              <w:right w:val="single" w:color="auto" w:sz="4" w:space="0"/>
            </w:tcBorders>
            <w:vAlign w:val="center"/>
          </w:tcPr>
          <w:p w14:paraId="0B6303E8">
            <w:pPr>
              <w:spacing w:line="400" w:lineRule="exact"/>
              <w:jc w:val="center"/>
              <w:rPr>
                <w:rFonts w:ascii="宋体" w:hAnsi="宋体" w:cs="宋体"/>
                <w:szCs w:val="21"/>
              </w:rPr>
            </w:pPr>
            <w:r>
              <w:rPr>
                <w:rFonts w:hint="eastAsia" w:ascii="宋体" w:hAnsi="宋体" w:cs="宋体"/>
                <w:szCs w:val="21"/>
              </w:rPr>
              <w:t>36.1</w:t>
            </w:r>
          </w:p>
        </w:tc>
        <w:tc>
          <w:tcPr>
            <w:tcW w:w="2053" w:type="dxa"/>
            <w:tcBorders>
              <w:top w:val="single" w:color="auto" w:sz="4" w:space="0"/>
              <w:left w:val="single" w:color="auto" w:sz="4" w:space="0"/>
              <w:bottom w:val="single" w:color="auto" w:sz="4" w:space="0"/>
              <w:right w:val="single" w:color="auto" w:sz="4" w:space="0"/>
            </w:tcBorders>
            <w:vAlign w:val="center"/>
          </w:tcPr>
          <w:p w14:paraId="29A70F81">
            <w:pPr>
              <w:spacing w:line="400" w:lineRule="exact"/>
              <w:jc w:val="center"/>
              <w:rPr>
                <w:rFonts w:ascii="宋体" w:hAnsi="宋体" w:cs="宋体"/>
                <w:szCs w:val="21"/>
              </w:rPr>
            </w:pPr>
            <w:r>
              <w:rPr>
                <w:rFonts w:hint="eastAsia" w:ascii="宋体" w:hAnsi="宋体" w:cs="宋体"/>
                <w:szCs w:val="21"/>
              </w:rPr>
              <w:t>签订合同携带的证明材料</w:t>
            </w:r>
          </w:p>
        </w:tc>
        <w:tc>
          <w:tcPr>
            <w:tcW w:w="6999" w:type="dxa"/>
            <w:tcBorders>
              <w:top w:val="single" w:color="auto" w:sz="4" w:space="0"/>
              <w:left w:val="single" w:color="auto" w:sz="4" w:space="0"/>
              <w:bottom w:val="single" w:color="auto" w:sz="4" w:space="0"/>
              <w:right w:val="single" w:color="auto" w:sz="4" w:space="0"/>
            </w:tcBorders>
            <w:vAlign w:val="center"/>
          </w:tcPr>
          <w:p w14:paraId="11350C10">
            <w:pPr>
              <w:autoSpaceDE w:val="0"/>
              <w:autoSpaceDN w:val="0"/>
              <w:snapToGrid w:val="0"/>
              <w:spacing w:line="400" w:lineRule="exact"/>
              <w:textAlignment w:val="bottom"/>
              <w:rPr>
                <w:rFonts w:ascii="宋体" w:hAnsi="宋体" w:cs="宋体"/>
                <w:szCs w:val="21"/>
              </w:rPr>
            </w:pPr>
            <w:r>
              <w:rPr>
                <w:rFonts w:hint="eastAsia" w:ascii="宋体" w:hAnsi="宋体" w:cs="宋体"/>
                <w:szCs w:val="21"/>
              </w:rPr>
              <w:t>委托代理人负责签订合同的，须携带授权委托书及委托代理人身份证原件等其他资格证件。</w:t>
            </w:r>
          </w:p>
          <w:p w14:paraId="05B7801E">
            <w:pPr>
              <w:autoSpaceDE w:val="0"/>
              <w:autoSpaceDN w:val="0"/>
              <w:snapToGrid w:val="0"/>
              <w:spacing w:line="400" w:lineRule="exact"/>
              <w:textAlignment w:val="bottom"/>
              <w:rPr>
                <w:rFonts w:ascii="宋体" w:hAnsi="宋体" w:cs="宋体"/>
                <w:szCs w:val="21"/>
              </w:rPr>
            </w:pPr>
            <w:r>
              <w:rPr>
                <w:rFonts w:hint="eastAsia" w:ascii="宋体" w:hAnsi="宋体" w:cs="宋体"/>
                <w:szCs w:val="21"/>
              </w:rPr>
              <w:t>法定代表人负责签订合同的，须携带法定代表人身份证明原件及身份证原件等其他证明材料。</w:t>
            </w:r>
          </w:p>
        </w:tc>
      </w:tr>
      <w:tr w14:paraId="5FDBB8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vMerge w:val="restart"/>
            <w:tcBorders>
              <w:top w:val="single" w:color="auto" w:sz="4" w:space="0"/>
              <w:left w:val="single" w:color="auto" w:sz="4" w:space="0"/>
              <w:right w:val="single" w:color="auto" w:sz="4" w:space="0"/>
            </w:tcBorders>
            <w:vAlign w:val="center"/>
          </w:tcPr>
          <w:p w14:paraId="398D8093">
            <w:pPr>
              <w:spacing w:line="400" w:lineRule="exact"/>
              <w:jc w:val="center"/>
              <w:rPr>
                <w:rFonts w:ascii="宋体" w:hAnsi="宋体" w:cs="宋体"/>
                <w:szCs w:val="21"/>
              </w:rPr>
            </w:pPr>
            <w:r>
              <w:rPr>
                <w:rFonts w:hint="eastAsia" w:ascii="宋体" w:hAnsi="宋体" w:cs="宋体"/>
                <w:szCs w:val="21"/>
              </w:rPr>
              <w:t>38.2.1</w:t>
            </w:r>
          </w:p>
        </w:tc>
        <w:tc>
          <w:tcPr>
            <w:tcW w:w="2053" w:type="dxa"/>
            <w:tcBorders>
              <w:top w:val="single" w:color="auto" w:sz="4" w:space="0"/>
              <w:left w:val="single" w:color="auto" w:sz="4" w:space="0"/>
              <w:bottom w:val="single" w:color="auto" w:sz="4" w:space="0"/>
              <w:right w:val="single" w:color="auto" w:sz="4" w:space="0"/>
            </w:tcBorders>
            <w:vAlign w:val="center"/>
          </w:tcPr>
          <w:p w14:paraId="1B76D94E">
            <w:pPr>
              <w:spacing w:line="400" w:lineRule="exact"/>
              <w:jc w:val="center"/>
              <w:rPr>
                <w:rFonts w:ascii="宋体" w:hAnsi="宋体" w:cs="宋体"/>
                <w:szCs w:val="21"/>
              </w:rPr>
            </w:pPr>
            <w:r>
              <w:rPr>
                <w:rFonts w:hint="eastAsia" w:ascii="宋体" w:hAnsi="宋体" w:cs="宋体"/>
                <w:szCs w:val="21"/>
              </w:rPr>
              <w:t>接收质疑函方式</w:t>
            </w:r>
          </w:p>
        </w:tc>
        <w:tc>
          <w:tcPr>
            <w:tcW w:w="6999" w:type="dxa"/>
            <w:tcBorders>
              <w:top w:val="single" w:color="auto" w:sz="4" w:space="0"/>
              <w:left w:val="single" w:color="auto" w:sz="4" w:space="0"/>
              <w:bottom w:val="single" w:color="auto" w:sz="4" w:space="0"/>
              <w:right w:val="single" w:color="auto" w:sz="4" w:space="0"/>
            </w:tcBorders>
            <w:vAlign w:val="center"/>
          </w:tcPr>
          <w:p w14:paraId="47EE2547">
            <w:pPr>
              <w:snapToGrid w:val="0"/>
              <w:spacing w:line="400" w:lineRule="exact"/>
              <w:rPr>
                <w:rFonts w:ascii="宋体" w:hAnsi="宋体" w:cs="宋体"/>
                <w:szCs w:val="21"/>
              </w:rPr>
            </w:pPr>
            <w:r>
              <w:rPr>
                <w:rFonts w:hint="eastAsia" w:ascii="宋体" w:hAnsi="宋体" w:cs="宋体"/>
                <w:szCs w:val="21"/>
              </w:rPr>
              <w:t>以书面形式</w:t>
            </w:r>
          </w:p>
        </w:tc>
      </w:tr>
      <w:tr w14:paraId="3BB642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vMerge w:val="continue"/>
            <w:tcBorders>
              <w:left w:val="single" w:color="auto" w:sz="4" w:space="0"/>
              <w:right w:val="single" w:color="auto" w:sz="4" w:space="0"/>
            </w:tcBorders>
            <w:vAlign w:val="center"/>
          </w:tcPr>
          <w:p w14:paraId="3BF9BC4A">
            <w:pPr>
              <w:spacing w:line="400" w:lineRule="exact"/>
              <w:jc w:val="center"/>
              <w:rPr>
                <w:rFonts w:ascii="宋体" w:hAnsi="宋体" w:cs="宋体"/>
                <w:szCs w:val="21"/>
              </w:rPr>
            </w:pPr>
          </w:p>
        </w:tc>
        <w:tc>
          <w:tcPr>
            <w:tcW w:w="2053" w:type="dxa"/>
            <w:tcBorders>
              <w:top w:val="single" w:color="auto" w:sz="4" w:space="0"/>
              <w:left w:val="single" w:color="auto" w:sz="4" w:space="0"/>
              <w:bottom w:val="single" w:color="auto" w:sz="4" w:space="0"/>
              <w:right w:val="single" w:color="auto" w:sz="4" w:space="0"/>
            </w:tcBorders>
            <w:vAlign w:val="center"/>
          </w:tcPr>
          <w:p w14:paraId="339E13D9">
            <w:pPr>
              <w:spacing w:line="400" w:lineRule="exact"/>
              <w:jc w:val="center"/>
              <w:rPr>
                <w:rFonts w:ascii="宋体" w:hAnsi="宋体" w:cs="宋体"/>
                <w:szCs w:val="21"/>
              </w:rPr>
            </w:pPr>
            <w:r>
              <w:rPr>
                <w:rFonts w:hint="eastAsia" w:ascii="宋体" w:hAnsi="宋体" w:cs="宋体"/>
                <w:szCs w:val="21"/>
              </w:rPr>
              <w:t>质疑联系部门及联系方式</w:t>
            </w:r>
          </w:p>
        </w:tc>
        <w:tc>
          <w:tcPr>
            <w:tcW w:w="6999" w:type="dxa"/>
            <w:tcBorders>
              <w:top w:val="single" w:color="auto" w:sz="4" w:space="0"/>
              <w:left w:val="single" w:color="auto" w:sz="4" w:space="0"/>
              <w:bottom w:val="single" w:color="auto" w:sz="4" w:space="0"/>
              <w:right w:val="single" w:color="auto" w:sz="4" w:space="0"/>
            </w:tcBorders>
            <w:vAlign w:val="center"/>
          </w:tcPr>
          <w:p w14:paraId="075EDFDC">
            <w:pPr>
              <w:snapToGrid w:val="0"/>
              <w:spacing w:line="400" w:lineRule="exact"/>
              <w:rPr>
                <w:rFonts w:ascii="宋体" w:hAnsi="宋体" w:cs="宋体"/>
                <w:szCs w:val="21"/>
              </w:rPr>
            </w:pPr>
            <w:r>
              <w:rPr>
                <w:rFonts w:hint="eastAsia" w:ascii="宋体" w:hAnsi="宋体" w:cs="宋体"/>
                <w:szCs w:val="21"/>
              </w:rPr>
              <w:t>接收质疑函方式：以纸质书面形式</w:t>
            </w:r>
          </w:p>
          <w:p w14:paraId="5EBBF6BC">
            <w:pPr>
              <w:snapToGrid w:val="0"/>
              <w:spacing w:line="400" w:lineRule="exact"/>
              <w:rPr>
                <w:rFonts w:ascii="宋体" w:hAnsi="宋体" w:cs="宋体"/>
                <w:szCs w:val="21"/>
              </w:rPr>
            </w:pPr>
            <w:r>
              <w:rPr>
                <w:rFonts w:ascii="宋体" w:hAnsi="宋体" w:cs="宋体"/>
                <w:szCs w:val="21"/>
              </w:rPr>
              <w:t>广西国力招标有限公司；</w:t>
            </w:r>
          </w:p>
          <w:p w14:paraId="65C0201B">
            <w:pPr>
              <w:snapToGrid w:val="0"/>
              <w:spacing w:line="400" w:lineRule="exact"/>
              <w:rPr>
                <w:rFonts w:ascii="宋体" w:hAnsi="宋体" w:cs="宋体"/>
                <w:szCs w:val="21"/>
              </w:rPr>
            </w:pPr>
            <w:r>
              <w:rPr>
                <w:rFonts w:ascii="宋体" w:hAnsi="宋体" w:cs="宋体"/>
                <w:szCs w:val="21"/>
              </w:rPr>
              <w:t>联系电话：</w:t>
            </w:r>
            <w:r>
              <w:rPr>
                <w:rFonts w:hint="eastAsia" w:ascii="宋体" w:hAnsi="宋体" w:cs="宋体"/>
                <w:szCs w:val="21"/>
              </w:rPr>
              <w:t>0771-4915558</w:t>
            </w:r>
          </w:p>
          <w:p w14:paraId="4E51D6B6">
            <w:pPr>
              <w:snapToGrid w:val="0"/>
              <w:spacing w:line="400" w:lineRule="exact"/>
              <w:rPr>
                <w:rFonts w:ascii="宋体" w:hAnsi="宋体" w:cs="宋体"/>
                <w:szCs w:val="21"/>
              </w:rPr>
            </w:pPr>
            <w:r>
              <w:rPr>
                <w:rFonts w:ascii="宋体" w:hAnsi="宋体" w:cs="宋体"/>
                <w:szCs w:val="21"/>
              </w:rPr>
              <w:t>通讯地址：广西南宁市白沙大道53号松宇时代13楼</w:t>
            </w:r>
          </w:p>
        </w:tc>
      </w:tr>
      <w:tr w14:paraId="38D2B1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vMerge w:val="continue"/>
            <w:tcBorders>
              <w:left w:val="single" w:color="auto" w:sz="4" w:space="0"/>
              <w:bottom w:val="single" w:color="auto" w:sz="4" w:space="0"/>
              <w:right w:val="single" w:color="auto" w:sz="4" w:space="0"/>
            </w:tcBorders>
            <w:vAlign w:val="center"/>
          </w:tcPr>
          <w:p w14:paraId="18DF8E33">
            <w:pPr>
              <w:spacing w:line="400" w:lineRule="exact"/>
              <w:jc w:val="center"/>
              <w:rPr>
                <w:rFonts w:ascii="宋体" w:hAnsi="宋体" w:cs="宋体"/>
                <w:szCs w:val="21"/>
              </w:rPr>
            </w:pPr>
          </w:p>
        </w:tc>
        <w:tc>
          <w:tcPr>
            <w:tcW w:w="2053" w:type="dxa"/>
            <w:tcBorders>
              <w:top w:val="single" w:color="auto" w:sz="4" w:space="0"/>
              <w:left w:val="single" w:color="auto" w:sz="4" w:space="0"/>
              <w:bottom w:val="single" w:color="auto" w:sz="4" w:space="0"/>
              <w:right w:val="single" w:color="auto" w:sz="4" w:space="0"/>
            </w:tcBorders>
            <w:vAlign w:val="center"/>
          </w:tcPr>
          <w:p w14:paraId="0B92997C">
            <w:pPr>
              <w:spacing w:line="400" w:lineRule="exact"/>
              <w:jc w:val="center"/>
              <w:rPr>
                <w:rFonts w:ascii="宋体" w:hAnsi="宋体" w:cs="宋体"/>
                <w:szCs w:val="21"/>
              </w:rPr>
            </w:pPr>
            <w:r>
              <w:rPr>
                <w:rFonts w:hint="eastAsia" w:ascii="宋体" w:hAnsi="宋体" w:cs="宋体"/>
                <w:szCs w:val="21"/>
              </w:rPr>
              <w:t>现场提交质疑办理业务时间</w:t>
            </w:r>
          </w:p>
        </w:tc>
        <w:tc>
          <w:tcPr>
            <w:tcW w:w="6999" w:type="dxa"/>
            <w:tcBorders>
              <w:top w:val="single" w:color="auto" w:sz="4" w:space="0"/>
              <w:left w:val="single" w:color="auto" w:sz="4" w:space="0"/>
              <w:bottom w:val="single" w:color="auto" w:sz="4" w:space="0"/>
              <w:right w:val="single" w:color="auto" w:sz="4" w:space="0"/>
            </w:tcBorders>
            <w:vAlign w:val="center"/>
          </w:tcPr>
          <w:p w14:paraId="71362C31">
            <w:pPr>
              <w:snapToGrid w:val="0"/>
              <w:spacing w:line="400" w:lineRule="exact"/>
              <w:rPr>
                <w:rFonts w:ascii="宋体" w:hAnsi="宋体" w:cs="宋体"/>
                <w:szCs w:val="21"/>
              </w:rPr>
            </w:pPr>
            <w:r>
              <w:rPr>
                <w:rFonts w:hint="eastAsia" w:ascii="宋体" w:hAnsi="宋体" w:cs="宋体"/>
                <w:szCs w:val="21"/>
              </w:rPr>
              <w:t>质疑期内每个工作日</w:t>
            </w:r>
            <w:r>
              <w:rPr>
                <w:rFonts w:hint="eastAsia" w:ascii="宋体" w:hAnsi="宋体" w:cs="宋体"/>
                <w:szCs w:val="21"/>
                <w:u w:val="single"/>
                <w:lang w:bidi="ar"/>
              </w:rPr>
              <w:t>8</w:t>
            </w:r>
            <w:r>
              <w:rPr>
                <w:rFonts w:hint="eastAsia" w:ascii="宋体" w:hAnsi="宋体" w:cs="宋体"/>
                <w:szCs w:val="21"/>
                <w:lang w:bidi="ar"/>
              </w:rPr>
              <w:t>时</w:t>
            </w:r>
            <w:r>
              <w:rPr>
                <w:rFonts w:hint="eastAsia" w:ascii="宋体" w:hAnsi="宋体" w:cs="宋体"/>
                <w:szCs w:val="21"/>
                <w:u w:val="single"/>
                <w:lang w:bidi="ar"/>
              </w:rPr>
              <w:t>30</w:t>
            </w:r>
            <w:r>
              <w:rPr>
                <w:rFonts w:hint="eastAsia" w:ascii="宋体" w:hAnsi="宋体" w:cs="宋体"/>
                <w:szCs w:val="21"/>
                <w:lang w:bidi="ar"/>
              </w:rPr>
              <w:t>分到</w:t>
            </w:r>
            <w:r>
              <w:rPr>
                <w:rFonts w:hint="eastAsia" w:ascii="宋体" w:hAnsi="宋体" w:cs="宋体"/>
                <w:szCs w:val="21"/>
                <w:u w:val="single"/>
                <w:lang w:bidi="ar"/>
              </w:rPr>
              <w:t>12</w:t>
            </w:r>
            <w:r>
              <w:rPr>
                <w:rFonts w:hint="eastAsia" w:ascii="宋体" w:hAnsi="宋体" w:cs="宋体"/>
                <w:szCs w:val="21"/>
                <w:lang w:bidi="ar"/>
              </w:rPr>
              <w:t>时</w:t>
            </w:r>
            <w:r>
              <w:rPr>
                <w:rFonts w:hint="eastAsia" w:ascii="宋体" w:hAnsi="宋体" w:cs="宋体"/>
                <w:szCs w:val="21"/>
                <w:u w:val="single"/>
                <w:lang w:bidi="ar"/>
              </w:rPr>
              <w:t>00</w:t>
            </w:r>
            <w:r>
              <w:rPr>
                <w:rFonts w:hint="eastAsia" w:ascii="宋体" w:hAnsi="宋体" w:cs="宋体"/>
                <w:szCs w:val="21"/>
                <w:lang w:bidi="ar"/>
              </w:rPr>
              <w:t>分，</w:t>
            </w:r>
            <w:r>
              <w:rPr>
                <w:rFonts w:hint="eastAsia" w:ascii="宋体" w:hAnsi="宋体" w:cs="宋体"/>
                <w:szCs w:val="21"/>
                <w:u w:val="single"/>
                <w:lang w:bidi="ar"/>
              </w:rPr>
              <w:t>15</w:t>
            </w:r>
            <w:r>
              <w:rPr>
                <w:rFonts w:hint="eastAsia" w:ascii="宋体" w:hAnsi="宋体" w:cs="宋体"/>
                <w:szCs w:val="21"/>
                <w:lang w:bidi="ar"/>
              </w:rPr>
              <w:t>时</w:t>
            </w:r>
            <w:r>
              <w:rPr>
                <w:rFonts w:hint="eastAsia" w:ascii="宋体" w:hAnsi="宋体" w:cs="宋体"/>
                <w:szCs w:val="21"/>
                <w:u w:val="single"/>
                <w:lang w:bidi="ar"/>
              </w:rPr>
              <w:t>00</w:t>
            </w:r>
            <w:r>
              <w:rPr>
                <w:rFonts w:hint="eastAsia" w:ascii="宋体" w:hAnsi="宋体" w:cs="宋体"/>
                <w:szCs w:val="21"/>
                <w:lang w:bidi="ar"/>
              </w:rPr>
              <w:t>分到</w:t>
            </w:r>
            <w:r>
              <w:rPr>
                <w:rFonts w:hint="eastAsia" w:ascii="宋体" w:hAnsi="宋体" w:cs="宋体"/>
                <w:szCs w:val="21"/>
                <w:u w:val="single"/>
                <w:lang w:bidi="ar"/>
              </w:rPr>
              <w:t>18</w:t>
            </w:r>
            <w:r>
              <w:rPr>
                <w:rFonts w:hint="eastAsia" w:ascii="宋体" w:hAnsi="宋体" w:cs="宋体"/>
                <w:szCs w:val="21"/>
                <w:lang w:bidi="ar"/>
              </w:rPr>
              <w:t>时</w:t>
            </w:r>
            <w:r>
              <w:rPr>
                <w:rFonts w:hint="eastAsia" w:ascii="宋体" w:hAnsi="宋体" w:cs="宋体"/>
                <w:szCs w:val="21"/>
                <w:u w:val="single"/>
                <w:lang w:bidi="ar"/>
              </w:rPr>
              <w:t xml:space="preserve"> 00</w:t>
            </w:r>
            <w:r>
              <w:rPr>
                <w:rFonts w:hint="eastAsia" w:ascii="宋体" w:hAnsi="宋体" w:cs="宋体"/>
                <w:szCs w:val="21"/>
                <w:lang w:bidi="ar"/>
              </w:rPr>
              <w:t>分</w:t>
            </w:r>
          </w:p>
        </w:tc>
      </w:tr>
      <w:tr w14:paraId="65EFCB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tcBorders>
              <w:left w:val="single" w:color="auto" w:sz="4" w:space="0"/>
              <w:bottom w:val="single" w:color="auto" w:sz="4" w:space="0"/>
              <w:right w:val="single" w:color="auto" w:sz="4" w:space="0"/>
            </w:tcBorders>
            <w:vAlign w:val="center"/>
          </w:tcPr>
          <w:p w14:paraId="74418095">
            <w:pPr>
              <w:spacing w:line="400" w:lineRule="exact"/>
              <w:jc w:val="center"/>
              <w:rPr>
                <w:rFonts w:ascii="宋体" w:hAnsi="宋体" w:cs="宋体"/>
                <w:szCs w:val="21"/>
              </w:rPr>
            </w:pPr>
            <w:r>
              <w:rPr>
                <w:rFonts w:hint="eastAsia" w:ascii="宋体" w:hAnsi="宋体" w:cs="宋体"/>
                <w:szCs w:val="21"/>
              </w:rPr>
              <w:t>38.3.1</w:t>
            </w:r>
          </w:p>
        </w:tc>
        <w:tc>
          <w:tcPr>
            <w:tcW w:w="2053" w:type="dxa"/>
            <w:tcBorders>
              <w:top w:val="single" w:color="auto" w:sz="4" w:space="0"/>
              <w:left w:val="single" w:color="auto" w:sz="4" w:space="0"/>
              <w:bottom w:val="single" w:color="auto" w:sz="4" w:space="0"/>
              <w:right w:val="single" w:color="auto" w:sz="4" w:space="0"/>
            </w:tcBorders>
            <w:vAlign w:val="center"/>
          </w:tcPr>
          <w:p w14:paraId="2C2017DB">
            <w:pPr>
              <w:spacing w:line="400" w:lineRule="exact"/>
              <w:jc w:val="center"/>
              <w:rPr>
                <w:rFonts w:ascii="宋体" w:hAnsi="宋体" w:cs="宋体"/>
                <w:szCs w:val="21"/>
              </w:rPr>
            </w:pPr>
            <w:r>
              <w:rPr>
                <w:rFonts w:hint="eastAsia" w:ascii="宋体" w:hAnsi="宋体" w:cs="宋体"/>
                <w:szCs w:val="21"/>
              </w:rPr>
              <w:t>投诉受理方式</w:t>
            </w:r>
          </w:p>
        </w:tc>
        <w:tc>
          <w:tcPr>
            <w:tcW w:w="6999" w:type="dxa"/>
            <w:tcBorders>
              <w:top w:val="single" w:color="auto" w:sz="4" w:space="0"/>
              <w:left w:val="single" w:color="auto" w:sz="4" w:space="0"/>
              <w:bottom w:val="single" w:color="auto" w:sz="4" w:space="0"/>
              <w:right w:val="single" w:color="auto" w:sz="4" w:space="0"/>
            </w:tcBorders>
            <w:vAlign w:val="center"/>
          </w:tcPr>
          <w:p w14:paraId="5B75AC2C">
            <w:pPr>
              <w:snapToGrid w:val="0"/>
              <w:spacing w:line="400" w:lineRule="exact"/>
              <w:rPr>
                <w:rFonts w:ascii="宋体" w:hAnsi="宋体" w:cs="宋体"/>
                <w:szCs w:val="21"/>
              </w:rPr>
            </w:pPr>
            <w:r>
              <w:rPr>
                <w:rFonts w:hint="eastAsia" w:ascii="宋体" w:hAnsi="宋体" w:cs="宋体"/>
                <w:szCs w:val="21"/>
              </w:rPr>
              <w:t>质疑供应商对采购人、采购代理机构的答复不满意，或者采购人、采购代理机构未在规定时间内作出答复的，可以在答复期满后15个工作日内向《政府采购质疑和投诉办法》（财政部令第94号）第六条规定的财政部门提起投诉。</w:t>
            </w:r>
          </w:p>
        </w:tc>
      </w:tr>
      <w:tr w14:paraId="78C79B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vMerge w:val="restart"/>
            <w:tcBorders>
              <w:top w:val="single" w:color="auto" w:sz="4" w:space="0"/>
              <w:left w:val="single" w:color="auto" w:sz="4" w:space="0"/>
              <w:right w:val="single" w:color="auto" w:sz="4" w:space="0"/>
            </w:tcBorders>
            <w:vAlign w:val="center"/>
          </w:tcPr>
          <w:p w14:paraId="69835282">
            <w:pPr>
              <w:spacing w:line="400" w:lineRule="exact"/>
              <w:jc w:val="center"/>
              <w:rPr>
                <w:rFonts w:ascii="宋体" w:hAnsi="宋体" w:cs="宋体"/>
                <w:szCs w:val="21"/>
              </w:rPr>
            </w:pPr>
            <w:r>
              <w:rPr>
                <w:rFonts w:hint="eastAsia" w:ascii="宋体" w:hAnsi="宋体" w:cs="宋体"/>
                <w:szCs w:val="21"/>
              </w:rPr>
              <w:t>40</w:t>
            </w:r>
          </w:p>
        </w:tc>
        <w:tc>
          <w:tcPr>
            <w:tcW w:w="2053" w:type="dxa"/>
            <w:tcBorders>
              <w:top w:val="single" w:color="auto" w:sz="4" w:space="0"/>
              <w:left w:val="single" w:color="auto" w:sz="4" w:space="0"/>
              <w:bottom w:val="single" w:color="auto" w:sz="4" w:space="0"/>
              <w:right w:val="single" w:color="auto" w:sz="4" w:space="0"/>
            </w:tcBorders>
            <w:vAlign w:val="center"/>
          </w:tcPr>
          <w:p w14:paraId="7D216A67">
            <w:pPr>
              <w:spacing w:line="400" w:lineRule="exact"/>
              <w:jc w:val="center"/>
              <w:rPr>
                <w:rFonts w:ascii="宋体" w:hAnsi="宋体" w:cs="宋体"/>
                <w:szCs w:val="21"/>
              </w:rPr>
            </w:pPr>
            <w:r>
              <w:rPr>
                <w:rFonts w:hint="eastAsia" w:ascii="宋体" w:hAnsi="宋体" w:cs="宋体"/>
                <w:szCs w:val="21"/>
              </w:rPr>
              <w:t>采购代理费支付方式</w:t>
            </w:r>
          </w:p>
        </w:tc>
        <w:tc>
          <w:tcPr>
            <w:tcW w:w="6999" w:type="dxa"/>
            <w:tcBorders>
              <w:top w:val="single" w:color="auto" w:sz="4" w:space="0"/>
              <w:left w:val="single" w:color="auto" w:sz="4" w:space="0"/>
              <w:bottom w:val="single" w:color="auto" w:sz="4" w:space="0"/>
              <w:right w:val="single" w:color="auto" w:sz="4" w:space="0"/>
            </w:tcBorders>
            <w:vAlign w:val="center"/>
          </w:tcPr>
          <w:p w14:paraId="199B060A">
            <w:pPr>
              <w:pStyle w:val="25"/>
              <w:snapToGrid w:val="0"/>
              <w:spacing w:line="400" w:lineRule="exact"/>
              <w:rPr>
                <w:rFonts w:hAnsi="宋体" w:cs="宋体"/>
                <w:sz w:val="21"/>
              </w:rPr>
            </w:pPr>
            <w:r>
              <w:rPr>
                <w:rFonts w:hint="eastAsia" w:hAnsi="宋体" w:cs="宋体"/>
                <w:sz w:val="21"/>
              </w:rPr>
              <w:t>☑本项目代理服务费由</w:t>
            </w:r>
            <w:r>
              <w:rPr>
                <w:rFonts w:hint="eastAsia" w:hAnsi="宋体" w:cs="宋体"/>
                <w:sz w:val="21"/>
                <w:u w:val="single"/>
              </w:rPr>
              <w:t>中标人</w:t>
            </w:r>
            <w:r>
              <w:rPr>
                <w:rFonts w:hint="eastAsia" w:hAnsi="宋体" w:cs="宋体"/>
                <w:sz w:val="21"/>
              </w:rPr>
              <w:t>在领取中标通知书前，一次性向采购代理机构支付。</w:t>
            </w:r>
          </w:p>
          <w:p w14:paraId="77377D72">
            <w:pPr>
              <w:pStyle w:val="25"/>
              <w:snapToGrid w:val="0"/>
              <w:spacing w:line="400" w:lineRule="exact"/>
              <w:rPr>
                <w:rFonts w:hAnsi="宋体" w:cs="宋体"/>
                <w:sz w:val="21"/>
              </w:rPr>
            </w:pPr>
            <w:r>
              <w:rPr>
                <w:rFonts w:hint="eastAsia" w:hAnsi="宋体" w:cs="宋体"/>
                <w:sz w:val="21"/>
              </w:rPr>
              <w:t>□采购人支付。</w:t>
            </w:r>
          </w:p>
          <w:p w14:paraId="2A3187CC">
            <w:pPr>
              <w:pStyle w:val="25"/>
              <w:snapToGrid w:val="0"/>
              <w:spacing w:line="400" w:lineRule="exact"/>
              <w:rPr>
                <w:rFonts w:hAnsi="宋体" w:cs="宋体"/>
                <w:sz w:val="21"/>
              </w:rPr>
            </w:pPr>
            <w:r>
              <w:rPr>
                <w:rFonts w:hint="eastAsia" w:hAnsi="宋体" w:cs="宋体"/>
                <w:sz w:val="21"/>
              </w:rPr>
              <w:t>□本项目不收取代理服务费。</w:t>
            </w:r>
          </w:p>
        </w:tc>
      </w:tr>
      <w:tr w14:paraId="4CD2DB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vMerge w:val="continue"/>
            <w:tcBorders>
              <w:left w:val="single" w:color="auto" w:sz="4" w:space="0"/>
              <w:right w:val="single" w:color="auto" w:sz="4" w:space="0"/>
            </w:tcBorders>
            <w:vAlign w:val="center"/>
          </w:tcPr>
          <w:p w14:paraId="4738581F">
            <w:pPr>
              <w:spacing w:line="400" w:lineRule="exact"/>
              <w:jc w:val="center"/>
              <w:rPr>
                <w:rFonts w:ascii="宋体" w:hAnsi="宋体" w:cs="宋体"/>
                <w:szCs w:val="21"/>
              </w:rPr>
            </w:pPr>
          </w:p>
        </w:tc>
        <w:tc>
          <w:tcPr>
            <w:tcW w:w="2053" w:type="dxa"/>
            <w:tcBorders>
              <w:top w:val="single" w:color="auto" w:sz="4" w:space="0"/>
              <w:left w:val="single" w:color="auto" w:sz="4" w:space="0"/>
              <w:bottom w:val="single" w:color="auto" w:sz="4" w:space="0"/>
              <w:right w:val="single" w:color="auto" w:sz="4" w:space="0"/>
            </w:tcBorders>
            <w:vAlign w:val="center"/>
          </w:tcPr>
          <w:p w14:paraId="21211AB5">
            <w:pPr>
              <w:spacing w:line="400" w:lineRule="exact"/>
              <w:jc w:val="center"/>
              <w:rPr>
                <w:rFonts w:ascii="宋体" w:hAnsi="宋体" w:cs="宋体"/>
                <w:szCs w:val="21"/>
              </w:rPr>
            </w:pPr>
            <w:r>
              <w:rPr>
                <w:rFonts w:hint="eastAsia" w:ascii="宋体" w:hAnsi="宋体" w:cs="宋体"/>
                <w:szCs w:val="21"/>
              </w:rPr>
              <w:t>采购代理费收取标准</w:t>
            </w:r>
          </w:p>
        </w:tc>
        <w:tc>
          <w:tcPr>
            <w:tcW w:w="6999" w:type="dxa"/>
            <w:tcBorders>
              <w:top w:val="single" w:color="auto" w:sz="4" w:space="0"/>
              <w:left w:val="single" w:color="auto" w:sz="4" w:space="0"/>
              <w:bottom w:val="single" w:color="auto" w:sz="4" w:space="0"/>
              <w:right w:val="single" w:color="auto" w:sz="4" w:space="0"/>
            </w:tcBorders>
            <w:vAlign w:val="center"/>
          </w:tcPr>
          <w:p w14:paraId="192085E6">
            <w:pPr>
              <w:pStyle w:val="25"/>
              <w:snapToGrid w:val="0"/>
              <w:spacing w:line="400" w:lineRule="exact"/>
              <w:rPr>
                <w:rFonts w:hAnsi="宋体" w:cs="宋体"/>
                <w:sz w:val="21"/>
              </w:rPr>
            </w:pPr>
            <w:r>
              <w:rPr>
                <w:rFonts w:hint="eastAsia" w:hAnsi="宋体" w:cs="宋体"/>
                <w:sz w:val="21"/>
              </w:rPr>
              <w:t>□以标项（☑中标金额/□采购预算/□暂定中标金额/□其他</w:t>
            </w:r>
            <w:r>
              <w:rPr>
                <w:rFonts w:hint="eastAsia" w:hAnsi="宋体" w:cs="宋体"/>
                <w:sz w:val="21"/>
                <w:u w:val="single"/>
              </w:rPr>
              <w:t xml:space="preserve">  ）</w:t>
            </w:r>
            <w:r>
              <w:rPr>
                <w:rFonts w:hint="eastAsia" w:hAnsi="宋体" w:cs="宋体"/>
                <w:sz w:val="21"/>
              </w:rPr>
              <w:t>为计费额，按服务招标采用差额定率累进法计算出收费基准价格，采购代理收费以（☑收费基准价格/□收费基准价格下浮</w:t>
            </w:r>
            <w:r>
              <w:rPr>
                <w:rFonts w:hint="eastAsia" w:hAnsi="宋体" w:cs="宋体"/>
                <w:sz w:val="21"/>
                <w:u w:val="single"/>
              </w:rPr>
              <w:t xml:space="preserve">   %</w:t>
            </w:r>
            <w:r>
              <w:rPr>
                <w:rFonts w:hint="eastAsia" w:hAnsi="宋体" w:cs="宋体"/>
                <w:sz w:val="21"/>
              </w:rPr>
              <w:t>/□收费基准价格上浮</w:t>
            </w:r>
            <w:r>
              <w:rPr>
                <w:rFonts w:hint="eastAsia" w:hAnsi="宋体" w:cs="宋体"/>
                <w:sz w:val="21"/>
                <w:u w:val="single"/>
              </w:rPr>
              <w:t xml:space="preserve">   %</w:t>
            </w:r>
            <w:r>
              <w:rPr>
                <w:rFonts w:hint="eastAsia" w:hAnsi="宋体" w:cs="宋体"/>
                <w:sz w:val="21"/>
              </w:rPr>
              <w:t>）收取。</w:t>
            </w:r>
          </w:p>
          <w:p w14:paraId="69D5577B">
            <w:pPr>
              <w:pStyle w:val="25"/>
              <w:snapToGrid w:val="0"/>
              <w:spacing w:line="400" w:lineRule="exact"/>
              <w:rPr>
                <w:rFonts w:hAnsi="宋体" w:cs="宋体"/>
                <w:sz w:val="21"/>
                <w:u w:val="single"/>
              </w:rPr>
            </w:pPr>
            <w:r>
              <w:rPr>
                <w:rFonts w:hint="eastAsia" w:hAnsi="宋体" w:cs="宋体"/>
                <w:sz w:val="21"/>
              </w:rPr>
              <w:t>□固定采购代理收费</w:t>
            </w:r>
            <w:r>
              <w:rPr>
                <w:rFonts w:hint="eastAsia" w:hAnsi="宋体" w:cs="宋体"/>
                <w:sz w:val="21"/>
                <w:u w:val="single"/>
              </w:rPr>
              <w:t xml:space="preserve">              。</w:t>
            </w:r>
          </w:p>
        </w:tc>
      </w:tr>
      <w:tr w14:paraId="318E56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vMerge w:val="continue"/>
            <w:tcBorders>
              <w:left w:val="single" w:color="auto" w:sz="4" w:space="0"/>
              <w:bottom w:val="single" w:color="auto" w:sz="4" w:space="0"/>
              <w:right w:val="single" w:color="auto" w:sz="4" w:space="0"/>
            </w:tcBorders>
            <w:vAlign w:val="center"/>
          </w:tcPr>
          <w:p w14:paraId="0F16D9B3">
            <w:pPr>
              <w:spacing w:line="400" w:lineRule="exact"/>
              <w:jc w:val="center"/>
              <w:rPr>
                <w:rFonts w:ascii="宋体" w:hAnsi="宋体" w:cs="宋体"/>
                <w:szCs w:val="21"/>
              </w:rPr>
            </w:pPr>
          </w:p>
        </w:tc>
        <w:tc>
          <w:tcPr>
            <w:tcW w:w="2053" w:type="dxa"/>
            <w:tcBorders>
              <w:top w:val="single" w:color="auto" w:sz="4" w:space="0"/>
              <w:left w:val="single" w:color="auto" w:sz="4" w:space="0"/>
              <w:bottom w:val="single" w:color="auto" w:sz="4" w:space="0"/>
              <w:right w:val="single" w:color="auto" w:sz="4" w:space="0"/>
            </w:tcBorders>
            <w:vAlign w:val="center"/>
          </w:tcPr>
          <w:p w14:paraId="188DF1A1">
            <w:pPr>
              <w:spacing w:line="400" w:lineRule="exact"/>
              <w:jc w:val="center"/>
              <w:rPr>
                <w:rFonts w:ascii="宋体" w:hAnsi="宋体" w:cs="宋体"/>
                <w:szCs w:val="21"/>
              </w:rPr>
            </w:pPr>
            <w:r>
              <w:rPr>
                <w:rFonts w:hint="eastAsia" w:ascii="宋体" w:hAnsi="宋体" w:cs="宋体"/>
                <w:szCs w:val="21"/>
              </w:rPr>
              <w:t>代理服务费收款账户信息</w:t>
            </w:r>
          </w:p>
        </w:tc>
        <w:tc>
          <w:tcPr>
            <w:tcW w:w="6999" w:type="dxa"/>
            <w:tcBorders>
              <w:top w:val="single" w:color="auto" w:sz="4" w:space="0"/>
              <w:left w:val="single" w:color="auto" w:sz="4" w:space="0"/>
              <w:bottom w:val="single" w:color="auto" w:sz="4" w:space="0"/>
              <w:right w:val="single" w:color="auto" w:sz="4" w:space="0"/>
            </w:tcBorders>
            <w:vAlign w:val="center"/>
          </w:tcPr>
          <w:p w14:paraId="67AC42D8">
            <w:pPr>
              <w:pStyle w:val="25"/>
              <w:snapToGrid w:val="0"/>
              <w:spacing w:line="400" w:lineRule="exact"/>
              <w:rPr>
                <w:rFonts w:hAnsi="宋体" w:cs="宋体"/>
                <w:sz w:val="21"/>
              </w:rPr>
            </w:pPr>
            <w:r>
              <w:rPr>
                <w:rFonts w:hint="eastAsia" w:hAnsi="宋体" w:cs="宋体"/>
                <w:sz w:val="21"/>
              </w:rPr>
              <w:t>开户名称：广西国力招标有限公司</w:t>
            </w:r>
          </w:p>
          <w:p w14:paraId="1C60857B">
            <w:pPr>
              <w:pStyle w:val="25"/>
              <w:snapToGrid w:val="0"/>
              <w:spacing w:line="400" w:lineRule="exact"/>
              <w:rPr>
                <w:rFonts w:hAnsi="宋体" w:cs="宋体"/>
                <w:sz w:val="21"/>
              </w:rPr>
            </w:pPr>
            <w:r>
              <w:rPr>
                <w:rFonts w:hint="eastAsia" w:hAnsi="宋体" w:cs="宋体"/>
                <w:sz w:val="21"/>
              </w:rPr>
              <w:t>开户银行：广西北部湾银行股份有限公司南宁市白沙支行（网银支付可选广西北部湾银行江南支行）</w:t>
            </w:r>
          </w:p>
          <w:p w14:paraId="200B3B10">
            <w:pPr>
              <w:pStyle w:val="25"/>
              <w:snapToGrid w:val="0"/>
              <w:spacing w:line="400" w:lineRule="exact"/>
              <w:rPr>
                <w:rFonts w:hAnsi="宋体" w:cs="宋体"/>
                <w:sz w:val="21"/>
              </w:rPr>
            </w:pPr>
            <w:r>
              <w:rPr>
                <w:rFonts w:hint="eastAsia" w:hAnsi="宋体" w:cs="宋体"/>
                <w:sz w:val="21"/>
              </w:rPr>
              <w:t xml:space="preserve">银行账号：800109057400039 </w:t>
            </w:r>
          </w:p>
          <w:p w14:paraId="22109DCD">
            <w:pPr>
              <w:pStyle w:val="25"/>
              <w:snapToGrid w:val="0"/>
              <w:spacing w:line="400" w:lineRule="exact"/>
              <w:rPr>
                <w:rFonts w:hAnsi="宋体" w:cs="宋体"/>
                <w:sz w:val="21"/>
              </w:rPr>
            </w:pPr>
            <w:r>
              <w:rPr>
                <w:rFonts w:hint="eastAsia" w:hAnsi="宋体" w:cs="宋体"/>
                <w:sz w:val="21"/>
              </w:rPr>
              <w:t>银行行号：313611002051</w:t>
            </w:r>
          </w:p>
        </w:tc>
      </w:tr>
      <w:tr w14:paraId="74919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tcBorders>
              <w:top w:val="single" w:color="auto" w:sz="4" w:space="0"/>
              <w:left w:val="single" w:color="auto" w:sz="4" w:space="0"/>
              <w:bottom w:val="single" w:color="auto" w:sz="4" w:space="0"/>
              <w:right w:val="single" w:color="auto" w:sz="4" w:space="0"/>
            </w:tcBorders>
            <w:vAlign w:val="center"/>
          </w:tcPr>
          <w:p w14:paraId="113BBCF7">
            <w:pPr>
              <w:snapToGrid w:val="0"/>
              <w:spacing w:line="400" w:lineRule="exact"/>
              <w:jc w:val="center"/>
              <w:rPr>
                <w:rFonts w:ascii="宋体" w:hAnsi="宋体" w:cs="宋体"/>
                <w:szCs w:val="21"/>
              </w:rPr>
            </w:pPr>
            <w:r>
              <w:rPr>
                <w:rFonts w:hint="eastAsia" w:ascii="宋体" w:hAnsi="宋体" w:cs="宋体"/>
                <w:szCs w:val="21"/>
              </w:rPr>
              <w:t>41.1</w:t>
            </w:r>
          </w:p>
        </w:tc>
        <w:tc>
          <w:tcPr>
            <w:tcW w:w="2053" w:type="dxa"/>
            <w:tcBorders>
              <w:top w:val="single" w:color="auto" w:sz="4" w:space="0"/>
              <w:left w:val="single" w:color="auto" w:sz="4" w:space="0"/>
              <w:bottom w:val="single" w:color="auto" w:sz="4" w:space="0"/>
              <w:right w:val="single" w:color="auto" w:sz="4" w:space="0"/>
            </w:tcBorders>
            <w:vAlign w:val="center"/>
          </w:tcPr>
          <w:p w14:paraId="21F1ABD4">
            <w:pPr>
              <w:snapToGrid w:val="0"/>
              <w:spacing w:line="400" w:lineRule="exact"/>
              <w:jc w:val="center"/>
              <w:rPr>
                <w:rFonts w:ascii="宋体" w:hAnsi="宋体" w:cs="宋体"/>
                <w:szCs w:val="21"/>
              </w:rPr>
            </w:pPr>
            <w:r>
              <w:rPr>
                <w:rFonts w:hint="eastAsia" w:ascii="宋体" w:hAnsi="宋体" w:cs="宋体"/>
                <w:szCs w:val="21"/>
              </w:rPr>
              <w:t>解释</w:t>
            </w:r>
          </w:p>
        </w:tc>
        <w:tc>
          <w:tcPr>
            <w:tcW w:w="6999" w:type="dxa"/>
            <w:tcBorders>
              <w:top w:val="single" w:color="auto" w:sz="4" w:space="0"/>
              <w:left w:val="single" w:color="auto" w:sz="4" w:space="0"/>
              <w:bottom w:val="single" w:color="auto" w:sz="4" w:space="0"/>
              <w:right w:val="single" w:color="auto" w:sz="4" w:space="0"/>
            </w:tcBorders>
            <w:vAlign w:val="center"/>
          </w:tcPr>
          <w:p w14:paraId="56320C96">
            <w:pPr>
              <w:snapToGrid w:val="0"/>
              <w:spacing w:line="400" w:lineRule="exact"/>
              <w:rPr>
                <w:rFonts w:ascii="宋体" w:hAnsi="宋体" w:cs="宋体"/>
                <w:b/>
                <w:szCs w:val="21"/>
              </w:rPr>
            </w:pPr>
            <w:r>
              <w:rPr>
                <w:rFonts w:hint="eastAsia" w:ascii="宋体" w:hAnsi="宋体" w:cs="宋体"/>
                <w:b/>
                <w:szCs w:val="21"/>
              </w:rPr>
              <w:t>解释权：</w:t>
            </w:r>
            <w:r>
              <w:rPr>
                <w:rFonts w:hint="eastAsia" w:ascii="宋体" w:hAnsi="宋体" w:cs="宋体"/>
                <w:szCs w:val="21"/>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cs="宋体"/>
                <w:b/>
                <w:szCs w:val="21"/>
              </w:rPr>
              <w:t>，由采购人或者采购代理机构负责解释。</w:t>
            </w:r>
          </w:p>
          <w:p w14:paraId="2CD5779B">
            <w:pPr>
              <w:snapToGrid w:val="0"/>
              <w:spacing w:line="400" w:lineRule="exact"/>
              <w:rPr>
                <w:rFonts w:ascii="宋体" w:hAnsi="宋体" w:cs="宋体"/>
                <w:szCs w:val="21"/>
              </w:rPr>
            </w:pPr>
            <w:r>
              <w:rPr>
                <w:rFonts w:hint="eastAsia" w:ascii="宋体" w:hAnsi="宋体" w:cs="宋体"/>
                <w:b/>
                <w:szCs w:val="21"/>
              </w:rPr>
              <w:t>法律责任：</w:t>
            </w:r>
            <w:r>
              <w:rPr>
                <w:rFonts w:hint="eastAsia" w:ascii="宋体" w:hAnsi="宋体" w:cs="宋体"/>
                <w:szCs w:val="21"/>
              </w:rPr>
              <w:t>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tc>
      </w:tr>
      <w:tr w14:paraId="2CA12D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0" w:type="dxa"/>
            <w:tcBorders>
              <w:top w:val="single" w:color="auto" w:sz="4" w:space="0"/>
              <w:left w:val="single" w:color="auto" w:sz="4" w:space="0"/>
              <w:bottom w:val="single" w:color="auto" w:sz="4" w:space="0"/>
              <w:right w:val="single" w:color="auto" w:sz="4" w:space="0"/>
            </w:tcBorders>
            <w:vAlign w:val="center"/>
          </w:tcPr>
          <w:p w14:paraId="282648CC">
            <w:pPr>
              <w:snapToGrid w:val="0"/>
              <w:spacing w:line="400" w:lineRule="exact"/>
              <w:jc w:val="center"/>
              <w:rPr>
                <w:rFonts w:ascii="宋体" w:hAnsi="宋体" w:cs="宋体"/>
                <w:szCs w:val="21"/>
              </w:rPr>
            </w:pPr>
            <w:r>
              <w:rPr>
                <w:rFonts w:hint="eastAsia" w:ascii="宋体" w:hAnsi="宋体" w:cs="宋体"/>
                <w:szCs w:val="21"/>
              </w:rPr>
              <w:t>41.2</w:t>
            </w:r>
          </w:p>
        </w:tc>
        <w:tc>
          <w:tcPr>
            <w:tcW w:w="2053" w:type="dxa"/>
            <w:tcBorders>
              <w:top w:val="single" w:color="auto" w:sz="4" w:space="0"/>
              <w:left w:val="single" w:color="auto" w:sz="4" w:space="0"/>
              <w:bottom w:val="single" w:color="auto" w:sz="4" w:space="0"/>
              <w:right w:val="single" w:color="auto" w:sz="4" w:space="0"/>
            </w:tcBorders>
            <w:vAlign w:val="center"/>
          </w:tcPr>
          <w:p w14:paraId="6BE91494">
            <w:pPr>
              <w:snapToGrid w:val="0"/>
              <w:spacing w:line="400" w:lineRule="exact"/>
              <w:jc w:val="center"/>
              <w:rPr>
                <w:rFonts w:ascii="宋体" w:hAnsi="宋体" w:cs="宋体"/>
                <w:szCs w:val="21"/>
              </w:rPr>
            </w:pPr>
            <w:r>
              <w:rPr>
                <w:rFonts w:hint="eastAsia" w:ascii="宋体" w:hAnsi="宋体" w:cs="宋体"/>
                <w:szCs w:val="21"/>
              </w:rPr>
              <w:t>其他释义</w:t>
            </w:r>
          </w:p>
        </w:tc>
        <w:tc>
          <w:tcPr>
            <w:tcW w:w="6999" w:type="dxa"/>
            <w:tcBorders>
              <w:top w:val="single" w:color="auto" w:sz="4" w:space="0"/>
              <w:left w:val="single" w:color="auto" w:sz="4" w:space="0"/>
              <w:bottom w:val="single" w:color="auto" w:sz="4" w:space="0"/>
              <w:right w:val="single" w:color="auto" w:sz="4" w:space="0"/>
            </w:tcBorders>
            <w:vAlign w:val="center"/>
          </w:tcPr>
          <w:p w14:paraId="64B4262A">
            <w:pPr>
              <w:pStyle w:val="25"/>
              <w:snapToGrid w:val="0"/>
              <w:spacing w:line="400" w:lineRule="exact"/>
              <w:rPr>
                <w:rFonts w:hAnsi="宋体" w:cs="宋体"/>
                <w:b/>
                <w:bCs/>
                <w:sz w:val="21"/>
              </w:rPr>
            </w:pPr>
            <w:r>
              <w:rPr>
                <w:rFonts w:hint="eastAsia" w:hAnsi="宋体" w:cs="宋体"/>
                <w:b/>
                <w:bCs/>
                <w:sz w:val="21"/>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2005616E">
            <w:pPr>
              <w:pStyle w:val="25"/>
              <w:snapToGrid w:val="0"/>
              <w:spacing w:line="400" w:lineRule="exact"/>
              <w:rPr>
                <w:rFonts w:hAnsi="宋体" w:cs="宋体"/>
                <w:b/>
                <w:bCs/>
                <w:sz w:val="21"/>
              </w:rPr>
            </w:pPr>
            <w:r>
              <w:rPr>
                <w:rFonts w:hint="eastAsia" w:hAnsi="宋体" w:cs="宋体"/>
                <w:b/>
                <w:bCs/>
                <w:sz w:val="21"/>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249C76AB">
            <w:pPr>
              <w:pStyle w:val="25"/>
              <w:snapToGrid w:val="0"/>
              <w:spacing w:line="400" w:lineRule="exact"/>
              <w:rPr>
                <w:rFonts w:hAnsi="宋体" w:cs="宋体"/>
                <w:b/>
                <w:bCs/>
                <w:sz w:val="21"/>
              </w:rPr>
            </w:pPr>
            <w:r>
              <w:rPr>
                <w:rFonts w:hint="eastAsia" w:hAnsi="宋体" w:cs="宋体"/>
                <w:b/>
                <w:bCs/>
                <w:sz w:val="21"/>
              </w:rPr>
              <w:t>3.本招标文件中描述投标人的“签字”是指投标人的法定代表人或者委托代理人亲自在文件规定签署处亲笔写上个人的名字的行为，私章、签字章、印鉴、影印等其他形式均不能代替亲笔签字。</w:t>
            </w:r>
          </w:p>
          <w:p w14:paraId="763B7057">
            <w:pPr>
              <w:pStyle w:val="25"/>
              <w:snapToGrid w:val="0"/>
              <w:spacing w:line="400" w:lineRule="exact"/>
              <w:rPr>
                <w:rFonts w:hAnsi="宋体" w:cs="宋体"/>
                <w:b/>
                <w:bCs/>
                <w:sz w:val="21"/>
              </w:rPr>
            </w:pPr>
            <w:r>
              <w:rPr>
                <w:rFonts w:hint="eastAsia" w:hAnsi="宋体" w:cs="宋体"/>
                <w:b/>
                <w:bCs/>
                <w:sz w:val="21"/>
              </w:rPr>
              <w:t>4.自然人投标的，招标文件规定盖公章处由自然人摁手指指印。</w:t>
            </w:r>
          </w:p>
          <w:p w14:paraId="691A8C2C">
            <w:pPr>
              <w:spacing w:line="400" w:lineRule="exact"/>
              <w:rPr>
                <w:rFonts w:ascii="宋体" w:hAnsi="宋体" w:cs="宋体"/>
                <w:szCs w:val="21"/>
              </w:rPr>
            </w:pPr>
            <w:r>
              <w:rPr>
                <w:rFonts w:hint="eastAsia" w:ascii="宋体" w:hAnsi="宋体" w:cs="宋体"/>
                <w:b/>
                <w:bCs/>
                <w:szCs w:val="21"/>
              </w:rPr>
              <w:t>5.本招标文件所称的“以上”“以下”“以内”“届满”，包括本数；所称的“不满”“超过”“以外”，不包括本数。</w:t>
            </w:r>
          </w:p>
        </w:tc>
      </w:tr>
    </w:tbl>
    <w:p w14:paraId="3B72AF67">
      <w:pPr>
        <w:pStyle w:val="3"/>
        <w:spacing w:before="0" w:after="0" w:line="480" w:lineRule="auto"/>
        <w:jc w:val="center"/>
        <w:rPr>
          <w:rFonts w:ascii="宋体" w:hAnsi="宋体" w:eastAsia="宋体" w:cs="宋体"/>
        </w:rPr>
      </w:pPr>
      <w:bookmarkStart w:id="63" w:name="_Toc19681"/>
      <w:r>
        <w:rPr>
          <w:rFonts w:hint="eastAsia" w:ascii="宋体" w:hAnsi="宋体" w:eastAsia="宋体" w:cs="宋体"/>
        </w:rPr>
        <w:br w:type="page"/>
      </w:r>
      <w:bookmarkStart w:id="64" w:name="_Toc2940"/>
      <w:r>
        <w:rPr>
          <w:rFonts w:hint="eastAsia" w:ascii="宋体" w:hAnsi="宋体" w:eastAsia="宋体" w:cs="宋体"/>
        </w:rPr>
        <w:t>第二节 投标人须知正文</w:t>
      </w:r>
      <w:bookmarkEnd w:id="63"/>
      <w:bookmarkEnd w:id="64"/>
    </w:p>
    <w:p w14:paraId="7E32B516">
      <w:pPr>
        <w:pStyle w:val="4"/>
        <w:spacing w:before="0" w:after="0" w:line="480" w:lineRule="auto"/>
        <w:jc w:val="center"/>
        <w:rPr>
          <w:rFonts w:ascii="宋体" w:hAnsi="宋体" w:cs="宋体"/>
          <w:szCs w:val="30"/>
        </w:rPr>
      </w:pPr>
      <w:bookmarkStart w:id="65" w:name="_Toc26212"/>
      <w:r>
        <w:rPr>
          <w:rFonts w:hint="eastAsia"/>
          <w:sz w:val="30"/>
          <w:szCs w:val="30"/>
        </w:rPr>
        <w:t>一、总  则</w:t>
      </w:r>
      <w:bookmarkEnd w:id="65"/>
    </w:p>
    <w:p w14:paraId="7DE8429A">
      <w:pPr>
        <w:spacing w:line="400" w:lineRule="exact"/>
        <w:ind w:firstLine="482" w:firstLineChars="200"/>
        <w:rPr>
          <w:rFonts w:ascii="宋体" w:hAnsi="宋体" w:cs="宋体"/>
          <w:b/>
          <w:sz w:val="24"/>
        </w:rPr>
      </w:pPr>
      <w:r>
        <w:rPr>
          <w:rFonts w:hint="eastAsia" w:ascii="宋体" w:hAnsi="宋体" w:cs="宋体"/>
          <w:b/>
          <w:sz w:val="24"/>
        </w:rPr>
        <w:t>1.适用范围</w:t>
      </w:r>
    </w:p>
    <w:p w14:paraId="1CC1FD80">
      <w:pPr>
        <w:spacing w:line="400" w:lineRule="exact"/>
        <w:ind w:firstLine="420" w:firstLineChars="200"/>
        <w:rPr>
          <w:rFonts w:ascii="宋体" w:hAnsi="宋体" w:cs="宋体"/>
          <w:szCs w:val="21"/>
        </w:rPr>
      </w:pPr>
      <w:r>
        <w:rPr>
          <w:rFonts w:hint="eastAsia" w:ascii="宋体" w:hAnsi="宋体" w:cs="宋体"/>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4297A708">
      <w:pPr>
        <w:spacing w:line="400" w:lineRule="exact"/>
        <w:ind w:firstLine="420" w:firstLineChars="200"/>
        <w:rPr>
          <w:rFonts w:ascii="宋体" w:hAnsi="宋体" w:cs="宋体"/>
          <w:szCs w:val="21"/>
        </w:rPr>
      </w:pPr>
      <w:r>
        <w:rPr>
          <w:rFonts w:hint="eastAsia" w:ascii="宋体" w:hAnsi="宋体" w:cs="宋体"/>
          <w:szCs w:val="21"/>
        </w:rPr>
        <w:t>1.2本招标文件</w:t>
      </w:r>
      <w:r>
        <w:rPr>
          <w:rFonts w:hint="eastAsia" w:ascii="宋体" w:hAnsi="宋体" w:cs="宋体"/>
          <w:spacing w:val="-6"/>
          <w:szCs w:val="21"/>
        </w:rPr>
        <w:t>适用于本项目的所有采购程序和环节（法律、法规另有规定的，从其规定）。</w:t>
      </w:r>
    </w:p>
    <w:p w14:paraId="2B17004F">
      <w:pPr>
        <w:spacing w:line="400" w:lineRule="exact"/>
        <w:ind w:firstLine="482" w:firstLineChars="200"/>
        <w:rPr>
          <w:rFonts w:ascii="宋体" w:hAnsi="宋体" w:cs="宋体"/>
          <w:b/>
          <w:sz w:val="24"/>
        </w:rPr>
      </w:pPr>
      <w:r>
        <w:rPr>
          <w:rFonts w:hint="eastAsia" w:ascii="宋体" w:hAnsi="宋体" w:cs="宋体"/>
          <w:b/>
          <w:sz w:val="24"/>
        </w:rPr>
        <w:t>2.定义</w:t>
      </w:r>
    </w:p>
    <w:p w14:paraId="692E507F">
      <w:pPr>
        <w:spacing w:line="400" w:lineRule="exact"/>
        <w:ind w:firstLine="422" w:firstLineChars="200"/>
        <w:rPr>
          <w:rFonts w:ascii="宋体" w:hAnsi="宋体" w:cs="宋体"/>
          <w:b/>
          <w:szCs w:val="21"/>
        </w:rPr>
      </w:pPr>
      <w:r>
        <w:rPr>
          <w:rFonts w:hint="eastAsia" w:ascii="宋体" w:hAnsi="宋体" w:cs="宋体"/>
          <w:b/>
          <w:szCs w:val="21"/>
        </w:rPr>
        <w:t>2.1“采购人”是指依法进行政府采购的国家机关、事业单位、团体组织。</w:t>
      </w:r>
    </w:p>
    <w:p w14:paraId="566EC7AD">
      <w:pPr>
        <w:spacing w:line="400" w:lineRule="exact"/>
        <w:ind w:firstLine="422" w:firstLineChars="200"/>
        <w:rPr>
          <w:rFonts w:ascii="宋体" w:hAnsi="宋体" w:cs="宋体"/>
          <w:b/>
          <w:szCs w:val="21"/>
        </w:rPr>
      </w:pPr>
      <w:r>
        <w:rPr>
          <w:rFonts w:hint="eastAsia" w:ascii="宋体" w:hAnsi="宋体" w:cs="宋体"/>
          <w:b/>
          <w:szCs w:val="21"/>
        </w:rPr>
        <w:t>2.2“采购代理机构” 指政府采购集中采购机构和集中采购机构以外的采购代理机构。</w:t>
      </w:r>
    </w:p>
    <w:p w14:paraId="68ECFDDA">
      <w:pPr>
        <w:spacing w:line="400" w:lineRule="exact"/>
        <w:ind w:firstLine="422" w:firstLineChars="200"/>
        <w:rPr>
          <w:rFonts w:ascii="宋体" w:hAnsi="宋体" w:cs="宋体"/>
          <w:b/>
          <w:szCs w:val="21"/>
        </w:rPr>
      </w:pPr>
      <w:r>
        <w:rPr>
          <w:rFonts w:hint="eastAsia" w:ascii="宋体" w:hAnsi="宋体" w:cs="宋体"/>
          <w:b/>
          <w:szCs w:val="21"/>
        </w:rPr>
        <w:t>2.3“供应商”是指向采购人提供货物、工程或者服务的法人、其他组织或者自然人。</w:t>
      </w:r>
    </w:p>
    <w:p w14:paraId="778E8EB8">
      <w:pPr>
        <w:spacing w:line="400" w:lineRule="exact"/>
        <w:ind w:firstLine="420" w:firstLineChars="200"/>
        <w:rPr>
          <w:rFonts w:ascii="宋体" w:hAnsi="宋体" w:cs="宋体"/>
          <w:szCs w:val="21"/>
        </w:rPr>
      </w:pPr>
      <w:r>
        <w:rPr>
          <w:rFonts w:hint="eastAsia" w:ascii="宋体" w:hAnsi="宋体" w:cs="宋体"/>
          <w:szCs w:val="21"/>
        </w:rPr>
        <w:t>2.4“投标人”是指响应招标、参加投标竞争的法人、非法人组织或者自然人。</w:t>
      </w:r>
    </w:p>
    <w:p w14:paraId="744CE5F6">
      <w:pPr>
        <w:spacing w:line="400" w:lineRule="exact"/>
        <w:ind w:firstLine="422" w:firstLineChars="200"/>
        <w:rPr>
          <w:rFonts w:ascii="宋体" w:hAnsi="宋体" w:cs="宋体"/>
          <w:b/>
          <w:szCs w:val="21"/>
        </w:rPr>
      </w:pPr>
      <w:r>
        <w:rPr>
          <w:rFonts w:hint="eastAsia" w:ascii="宋体" w:hAnsi="宋体" w:cs="宋体"/>
          <w:b/>
          <w:szCs w:val="21"/>
        </w:rPr>
        <w:t>2.5“货物”是指各种形态和种类的物品，包括原材料、燃料、设备、产品等。</w:t>
      </w:r>
    </w:p>
    <w:p w14:paraId="6E450758">
      <w:pPr>
        <w:snapToGrid w:val="0"/>
        <w:spacing w:line="400" w:lineRule="exact"/>
        <w:ind w:firstLine="420" w:firstLineChars="200"/>
        <w:jc w:val="left"/>
        <w:rPr>
          <w:rFonts w:ascii="宋体" w:hAnsi="宋体" w:cs="宋体"/>
          <w:szCs w:val="21"/>
        </w:rPr>
      </w:pPr>
      <w:r>
        <w:rPr>
          <w:rFonts w:hint="eastAsia" w:ascii="宋体" w:hAnsi="宋体" w:cs="宋体"/>
          <w:szCs w:val="21"/>
        </w:rPr>
        <w:t>2.6“售后服务” 是指商品出售以后所提供的各种服务，包含但不限于投标人须承担的备品备件、包装、运输、装卸、保险、货到就位以及安装、调试、培训、保修以及其他各种服务。</w:t>
      </w:r>
    </w:p>
    <w:p w14:paraId="30283A83">
      <w:pPr>
        <w:snapToGrid w:val="0"/>
        <w:spacing w:line="400" w:lineRule="exact"/>
        <w:ind w:firstLine="420" w:firstLineChars="200"/>
        <w:jc w:val="left"/>
        <w:rPr>
          <w:rFonts w:ascii="宋体" w:hAnsi="宋体" w:cs="宋体"/>
          <w:szCs w:val="21"/>
        </w:rPr>
      </w:pPr>
      <w:r>
        <w:rPr>
          <w:rFonts w:hint="eastAsia" w:ascii="宋体" w:hAnsi="宋体" w:cs="宋体"/>
          <w:szCs w:val="21"/>
        </w:rPr>
        <w:t>2.7“书面形式”是指合同书、信件和数据电文（包括电报、电传、传真、电子数据交换和电子邮件）等可以有形地表现所载内容的形式。</w:t>
      </w:r>
    </w:p>
    <w:p w14:paraId="20FE75FF">
      <w:pPr>
        <w:pStyle w:val="6"/>
        <w:keepNext w:val="0"/>
        <w:keepLines w:val="0"/>
        <w:spacing w:before="0" w:after="0" w:line="400" w:lineRule="exact"/>
        <w:ind w:firstLine="420" w:firstLineChars="200"/>
        <w:rPr>
          <w:rFonts w:ascii="宋体" w:hAnsi="宋体" w:cs="宋体"/>
          <w:b w:val="0"/>
          <w:sz w:val="21"/>
          <w:szCs w:val="21"/>
        </w:rPr>
      </w:pPr>
      <w:r>
        <w:rPr>
          <w:rFonts w:hint="eastAsia" w:ascii="宋体" w:hAnsi="宋体" w:cs="宋体"/>
          <w:b w:val="0"/>
          <w:sz w:val="21"/>
          <w:szCs w:val="21"/>
        </w:rPr>
        <w:t>2.8“实质性要求”是指招标文件中已经指明不满足则投标无效的条款，或者不能负偏离的条款。</w:t>
      </w:r>
    </w:p>
    <w:p w14:paraId="27C999AA">
      <w:pPr>
        <w:snapToGrid w:val="0"/>
        <w:spacing w:line="400" w:lineRule="exact"/>
        <w:ind w:firstLine="420" w:firstLineChars="200"/>
        <w:jc w:val="left"/>
        <w:rPr>
          <w:rFonts w:ascii="宋体" w:hAnsi="宋体" w:cs="宋体"/>
          <w:szCs w:val="21"/>
        </w:rPr>
      </w:pPr>
      <w:r>
        <w:rPr>
          <w:rFonts w:hint="eastAsia" w:ascii="宋体" w:hAnsi="宋体" w:cs="宋体"/>
          <w:szCs w:val="21"/>
        </w:rPr>
        <w:t>2.9“正偏离”，是指投标文件对招标文件“采购需求”中有关条款作出的响应优于条款要求并有利于采购人的情形。</w:t>
      </w:r>
    </w:p>
    <w:p w14:paraId="4F13D011">
      <w:pPr>
        <w:snapToGrid w:val="0"/>
        <w:spacing w:line="400" w:lineRule="exact"/>
        <w:ind w:firstLine="420" w:firstLineChars="200"/>
        <w:jc w:val="left"/>
        <w:rPr>
          <w:rFonts w:ascii="宋体" w:hAnsi="宋体" w:cs="宋体"/>
          <w:szCs w:val="21"/>
        </w:rPr>
      </w:pPr>
      <w:r>
        <w:rPr>
          <w:rFonts w:hint="eastAsia" w:ascii="宋体" w:hAnsi="宋体" w:cs="宋体"/>
          <w:szCs w:val="21"/>
        </w:rPr>
        <w:t>2.10“负偏离”，是指投标文件对招标文件“采购需求”中有关条款作出的响应不满足条款要求，导致采购人要求不能得到满足的情形。</w:t>
      </w:r>
    </w:p>
    <w:p w14:paraId="1E03E56C">
      <w:pPr>
        <w:snapToGrid w:val="0"/>
        <w:spacing w:line="400" w:lineRule="exact"/>
        <w:ind w:firstLine="420" w:firstLineChars="200"/>
        <w:jc w:val="left"/>
        <w:rPr>
          <w:rFonts w:ascii="宋体" w:hAnsi="宋体" w:cs="宋体"/>
          <w:szCs w:val="21"/>
        </w:rPr>
      </w:pPr>
      <w:r>
        <w:rPr>
          <w:rFonts w:hint="eastAsia" w:ascii="宋体" w:hAnsi="宋体" w:cs="宋体"/>
          <w:szCs w:val="21"/>
        </w:rPr>
        <w:t>2.11“允许负偏离的条款”是指采购需求中的不属于“实质性要求”的条款。</w:t>
      </w:r>
    </w:p>
    <w:p w14:paraId="38DC9719">
      <w:pPr>
        <w:spacing w:line="400" w:lineRule="exact"/>
        <w:ind w:firstLine="482" w:firstLineChars="200"/>
        <w:rPr>
          <w:rFonts w:ascii="宋体" w:hAnsi="宋体" w:cs="宋体"/>
          <w:b/>
          <w:sz w:val="24"/>
        </w:rPr>
      </w:pPr>
      <w:r>
        <w:rPr>
          <w:rFonts w:hint="eastAsia" w:ascii="宋体" w:hAnsi="宋体" w:cs="宋体"/>
          <w:b/>
          <w:sz w:val="24"/>
        </w:rPr>
        <w:t>3.投标人的资格要求</w:t>
      </w:r>
    </w:p>
    <w:p w14:paraId="1690AC78">
      <w:pPr>
        <w:spacing w:line="400" w:lineRule="exact"/>
        <w:ind w:firstLine="420" w:firstLineChars="200"/>
        <w:rPr>
          <w:rFonts w:ascii="宋体" w:hAnsi="宋体" w:cs="宋体"/>
          <w:szCs w:val="21"/>
        </w:rPr>
      </w:pPr>
      <w:r>
        <w:rPr>
          <w:rFonts w:hint="eastAsia" w:ascii="宋体" w:hAnsi="宋体" w:cs="宋体"/>
          <w:szCs w:val="21"/>
        </w:rPr>
        <w:t>投标人的资格要求详见“招标公告”。</w:t>
      </w:r>
    </w:p>
    <w:p w14:paraId="3786A90F">
      <w:pPr>
        <w:spacing w:line="400" w:lineRule="exact"/>
        <w:ind w:firstLine="482" w:firstLineChars="200"/>
        <w:rPr>
          <w:rFonts w:ascii="宋体" w:hAnsi="宋体" w:cs="宋体"/>
          <w:b/>
          <w:sz w:val="24"/>
        </w:rPr>
      </w:pPr>
      <w:r>
        <w:rPr>
          <w:rFonts w:hint="eastAsia" w:ascii="宋体" w:hAnsi="宋体" w:cs="宋体"/>
          <w:b/>
          <w:sz w:val="24"/>
        </w:rPr>
        <w:t>4.投标委托</w:t>
      </w:r>
    </w:p>
    <w:p w14:paraId="7787640F">
      <w:pPr>
        <w:spacing w:line="400" w:lineRule="exact"/>
        <w:ind w:firstLine="420" w:firstLineChars="200"/>
        <w:rPr>
          <w:rFonts w:ascii="宋体" w:hAnsi="宋体" w:cs="宋体"/>
          <w:szCs w:val="21"/>
        </w:rPr>
      </w:pPr>
      <w:r>
        <w:rPr>
          <w:rFonts w:hint="eastAsia" w:ascii="宋体" w:hAnsi="宋体" w:cs="宋体"/>
          <w:szCs w:val="21"/>
        </w:rPr>
        <w:t>投标人代表参加投标活动过程中必须携带个人有效身份证件。如投标人代表不是法定代表人，须持有法定代表人授权委托书（正本用原件，副本用复印件，按第六章要求格式填写）。</w:t>
      </w:r>
    </w:p>
    <w:p w14:paraId="7C7B3705">
      <w:pPr>
        <w:spacing w:line="400" w:lineRule="exact"/>
        <w:ind w:firstLine="482" w:firstLineChars="200"/>
        <w:rPr>
          <w:rFonts w:ascii="宋体" w:hAnsi="宋体" w:cs="宋体"/>
          <w:b/>
          <w:sz w:val="24"/>
        </w:rPr>
      </w:pPr>
      <w:r>
        <w:rPr>
          <w:rFonts w:hint="eastAsia" w:ascii="宋体" w:hAnsi="宋体" w:cs="宋体"/>
          <w:b/>
          <w:sz w:val="24"/>
        </w:rPr>
        <w:t>5.投标费用</w:t>
      </w:r>
    </w:p>
    <w:p w14:paraId="1DDC12C5">
      <w:pPr>
        <w:spacing w:line="400" w:lineRule="exact"/>
        <w:ind w:firstLine="420" w:firstLineChars="200"/>
        <w:rPr>
          <w:rFonts w:ascii="宋体" w:hAnsi="宋体" w:cs="宋体"/>
          <w:szCs w:val="21"/>
        </w:rPr>
      </w:pPr>
      <w:r>
        <w:rPr>
          <w:rFonts w:hint="eastAsia" w:ascii="宋体" w:hAnsi="宋体" w:cs="宋体"/>
          <w:szCs w:val="21"/>
        </w:rPr>
        <w:t>投标费用：投标人应承担参与本次采购活动有关的所有费用，包括但不限于勘查现场、编制投标文件、参加澄清说明、签订合同等，不论投标结果如何，均应自行承担。</w:t>
      </w:r>
    </w:p>
    <w:p w14:paraId="4D5853D0">
      <w:pPr>
        <w:spacing w:line="400" w:lineRule="exact"/>
        <w:ind w:firstLine="482" w:firstLineChars="200"/>
        <w:rPr>
          <w:rFonts w:ascii="宋体" w:hAnsi="宋体" w:cs="宋体"/>
          <w:b/>
          <w:sz w:val="24"/>
        </w:rPr>
      </w:pPr>
      <w:r>
        <w:rPr>
          <w:rFonts w:hint="eastAsia" w:ascii="宋体" w:hAnsi="宋体" w:cs="宋体"/>
          <w:b/>
          <w:sz w:val="24"/>
        </w:rPr>
        <w:t>6.联合体投标</w:t>
      </w:r>
    </w:p>
    <w:p w14:paraId="6B7B5049">
      <w:pPr>
        <w:spacing w:line="400" w:lineRule="exact"/>
        <w:ind w:firstLine="420" w:firstLineChars="200"/>
        <w:rPr>
          <w:rFonts w:ascii="宋体" w:hAnsi="宋体" w:cs="宋体"/>
          <w:szCs w:val="21"/>
        </w:rPr>
      </w:pPr>
      <w:r>
        <w:rPr>
          <w:rFonts w:hint="eastAsia" w:ascii="宋体" w:hAnsi="宋体" w:cs="宋体"/>
          <w:szCs w:val="21"/>
        </w:rPr>
        <w:t>6.1本项目是否接受联合体投标，详见“投标人须知前附表”。</w:t>
      </w:r>
    </w:p>
    <w:p w14:paraId="22839B50">
      <w:pPr>
        <w:spacing w:line="400" w:lineRule="exact"/>
        <w:ind w:firstLine="420" w:firstLineChars="200"/>
        <w:rPr>
          <w:rFonts w:ascii="宋体" w:hAnsi="宋体" w:cs="宋体"/>
          <w:bCs/>
          <w:szCs w:val="21"/>
        </w:rPr>
      </w:pPr>
      <w:r>
        <w:rPr>
          <w:rFonts w:hint="eastAsia" w:ascii="宋体" w:hAnsi="宋体" w:cs="宋体"/>
          <w:bCs/>
          <w:szCs w:val="21"/>
        </w:rPr>
        <w:t>6.2如接受联合体投标，联合体投标要求详见“投标人须知前附表”。</w:t>
      </w:r>
    </w:p>
    <w:p w14:paraId="5276B3BB">
      <w:pPr>
        <w:spacing w:line="400" w:lineRule="exact"/>
        <w:ind w:firstLine="420" w:firstLineChars="200"/>
        <w:rPr>
          <w:rFonts w:ascii="宋体" w:hAnsi="宋体" w:cs="宋体"/>
          <w:sz w:val="24"/>
          <w:shd w:val="clear" w:color="auto" w:fill="FFFFFF"/>
        </w:rPr>
      </w:pPr>
      <w:r>
        <w:rPr>
          <w:rFonts w:hint="eastAsia" w:ascii="宋体" w:hAnsi="宋体" w:cs="宋体"/>
          <w:bCs/>
          <w:szCs w:val="21"/>
        </w:rPr>
        <w:t>6.3根据《政府采购促进中小企业发展管理办法》（财库[2020]46号）第九条规定，接受大中型企业与小微企业组成联合体的采购项目，对于联合协议约定小微企业的合同份额占到合同总金额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0A6FB2EB">
      <w:pPr>
        <w:spacing w:line="400" w:lineRule="exact"/>
        <w:ind w:firstLine="482" w:firstLineChars="200"/>
        <w:rPr>
          <w:rFonts w:ascii="宋体" w:hAnsi="宋体" w:cs="宋体"/>
          <w:b/>
          <w:sz w:val="24"/>
        </w:rPr>
      </w:pPr>
      <w:r>
        <w:rPr>
          <w:rFonts w:hint="eastAsia" w:ascii="宋体" w:hAnsi="宋体" w:cs="宋体"/>
          <w:b/>
          <w:sz w:val="24"/>
        </w:rPr>
        <w:t>7.转包与分包</w:t>
      </w:r>
    </w:p>
    <w:p w14:paraId="71F3DF7E">
      <w:pPr>
        <w:spacing w:line="400" w:lineRule="exact"/>
        <w:ind w:firstLine="422" w:firstLineChars="200"/>
        <w:rPr>
          <w:rFonts w:ascii="宋体" w:hAnsi="宋体" w:cs="宋体"/>
          <w:b/>
          <w:szCs w:val="21"/>
        </w:rPr>
      </w:pPr>
      <w:r>
        <w:rPr>
          <w:rFonts w:hint="eastAsia" w:ascii="宋体" w:hAnsi="宋体" w:cs="宋体"/>
          <w:b/>
          <w:szCs w:val="21"/>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14CE8113">
      <w:pPr>
        <w:spacing w:line="400" w:lineRule="exact"/>
        <w:ind w:firstLine="420" w:firstLineChars="200"/>
        <w:rPr>
          <w:rFonts w:ascii="宋体" w:hAnsi="宋体" w:cs="宋体"/>
          <w:bCs/>
          <w:szCs w:val="21"/>
        </w:rPr>
      </w:pPr>
      <w:r>
        <w:rPr>
          <w:rFonts w:hint="eastAsia" w:ascii="宋体" w:hAnsi="宋体" w:cs="宋体"/>
          <w:bCs/>
          <w:szCs w:val="21"/>
        </w:rPr>
        <w:t>7.2根据《政府采购促进中小企业发展管理办法》（财库[2020]46号）第九条规定，允许大中型企业向一家或者多家小微企业分包的采购项目，对于分包意向协议约定小微企业的合同份额占到合同总金额30%以上的，采购人、采购代理机构应当对大中型企业的报价给予4%-6%的扣除，用扣除后的价格参加评审。接受分包的小微企业与分包企业之间存在直接控股、管理关系的，不享受价格扣除优惠政策。</w:t>
      </w:r>
    </w:p>
    <w:p w14:paraId="077A999A">
      <w:pPr>
        <w:spacing w:line="400" w:lineRule="exact"/>
        <w:ind w:firstLine="482" w:firstLineChars="200"/>
        <w:rPr>
          <w:rFonts w:ascii="宋体" w:hAnsi="宋体" w:cs="宋体"/>
          <w:sz w:val="24"/>
        </w:rPr>
      </w:pPr>
      <w:r>
        <w:rPr>
          <w:rFonts w:hint="eastAsia" w:ascii="宋体" w:hAnsi="宋体" w:cs="宋体"/>
          <w:b/>
          <w:sz w:val="24"/>
        </w:rPr>
        <w:t>8.特别说明</w:t>
      </w:r>
      <w:r>
        <w:rPr>
          <w:rFonts w:hint="eastAsia" w:ascii="宋体" w:hAnsi="宋体" w:cs="宋体"/>
          <w:sz w:val="24"/>
        </w:rPr>
        <w:t>：</w:t>
      </w:r>
    </w:p>
    <w:p w14:paraId="7B370977">
      <w:pPr>
        <w:spacing w:line="400" w:lineRule="exact"/>
        <w:ind w:firstLine="422" w:firstLineChars="200"/>
        <w:rPr>
          <w:rFonts w:ascii="宋体" w:hAnsi="宋体" w:cs="宋体"/>
          <w:b/>
          <w:szCs w:val="21"/>
        </w:rPr>
      </w:pPr>
      <w:r>
        <w:rPr>
          <w:rFonts w:hint="eastAsia" w:ascii="宋体" w:hAnsi="宋体" w:cs="宋体"/>
          <w:b/>
          <w:szCs w:val="21"/>
        </w:rPr>
        <w:t>8.1如果本招标文件要求投标人提供资格、信誉、荣誉、业绩与企业认证等材料的，则投标人所提供的以上材料必须为投标人所拥有。</w:t>
      </w:r>
    </w:p>
    <w:p w14:paraId="1A103E5E">
      <w:pPr>
        <w:spacing w:line="400" w:lineRule="exact"/>
        <w:ind w:firstLine="422" w:firstLineChars="200"/>
        <w:rPr>
          <w:rFonts w:ascii="宋体" w:hAnsi="宋体" w:cs="宋体"/>
          <w:b/>
          <w:szCs w:val="21"/>
        </w:rPr>
      </w:pPr>
      <w:r>
        <w:rPr>
          <w:rFonts w:hint="eastAsia" w:ascii="宋体" w:hAnsi="宋体" w:cs="宋体"/>
          <w:b/>
          <w:szCs w:val="21"/>
        </w:rPr>
        <w:t>8.2投标人应仔细阅读招标文件的所有内容，按照招标文件的要求提交投标文件，并对所提供的全部资料的真实性承担法律责任。</w:t>
      </w:r>
    </w:p>
    <w:p w14:paraId="570CC211">
      <w:pPr>
        <w:pStyle w:val="25"/>
        <w:snapToGrid w:val="0"/>
        <w:spacing w:line="400" w:lineRule="exact"/>
        <w:ind w:firstLine="422" w:firstLineChars="200"/>
        <w:rPr>
          <w:rFonts w:hAnsi="宋体" w:cs="宋体"/>
          <w:b/>
          <w:sz w:val="21"/>
        </w:rPr>
      </w:pPr>
      <w:r>
        <w:rPr>
          <w:rFonts w:hint="eastAsia" w:hAnsi="宋体" w:cs="宋体"/>
          <w:b/>
          <w:sz w:val="21"/>
        </w:rPr>
        <w:t>8.3投标人在投标活动中提供任何虚假材料，将报监管部门查处；中标后发现的，中标人须依照《中华人民共和国消费者权益保护法》规定赔偿采购人，且民事赔偿并不免除违法投标人的行政与刑事责任。</w:t>
      </w:r>
    </w:p>
    <w:p w14:paraId="4E87C67C">
      <w:pPr>
        <w:pStyle w:val="25"/>
        <w:snapToGrid w:val="0"/>
        <w:spacing w:line="400" w:lineRule="exact"/>
        <w:ind w:firstLine="420" w:firstLineChars="200"/>
        <w:rPr>
          <w:rFonts w:hAnsi="Times New Roman"/>
          <w:sz w:val="21"/>
        </w:rPr>
      </w:pPr>
      <w:r>
        <w:rPr>
          <w:rFonts w:hint="eastAsia" w:hAnsi="Times New Roman"/>
          <w:sz w:val="21"/>
        </w:rPr>
        <w:t>▲8.4投标人在投标活动中提供任何虚假材料、互相串通投标，其投标无效，并报监管部门查处。</w:t>
      </w:r>
    </w:p>
    <w:p w14:paraId="6FFF7D65">
      <w:pPr>
        <w:pStyle w:val="25"/>
        <w:snapToGrid w:val="0"/>
        <w:spacing w:line="400" w:lineRule="exact"/>
        <w:ind w:firstLine="420" w:firstLineChars="200"/>
        <w:rPr>
          <w:rFonts w:hAnsi="Times New Roman"/>
          <w:sz w:val="21"/>
        </w:rPr>
      </w:pPr>
      <w:r>
        <w:rPr>
          <w:rFonts w:hint="eastAsia" w:hAnsi="Times New Roman"/>
          <w:sz w:val="21"/>
        </w:rPr>
        <w:t>8.5投标人在投标活动中提供任何虚假材料，将报监管部门查处；中标后发现的，中标人须依照《中华人民共和国消费者权益保护法》规定赔偿采购人，且民事赔偿并不免除违法投标人的行政与刑事责任。</w:t>
      </w:r>
    </w:p>
    <w:p w14:paraId="19A83135">
      <w:pPr>
        <w:pStyle w:val="25"/>
        <w:snapToGrid w:val="0"/>
        <w:spacing w:line="400" w:lineRule="exact"/>
        <w:ind w:firstLine="420" w:firstLineChars="200"/>
        <w:rPr>
          <w:rFonts w:hAnsi="Times New Roman"/>
          <w:sz w:val="21"/>
        </w:rPr>
      </w:pPr>
      <w:r>
        <w:rPr>
          <w:rFonts w:hint="eastAsia" w:hAnsi="Times New Roman"/>
          <w:sz w:val="21"/>
        </w:rPr>
        <w:t>8.6如果本招标文件要求提供投标人或制造商的资格、信誉、荣誉、业绩与企业认证等材料的，资格、信誉、荣誉、业绩与企业认证等必须为投标人或者制造商所拥有或自身获得。</w:t>
      </w:r>
    </w:p>
    <w:p w14:paraId="4CB5CF43">
      <w:pPr>
        <w:pStyle w:val="25"/>
        <w:snapToGrid w:val="0"/>
        <w:spacing w:line="400" w:lineRule="exact"/>
        <w:ind w:firstLine="420" w:firstLineChars="200"/>
        <w:rPr>
          <w:rFonts w:hAnsi="Times New Roman"/>
          <w:sz w:val="21"/>
        </w:rPr>
      </w:pPr>
      <w:r>
        <w:rPr>
          <w:rFonts w:hint="eastAsia" w:hAnsi="Times New Roman"/>
          <w:sz w:val="21"/>
        </w:rPr>
        <w:t>8.7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50F88DA">
      <w:pPr>
        <w:pStyle w:val="25"/>
        <w:snapToGrid w:val="0"/>
        <w:spacing w:line="400" w:lineRule="exact"/>
        <w:ind w:firstLine="420" w:firstLineChars="200"/>
        <w:rPr>
          <w:rFonts w:hAnsi="Times New Roman"/>
          <w:sz w:val="21"/>
        </w:rPr>
      </w:pPr>
      <w:r>
        <w:rPr>
          <w:rFonts w:hint="eastAsia" w:hAnsi="Times New Roman"/>
          <w:sz w:val="21"/>
        </w:rPr>
        <w:t>产品在中国境内生产的组件成本占比应当达到规定比例，计算公式为：</w:t>
      </w:r>
    </w:p>
    <w:p w14:paraId="56A5E96F">
      <w:pPr>
        <w:widowControl/>
        <w:shd w:val="clear" w:color="auto" w:fill="FFFFFF"/>
        <w:spacing w:before="30" w:after="30" w:line="360" w:lineRule="auto"/>
        <w:jc w:val="center"/>
        <w:rPr>
          <w:rFonts w:ascii="宋体" w:hAnsi="宋体" w:cs="宋体"/>
          <w:kern w:val="0"/>
          <w:sz w:val="24"/>
        </w:rPr>
      </w:pPr>
      <w:r>
        <w:rPr>
          <w:rFonts w:ascii="宋体" w:hAnsi="宋体" w:cs="宋体"/>
          <w:kern w:val="0"/>
          <w:sz w:val="24"/>
        </w:rPr>
        <w:fldChar w:fldCharType="begin"/>
      </w:r>
      <w:r>
        <w:rPr>
          <w:rFonts w:ascii="宋体" w:hAnsi="宋体" w:cs="宋体"/>
          <w:kern w:val="0"/>
          <w:sz w:val="24"/>
        </w:rPr>
        <w:instrText xml:space="preserve"> INCLUDEPICTURE "https://www.gov.cn/zhengce/content/202509/W020250930645245947614.png" \* MERGEFORMATINET </w:instrText>
      </w:r>
      <w:r>
        <w:rPr>
          <w:rFonts w:ascii="宋体" w:hAnsi="宋体" w:cs="宋体"/>
          <w:kern w:val="0"/>
          <w:sz w:val="24"/>
        </w:rPr>
        <w:fldChar w:fldCharType="separate"/>
      </w:r>
      <w:r>
        <w:rPr>
          <w:rFonts w:ascii="宋体" w:hAnsi="宋体" w:cs="宋体"/>
          <w:kern w:val="0"/>
          <w:sz w:val="24"/>
        </w:rPr>
        <w:drawing>
          <wp:inline distT="0" distB="0" distL="114300" distR="114300">
            <wp:extent cx="4827905" cy="762635"/>
            <wp:effectExtent l="0" t="0" r="10795" b="1841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7"/>
                    <a:stretch>
                      <a:fillRect/>
                    </a:stretch>
                  </pic:blipFill>
                  <pic:spPr>
                    <a:xfrm>
                      <a:off x="0" y="0"/>
                      <a:ext cx="4827905" cy="762635"/>
                    </a:xfrm>
                    <a:prstGeom prst="rect">
                      <a:avLst/>
                    </a:prstGeom>
                    <a:noFill/>
                    <a:ln>
                      <a:noFill/>
                    </a:ln>
                  </pic:spPr>
                </pic:pic>
              </a:graphicData>
            </a:graphic>
          </wp:inline>
        </w:drawing>
      </w:r>
      <w:r>
        <w:rPr>
          <w:rFonts w:ascii="宋体" w:hAnsi="宋体" w:cs="宋体"/>
          <w:kern w:val="0"/>
          <w:sz w:val="24"/>
        </w:rPr>
        <w:fldChar w:fldCharType="end"/>
      </w:r>
    </w:p>
    <w:p w14:paraId="483DDE2D">
      <w:pPr>
        <w:pStyle w:val="25"/>
        <w:snapToGrid w:val="0"/>
        <w:spacing w:line="400" w:lineRule="exact"/>
        <w:ind w:firstLine="420" w:firstLineChars="200"/>
        <w:rPr>
          <w:rFonts w:hAnsi="Times New Roman"/>
          <w:sz w:val="21"/>
        </w:rPr>
      </w:pPr>
      <w:r>
        <w:rPr>
          <w:rFonts w:hint="eastAsia" w:hAnsi="Times New Roman"/>
          <w:sz w:val="21"/>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56B50293">
      <w:pPr>
        <w:pStyle w:val="25"/>
        <w:snapToGrid w:val="0"/>
        <w:spacing w:line="400" w:lineRule="exact"/>
        <w:ind w:firstLine="420" w:firstLineChars="200"/>
        <w:rPr>
          <w:rFonts w:hAnsi="Times New Roman"/>
          <w:sz w:val="21"/>
        </w:rPr>
      </w:pPr>
      <w:r>
        <w:rPr>
          <w:rFonts w:hint="eastAsia" w:hAnsi="Times New Roman"/>
          <w:sz w:val="21"/>
        </w:rPr>
        <w:t>政府采购活动中既有本国产品又有非本国产品参与竞争的，依法对本国产品给予价格评审优惠，对本国产品的报价给予20%的价格扣除，用扣除后的价格参与评审。未达到80%，不享受价格评审优惠。</w:t>
      </w:r>
    </w:p>
    <w:p w14:paraId="3F5F90DD">
      <w:pPr>
        <w:pStyle w:val="25"/>
        <w:snapToGrid w:val="0"/>
        <w:spacing w:line="400" w:lineRule="exact"/>
        <w:ind w:firstLine="420" w:firstLineChars="200"/>
        <w:rPr>
          <w:rFonts w:hAnsi="Times New Roman"/>
          <w:sz w:val="21"/>
        </w:rPr>
      </w:pPr>
      <w:r>
        <w:rPr>
          <w:rFonts w:hint="eastAsia" w:hAnsi="Times New Roman"/>
          <w:sz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7C63FE1B">
      <w:pPr>
        <w:spacing w:line="400" w:lineRule="exact"/>
        <w:ind w:firstLine="482" w:firstLineChars="200"/>
        <w:rPr>
          <w:rFonts w:ascii="宋体" w:hAnsi="宋体" w:cs="宋体"/>
          <w:b/>
          <w:sz w:val="24"/>
        </w:rPr>
      </w:pPr>
      <w:r>
        <w:rPr>
          <w:rFonts w:hint="eastAsia" w:ascii="宋体" w:hAnsi="宋体" w:cs="宋体"/>
          <w:b/>
          <w:sz w:val="24"/>
        </w:rPr>
        <w:t>9.回避与串通投标</w:t>
      </w:r>
    </w:p>
    <w:p w14:paraId="2D519A73">
      <w:pPr>
        <w:spacing w:line="400" w:lineRule="exact"/>
        <w:ind w:firstLine="422" w:firstLineChars="200"/>
        <w:rPr>
          <w:rFonts w:ascii="宋体" w:hAnsi="宋体" w:cs="宋体"/>
          <w:b/>
          <w:szCs w:val="21"/>
        </w:rPr>
      </w:pPr>
      <w:r>
        <w:rPr>
          <w:rFonts w:hint="eastAsia" w:ascii="宋体" w:hAnsi="宋体" w:cs="宋体"/>
          <w:b/>
          <w:szCs w:val="21"/>
        </w:rPr>
        <w:t>9.1在政府采购活动中，采购人员及相关人员与供应商有下列利害关系之一的，应当回避：</w:t>
      </w:r>
    </w:p>
    <w:p w14:paraId="1F7EEBF7">
      <w:pPr>
        <w:spacing w:line="400" w:lineRule="exact"/>
        <w:ind w:firstLine="420" w:firstLineChars="200"/>
        <w:rPr>
          <w:rFonts w:ascii="宋体" w:hAnsi="宋体" w:cs="宋体"/>
        </w:rPr>
      </w:pPr>
      <w:r>
        <w:rPr>
          <w:rFonts w:hint="eastAsia" w:ascii="宋体" w:hAnsi="宋体" w:cs="宋体"/>
        </w:rPr>
        <w:t>（1）参加采购活动前3年内与供应商存在劳动关系；</w:t>
      </w:r>
    </w:p>
    <w:p w14:paraId="2B75C4CE">
      <w:pPr>
        <w:spacing w:line="400" w:lineRule="exact"/>
        <w:ind w:firstLine="420" w:firstLineChars="200"/>
        <w:rPr>
          <w:rFonts w:ascii="宋体" w:hAnsi="宋体" w:cs="宋体"/>
        </w:rPr>
      </w:pPr>
      <w:r>
        <w:rPr>
          <w:rFonts w:hint="eastAsia" w:ascii="宋体" w:hAnsi="宋体" w:cs="宋体"/>
        </w:rPr>
        <w:t>（2）参加采购活动前3年内担任供应商的董事、监事；</w:t>
      </w:r>
    </w:p>
    <w:p w14:paraId="19EE71AE">
      <w:pPr>
        <w:spacing w:line="400" w:lineRule="exact"/>
        <w:ind w:firstLine="420" w:firstLineChars="200"/>
        <w:rPr>
          <w:rFonts w:ascii="宋体" w:hAnsi="宋体" w:cs="宋体"/>
        </w:rPr>
      </w:pPr>
      <w:r>
        <w:rPr>
          <w:rFonts w:hint="eastAsia" w:ascii="宋体" w:hAnsi="宋体" w:cs="宋体"/>
        </w:rPr>
        <w:t>（3）参加采购活动前3年内是供应商的控股股东或者实际控制人；</w:t>
      </w:r>
    </w:p>
    <w:p w14:paraId="1ADB08DE">
      <w:pPr>
        <w:spacing w:line="400" w:lineRule="exact"/>
        <w:ind w:firstLine="420" w:firstLineChars="200"/>
        <w:rPr>
          <w:rFonts w:ascii="宋体" w:hAnsi="宋体" w:cs="宋体"/>
        </w:rPr>
      </w:pPr>
      <w:r>
        <w:rPr>
          <w:rFonts w:hint="eastAsia" w:ascii="宋体" w:hAnsi="宋体" w:cs="宋体"/>
        </w:rPr>
        <w:t>（4）与供应商的法定代表人或者负责人有夫妻、直系血亲、三代以内旁系血亲或者近姻亲关系；</w:t>
      </w:r>
    </w:p>
    <w:p w14:paraId="2F792AAA">
      <w:pPr>
        <w:spacing w:line="400" w:lineRule="exact"/>
        <w:ind w:firstLine="420" w:firstLineChars="200"/>
        <w:rPr>
          <w:rFonts w:ascii="宋体" w:hAnsi="宋体" w:cs="宋体"/>
        </w:rPr>
      </w:pPr>
      <w:r>
        <w:rPr>
          <w:rFonts w:hint="eastAsia" w:ascii="宋体" w:hAnsi="宋体" w:cs="宋体"/>
        </w:rPr>
        <w:t>（5）与供应商有其他可能影响政府采购活动公平、公正进行的关系。</w:t>
      </w:r>
    </w:p>
    <w:p w14:paraId="186B9424">
      <w:pPr>
        <w:spacing w:line="400" w:lineRule="exact"/>
        <w:ind w:firstLine="420" w:firstLineChars="200"/>
        <w:rPr>
          <w:rFonts w:ascii="宋体" w:hAnsi="宋体" w:cs="宋体"/>
        </w:rPr>
      </w:pPr>
      <w:r>
        <w:rPr>
          <w:rFonts w:hint="eastAsia" w:ascii="宋体" w:hAnsi="宋体" w:cs="宋体"/>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CA09634">
      <w:pPr>
        <w:spacing w:line="400" w:lineRule="exact"/>
        <w:ind w:firstLine="420" w:firstLineChars="200"/>
        <w:rPr>
          <w:rFonts w:ascii="宋体" w:hAnsi="宋体" w:cs="宋体"/>
          <w:szCs w:val="21"/>
        </w:rPr>
      </w:pPr>
      <w:r>
        <w:rPr>
          <w:rFonts w:hint="eastAsia" w:ascii="宋体" w:hAnsi="宋体" w:cs="宋体"/>
          <w:szCs w:val="21"/>
        </w:rPr>
        <w:t>9.2有下列情形之一的视为投标人相互串通投标，投标文件将被视为无效：</w:t>
      </w:r>
    </w:p>
    <w:p w14:paraId="22414077">
      <w:pPr>
        <w:spacing w:line="400" w:lineRule="exact"/>
        <w:ind w:firstLine="422" w:firstLineChars="200"/>
        <w:rPr>
          <w:rFonts w:ascii="宋体" w:hAnsi="宋体" w:cs="宋体"/>
          <w:b/>
        </w:rPr>
      </w:pPr>
      <w:r>
        <w:rPr>
          <w:rFonts w:hint="eastAsia" w:ascii="宋体" w:hAnsi="宋体" w:cs="宋体"/>
          <w:b/>
        </w:rPr>
        <w:t>（1）不同投标人的投标文件由同一单位或者个人编制；或者不同投标人报名的IP地址一致的；</w:t>
      </w:r>
    </w:p>
    <w:p w14:paraId="72FB1538">
      <w:pPr>
        <w:spacing w:line="400" w:lineRule="exact"/>
        <w:ind w:firstLine="422" w:firstLineChars="200"/>
        <w:rPr>
          <w:rFonts w:ascii="宋体" w:hAnsi="宋体" w:cs="宋体"/>
          <w:b/>
        </w:rPr>
      </w:pPr>
      <w:r>
        <w:rPr>
          <w:rFonts w:hint="eastAsia" w:ascii="宋体" w:hAnsi="宋体" w:cs="宋体"/>
          <w:b/>
        </w:rPr>
        <w:t>（2）不同投标人委托同一单位或者个人办理投标事宜；</w:t>
      </w:r>
    </w:p>
    <w:p w14:paraId="7FA85B4B">
      <w:pPr>
        <w:spacing w:line="400" w:lineRule="exact"/>
        <w:ind w:firstLine="422" w:firstLineChars="200"/>
        <w:rPr>
          <w:rFonts w:ascii="宋体" w:hAnsi="宋体" w:cs="宋体"/>
          <w:b/>
        </w:rPr>
      </w:pPr>
      <w:r>
        <w:rPr>
          <w:rFonts w:hint="eastAsia" w:ascii="宋体" w:hAnsi="宋体" w:cs="宋体"/>
          <w:b/>
        </w:rPr>
        <w:t>（3）不同的投标人的投标文件载明的项目管理员为同一个人；</w:t>
      </w:r>
    </w:p>
    <w:p w14:paraId="14EF9B88">
      <w:pPr>
        <w:spacing w:line="400" w:lineRule="exact"/>
        <w:ind w:firstLine="422" w:firstLineChars="200"/>
        <w:rPr>
          <w:rFonts w:ascii="宋体" w:hAnsi="宋体" w:cs="宋体"/>
          <w:b/>
        </w:rPr>
      </w:pPr>
      <w:r>
        <w:rPr>
          <w:rFonts w:hint="eastAsia" w:ascii="宋体" w:hAnsi="宋体" w:cs="宋体"/>
          <w:b/>
        </w:rPr>
        <w:t>（4）不同投标人的电子或纸质投标文件异常一致或者投标报价呈规律性差异；</w:t>
      </w:r>
    </w:p>
    <w:p w14:paraId="71FE5D33">
      <w:pPr>
        <w:spacing w:line="400" w:lineRule="exact"/>
        <w:ind w:firstLine="422" w:firstLineChars="200"/>
        <w:rPr>
          <w:rFonts w:ascii="宋体" w:hAnsi="宋体" w:cs="宋体"/>
          <w:b/>
        </w:rPr>
      </w:pPr>
      <w:r>
        <w:rPr>
          <w:rFonts w:hint="eastAsia" w:ascii="宋体" w:hAnsi="宋体" w:cs="宋体"/>
          <w:b/>
        </w:rPr>
        <w:t>（5）不同投标人的纸质投标文件相互混装；</w:t>
      </w:r>
    </w:p>
    <w:p w14:paraId="686DFAAA">
      <w:pPr>
        <w:spacing w:line="400" w:lineRule="exact"/>
        <w:ind w:firstLine="420" w:firstLineChars="200"/>
        <w:rPr>
          <w:rFonts w:ascii="宋体" w:hAnsi="宋体" w:cs="宋体"/>
          <w:szCs w:val="21"/>
        </w:rPr>
      </w:pPr>
      <w:r>
        <w:rPr>
          <w:rFonts w:hint="eastAsia" w:ascii="宋体" w:hAnsi="宋体" w:cs="宋体"/>
          <w:szCs w:val="21"/>
        </w:rPr>
        <w:t>9.3供应商有下列情形之一的，属于恶意串通行为，将报同级监督管理部门：</w:t>
      </w:r>
    </w:p>
    <w:p w14:paraId="2991FC4D">
      <w:pPr>
        <w:spacing w:line="400" w:lineRule="exact"/>
        <w:ind w:firstLine="420" w:firstLineChars="200"/>
        <w:rPr>
          <w:rFonts w:ascii="宋体" w:hAnsi="宋体" w:cs="宋体"/>
        </w:rPr>
      </w:pPr>
      <w:r>
        <w:rPr>
          <w:rFonts w:hint="eastAsia" w:ascii="宋体" w:hAnsi="宋体" w:cs="宋体"/>
        </w:rPr>
        <w:t>（1）供应商直接或者间接从采购人或者采购代理机构处获得其他供应商的相关信息并修改其投标文件或者投标文件；</w:t>
      </w:r>
    </w:p>
    <w:p w14:paraId="360F9ED7">
      <w:pPr>
        <w:spacing w:line="400" w:lineRule="exact"/>
        <w:ind w:firstLine="420" w:firstLineChars="200"/>
        <w:rPr>
          <w:rFonts w:ascii="宋体" w:hAnsi="宋体" w:cs="宋体"/>
        </w:rPr>
      </w:pPr>
      <w:r>
        <w:rPr>
          <w:rFonts w:hint="eastAsia" w:ascii="宋体" w:hAnsi="宋体" w:cs="宋体"/>
        </w:rPr>
        <w:t>（2）供应商按照采购人或者采购代理机构的授意撤换、修改投标文件或者投标文件；</w:t>
      </w:r>
    </w:p>
    <w:p w14:paraId="5FF625C5">
      <w:pPr>
        <w:spacing w:line="400" w:lineRule="exact"/>
        <w:ind w:firstLine="420" w:firstLineChars="200"/>
        <w:rPr>
          <w:rFonts w:ascii="宋体" w:hAnsi="宋体" w:cs="宋体"/>
        </w:rPr>
      </w:pPr>
      <w:r>
        <w:rPr>
          <w:rFonts w:hint="eastAsia" w:ascii="宋体" w:hAnsi="宋体" w:cs="宋体"/>
        </w:rPr>
        <w:t>（3）供应商之间协商报价、技术方案等投标文件或者投标文件的实质性内容；</w:t>
      </w:r>
    </w:p>
    <w:p w14:paraId="0FDAB106">
      <w:pPr>
        <w:spacing w:line="400" w:lineRule="exact"/>
        <w:ind w:firstLine="420" w:firstLineChars="200"/>
        <w:rPr>
          <w:rFonts w:ascii="宋体" w:hAnsi="宋体" w:cs="宋体"/>
        </w:rPr>
      </w:pPr>
      <w:r>
        <w:rPr>
          <w:rFonts w:hint="eastAsia" w:ascii="宋体" w:hAnsi="宋体" w:cs="宋体"/>
        </w:rPr>
        <w:t>（4）属于同一集团、协会、商会等组织成员的供应商按照该组织要求协同参加政府采购活动；</w:t>
      </w:r>
    </w:p>
    <w:p w14:paraId="75C33F0F">
      <w:pPr>
        <w:spacing w:line="400" w:lineRule="exact"/>
        <w:ind w:firstLine="420" w:firstLineChars="200"/>
        <w:rPr>
          <w:rFonts w:ascii="宋体" w:hAnsi="宋体" w:cs="宋体"/>
        </w:rPr>
      </w:pPr>
      <w:r>
        <w:rPr>
          <w:rFonts w:hint="eastAsia" w:ascii="宋体" w:hAnsi="宋体" w:cs="宋体"/>
        </w:rPr>
        <w:t>（5）供应商之间事先约定一致抬高或者压低投标报价，或者在招标项目中事先约定轮流以高价位或者低价位中标，或者事先约定由某一特定供应商中标，然后再参加投标；</w:t>
      </w:r>
    </w:p>
    <w:p w14:paraId="641428E6">
      <w:pPr>
        <w:spacing w:line="400" w:lineRule="exact"/>
        <w:ind w:firstLine="420" w:firstLineChars="200"/>
        <w:rPr>
          <w:rFonts w:ascii="宋体" w:hAnsi="宋体" w:cs="宋体"/>
        </w:rPr>
      </w:pPr>
      <w:r>
        <w:rPr>
          <w:rFonts w:hint="eastAsia" w:ascii="宋体" w:hAnsi="宋体" w:cs="宋体"/>
        </w:rPr>
        <w:t>（6）供应商之间商定部分供应商放弃参加政府采购活动或者放弃中标；</w:t>
      </w:r>
    </w:p>
    <w:p w14:paraId="28FDB898">
      <w:pPr>
        <w:spacing w:line="400" w:lineRule="exact"/>
        <w:ind w:firstLine="420" w:firstLineChars="200"/>
        <w:rPr>
          <w:rFonts w:ascii="宋体" w:hAnsi="宋体" w:cs="宋体"/>
        </w:rPr>
      </w:pPr>
      <w:r>
        <w:rPr>
          <w:rFonts w:hint="eastAsia" w:ascii="宋体" w:hAnsi="宋体" w:cs="宋体"/>
        </w:rPr>
        <w:t>（7）供应商与采购人或者采购代理机构之间、供应商相互之间，为谋求特定供应商中标或者排斥其他供应商的其他串通行为。</w:t>
      </w:r>
    </w:p>
    <w:p w14:paraId="71537C1F">
      <w:pPr>
        <w:pStyle w:val="4"/>
        <w:spacing w:before="0" w:after="0" w:line="480" w:lineRule="auto"/>
        <w:jc w:val="center"/>
        <w:rPr>
          <w:sz w:val="30"/>
          <w:szCs w:val="30"/>
        </w:rPr>
      </w:pPr>
      <w:bookmarkStart w:id="66" w:name="_Toc24651"/>
      <w:r>
        <w:rPr>
          <w:rFonts w:hint="eastAsia"/>
          <w:sz w:val="30"/>
          <w:szCs w:val="30"/>
        </w:rPr>
        <w:t>二、招标文件</w:t>
      </w:r>
      <w:bookmarkEnd w:id="66"/>
    </w:p>
    <w:p w14:paraId="3055A543">
      <w:pPr>
        <w:spacing w:line="400" w:lineRule="exact"/>
        <w:ind w:firstLine="482" w:firstLineChars="200"/>
        <w:rPr>
          <w:rFonts w:ascii="宋体" w:hAnsi="宋体" w:cs="宋体"/>
          <w:b/>
          <w:sz w:val="24"/>
        </w:rPr>
      </w:pPr>
      <w:r>
        <w:rPr>
          <w:rFonts w:hint="eastAsia" w:ascii="宋体" w:hAnsi="宋体" w:cs="宋体"/>
          <w:b/>
          <w:sz w:val="24"/>
        </w:rPr>
        <w:t>10.招标文件的组成</w:t>
      </w:r>
    </w:p>
    <w:p w14:paraId="63132483">
      <w:pPr>
        <w:spacing w:line="400" w:lineRule="exact"/>
        <w:ind w:firstLine="420" w:firstLineChars="200"/>
        <w:rPr>
          <w:rFonts w:ascii="宋体" w:hAnsi="宋体" w:cs="宋体"/>
          <w:szCs w:val="21"/>
        </w:rPr>
      </w:pPr>
      <w:r>
        <w:rPr>
          <w:rFonts w:hint="eastAsia" w:ascii="宋体" w:hAnsi="宋体" w:cs="宋体"/>
          <w:szCs w:val="21"/>
        </w:rPr>
        <w:t>第一章 招标公告；</w:t>
      </w:r>
    </w:p>
    <w:p w14:paraId="7663C60B">
      <w:pPr>
        <w:spacing w:line="400" w:lineRule="exact"/>
        <w:ind w:firstLine="420" w:firstLineChars="200"/>
        <w:rPr>
          <w:rFonts w:ascii="宋体" w:hAnsi="宋体" w:cs="宋体"/>
          <w:szCs w:val="21"/>
        </w:rPr>
      </w:pPr>
      <w:r>
        <w:rPr>
          <w:rFonts w:hint="eastAsia" w:ascii="宋体" w:hAnsi="宋体" w:cs="宋体"/>
          <w:szCs w:val="21"/>
        </w:rPr>
        <w:t>第二章 采购需求；</w:t>
      </w:r>
    </w:p>
    <w:p w14:paraId="061F74D6">
      <w:pPr>
        <w:spacing w:line="400" w:lineRule="exact"/>
        <w:ind w:firstLine="420" w:firstLineChars="200"/>
        <w:rPr>
          <w:rFonts w:ascii="宋体" w:hAnsi="宋体" w:cs="宋体"/>
          <w:szCs w:val="21"/>
        </w:rPr>
      </w:pPr>
      <w:r>
        <w:rPr>
          <w:rFonts w:hint="eastAsia" w:ascii="宋体" w:hAnsi="宋体" w:cs="宋体"/>
          <w:szCs w:val="21"/>
        </w:rPr>
        <w:t>第三章 投标人须知；</w:t>
      </w:r>
    </w:p>
    <w:p w14:paraId="2DAFED24">
      <w:pPr>
        <w:spacing w:line="400" w:lineRule="exact"/>
        <w:ind w:firstLine="420" w:firstLineChars="200"/>
        <w:rPr>
          <w:rFonts w:ascii="宋体" w:hAnsi="宋体" w:cs="宋体"/>
          <w:szCs w:val="21"/>
        </w:rPr>
      </w:pPr>
      <w:r>
        <w:rPr>
          <w:rFonts w:hint="eastAsia" w:ascii="宋体" w:hAnsi="宋体" w:cs="宋体"/>
          <w:szCs w:val="21"/>
        </w:rPr>
        <w:t>第四章 评标方法及评标标准；</w:t>
      </w:r>
    </w:p>
    <w:p w14:paraId="4E7C28E8">
      <w:pPr>
        <w:spacing w:line="400" w:lineRule="exact"/>
        <w:ind w:firstLine="420" w:firstLineChars="200"/>
        <w:rPr>
          <w:rFonts w:ascii="宋体" w:hAnsi="宋体" w:cs="宋体"/>
          <w:szCs w:val="21"/>
        </w:rPr>
      </w:pPr>
      <w:r>
        <w:rPr>
          <w:rFonts w:hint="eastAsia" w:ascii="宋体" w:hAnsi="宋体" w:cs="宋体"/>
          <w:szCs w:val="21"/>
        </w:rPr>
        <w:t>第五章 拟签订的合同文本；</w:t>
      </w:r>
    </w:p>
    <w:p w14:paraId="70E7E61E">
      <w:pPr>
        <w:spacing w:line="400" w:lineRule="exact"/>
        <w:ind w:firstLine="420" w:firstLineChars="200"/>
        <w:rPr>
          <w:rFonts w:ascii="宋体" w:hAnsi="宋体" w:cs="宋体"/>
          <w:szCs w:val="21"/>
        </w:rPr>
      </w:pPr>
      <w:r>
        <w:rPr>
          <w:rFonts w:hint="eastAsia" w:ascii="宋体" w:hAnsi="宋体" w:cs="宋体"/>
          <w:szCs w:val="21"/>
        </w:rPr>
        <w:t>第六章 投标文件格式；</w:t>
      </w:r>
    </w:p>
    <w:p w14:paraId="5782388A">
      <w:pPr>
        <w:spacing w:line="400" w:lineRule="exact"/>
        <w:ind w:firstLine="420" w:firstLineChars="200"/>
        <w:rPr>
          <w:rFonts w:ascii="宋体" w:hAnsi="宋体" w:cs="宋体"/>
          <w:szCs w:val="21"/>
        </w:rPr>
      </w:pPr>
      <w:r>
        <w:rPr>
          <w:rFonts w:hint="eastAsia" w:ascii="宋体" w:hAnsi="宋体" w:cs="宋体"/>
          <w:szCs w:val="21"/>
        </w:rPr>
        <w:t>第七章 质疑、投诉材料格式</w:t>
      </w:r>
    </w:p>
    <w:p w14:paraId="2F4DAEB5">
      <w:pPr>
        <w:spacing w:line="400" w:lineRule="exact"/>
        <w:ind w:firstLine="420" w:firstLineChars="200"/>
        <w:rPr>
          <w:rFonts w:ascii="宋体" w:hAnsi="宋体" w:cs="宋体"/>
        </w:rPr>
      </w:pPr>
      <w:r>
        <w:rPr>
          <w:rFonts w:hint="eastAsia" w:ascii="宋体" w:hAnsi="宋体" w:cs="宋体"/>
        </w:rPr>
        <w:t>根据本章第11.1项的规定对公开招标文件所做的澄清、修改，构成招标文件的组成部分。当公开招标文件与招标文件的澄清和修改就同一内容的表述不一致时，以最后澄清或修改公告为准。</w:t>
      </w:r>
    </w:p>
    <w:p w14:paraId="5501587C">
      <w:pPr>
        <w:spacing w:line="400" w:lineRule="exact"/>
        <w:ind w:firstLine="482" w:firstLineChars="200"/>
        <w:rPr>
          <w:rFonts w:ascii="宋体" w:hAnsi="宋体" w:cs="宋体"/>
          <w:b/>
          <w:sz w:val="24"/>
        </w:rPr>
      </w:pPr>
      <w:r>
        <w:rPr>
          <w:rFonts w:hint="eastAsia" w:ascii="宋体" w:hAnsi="宋体" w:cs="宋体"/>
          <w:b/>
          <w:sz w:val="24"/>
        </w:rPr>
        <w:t>11.招标文件的澄清、修改、现场考察和答疑会</w:t>
      </w:r>
    </w:p>
    <w:p w14:paraId="4B94F29E">
      <w:pPr>
        <w:spacing w:line="400" w:lineRule="exact"/>
        <w:ind w:firstLine="422" w:firstLineChars="200"/>
        <w:rPr>
          <w:rFonts w:ascii="宋体" w:hAnsi="宋体" w:cs="宋体"/>
          <w:b/>
          <w:szCs w:val="21"/>
        </w:rPr>
      </w:pPr>
      <w:r>
        <w:rPr>
          <w:rFonts w:hint="eastAsia" w:ascii="宋体" w:hAnsi="宋体" w:cs="宋体"/>
          <w:b/>
          <w:szCs w:val="21"/>
        </w:rPr>
        <w:t>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2ECD66E3">
      <w:pPr>
        <w:spacing w:line="400" w:lineRule="exact"/>
        <w:ind w:firstLine="420" w:firstLineChars="200"/>
        <w:rPr>
          <w:rFonts w:ascii="宋体" w:hAnsi="宋体" w:cs="宋体"/>
        </w:rPr>
      </w:pPr>
      <w:r>
        <w:rPr>
          <w:rFonts w:hint="eastAsia" w:ascii="宋体" w:hAnsi="宋体" w:cs="宋体"/>
        </w:rPr>
        <w:t>11.2投标人应认真审阅本公开招标文件，如有疑问，或发现其中有误或有要求不合理的，应在投标人须知前附表规定的</w:t>
      </w:r>
      <w:r>
        <w:rPr>
          <w:rFonts w:hint="eastAsia" w:ascii="宋体" w:hAnsi="宋体" w:cs="宋体"/>
          <w:kern w:val="0"/>
          <w:szCs w:val="21"/>
        </w:rPr>
        <w:t>投标截止时间</w:t>
      </w:r>
      <w:r>
        <w:rPr>
          <w:rFonts w:hint="eastAsia" w:ascii="宋体" w:hAnsi="宋体" w:cs="宋体"/>
        </w:rPr>
        <w:t>前以书面形式要求采购人或采购代理机构对招标文件予以澄清；否则，由此产生的后果由投标人自行负责。</w:t>
      </w:r>
    </w:p>
    <w:p w14:paraId="308C2A29">
      <w:pPr>
        <w:spacing w:line="400" w:lineRule="exact"/>
        <w:ind w:firstLine="420" w:firstLineChars="200"/>
        <w:rPr>
          <w:rFonts w:ascii="宋体" w:hAnsi="宋体" w:cs="宋体"/>
        </w:rPr>
      </w:pPr>
      <w:r>
        <w:rPr>
          <w:rFonts w:hint="eastAsia" w:ascii="宋体" w:hAnsi="宋体" w:cs="宋体"/>
        </w:rPr>
        <w:t>11.3采购人或者采购代理机构可以对已发出的招标文件进行必要的澄清或者修改。澄清或者修改的内容可能影响投标文件编制的，采购人或者采购代理机构应当在投标截止时间至少15日前，以书面形式通知（在“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宋体" w:hAnsi="宋体" w:cs="宋体"/>
          <w:szCs w:val="21"/>
        </w:rPr>
        <w:t>投标人须知前附表”</w:t>
      </w:r>
      <w:r>
        <w:rPr>
          <w:rFonts w:hint="eastAsia" w:ascii="宋体" w:hAnsi="宋体" w:cs="宋体"/>
        </w:rPr>
        <w:t>规定的政府采购信息发布媒体上发布更正公告及平台短信通知）所有获取招标文件的潜在投标人；不足15日的，采购人或者采购代理机构应当顺延提交投标文件的截止时间。发出的澄清或者修改不影响投标文件编制的也应在截标前3日发出。</w:t>
      </w:r>
    </w:p>
    <w:p w14:paraId="3E75554A">
      <w:pPr>
        <w:spacing w:line="400" w:lineRule="exact"/>
        <w:ind w:firstLine="420" w:firstLineChars="200"/>
        <w:rPr>
          <w:rFonts w:ascii="宋体" w:hAnsi="宋体" w:cs="宋体"/>
        </w:rPr>
      </w:pPr>
      <w:r>
        <w:rPr>
          <w:rFonts w:hint="eastAsia" w:ascii="宋体" w:hAnsi="宋体" w:cs="宋体"/>
        </w:rPr>
        <w:t>11.4采购人和采购代理机构可以视采购具体情况，变更投标截止时间和开标时间，将变更时间将在“</w:t>
      </w:r>
      <w:r>
        <w:rPr>
          <w:rFonts w:hint="eastAsia" w:ascii="宋体" w:hAnsi="宋体" w:cs="宋体"/>
          <w:szCs w:val="21"/>
        </w:rPr>
        <w:t>投标人须知前附表”</w:t>
      </w:r>
      <w:r>
        <w:rPr>
          <w:rFonts w:hint="eastAsia" w:ascii="宋体" w:hAnsi="宋体" w:cs="宋体"/>
          <w:kern w:val="0"/>
          <w:szCs w:val="21"/>
        </w:rPr>
        <w:t>规定的政府采购信息发布媒体上</w:t>
      </w:r>
      <w:r>
        <w:rPr>
          <w:rFonts w:hint="eastAsia" w:ascii="宋体" w:hAnsi="宋体" w:cs="宋体"/>
        </w:rPr>
        <w:t>发布更正公告。</w:t>
      </w:r>
    </w:p>
    <w:p w14:paraId="421702B4">
      <w:pPr>
        <w:spacing w:line="400" w:lineRule="exact"/>
        <w:ind w:firstLine="420" w:firstLineChars="200"/>
        <w:rPr>
          <w:rFonts w:ascii="宋体" w:hAnsi="宋体" w:cs="宋体"/>
        </w:rPr>
      </w:pPr>
      <w:r>
        <w:rPr>
          <w:rFonts w:hint="eastAsia" w:ascii="宋体" w:hAnsi="宋体" w:cs="宋体"/>
        </w:rPr>
        <w:t>11.5采购人或者采购代理机构可以在招标文件提供期限截止后，组织已获取招标文件的潜在投标人现场考察或者召开开标前答疑会，具体详见“投标人须知前附表”。</w:t>
      </w:r>
    </w:p>
    <w:p w14:paraId="6F6BD056">
      <w:pPr>
        <w:pStyle w:val="4"/>
        <w:spacing w:before="0" w:after="0" w:line="480" w:lineRule="auto"/>
        <w:jc w:val="center"/>
        <w:rPr>
          <w:sz w:val="30"/>
          <w:szCs w:val="30"/>
        </w:rPr>
      </w:pPr>
      <w:bookmarkStart w:id="67" w:name="_Toc7026"/>
      <w:r>
        <w:rPr>
          <w:rFonts w:hint="eastAsia"/>
          <w:sz w:val="30"/>
          <w:szCs w:val="30"/>
        </w:rPr>
        <w:t>三、投标文件的编制</w:t>
      </w:r>
      <w:bookmarkEnd w:id="67"/>
    </w:p>
    <w:p w14:paraId="0FA1CD51">
      <w:pPr>
        <w:spacing w:line="400" w:lineRule="exact"/>
        <w:ind w:firstLine="482" w:firstLineChars="200"/>
        <w:rPr>
          <w:rFonts w:ascii="宋体" w:hAnsi="宋体" w:cs="宋体"/>
          <w:b/>
          <w:sz w:val="24"/>
        </w:rPr>
      </w:pPr>
      <w:r>
        <w:rPr>
          <w:rFonts w:hint="eastAsia" w:ascii="宋体" w:hAnsi="宋体" w:cs="宋体"/>
          <w:b/>
          <w:sz w:val="24"/>
        </w:rPr>
        <w:t>12.投标文件的编制原则</w:t>
      </w:r>
    </w:p>
    <w:p w14:paraId="1E07EED0">
      <w:pPr>
        <w:spacing w:line="400" w:lineRule="exact"/>
        <w:ind w:firstLine="420" w:firstLineChars="200"/>
        <w:rPr>
          <w:rFonts w:ascii="宋体" w:hAnsi="宋体" w:cs="宋体"/>
          <w:szCs w:val="21"/>
        </w:rPr>
      </w:pPr>
      <w:r>
        <w:rPr>
          <w:rFonts w:hint="eastAsia" w:ascii="宋体" w:hAnsi="宋体" w:cs="宋体"/>
          <w:szCs w:val="21"/>
        </w:rPr>
        <w:t>12.1投标人必须按照招标文件的要求编制投标文件。投标文件必须对招标文件提出的要求和条件作出明确响应。</w:t>
      </w:r>
    </w:p>
    <w:p w14:paraId="1215AC15">
      <w:pPr>
        <w:spacing w:line="400" w:lineRule="exact"/>
        <w:ind w:firstLine="420" w:firstLineChars="200"/>
        <w:rPr>
          <w:rFonts w:ascii="宋体" w:hAnsi="宋体" w:cs="宋体"/>
          <w:szCs w:val="21"/>
        </w:rPr>
      </w:pPr>
      <w:r>
        <w:rPr>
          <w:rFonts w:hint="eastAsia" w:ascii="宋体" w:hAnsi="宋体" w:cs="宋体"/>
          <w:szCs w:val="21"/>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5CC78972">
      <w:pPr>
        <w:spacing w:line="400" w:lineRule="exact"/>
        <w:ind w:firstLine="482" w:firstLineChars="200"/>
        <w:rPr>
          <w:rFonts w:ascii="宋体" w:hAnsi="宋体" w:cs="宋体"/>
          <w:b/>
          <w:sz w:val="24"/>
        </w:rPr>
      </w:pPr>
      <w:r>
        <w:rPr>
          <w:rFonts w:hint="eastAsia" w:ascii="宋体" w:hAnsi="宋体" w:cs="宋体"/>
          <w:b/>
          <w:sz w:val="24"/>
        </w:rPr>
        <w:t>13.投标文件的组成</w:t>
      </w:r>
    </w:p>
    <w:p w14:paraId="3BD42948">
      <w:pPr>
        <w:spacing w:line="400" w:lineRule="exact"/>
        <w:ind w:firstLine="420" w:firstLineChars="200"/>
        <w:rPr>
          <w:rFonts w:ascii="宋体" w:hAnsi="宋体" w:cs="宋体"/>
          <w:szCs w:val="21"/>
        </w:rPr>
      </w:pPr>
      <w:r>
        <w:rPr>
          <w:rFonts w:hint="eastAsia" w:ascii="宋体" w:hAnsi="宋体" w:cs="宋体"/>
          <w:szCs w:val="21"/>
        </w:rPr>
        <w:t>13.1投标文件由报价文件、资格证明文件、商务文件、技术文件四部分组成。</w:t>
      </w:r>
    </w:p>
    <w:p w14:paraId="1A09FA61">
      <w:pPr>
        <w:spacing w:line="400" w:lineRule="exact"/>
        <w:ind w:firstLine="420" w:firstLineChars="200"/>
        <w:rPr>
          <w:rFonts w:ascii="宋体" w:hAnsi="宋体" w:cs="宋体"/>
          <w:bCs/>
          <w:szCs w:val="21"/>
        </w:rPr>
      </w:pPr>
      <w:r>
        <w:rPr>
          <w:rFonts w:hint="eastAsia" w:ascii="宋体" w:hAnsi="宋体" w:cs="宋体"/>
          <w:bCs/>
          <w:szCs w:val="21"/>
        </w:rPr>
        <w:t>（1）资格证明文件：具体材料见“投标人须知前附表”。</w:t>
      </w:r>
    </w:p>
    <w:p w14:paraId="482583FC">
      <w:pPr>
        <w:spacing w:line="400" w:lineRule="exact"/>
        <w:ind w:firstLine="420" w:firstLineChars="200"/>
        <w:rPr>
          <w:rFonts w:ascii="宋体" w:hAnsi="宋体" w:cs="宋体"/>
          <w:bCs/>
          <w:szCs w:val="21"/>
        </w:rPr>
      </w:pPr>
      <w:r>
        <w:rPr>
          <w:rFonts w:hint="eastAsia" w:ascii="宋体" w:hAnsi="宋体" w:cs="宋体"/>
          <w:bCs/>
          <w:szCs w:val="21"/>
        </w:rPr>
        <w:t>（2）商务文件：具体材料见“投标人须知前附表”。</w:t>
      </w:r>
    </w:p>
    <w:p w14:paraId="33961715">
      <w:pPr>
        <w:spacing w:line="400" w:lineRule="exact"/>
        <w:ind w:firstLine="420" w:firstLineChars="200"/>
        <w:rPr>
          <w:rFonts w:ascii="宋体" w:hAnsi="宋体" w:cs="宋体"/>
          <w:bCs/>
          <w:szCs w:val="21"/>
        </w:rPr>
      </w:pPr>
      <w:r>
        <w:rPr>
          <w:rFonts w:hint="eastAsia" w:ascii="宋体" w:hAnsi="宋体" w:cs="宋体"/>
          <w:bCs/>
          <w:szCs w:val="21"/>
        </w:rPr>
        <w:t xml:space="preserve">（3）技术文件：具体材料见“投标人须知前附表”。 </w:t>
      </w:r>
    </w:p>
    <w:p w14:paraId="05404B28">
      <w:pPr>
        <w:spacing w:line="400" w:lineRule="exact"/>
        <w:ind w:firstLine="420" w:firstLineChars="200"/>
        <w:rPr>
          <w:rFonts w:ascii="宋体" w:hAnsi="宋体" w:cs="宋体"/>
          <w:bCs/>
          <w:szCs w:val="21"/>
        </w:rPr>
      </w:pPr>
      <w:r>
        <w:rPr>
          <w:rFonts w:hint="eastAsia" w:ascii="宋体" w:hAnsi="宋体" w:cs="宋体"/>
          <w:bCs/>
          <w:szCs w:val="21"/>
        </w:rPr>
        <w:t>（4）报价文件：具体材料见“投标人须知前附表”。</w:t>
      </w:r>
    </w:p>
    <w:p w14:paraId="3142AD03">
      <w:pPr>
        <w:spacing w:line="400" w:lineRule="exact"/>
        <w:ind w:firstLine="420" w:firstLineChars="200"/>
        <w:rPr>
          <w:rFonts w:ascii="宋体" w:hAnsi="宋体" w:cs="宋体"/>
          <w:bCs/>
          <w:szCs w:val="21"/>
        </w:rPr>
      </w:pPr>
      <w:bookmarkStart w:id="68" w:name="_13.5投标文件电子版：具体材料见“投标人须知前附表”。"/>
      <w:bookmarkEnd w:id="68"/>
      <w:r>
        <w:rPr>
          <w:rFonts w:hint="eastAsia" w:ascii="宋体" w:hAnsi="宋体" w:cs="宋体"/>
          <w:bCs/>
          <w:szCs w:val="21"/>
        </w:rPr>
        <w:t>13.2投标文件电子版：具体要求见本节19.投标文件编制。</w:t>
      </w:r>
    </w:p>
    <w:p w14:paraId="285AB147">
      <w:pPr>
        <w:spacing w:line="400" w:lineRule="exact"/>
        <w:ind w:firstLine="482" w:firstLineChars="200"/>
        <w:rPr>
          <w:rFonts w:ascii="宋体" w:hAnsi="宋体" w:cs="宋体"/>
          <w:b/>
          <w:sz w:val="24"/>
        </w:rPr>
      </w:pPr>
      <w:r>
        <w:rPr>
          <w:rFonts w:hint="eastAsia" w:ascii="宋体" w:hAnsi="宋体" w:cs="宋体"/>
          <w:b/>
          <w:sz w:val="24"/>
        </w:rPr>
        <w:t>14.投标文件的语言及计量</w:t>
      </w:r>
    </w:p>
    <w:p w14:paraId="661DA302">
      <w:pPr>
        <w:spacing w:line="400" w:lineRule="exact"/>
        <w:ind w:firstLine="420" w:firstLineChars="200"/>
        <w:rPr>
          <w:rFonts w:ascii="宋体" w:hAnsi="宋体" w:cs="宋体"/>
          <w:bCs/>
          <w:szCs w:val="21"/>
        </w:rPr>
      </w:pPr>
      <w:r>
        <w:rPr>
          <w:rFonts w:hint="eastAsia" w:ascii="宋体" w:hAnsi="宋体" w:cs="宋体"/>
          <w:bCs/>
          <w:szCs w:val="21"/>
        </w:rPr>
        <w:t>14.1语言文字</w:t>
      </w:r>
    </w:p>
    <w:p w14:paraId="3E3B3A65">
      <w:pPr>
        <w:spacing w:line="400" w:lineRule="exact"/>
        <w:ind w:firstLine="420" w:firstLineChars="200"/>
        <w:rPr>
          <w:rFonts w:ascii="宋体" w:hAnsi="宋体" w:cs="宋体"/>
          <w:bCs/>
          <w:szCs w:val="21"/>
        </w:rPr>
      </w:pPr>
      <w:r>
        <w:rPr>
          <w:rFonts w:hint="eastAsia" w:ascii="宋体" w:hAnsi="宋体" w:cs="宋体"/>
          <w:bCs/>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0E53AACC">
      <w:pPr>
        <w:spacing w:line="400" w:lineRule="exact"/>
        <w:ind w:firstLine="420" w:firstLineChars="200"/>
        <w:rPr>
          <w:rFonts w:ascii="宋体" w:hAnsi="宋体" w:cs="宋体"/>
          <w:bCs/>
          <w:szCs w:val="21"/>
        </w:rPr>
      </w:pPr>
      <w:r>
        <w:rPr>
          <w:rFonts w:hint="eastAsia" w:ascii="宋体" w:hAnsi="宋体" w:cs="宋体"/>
          <w:bCs/>
          <w:szCs w:val="21"/>
        </w:rPr>
        <w:t>14.2投标计量单位</w:t>
      </w:r>
    </w:p>
    <w:p w14:paraId="75E809E5">
      <w:pPr>
        <w:spacing w:line="400" w:lineRule="exact"/>
        <w:ind w:firstLine="420" w:firstLineChars="200"/>
        <w:rPr>
          <w:rFonts w:ascii="宋体" w:hAnsi="宋体" w:cs="宋体"/>
          <w:bCs/>
          <w:szCs w:val="21"/>
        </w:rPr>
      </w:pPr>
      <w:r>
        <w:rPr>
          <w:rFonts w:hint="eastAsia" w:ascii="宋体" w:hAnsi="宋体" w:cs="宋体"/>
          <w:bCs/>
          <w:szCs w:val="21"/>
        </w:rPr>
        <w:t>招标文件已有明确规定的，使用招标文件规定的计量单位；招标文件没有规定的，应采用中华人民共和国法定计量单位，货币种类为人民币，否则视同未响应。</w:t>
      </w:r>
    </w:p>
    <w:p w14:paraId="241E8EF5">
      <w:pPr>
        <w:spacing w:line="400" w:lineRule="exact"/>
        <w:ind w:firstLine="482" w:firstLineChars="200"/>
        <w:rPr>
          <w:rFonts w:ascii="宋体" w:hAnsi="宋体" w:cs="宋体"/>
          <w:b/>
          <w:sz w:val="24"/>
        </w:rPr>
      </w:pPr>
      <w:r>
        <w:rPr>
          <w:rFonts w:hint="eastAsia" w:ascii="宋体" w:hAnsi="宋体" w:cs="宋体"/>
          <w:b/>
          <w:sz w:val="24"/>
        </w:rPr>
        <w:t>15.投标的风险</w:t>
      </w:r>
    </w:p>
    <w:p w14:paraId="5514FE8F">
      <w:pPr>
        <w:spacing w:line="400" w:lineRule="exact"/>
        <w:ind w:firstLine="420" w:firstLineChars="200"/>
        <w:rPr>
          <w:rFonts w:ascii="宋体" w:hAnsi="宋体" w:cs="宋体"/>
          <w:b/>
          <w:bCs/>
        </w:rPr>
      </w:pPr>
      <w:r>
        <w:rPr>
          <w:rFonts w:hint="eastAsia" w:ascii="宋体" w:hAnsi="宋体" w:cs="宋体"/>
        </w:rPr>
        <w:t>投标文件分为资格文件、商务和技术文件、报价文件三部分。各投标人在编制投标文件时请按照招标文件规定的格式进行，混乱的编排导致投标文件被误读或评标委员会查找不到有效文件是投标人的风险。</w:t>
      </w:r>
      <w:r>
        <w:rPr>
          <w:rFonts w:hint="eastAsia" w:ascii="宋体" w:hAnsi="宋体" w:cs="宋体"/>
          <w:b/>
          <w:bCs/>
        </w:rPr>
        <w:t>投标文件未按规定的格式编制的、没有按照招标文件要求提供全部资料、没有对招标文件作出实质性响应，投标无效；</w:t>
      </w:r>
    </w:p>
    <w:p w14:paraId="50573EB8">
      <w:pPr>
        <w:spacing w:line="400" w:lineRule="exact"/>
        <w:ind w:firstLine="482" w:firstLineChars="200"/>
        <w:rPr>
          <w:rFonts w:ascii="宋体" w:hAnsi="宋体" w:cs="宋体"/>
          <w:b/>
          <w:sz w:val="24"/>
        </w:rPr>
      </w:pPr>
      <w:r>
        <w:rPr>
          <w:rFonts w:hint="eastAsia" w:ascii="宋体" w:hAnsi="宋体" w:cs="宋体"/>
          <w:b/>
          <w:sz w:val="24"/>
        </w:rPr>
        <w:t>16.投标报价</w:t>
      </w:r>
    </w:p>
    <w:p w14:paraId="2A57CFF8">
      <w:pPr>
        <w:spacing w:line="400" w:lineRule="exact"/>
        <w:ind w:firstLine="420" w:firstLineChars="200"/>
        <w:rPr>
          <w:rFonts w:ascii="宋体" w:hAnsi="宋体" w:cs="宋体"/>
          <w:bCs/>
          <w:szCs w:val="21"/>
        </w:rPr>
      </w:pPr>
      <w:r>
        <w:rPr>
          <w:rFonts w:hint="eastAsia" w:ascii="宋体" w:hAnsi="宋体" w:cs="宋体"/>
          <w:bCs/>
          <w:szCs w:val="21"/>
        </w:rPr>
        <w:t>16.1投标报价应</w:t>
      </w:r>
      <w:r>
        <w:rPr>
          <w:rFonts w:hint="eastAsia" w:ascii="宋体" w:hAnsi="宋体" w:cs="宋体"/>
          <w:bCs/>
          <w:szCs w:val="20"/>
        </w:rPr>
        <w:t>按“第六章　投标文件格式”中“开标一览表”格式填写。</w:t>
      </w:r>
    </w:p>
    <w:p w14:paraId="21E032F3">
      <w:pPr>
        <w:spacing w:line="400" w:lineRule="exact"/>
        <w:ind w:firstLine="420" w:firstLineChars="200"/>
        <w:rPr>
          <w:rFonts w:ascii="宋体" w:hAnsi="宋体" w:cs="宋体"/>
          <w:bCs/>
          <w:szCs w:val="21"/>
        </w:rPr>
      </w:pPr>
      <w:r>
        <w:rPr>
          <w:rFonts w:hint="eastAsia" w:ascii="宋体" w:hAnsi="宋体" w:cs="宋体"/>
          <w:bCs/>
          <w:szCs w:val="21"/>
        </w:rPr>
        <w:t>16.2投标报价具体包括内容详见“投标人须知前附表”。</w:t>
      </w:r>
    </w:p>
    <w:p w14:paraId="6D2BFEA6">
      <w:pPr>
        <w:spacing w:line="400" w:lineRule="exact"/>
        <w:ind w:firstLine="420" w:firstLineChars="200"/>
        <w:rPr>
          <w:rFonts w:ascii="宋体" w:hAnsi="宋体" w:cs="宋体"/>
          <w:bCs/>
          <w:szCs w:val="21"/>
        </w:rPr>
      </w:pPr>
      <w:r>
        <w:rPr>
          <w:rFonts w:hint="eastAsia" w:ascii="宋体" w:hAnsi="宋体" w:cs="宋体"/>
          <w:bCs/>
          <w:szCs w:val="21"/>
        </w:rPr>
        <w:t>16.3投标人必须就所投每个分标的全部内容分别作完整唯一总价报价，不得存在漏项报价；投标人必须就所投标项的单项内容作唯一报价。</w:t>
      </w:r>
    </w:p>
    <w:p w14:paraId="3726BE89">
      <w:pPr>
        <w:spacing w:line="400" w:lineRule="exact"/>
        <w:ind w:firstLine="482" w:firstLineChars="200"/>
        <w:rPr>
          <w:rFonts w:ascii="宋体" w:hAnsi="宋体" w:cs="宋体"/>
          <w:b/>
          <w:sz w:val="24"/>
        </w:rPr>
      </w:pPr>
      <w:r>
        <w:rPr>
          <w:rFonts w:hint="eastAsia" w:ascii="宋体" w:hAnsi="宋体" w:cs="宋体"/>
          <w:b/>
          <w:sz w:val="24"/>
        </w:rPr>
        <w:t>17.投标有效期</w:t>
      </w:r>
    </w:p>
    <w:p w14:paraId="6EF958B2">
      <w:pPr>
        <w:spacing w:line="400" w:lineRule="exact"/>
        <w:ind w:firstLine="420" w:firstLineChars="200"/>
        <w:rPr>
          <w:rFonts w:ascii="宋体" w:hAnsi="宋体" w:cs="宋体"/>
          <w:bCs/>
          <w:szCs w:val="21"/>
        </w:rPr>
      </w:pPr>
      <w:r>
        <w:rPr>
          <w:rFonts w:hint="eastAsia" w:ascii="宋体" w:hAnsi="宋体" w:cs="宋体"/>
          <w:bCs/>
          <w:szCs w:val="21"/>
        </w:rPr>
        <w:t>17.1投标有效期是指为保证采购人有足够的时间在开标后完成评标、定标、合同签订等工作而要求投标人提交的投标文件在一定时间内保持有效的期限。</w:t>
      </w:r>
    </w:p>
    <w:p w14:paraId="206E807C">
      <w:pPr>
        <w:spacing w:line="400" w:lineRule="exact"/>
        <w:ind w:firstLine="420" w:firstLineChars="200"/>
        <w:rPr>
          <w:rFonts w:ascii="宋体" w:hAnsi="宋体" w:cs="宋体"/>
          <w:bCs/>
          <w:szCs w:val="21"/>
        </w:rPr>
      </w:pPr>
      <w:r>
        <w:rPr>
          <w:rFonts w:hint="eastAsia" w:ascii="宋体" w:hAnsi="宋体" w:cs="宋体"/>
          <w:bCs/>
          <w:szCs w:val="21"/>
        </w:rPr>
        <w:t>17.2投标有效期应按规定的期限作出承诺，具体详见“投标人须知前附表”。</w:t>
      </w:r>
    </w:p>
    <w:p w14:paraId="29CAAE7B">
      <w:pPr>
        <w:spacing w:line="400" w:lineRule="exact"/>
        <w:ind w:firstLine="420" w:firstLineChars="200"/>
        <w:rPr>
          <w:rFonts w:ascii="宋体" w:hAnsi="宋体" w:cs="宋体"/>
          <w:bCs/>
          <w:szCs w:val="21"/>
        </w:rPr>
      </w:pPr>
      <w:r>
        <w:rPr>
          <w:rFonts w:hint="eastAsia" w:ascii="宋体" w:hAnsi="宋体" w:cs="宋体"/>
          <w:bCs/>
          <w:szCs w:val="21"/>
        </w:rPr>
        <w:t>17.3投标人的投标文件在投标有效期内均保持有效。</w:t>
      </w:r>
    </w:p>
    <w:p w14:paraId="0D411F86">
      <w:pPr>
        <w:spacing w:line="400" w:lineRule="exact"/>
        <w:ind w:firstLine="482" w:firstLineChars="200"/>
        <w:rPr>
          <w:rFonts w:ascii="宋体" w:hAnsi="宋体" w:cs="宋体"/>
          <w:b/>
          <w:sz w:val="24"/>
        </w:rPr>
      </w:pPr>
      <w:r>
        <w:rPr>
          <w:rFonts w:hint="eastAsia" w:ascii="宋体" w:hAnsi="宋体" w:cs="宋体"/>
          <w:b/>
          <w:sz w:val="24"/>
        </w:rPr>
        <w:t>18.投标保证金</w:t>
      </w:r>
    </w:p>
    <w:p w14:paraId="7958F95A">
      <w:pPr>
        <w:spacing w:line="400" w:lineRule="exact"/>
        <w:ind w:firstLine="420" w:firstLineChars="200"/>
        <w:rPr>
          <w:rFonts w:ascii="宋体" w:hAnsi="宋体" w:cs="宋体"/>
          <w:bCs/>
          <w:szCs w:val="21"/>
        </w:rPr>
      </w:pPr>
      <w:r>
        <w:rPr>
          <w:rFonts w:hint="eastAsia" w:ascii="宋体" w:hAnsi="宋体" w:cs="宋体"/>
          <w:bCs/>
          <w:szCs w:val="21"/>
        </w:rPr>
        <w:t>见“投标人须知前附表”。</w:t>
      </w:r>
    </w:p>
    <w:p w14:paraId="0DFDC5F1">
      <w:pPr>
        <w:spacing w:line="400" w:lineRule="exact"/>
        <w:ind w:firstLine="482" w:firstLineChars="200"/>
        <w:rPr>
          <w:rFonts w:ascii="宋体" w:hAnsi="宋体" w:cs="宋体"/>
          <w:b/>
          <w:sz w:val="24"/>
        </w:rPr>
      </w:pPr>
      <w:r>
        <w:rPr>
          <w:rFonts w:hint="eastAsia" w:ascii="宋体" w:hAnsi="宋体" w:cs="宋体"/>
          <w:b/>
          <w:sz w:val="24"/>
        </w:rPr>
        <w:t>19.投标文件的编制</w:t>
      </w:r>
    </w:p>
    <w:p w14:paraId="3C6B2DF0">
      <w:pPr>
        <w:spacing w:line="400" w:lineRule="exact"/>
        <w:ind w:firstLine="420" w:firstLineChars="200"/>
        <w:rPr>
          <w:rFonts w:ascii="宋体" w:hAnsi="宋体" w:cs="宋体"/>
          <w:szCs w:val="21"/>
        </w:rPr>
      </w:pPr>
      <w:r>
        <w:rPr>
          <w:rFonts w:hint="eastAsia" w:ascii="宋体" w:hAnsi="宋体" w:cs="宋体"/>
          <w:szCs w:val="21"/>
        </w:rPr>
        <w:t>19.1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p>
    <w:p w14:paraId="49C72227">
      <w:pPr>
        <w:pStyle w:val="131"/>
        <w:snapToGrid w:val="0"/>
        <w:spacing w:before="0" w:line="400" w:lineRule="exact"/>
        <w:ind w:firstLine="420"/>
        <w:rPr>
          <w:rFonts w:ascii="宋体" w:hAnsi="宋体" w:cs="宋体"/>
          <w:sz w:val="21"/>
          <w:szCs w:val="21"/>
        </w:rPr>
      </w:pPr>
      <w:r>
        <w:rPr>
          <w:rFonts w:hint="eastAsia" w:ascii="宋体" w:hAnsi="宋体" w:cs="宋体"/>
          <w:sz w:val="21"/>
          <w:szCs w:val="21"/>
        </w:rPr>
        <w:t>19.2投标文件按照招标文件第六章格式要求在规定位置进行签署、盖章。投标人的投标文件未按照招标文件要求签署、盖章的，</w:t>
      </w:r>
      <w:r>
        <w:rPr>
          <w:rFonts w:hint="eastAsia" w:ascii="宋体" w:hAnsi="宋体" w:cs="宋体"/>
          <w:b/>
          <w:sz w:val="21"/>
          <w:szCs w:val="21"/>
        </w:rPr>
        <w:t>其投标无效。</w:t>
      </w:r>
      <w:r>
        <w:rPr>
          <w:rFonts w:hint="eastAsia" w:ascii="宋体" w:hAnsi="宋体" w:cs="宋体"/>
          <w:sz w:val="21"/>
          <w:szCs w:val="21"/>
        </w:rPr>
        <w:t>骑缝盖公章不视为在规定位置盖章。</w:t>
      </w:r>
    </w:p>
    <w:p w14:paraId="289677A4">
      <w:pPr>
        <w:pStyle w:val="131"/>
        <w:snapToGrid w:val="0"/>
        <w:spacing w:before="0" w:line="400" w:lineRule="exact"/>
        <w:ind w:firstLine="420"/>
        <w:rPr>
          <w:rFonts w:ascii="宋体" w:hAnsi="宋体" w:cs="宋体"/>
          <w:sz w:val="21"/>
          <w:szCs w:val="21"/>
        </w:rPr>
      </w:pPr>
      <w:r>
        <w:rPr>
          <w:rFonts w:hint="eastAsia" w:ascii="宋体" w:hAnsi="宋体" w:cs="宋体"/>
          <w:sz w:val="21"/>
          <w:szCs w:val="21"/>
        </w:rPr>
        <w:t>19.3为确保网上操作合法、有效和安全，投标人应当在投标截止时间前完成在广西政府采购云平台的身份认证，确保在电子投标过程中能够对相关数据电文进行加密和使用电子签名。</w:t>
      </w:r>
    </w:p>
    <w:p w14:paraId="3312E5EA">
      <w:pPr>
        <w:spacing w:line="400" w:lineRule="exact"/>
        <w:ind w:firstLine="422" w:firstLineChars="200"/>
        <w:rPr>
          <w:rFonts w:ascii="宋体" w:hAnsi="宋体" w:cs="宋体"/>
          <w:b/>
          <w:szCs w:val="21"/>
        </w:rPr>
      </w:pPr>
      <w:r>
        <w:rPr>
          <w:rFonts w:hint="eastAsia" w:ascii="宋体" w:hAnsi="宋体" w:cs="宋体"/>
          <w:b/>
          <w:szCs w:val="21"/>
        </w:rPr>
        <w:t>19.4投标文件中标注的投标人名称应与主体资格证明（如营业执照、事业单位法人证书、执业许可证、自然人身份证等）及公章一致，</w:t>
      </w:r>
      <w:r>
        <w:rPr>
          <w:rFonts w:hint="eastAsia" w:ascii="宋体" w:hAnsi="宋体" w:cs="宋体"/>
          <w:szCs w:val="21"/>
        </w:rPr>
        <w:t>否则作无效投标处理</w:t>
      </w:r>
      <w:r>
        <w:rPr>
          <w:rFonts w:hint="eastAsia" w:ascii="宋体" w:hAnsi="宋体" w:cs="宋体"/>
          <w:b/>
          <w:szCs w:val="21"/>
        </w:rPr>
        <w:t>。</w:t>
      </w:r>
    </w:p>
    <w:p w14:paraId="103804AF">
      <w:pPr>
        <w:spacing w:line="400" w:lineRule="exact"/>
        <w:ind w:firstLine="420" w:firstLineChars="200"/>
        <w:rPr>
          <w:rFonts w:ascii="宋体" w:hAnsi="宋体" w:cs="宋体"/>
          <w:b/>
          <w:szCs w:val="21"/>
        </w:rPr>
      </w:pPr>
      <w:r>
        <w:rPr>
          <w:rFonts w:hint="eastAsia" w:ascii="宋体" w:hAnsi="宋体" w:cs="宋体"/>
          <w:szCs w:val="21"/>
        </w:rPr>
        <w:t>19.5投标文件应避免涂改、行间插字或者删除，</w:t>
      </w:r>
      <w:r>
        <w:rPr>
          <w:rFonts w:hint="eastAsia" w:ascii="宋体" w:hAnsi="宋体" w:cs="宋体"/>
          <w:b/>
          <w:szCs w:val="21"/>
        </w:rPr>
        <w:t>否则其投标无效。</w:t>
      </w:r>
    </w:p>
    <w:p w14:paraId="1470D1C4">
      <w:pPr>
        <w:spacing w:line="400" w:lineRule="exact"/>
        <w:ind w:firstLine="420" w:firstLineChars="200"/>
        <w:rPr>
          <w:rFonts w:ascii="宋体" w:hAnsi="宋体" w:cs="宋体"/>
          <w:szCs w:val="21"/>
        </w:rPr>
      </w:pPr>
      <w:r>
        <w:rPr>
          <w:rFonts w:hint="eastAsia" w:ascii="宋体" w:hAnsi="宋体" w:cs="宋体"/>
          <w:szCs w:val="21"/>
        </w:rPr>
        <w:t>19.6对招标文件的实质性要求和条件作出响应是指投标人必须对招标文件中标注为实质性要求和条件的货物内容及要求、商务条款及其它内容</w:t>
      </w:r>
      <w:r>
        <w:rPr>
          <w:rFonts w:hint="eastAsia" w:ascii="宋体" w:hAnsi="宋体" w:cs="宋体"/>
          <w:b/>
          <w:bCs/>
          <w:szCs w:val="21"/>
        </w:rPr>
        <w:t>作出满足或者优于原要求和条件的承诺</w:t>
      </w:r>
      <w:r>
        <w:rPr>
          <w:rFonts w:hint="eastAsia" w:ascii="宋体" w:hAnsi="宋体" w:cs="宋体"/>
          <w:szCs w:val="21"/>
        </w:rPr>
        <w:t>。</w:t>
      </w:r>
    </w:p>
    <w:p w14:paraId="1E8125DC">
      <w:pPr>
        <w:spacing w:line="400" w:lineRule="exact"/>
        <w:ind w:firstLine="422" w:firstLineChars="200"/>
        <w:rPr>
          <w:rFonts w:ascii="宋体" w:hAnsi="宋体" w:cs="宋体"/>
          <w:b/>
          <w:szCs w:val="21"/>
          <w:u w:val="single"/>
        </w:rPr>
      </w:pPr>
      <w:r>
        <w:rPr>
          <w:rFonts w:hint="eastAsia" w:ascii="宋体" w:hAnsi="宋体" w:cs="宋体"/>
          <w:b/>
          <w:szCs w:val="21"/>
          <w:u w:val="single"/>
        </w:rPr>
        <w:t>19.7本项目为全流程电子化项目，异常情况见“第二节 投标人须知正文”中“四、24.2开标程序。</w:t>
      </w:r>
    </w:p>
    <w:p w14:paraId="2F0059D8">
      <w:pPr>
        <w:spacing w:line="400" w:lineRule="exact"/>
        <w:ind w:firstLine="482" w:firstLineChars="200"/>
        <w:rPr>
          <w:rFonts w:ascii="宋体" w:hAnsi="宋体" w:cs="宋体"/>
          <w:b/>
          <w:sz w:val="24"/>
        </w:rPr>
      </w:pPr>
      <w:r>
        <w:rPr>
          <w:rFonts w:hint="eastAsia" w:ascii="宋体" w:hAnsi="宋体" w:cs="宋体"/>
          <w:b/>
          <w:sz w:val="24"/>
        </w:rPr>
        <w:t>20.备份投标文件</w:t>
      </w:r>
    </w:p>
    <w:p w14:paraId="2374A7DB">
      <w:pPr>
        <w:spacing w:line="400" w:lineRule="exact"/>
        <w:ind w:firstLine="420" w:firstLineChars="200"/>
        <w:rPr>
          <w:rFonts w:ascii="宋体" w:hAnsi="宋体" w:cs="宋体"/>
          <w:sz w:val="24"/>
        </w:rPr>
      </w:pPr>
      <w:r>
        <w:rPr>
          <w:rFonts w:hint="eastAsia" w:ascii="宋体" w:hAnsi="宋体" w:cs="宋体"/>
          <w:bCs/>
          <w:szCs w:val="21"/>
        </w:rPr>
        <w:t>详见在“投标人须知前附表”。</w:t>
      </w:r>
    </w:p>
    <w:p w14:paraId="0A3340ED">
      <w:pPr>
        <w:spacing w:line="400" w:lineRule="exact"/>
        <w:ind w:firstLine="482" w:firstLineChars="200"/>
        <w:rPr>
          <w:rFonts w:ascii="宋体" w:hAnsi="宋体" w:cs="宋体"/>
          <w:b/>
          <w:sz w:val="24"/>
        </w:rPr>
      </w:pPr>
      <w:r>
        <w:rPr>
          <w:rFonts w:hint="eastAsia" w:ascii="宋体" w:hAnsi="宋体" w:cs="宋体"/>
          <w:b/>
          <w:sz w:val="24"/>
        </w:rPr>
        <w:t>21.投标文件的提交</w:t>
      </w:r>
    </w:p>
    <w:p w14:paraId="2A2AB715">
      <w:pPr>
        <w:spacing w:line="400" w:lineRule="exact"/>
        <w:ind w:firstLine="420" w:firstLineChars="200"/>
        <w:rPr>
          <w:rFonts w:ascii="宋体" w:hAnsi="宋体" w:cs="宋体"/>
          <w:b/>
        </w:rPr>
      </w:pPr>
      <w:r>
        <w:rPr>
          <w:rFonts w:hint="eastAsia" w:ascii="宋体" w:hAnsi="宋体" w:cs="宋体"/>
          <w:bCs/>
          <w:szCs w:val="21"/>
        </w:rPr>
        <w:t xml:space="preserve">21.1投标人必须在“投标人须知前附表”规定的投标文件接收时间和投标地点提交电子版投标文件。电子投标文件应在制作完成后，在投标截止时间前通过有效数字证书（CA认证锁）进行电子签章、加密，然后通过网络将加密的电子投标文件递交至“政采云平台”。 </w:t>
      </w:r>
      <w:r>
        <w:rPr>
          <w:rFonts w:hint="eastAsia" w:ascii="宋体" w:hAnsi="宋体" w:cs="宋体"/>
          <w:b/>
        </w:rPr>
        <w:t xml:space="preserve"> </w:t>
      </w:r>
    </w:p>
    <w:p w14:paraId="3EB08284">
      <w:pPr>
        <w:spacing w:line="400" w:lineRule="exact"/>
        <w:ind w:firstLine="422" w:firstLineChars="200"/>
        <w:rPr>
          <w:rFonts w:ascii="宋体" w:hAnsi="宋体" w:cs="宋体"/>
          <w:b/>
          <w:szCs w:val="20"/>
        </w:rPr>
      </w:pPr>
      <w:r>
        <w:rPr>
          <w:rFonts w:hint="eastAsia" w:ascii="宋体" w:hAnsi="宋体" w:cs="宋体"/>
          <w:b/>
          <w:szCs w:val="21"/>
        </w:rPr>
        <w:t>21.2未在规定时间内提交或者未按照招标文件要求密封或者标记的电子投标文件，广西政府采购云平台将拒收。</w:t>
      </w:r>
    </w:p>
    <w:p w14:paraId="44F090EC">
      <w:pPr>
        <w:spacing w:line="400" w:lineRule="exact"/>
        <w:ind w:firstLine="420" w:firstLineChars="200"/>
        <w:rPr>
          <w:rFonts w:ascii="宋体" w:hAnsi="宋体" w:cs="宋体"/>
          <w:szCs w:val="21"/>
        </w:rPr>
      </w:pPr>
      <w:r>
        <w:rPr>
          <w:rFonts w:hint="eastAsia" w:ascii="宋体" w:hAnsi="宋体" w:cs="宋体"/>
          <w:szCs w:val="21"/>
        </w:rPr>
        <w:t>21.3电子版投标文件提交方式见“招标公告”中“四、提交投标文件截止时间、开标时间和地点”</w:t>
      </w:r>
      <w:r>
        <w:rPr>
          <w:rFonts w:hint="eastAsia" w:ascii="宋体" w:hAnsi="宋体" w:cs="宋体"/>
          <w:b/>
          <w:szCs w:val="21"/>
        </w:rPr>
        <w:t xml:space="preserve"> 。</w:t>
      </w:r>
    </w:p>
    <w:p w14:paraId="2CE8BA18">
      <w:pPr>
        <w:spacing w:line="400" w:lineRule="exact"/>
        <w:ind w:firstLine="482" w:firstLineChars="200"/>
        <w:rPr>
          <w:rFonts w:ascii="宋体" w:hAnsi="宋体" w:cs="宋体"/>
          <w:b/>
          <w:sz w:val="24"/>
        </w:rPr>
      </w:pPr>
      <w:r>
        <w:rPr>
          <w:rFonts w:hint="eastAsia" w:ascii="宋体" w:hAnsi="宋体" w:cs="宋体"/>
          <w:b/>
          <w:sz w:val="24"/>
        </w:rPr>
        <w:t>22.投标文件的补充、修改、撤回与退回</w:t>
      </w:r>
    </w:p>
    <w:p w14:paraId="3DD6FD8C">
      <w:pPr>
        <w:spacing w:line="400" w:lineRule="exact"/>
        <w:ind w:firstLine="420" w:firstLineChars="200"/>
        <w:rPr>
          <w:rFonts w:ascii="宋体" w:hAnsi="宋体" w:cs="宋体"/>
          <w:sz w:val="24"/>
        </w:rPr>
      </w:pPr>
      <w:r>
        <w:rPr>
          <w:rFonts w:hint="eastAsia" w:ascii="宋体" w:hAnsi="宋体" w:cs="宋体"/>
          <w:szCs w:val="21"/>
        </w:rPr>
        <w:t>22.1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66E6ABBE">
      <w:pPr>
        <w:pStyle w:val="131"/>
        <w:spacing w:before="0" w:line="400" w:lineRule="exact"/>
        <w:ind w:firstLine="420"/>
        <w:rPr>
          <w:rFonts w:ascii="宋体" w:hAnsi="宋体" w:cs="宋体"/>
          <w:sz w:val="21"/>
          <w:szCs w:val="21"/>
        </w:rPr>
      </w:pPr>
      <w:r>
        <w:rPr>
          <w:rFonts w:hint="eastAsia" w:ascii="宋体" w:hAnsi="宋体" w:cs="宋体"/>
          <w:sz w:val="21"/>
          <w:szCs w:val="21"/>
        </w:rPr>
        <w:t>22.2广西政府采购云平台收到投标文件，将妥善保存并即时向供应商发出确认回执通知。在投标截止时间前，除供应商补充、修改或者撤回投标文件外，任何单位和个人不得解密或提取投标文件。</w:t>
      </w:r>
    </w:p>
    <w:p w14:paraId="6A3F524D">
      <w:pPr>
        <w:spacing w:line="400" w:lineRule="exact"/>
        <w:ind w:firstLine="420" w:firstLineChars="200"/>
        <w:rPr>
          <w:rFonts w:ascii="宋体" w:hAnsi="宋体" w:cs="宋体"/>
          <w:szCs w:val="21"/>
        </w:rPr>
      </w:pPr>
      <w:r>
        <w:rPr>
          <w:rFonts w:hint="eastAsia" w:ascii="宋体" w:hAnsi="宋体" w:cs="宋体"/>
          <w:szCs w:val="21"/>
        </w:rPr>
        <w:t>22.3在投标截止时间止提交电子版投标文件的投标人不足3家时，电子版投标文件由代理机构在广西政府采购云平台操作退回，除此之外采购人和采购代理机构对已提交的投标文件概不退回。</w:t>
      </w:r>
    </w:p>
    <w:p w14:paraId="6FC8461A">
      <w:pPr>
        <w:pStyle w:val="4"/>
        <w:spacing w:before="0" w:after="0" w:line="480" w:lineRule="auto"/>
        <w:jc w:val="center"/>
        <w:rPr>
          <w:sz w:val="30"/>
          <w:szCs w:val="30"/>
        </w:rPr>
      </w:pPr>
      <w:bookmarkStart w:id="69" w:name="_Toc15064"/>
      <w:r>
        <w:rPr>
          <w:rFonts w:hint="eastAsia"/>
          <w:sz w:val="30"/>
          <w:szCs w:val="30"/>
        </w:rPr>
        <w:t>四、开    标</w:t>
      </w:r>
      <w:bookmarkEnd w:id="69"/>
    </w:p>
    <w:p w14:paraId="314663F6">
      <w:pPr>
        <w:spacing w:line="400" w:lineRule="exact"/>
        <w:ind w:firstLine="482" w:firstLineChars="200"/>
        <w:rPr>
          <w:rFonts w:ascii="宋体" w:hAnsi="宋体" w:cs="宋体"/>
          <w:b/>
          <w:sz w:val="24"/>
        </w:rPr>
      </w:pPr>
      <w:r>
        <w:rPr>
          <w:rFonts w:hint="eastAsia" w:ascii="宋体" w:hAnsi="宋体" w:cs="宋体"/>
          <w:b/>
          <w:sz w:val="24"/>
        </w:rPr>
        <w:t>23.开标时间和地点</w:t>
      </w:r>
    </w:p>
    <w:p w14:paraId="2A227801">
      <w:pPr>
        <w:spacing w:line="400" w:lineRule="exact"/>
        <w:ind w:firstLine="420" w:firstLineChars="200"/>
        <w:rPr>
          <w:rFonts w:ascii="宋体" w:hAnsi="宋体" w:cs="宋体"/>
          <w:bCs/>
        </w:rPr>
      </w:pPr>
      <w:r>
        <w:rPr>
          <w:rFonts w:hint="eastAsia" w:ascii="宋体" w:hAnsi="宋体" w:cs="宋体"/>
          <w:bCs/>
        </w:rPr>
        <w:t>23.1开标时间及地点详见“投标人须知前附表”</w:t>
      </w:r>
    </w:p>
    <w:p w14:paraId="3232C33D">
      <w:pPr>
        <w:spacing w:line="400" w:lineRule="exact"/>
        <w:ind w:firstLine="420" w:firstLineChars="200"/>
        <w:rPr>
          <w:rFonts w:ascii="宋体" w:hAnsi="宋体" w:cs="宋体"/>
        </w:rPr>
      </w:pPr>
      <w:r>
        <w:rPr>
          <w:rFonts w:hint="eastAsia" w:ascii="宋体" w:hAnsi="宋体" w:cs="宋体"/>
        </w:rPr>
        <w:t>23.2如</w:t>
      </w:r>
      <w:r>
        <w:rPr>
          <w:rFonts w:hint="eastAsia" w:ascii="宋体" w:hAnsi="宋体" w:cs="宋体"/>
          <w:bCs/>
        </w:rPr>
        <w:t>投标人成功解密投标文件，但未在广西政府采购云平台电子开标大厅参加开标的，视同认可开标过程和结果，</w:t>
      </w:r>
      <w:r>
        <w:rPr>
          <w:rFonts w:hint="eastAsia" w:ascii="宋体" w:hAnsi="宋体" w:cs="宋体"/>
        </w:rPr>
        <w:t>由此产生的后果由投标人自行负责。 投标人不足3家的，不得开标。</w:t>
      </w:r>
    </w:p>
    <w:p w14:paraId="127B4691">
      <w:pPr>
        <w:spacing w:line="400" w:lineRule="exact"/>
        <w:ind w:firstLine="482" w:firstLineChars="200"/>
        <w:rPr>
          <w:rFonts w:ascii="宋体" w:hAnsi="宋体" w:cs="宋体"/>
          <w:b/>
          <w:sz w:val="24"/>
        </w:rPr>
      </w:pPr>
      <w:r>
        <w:rPr>
          <w:rFonts w:hint="eastAsia" w:ascii="宋体" w:hAnsi="宋体" w:cs="宋体"/>
          <w:b/>
          <w:sz w:val="24"/>
        </w:rPr>
        <w:t>24.开标程序</w:t>
      </w:r>
    </w:p>
    <w:p w14:paraId="64C67052">
      <w:pPr>
        <w:autoSpaceDE w:val="0"/>
        <w:autoSpaceDN w:val="0"/>
        <w:adjustRightInd w:val="0"/>
        <w:spacing w:line="400" w:lineRule="exact"/>
        <w:ind w:firstLine="420" w:firstLineChars="200"/>
        <w:rPr>
          <w:rFonts w:ascii="宋体" w:hAnsi="宋体" w:cs="宋体"/>
          <w:kern w:val="0"/>
          <w:szCs w:val="21"/>
        </w:rPr>
      </w:pPr>
      <w:r>
        <w:rPr>
          <w:rFonts w:hint="eastAsia" w:ascii="宋体" w:hAnsi="宋体" w:cs="宋体"/>
          <w:bCs/>
          <w:szCs w:val="21"/>
        </w:rPr>
        <w:t>24.1</w:t>
      </w:r>
      <w:r>
        <w:rPr>
          <w:rFonts w:hint="eastAsia" w:ascii="宋体" w:hAnsi="宋体" w:cs="宋体"/>
          <w:kern w:val="0"/>
          <w:szCs w:val="21"/>
        </w:rPr>
        <w:t>开标形式：</w:t>
      </w:r>
    </w:p>
    <w:p w14:paraId="6D542580">
      <w:pPr>
        <w:autoSpaceDE w:val="0"/>
        <w:autoSpaceDN w:val="0"/>
        <w:adjustRightInd w:val="0"/>
        <w:spacing w:line="400" w:lineRule="exact"/>
        <w:ind w:firstLine="420" w:firstLineChars="200"/>
        <w:rPr>
          <w:rFonts w:ascii="宋体" w:hAnsi="宋体" w:cs="宋体"/>
          <w:bCs/>
          <w:szCs w:val="21"/>
        </w:rPr>
      </w:pPr>
      <w:r>
        <w:rPr>
          <w:rFonts w:hint="eastAsia" w:ascii="宋体" w:hAnsi="宋体" w:cs="宋体"/>
          <w:szCs w:val="21"/>
        </w:rPr>
        <w:t>（1）</w:t>
      </w:r>
      <w:r>
        <w:rPr>
          <w:rFonts w:hint="eastAsia" w:ascii="宋体" w:hAnsi="宋体" w:cs="宋体"/>
          <w:bCs/>
          <w:szCs w:val="21"/>
        </w:rPr>
        <w:t>开标的准备工作由采购代理机构负责落实，采购代理机构必须基于广西政府采购云平台选取评审专家，如采购代理机构未按规定选取专家的，视为本次开评标无效，应当重新采购；</w:t>
      </w:r>
    </w:p>
    <w:p w14:paraId="5A5E32CC">
      <w:pPr>
        <w:autoSpaceDE w:val="0"/>
        <w:autoSpaceDN w:val="0"/>
        <w:adjustRightInd w:val="0"/>
        <w:spacing w:line="400" w:lineRule="exact"/>
        <w:ind w:firstLine="420" w:firstLineChars="200"/>
        <w:rPr>
          <w:rFonts w:ascii="宋体" w:hAnsi="宋体" w:cs="宋体"/>
          <w:bCs/>
          <w:szCs w:val="21"/>
        </w:rPr>
      </w:pPr>
      <w:r>
        <w:rPr>
          <w:rFonts w:hint="eastAsia" w:ascii="宋体" w:hAnsi="宋体" w:cs="宋体"/>
          <w:bCs/>
          <w:szCs w:val="21"/>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155953D6">
      <w:pPr>
        <w:autoSpaceDE w:val="0"/>
        <w:autoSpaceDN w:val="0"/>
        <w:adjustRightInd w:val="0"/>
        <w:spacing w:line="400" w:lineRule="exact"/>
        <w:ind w:firstLine="420" w:firstLineChars="200"/>
        <w:rPr>
          <w:rFonts w:ascii="宋体" w:hAnsi="宋体" w:cs="宋体"/>
          <w:bCs/>
          <w:szCs w:val="21"/>
        </w:rPr>
      </w:pPr>
      <w:r>
        <w:rPr>
          <w:rFonts w:hint="eastAsia" w:ascii="宋体" w:hAnsi="宋体" w:cs="宋体"/>
          <w:bCs/>
          <w:szCs w:val="21"/>
        </w:rPr>
        <w:t>24.2开标程序：</w:t>
      </w:r>
    </w:p>
    <w:p w14:paraId="07676E5B">
      <w:pPr>
        <w:pStyle w:val="25"/>
        <w:snapToGrid w:val="0"/>
        <w:spacing w:line="400" w:lineRule="exact"/>
        <w:ind w:firstLine="422" w:firstLineChars="200"/>
        <w:rPr>
          <w:rFonts w:hAnsi="宋体" w:cs="宋体"/>
          <w:sz w:val="21"/>
        </w:rPr>
      </w:pPr>
      <w:r>
        <w:rPr>
          <w:rFonts w:hint="eastAsia" w:hAnsi="宋体" w:cs="宋体"/>
          <w:b/>
          <w:sz w:val="21"/>
        </w:rPr>
        <w:t>（1）解密电子投标文件。广西政府采购云平台</w:t>
      </w:r>
      <w:r>
        <w:rPr>
          <w:rFonts w:hint="eastAsia" w:hAnsi="宋体" w:cs="宋体"/>
          <w:sz w:val="21"/>
        </w:rPr>
        <w:t>按开标时间自动提取所有投标文件。采购代理机构依托广西政府采购云平台向各投标人发出电子加密投标文件【开始解密】通知，由投标人按招标文件规定的时间内自行进行投标文件解密。投标人的法定代表人或其委托代理人</w:t>
      </w:r>
      <w:r>
        <w:rPr>
          <w:rFonts w:hint="eastAsia" w:hAnsi="宋体" w:cs="宋体"/>
          <w:b/>
          <w:sz w:val="21"/>
        </w:rPr>
        <w:t>须携带加密时所用的CA锁准时登录到广西政府采购云平台电子开标大厅签到并对电子投标文件解密</w:t>
      </w:r>
      <w:r>
        <w:rPr>
          <w:rFonts w:hint="eastAsia" w:hAnsi="宋体" w:cs="宋体"/>
          <w:sz w:val="21"/>
        </w:rPr>
        <w:t>。开标后5分钟投标人还未进行解密的，代理机构要通知投标人。通知后，投标文件仍未按时解密，或者投标人没预留联系方式或预留联系方式无效，导致代理机构无法联系到投标人进行解密的，</w:t>
      </w:r>
      <w:r>
        <w:rPr>
          <w:rFonts w:hint="eastAsia" w:hAnsi="宋体" w:cs="宋体"/>
          <w:b/>
          <w:sz w:val="21"/>
        </w:rPr>
        <w:t>均视为无效投标。</w:t>
      </w:r>
    </w:p>
    <w:p w14:paraId="62D8BD28">
      <w:pPr>
        <w:pStyle w:val="25"/>
        <w:snapToGrid w:val="0"/>
        <w:spacing w:line="400" w:lineRule="exact"/>
        <w:ind w:firstLine="420" w:firstLineChars="200"/>
        <w:rPr>
          <w:rFonts w:hAnsi="宋体" w:cs="宋体"/>
          <w:sz w:val="21"/>
        </w:rPr>
      </w:pPr>
      <w:r>
        <w:rPr>
          <w:rFonts w:hint="eastAsia" w:hAnsi="宋体" w:cs="宋体"/>
          <w:sz w:val="21"/>
        </w:rPr>
        <w:t>（解密</w:t>
      </w:r>
      <w:r>
        <w:rPr>
          <w:rFonts w:hint="eastAsia" w:hAnsi="宋体" w:cs="宋体"/>
          <w:bCs/>
          <w:sz w:val="21"/>
        </w:rPr>
        <w:t>异常情况处理：详见本章</w:t>
      </w:r>
      <w:r>
        <w:rPr>
          <w:rFonts w:hint="eastAsia" w:hAnsi="宋体" w:cs="宋体"/>
          <w:sz w:val="21"/>
        </w:rPr>
        <w:t>29.3电子交易活动的中止。）</w:t>
      </w:r>
    </w:p>
    <w:p w14:paraId="6084E0A9">
      <w:pPr>
        <w:spacing w:line="400" w:lineRule="exact"/>
        <w:ind w:firstLine="420" w:firstLineChars="200"/>
        <w:rPr>
          <w:rFonts w:ascii="宋体" w:hAnsi="宋体" w:cs="宋体"/>
          <w:szCs w:val="21"/>
        </w:rPr>
      </w:pPr>
      <w:r>
        <w:rPr>
          <w:rFonts w:hint="eastAsia" w:ascii="宋体" w:hAnsi="宋体" w:cs="宋体"/>
          <w:szCs w:val="21"/>
        </w:rPr>
        <w:t>（2）</w:t>
      </w:r>
      <w:r>
        <w:rPr>
          <w:rFonts w:hint="eastAsia" w:ascii="宋体" w:hAnsi="宋体" w:cs="宋体"/>
          <w:b/>
          <w:szCs w:val="21"/>
        </w:rPr>
        <w:t>电子唱标。</w:t>
      </w:r>
      <w:r>
        <w:rPr>
          <w:rFonts w:hint="eastAsia" w:ascii="宋体" w:hAnsi="宋体" w:cs="宋体"/>
          <w:szCs w:val="21"/>
        </w:rPr>
        <w:t>投标文件解密结束，各投标供应商报价均在广西政府采购云平台远程不见面开标大厅展示；</w:t>
      </w:r>
    </w:p>
    <w:p w14:paraId="697EFBD0">
      <w:pPr>
        <w:spacing w:line="400" w:lineRule="exact"/>
        <w:ind w:firstLine="420" w:firstLineChars="200"/>
        <w:rPr>
          <w:rFonts w:ascii="宋体" w:hAnsi="宋体" w:cs="宋体"/>
          <w:bCs/>
          <w:szCs w:val="21"/>
        </w:rPr>
      </w:pPr>
      <w:r>
        <w:rPr>
          <w:rFonts w:hint="eastAsia" w:ascii="宋体" w:hAnsi="宋体" w:cs="宋体"/>
          <w:bCs/>
          <w:szCs w:val="21"/>
        </w:rPr>
        <w:t>（3）开标过程由采购代理机构如实记录，并电子留痕，由参加电子开标的各投标人代表对电子开标记录在开标记录公布后15分钟内进行当场校核及勘误，并线上确认，未确认的视同认可开标结果。</w:t>
      </w:r>
    </w:p>
    <w:p w14:paraId="2E7B8E90">
      <w:pPr>
        <w:spacing w:line="400" w:lineRule="exact"/>
        <w:ind w:firstLine="420" w:firstLineChars="200"/>
        <w:rPr>
          <w:rFonts w:ascii="宋体" w:hAnsi="宋体" w:cs="宋体"/>
          <w:bCs/>
          <w:szCs w:val="21"/>
        </w:rPr>
      </w:pPr>
      <w:r>
        <w:rPr>
          <w:rFonts w:hint="eastAsia" w:ascii="宋体" w:hAnsi="宋体" w:cs="宋体"/>
          <w:bCs/>
          <w:szCs w:val="21"/>
        </w:rPr>
        <w:t>（4）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54204718">
      <w:pPr>
        <w:spacing w:line="400" w:lineRule="exact"/>
        <w:ind w:firstLine="420" w:firstLineChars="200"/>
        <w:rPr>
          <w:rFonts w:ascii="宋体" w:hAnsi="宋体" w:cs="宋体"/>
          <w:bCs/>
          <w:szCs w:val="21"/>
        </w:rPr>
      </w:pPr>
      <w:r>
        <w:rPr>
          <w:rFonts w:hint="eastAsia" w:ascii="宋体" w:hAnsi="宋体" w:cs="宋体"/>
          <w:bCs/>
          <w:szCs w:val="21"/>
        </w:rPr>
        <w:t>（5）开标结束。</w:t>
      </w:r>
    </w:p>
    <w:p w14:paraId="6A378F4F">
      <w:pPr>
        <w:pStyle w:val="25"/>
        <w:snapToGrid w:val="0"/>
        <w:spacing w:line="400" w:lineRule="exact"/>
        <w:ind w:firstLine="422" w:firstLineChars="200"/>
        <w:rPr>
          <w:rFonts w:hAnsi="宋体" w:cs="宋体"/>
          <w:sz w:val="21"/>
        </w:rPr>
      </w:pPr>
      <w:r>
        <w:rPr>
          <w:rFonts w:hint="eastAsia" w:hAnsi="宋体" w:cs="宋体"/>
          <w:b/>
          <w:bCs/>
          <w:sz w:val="21"/>
        </w:rPr>
        <w:t>特别说明：</w:t>
      </w:r>
      <w:r>
        <w:rPr>
          <w:rFonts w:hint="eastAsia" w:hAnsi="宋体" w:cs="宋体"/>
          <w:sz w:val="21"/>
        </w:rPr>
        <w:t>如遇广西政府采购云平台电子化开标或评审程序调整的，按调整后执行。</w:t>
      </w:r>
    </w:p>
    <w:p w14:paraId="07DE382F">
      <w:pPr>
        <w:pStyle w:val="4"/>
        <w:spacing w:before="0" w:after="0" w:line="480" w:lineRule="auto"/>
        <w:jc w:val="center"/>
        <w:rPr>
          <w:sz w:val="30"/>
          <w:szCs w:val="30"/>
        </w:rPr>
      </w:pPr>
      <w:bookmarkStart w:id="70" w:name="_Toc18372"/>
      <w:r>
        <w:rPr>
          <w:rFonts w:hint="eastAsia"/>
          <w:sz w:val="30"/>
          <w:szCs w:val="30"/>
        </w:rPr>
        <w:t>五、资格审查</w:t>
      </w:r>
      <w:bookmarkEnd w:id="70"/>
    </w:p>
    <w:p w14:paraId="0D49191A">
      <w:pPr>
        <w:pStyle w:val="6"/>
        <w:keepNext w:val="0"/>
        <w:keepLines w:val="0"/>
        <w:spacing w:before="0" w:after="0" w:line="400" w:lineRule="exact"/>
        <w:ind w:firstLine="482" w:firstLineChars="200"/>
        <w:rPr>
          <w:rFonts w:ascii="宋体" w:hAnsi="宋体" w:cs="宋体"/>
          <w:sz w:val="24"/>
        </w:rPr>
      </w:pPr>
      <w:r>
        <w:rPr>
          <w:rFonts w:hint="eastAsia" w:ascii="宋体" w:hAnsi="宋体" w:cs="宋体"/>
          <w:sz w:val="24"/>
        </w:rPr>
        <w:t>25.资格审查</w:t>
      </w:r>
    </w:p>
    <w:p w14:paraId="5BB8FCC3">
      <w:pPr>
        <w:spacing w:line="400" w:lineRule="exact"/>
        <w:ind w:firstLine="422" w:firstLineChars="200"/>
        <w:rPr>
          <w:rFonts w:ascii="宋体" w:hAnsi="宋体" w:cs="宋体"/>
          <w:b/>
          <w:bCs/>
          <w:szCs w:val="20"/>
        </w:rPr>
      </w:pPr>
      <w:r>
        <w:rPr>
          <w:rFonts w:hint="eastAsia" w:ascii="宋体" w:hAnsi="宋体" w:cs="宋体"/>
          <w:b/>
          <w:bCs/>
          <w:szCs w:val="20"/>
        </w:rPr>
        <w:t>25.1开标结束后，采购人或采购机构依法通过电子投标文件对投标人的资格进行线上审查。</w:t>
      </w:r>
    </w:p>
    <w:p w14:paraId="0FE90A5C">
      <w:pPr>
        <w:spacing w:line="400" w:lineRule="exact"/>
        <w:ind w:firstLine="422" w:firstLineChars="200"/>
        <w:rPr>
          <w:rFonts w:ascii="宋体" w:hAnsi="宋体" w:cs="宋体"/>
          <w:b/>
          <w:bCs/>
          <w:szCs w:val="20"/>
        </w:rPr>
      </w:pPr>
      <w:r>
        <w:rPr>
          <w:rFonts w:hint="eastAsia" w:ascii="宋体" w:hAnsi="宋体" w:cs="宋体"/>
          <w:b/>
          <w:bCs/>
          <w:szCs w:val="20"/>
        </w:rPr>
        <w:t>25.2采购人或采购机构依据法律法规和招标文件的规定，对投标人的基本资格条件、特定资格条件进行审查。</w:t>
      </w:r>
    </w:p>
    <w:p w14:paraId="4DEFD41E">
      <w:pPr>
        <w:spacing w:line="400" w:lineRule="exact"/>
        <w:ind w:firstLine="420" w:firstLineChars="200"/>
        <w:rPr>
          <w:rFonts w:ascii="宋体" w:hAnsi="宋体" w:cs="宋体"/>
        </w:rPr>
      </w:pPr>
      <w:r>
        <w:rPr>
          <w:rFonts w:hint="eastAsia" w:ascii="宋体" w:hAnsi="宋体" w:cs="宋体"/>
        </w:rPr>
        <w:t>25.3资格审查标准为本“招标文件”中“投标人须知前附表”13.1点载明对投标人资格要求的条件。本项目资格审查采用合格制，凡符合招标文件规定的投标人资格要求的投标人均通过资格审查。</w:t>
      </w:r>
    </w:p>
    <w:p w14:paraId="0E14F4A9">
      <w:pPr>
        <w:spacing w:line="400" w:lineRule="exact"/>
        <w:ind w:firstLine="422" w:firstLineChars="200"/>
        <w:rPr>
          <w:rFonts w:ascii="宋体" w:hAnsi="宋体" w:cs="宋体"/>
          <w:b/>
          <w:bCs/>
          <w:szCs w:val="20"/>
        </w:rPr>
      </w:pPr>
      <w:r>
        <w:rPr>
          <w:rFonts w:hint="eastAsia" w:ascii="宋体" w:hAnsi="宋体" w:cs="宋体"/>
          <w:b/>
          <w:bCs/>
          <w:szCs w:val="20"/>
        </w:rPr>
        <w:t>25.4投标人有下列情形之一的，资格审查不通过，作无效投标处理：</w:t>
      </w:r>
    </w:p>
    <w:p w14:paraId="69F94898">
      <w:pPr>
        <w:spacing w:line="400" w:lineRule="exact"/>
        <w:ind w:firstLine="420" w:firstLineChars="200"/>
        <w:rPr>
          <w:rFonts w:ascii="宋体" w:hAnsi="宋体" w:cs="宋体"/>
        </w:rPr>
      </w:pPr>
      <w:r>
        <w:rPr>
          <w:rFonts w:hint="eastAsia" w:ascii="宋体" w:hAnsi="宋体" w:cs="宋体"/>
        </w:rPr>
        <w:t>（1）不具备招标文件中规定的资格要求的；（注：其中信用查询规则见“投标人须知前附表”，广西政府采购云平台已与“信用中国”平台做接口，审查专家可直接在线查询）</w:t>
      </w:r>
    </w:p>
    <w:p w14:paraId="6D413D75">
      <w:pPr>
        <w:spacing w:line="400" w:lineRule="exact"/>
        <w:ind w:firstLine="420" w:firstLineChars="200"/>
        <w:rPr>
          <w:rFonts w:ascii="宋体" w:hAnsi="宋体" w:cs="宋体"/>
        </w:rPr>
      </w:pPr>
      <w:r>
        <w:rPr>
          <w:rFonts w:hint="eastAsia" w:ascii="宋体" w:hAnsi="宋体" w:cs="宋体"/>
        </w:rPr>
        <w:t>（2）投标文件未提供任一项“投标人须知前附表”资格证明文件规定的“必须提供”的文件资料的；</w:t>
      </w:r>
    </w:p>
    <w:p w14:paraId="318B925F">
      <w:pPr>
        <w:spacing w:line="400" w:lineRule="exact"/>
        <w:ind w:firstLine="420" w:firstLineChars="200"/>
        <w:rPr>
          <w:rFonts w:ascii="宋体" w:hAnsi="宋体" w:cs="宋体"/>
        </w:rPr>
      </w:pPr>
      <w:r>
        <w:rPr>
          <w:rFonts w:hint="eastAsia" w:ascii="宋体" w:hAnsi="宋体" w:cs="宋体"/>
        </w:rPr>
        <w:t>（3）投标文件提供的资格证明文件出现任一项不符合“投标人须知前附表”资格证明文件规定的“必须提供”的文件资料要求或者无效的。</w:t>
      </w:r>
    </w:p>
    <w:p w14:paraId="223AFD34">
      <w:pPr>
        <w:pStyle w:val="6"/>
        <w:keepNext w:val="0"/>
        <w:keepLines w:val="0"/>
        <w:spacing w:before="0" w:after="0" w:line="400" w:lineRule="exact"/>
        <w:ind w:firstLine="420" w:firstLineChars="200"/>
        <w:rPr>
          <w:rFonts w:ascii="宋体" w:hAnsi="宋体" w:cs="宋体"/>
          <w:b w:val="0"/>
          <w:sz w:val="21"/>
          <w:szCs w:val="20"/>
        </w:rPr>
      </w:pPr>
      <w:r>
        <w:rPr>
          <w:rFonts w:hint="eastAsia" w:ascii="宋体" w:hAnsi="宋体" w:cs="宋体"/>
          <w:b w:val="0"/>
          <w:sz w:val="21"/>
          <w:szCs w:val="20"/>
        </w:rPr>
        <w:t>25.5资格审查的合格投标人不足3家的，不得评标。</w:t>
      </w:r>
    </w:p>
    <w:p w14:paraId="24603D2D">
      <w:pPr>
        <w:pStyle w:val="4"/>
        <w:spacing w:before="0" w:after="0" w:line="480" w:lineRule="auto"/>
        <w:jc w:val="center"/>
        <w:rPr>
          <w:sz w:val="30"/>
          <w:szCs w:val="30"/>
        </w:rPr>
      </w:pPr>
      <w:bookmarkStart w:id="71" w:name="_Toc1690"/>
      <w:r>
        <w:rPr>
          <w:rFonts w:hint="eastAsia"/>
          <w:sz w:val="30"/>
          <w:szCs w:val="30"/>
        </w:rPr>
        <w:t>六、评   标</w:t>
      </w:r>
      <w:bookmarkEnd w:id="71"/>
    </w:p>
    <w:p w14:paraId="2560F8C2">
      <w:pPr>
        <w:spacing w:line="400" w:lineRule="exact"/>
        <w:ind w:firstLine="482" w:firstLineChars="200"/>
        <w:rPr>
          <w:rFonts w:ascii="宋体" w:hAnsi="宋体" w:cs="宋体"/>
          <w:b/>
          <w:sz w:val="24"/>
        </w:rPr>
      </w:pPr>
      <w:r>
        <w:rPr>
          <w:rFonts w:hint="eastAsia" w:ascii="宋体" w:hAnsi="宋体" w:cs="宋体"/>
          <w:b/>
          <w:sz w:val="24"/>
        </w:rPr>
        <w:t>26.组建评标委员会</w:t>
      </w:r>
    </w:p>
    <w:p w14:paraId="05187CEB">
      <w:pPr>
        <w:spacing w:line="400" w:lineRule="exact"/>
        <w:ind w:firstLine="420" w:firstLineChars="200"/>
        <w:rPr>
          <w:rFonts w:ascii="宋体" w:hAnsi="宋体" w:cs="宋体"/>
        </w:rPr>
      </w:pPr>
      <w:r>
        <w:rPr>
          <w:rFonts w:hint="eastAsia" w:ascii="宋体" w:hAnsi="宋体" w:cs="宋体"/>
        </w:rPr>
        <w:t>评标委员会由采购人代表和评审专家组成，人数为5人以上单数，其中评审专家不得少于成员总数的三分之二。</w:t>
      </w:r>
    </w:p>
    <w:p w14:paraId="3E62F0B0">
      <w:pPr>
        <w:spacing w:line="400" w:lineRule="exact"/>
        <w:ind w:firstLine="420" w:firstLineChars="200"/>
        <w:rPr>
          <w:rFonts w:ascii="宋体" w:hAnsi="宋体" w:cs="宋体"/>
        </w:rPr>
      </w:pPr>
      <w:r>
        <w:rPr>
          <w:rFonts w:hint="eastAsia" w:ascii="宋体" w:hAnsi="宋体" w:cs="宋体"/>
        </w:rPr>
        <w:t>参加过采购项目前期咨询论证的专家，不得参加该采购项目的评审活动。</w:t>
      </w:r>
    </w:p>
    <w:p w14:paraId="723C4660">
      <w:pPr>
        <w:spacing w:line="400" w:lineRule="exact"/>
        <w:ind w:firstLine="482" w:firstLineChars="200"/>
        <w:rPr>
          <w:rFonts w:ascii="宋体" w:hAnsi="宋体" w:cs="宋体"/>
          <w:b/>
          <w:sz w:val="24"/>
        </w:rPr>
      </w:pPr>
      <w:r>
        <w:rPr>
          <w:rFonts w:hint="eastAsia" w:ascii="宋体" w:hAnsi="宋体" w:cs="宋体"/>
          <w:b/>
          <w:sz w:val="24"/>
        </w:rPr>
        <w:t>27.评标的依据</w:t>
      </w:r>
    </w:p>
    <w:p w14:paraId="08B1CDE1">
      <w:pPr>
        <w:spacing w:line="400" w:lineRule="exact"/>
        <w:ind w:firstLine="420" w:firstLineChars="200"/>
        <w:rPr>
          <w:rFonts w:ascii="宋体" w:hAnsi="宋体" w:cs="宋体"/>
        </w:rPr>
      </w:pPr>
      <w:r>
        <w:rPr>
          <w:rFonts w:hint="eastAsia" w:ascii="宋体" w:hAnsi="宋体" w:cs="宋体"/>
        </w:rPr>
        <w:t>评标委员会以招标文件为依据对投标文件进行评审，“第四章 评标方法和评标标准”没有规定的方法、评审因素和标准，不作为评标依据。</w:t>
      </w:r>
    </w:p>
    <w:p w14:paraId="43112021">
      <w:pPr>
        <w:spacing w:line="400" w:lineRule="exact"/>
        <w:ind w:firstLine="482" w:firstLineChars="200"/>
        <w:rPr>
          <w:rFonts w:ascii="宋体" w:hAnsi="宋体" w:cs="宋体"/>
          <w:b/>
          <w:sz w:val="24"/>
        </w:rPr>
      </w:pPr>
      <w:r>
        <w:rPr>
          <w:rFonts w:hint="eastAsia" w:ascii="宋体" w:hAnsi="宋体" w:cs="宋体"/>
          <w:b/>
          <w:sz w:val="24"/>
        </w:rPr>
        <w:t>28.评标原则</w:t>
      </w:r>
    </w:p>
    <w:p w14:paraId="59D6359A">
      <w:pPr>
        <w:spacing w:line="400" w:lineRule="exact"/>
        <w:ind w:firstLine="420" w:firstLineChars="200"/>
        <w:rPr>
          <w:rFonts w:ascii="宋体" w:hAnsi="宋体" w:cs="宋体"/>
        </w:rPr>
      </w:pPr>
      <w:r>
        <w:rPr>
          <w:rFonts w:hint="eastAsia" w:ascii="宋体" w:hAnsi="宋体" w:cs="宋体"/>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6F0994F5">
      <w:pPr>
        <w:spacing w:line="400" w:lineRule="exact"/>
        <w:ind w:firstLine="420" w:firstLineChars="200"/>
        <w:rPr>
          <w:rFonts w:ascii="宋体" w:hAnsi="宋体" w:cs="宋体"/>
        </w:rPr>
      </w:pPr>
      <w:r>
        <w:rPr>
          <w:rFonts w:hint="eastAsia" w:ascii="宋体" w:hAnsi="宋体" w:cs="宋体"/>
        </w:rPr>
        <w:t>28.2评委表决。在评标过程中出现法律法规和招标文件均没有明确规定的情形时，由评标委员会现场协商解决，协商不一致的，由全体评委投票表决，以得票率二分之一以上专家的意见为准并由采购代理机构作记录。</w:t>
      </w:r>
    </w:p>
    <w:p w14:paraId="5B81F715">
      <w:pPr>
        <w:spacing w:line="400" w:lineRule="exact"/>
        <w:ind w:firstLine="420" w:firstLineChars="200"/>
        <w:rPr>
          <w:rFonts w:ascii="宋体" w:hAnsi="宋体" w:cs="宋体"/>
        </w:rPr>
      </w:pPr>
      <w:r>
        <w:rPr>
          <w:rFonts w:hint="eastAsia" w:ascii="宋体" w:hAnsi="宋体" w:cs="宋体"/>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673AB07F">
      <w:pPr>
        <w:spacing w:line="400" w:lineRule="exact"/>
        <w:ind w:firstLine="420" w:firstLineChars="200"/>
        <w:rPr>
          <w:rFonts w:ascii="宋体" w:hAnsi="宋体" w:cs="宋体"/>
        </w:rPr>
      </w:pPr>
      <w:r>
        <w:rPr>
          <w:rFonts w:hint="eastAsia" w:ascii="宋体" w:hAnsi="宋体" w:cs="宋体"/>
        </w:rPr>
        <w:t>28.4评标过程的监控。本项目电子评标过程实行网上留痕、全程录音、录像监控，投标人在评标过程中所进行的试图影响评标结果的不公正活动，可能导致其投标按无效处理。</w:t>
      </w:r>
    </w:p>
    <w:p w14:paraId="3803F341">
      <w:pPr>
        <w:spacing w:line="400" w:lineRule="exact"/>
        <w:ind w:firstLine="482" w:firstLineChars="200"/>
        <w:rPr>
          <w:rFonts w:ascii="宋体" w:hAnsi="宋体" w:cs="宋体"/>
          <w:b/>
          <w:sz w:val="24"/>
        </w:rPr>
      </w:pPr>
      <w:r>
        <w:rPr>
          <w:rFonts w:hint="eastAsia" w:ascii="宋体" w:hAnsi="宋体" w:cs="宋体"/>
          <w:b/>
          <w:sz w:val="24"/>
        </w:rPr>
        <w:t>29.评标方法及评标标准</w:t>
      </w:r>
    </w:p>
    <w:p w14:paraId="19BC67F4">
      <w:pPr>
        <w:spacing w:line="400" w:lineRule="exact"/>
        <w:ind w:firstLine="420" w:firstLineChars="200"/>
        <w:rPr>
          <w:rFonts w:ascii="宋体" w:hAnsi="宋体" w:cs="宋体"/>
        </w:rPr>
      </w:pPr>
      <w:r>
        <w:rPr>
          <w:rFonts w:hint="eastAsia" w:ascii="宋体" w:hAnsi="宋体" w:cs="宋体"/>
        </w:rPr>
        <w:t>29.1本项目的评标方法详见“投标人须知前附表”。</w:t>
      </w:r>
    </w:p>
    <w:p w14:paraId="4E6D0AE3">
      <w:pPr>
        <w:spacing w:line="400" w:lineRule="exact"/>
        <w:ind w:firstLine="420" w:firstLineChars="200"/>
        <w:rPr>
          <w:rFonts w:ascii="宋体" w:hAnsi="宋体" w:cs="宋体"/>
        </w:rPr>
      </w:pPr>
      <w:r>
        <w:rPr>
          <w:rFonts w:hint="eastAsia" w:ascii="宋体" w:hAnsi="宋体" w:cs="宋体"/>
        </w:rPr>
        <w:t>29.2评标委员会按照</w:t>
      </w:r>
      <w:r>
        <w:rPr>
          <w:rFonts w:hint="eastAsia" w:ascii="宋体" w:hAnsi="宋体" w:cs="宋体"/>
          <w:b/>
        </w:rPr>
        <w:t>“第四章 评标方法和评标标准”</w:t>
      </w:r>
      <w:r>
        <w:rPr>
          <w:rFonts w:hint="eastAsia" w:ascii="宋体" w:hAnsi="宋体" w:cs="宋体"/>
        </w:rPr>
        <w:t>规定的方法、评审因素、标准和程序对投标文件进行评审。</w:t>
      </w:r>
    </w:p>
    <w:p w14:paraId="1752E25B">
      <w:pPr>
        <w:spacing w:line="400" w:lineRule="exact"/>
        <w:ind w:firstLine="420" w:firstLineChars="200"/>
        <w:rPr>
          <w:rFonts w:ascii="宋体" w:hAnsi="宋体" w:cs="宋体"/>
        </w:rPr>
      </w:pPr>
      <w:r>
        <w:rPr>
          <w:rFonts w:hint="eastAsia" w:ascii="宋体" w:hAnsi="宋体" w:cs="宋体"/>
        </w:rPr>
        <w:t>29.3电子交易活动的中止。采购过程中出现以下情形，导致电子交易平台无法正常运行，或者无法保证电子交易的公平、公正和安全时，采购机构可中止电子交易活动：</w:t>
      </w:r>
    </w:p>
    <w:p w14:paraId="4B49CCD4">
      <w:pPr>
        <w:spacing w:line="400" w:lineRule="exact"/>
        <w:ind w:firstLine="420" w:firstLineChars="200"/>
        <w:rPr>
          <w:rFonts w:ascii="宋体" w:hAnsi="宋体" w:cs="宋体"/>
        </w:rPr>
      </w:pPr>
      <w:r>
        <w:rPr>
          <w:rFonts w:hint="eastAsia" w:ascii="宋体" w:hAnsi="宋体" w:cs="宋体"/>
        </w:rPr>
        <w:t>（1）电子交易平台发生故障而无法登录访问的；</w:t>
      </w:r>
    </w:p>
    <w:p w14:paraId="7F786665">
      <w:pPr>
        <w:spacing w:line="400" w:lineRule="exact"/>
        <w:ind w:firstLine="420" w:firstLineChars="200"/>
        <w:rPr>
          <w:rFonts w:ascii="宋体" w:hAnsi="宋体" w:cs="宋体"/>
        </w:rPr>
      </w:pPr>
      <w:r>
        <w:rPr>
          <w:rFonts w:hint="eastAsia" w:ascii="宋体" w:hAnsi="宋体" w:cs="宋体"/>
        </w:rPr>
        <w:t>（2）电子交易平台应用或数据库出现错误，不能进行正常操作的；</w:t>
      </w:r>
    </w:p>
    <w:p w14:paraId="401765CA">
      <w:pPr>
        <w:spacing w:line="400" w:lineRule="exact"/>
        <w:ind w:firstLine="420" w:firstLineChars="200"/>
        <w:rPr>
          <w:rFonts w:ascii="宋体" w:hAnsi="宋体" w:cs="宋体"/>
        </w:rPr>
      </w:pPr>
      <w:r>
        <w:rPr>
          <w:rFonts w:hint="eastAsia" w:ascii="宋体" w:hAnsi="宋体" w:cs="宋体"/>
        </w:rPr>
        <w:t>（3）电子交易平台发现严重安全漏洞，有潜在泄密危险的；</w:t>
      </w:r>
    </w:p>
    <w:p w14:paraId="65EEC4FD">
      <w:pPr>
        <w:spacing w:line="400" w:lineRule="exact"/>
        <w:ind w:firstLine="420" w:firstLineChars="200"/>
        <w:rPr>
          <w:rFonts w:ascii="宋体" w:hAnsi="宋体" w:cs="宋体"/>
        </w:rPr>
      </w:pPr>
      <w:r>
        <w:rPr>
          <w:rFonts w:hint="eastAsia" w:ascii="宋体" w:hAnsi="宋体" w:cs="宋体"/>
        </w:rPr>
        <w:t>（4）病毒发作导致不能进行正常操作的；</w:t>
      </w:r>
    </w:p>
    <w:p w14:paraId="6A6C5A23">
      <w:pPr>
        <w:spacing w:line="400" w:lineRule="exact"/>
        <w:ind w:firstLine="420" w:firstLineChars="200"/>
        <w:rPr>
          <w:rFonts w:ascii="宋体" w:hAnsi="宋体" w:cs="宋体"/>
        </w:rPr>
      </w:pPr>
      <w:r>
        <w:rPr>
          <w:rFonts w:hint="eastAsia" w:ascii="宋体" w:hAnsi="宋体" w:cs="宋体"/>
        </w:rPr>
        <w:t>（4）其他无法保证电子交易的公平、公正和安全的情况。</w:t>
      </w:r>
    </w:p>
    <w:p w14:paraId="06CC20FA">
      <w:pPr>
        <w:spacing w:line="400" w:lineRule="exact"/>
        <w:ind w:firstLine="420" w:firstLineChars="200"/>
        <w:rPr>
          <w:rFonts w:ascii="宋体" w:hAnsi="宋体" w:cs="宋体"/>
        </w:rPr>
      </w:pPr>
      <w:r>
        <w:rPr>
          <w:rFonts w:hint="eastAsia" w:ascii="宋体" w:hAnsi="宋体" w:cs="宋体"/>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39F7AEBA">
      <w:pPr>
        <w:pStyle w:val="4"/>
        <w:spacing w:before="0" w:after="0" w:line="480" w:lineRule="auto"/>
        <w:jc w:val="center"/>
        <w:rPr>
          <w:sz w:val="30"/>
          <w:szCs w:val="30"/>
        </w:rPr>
      </w:pPr>
      <w:bookmarkStart w:id="72" w:name="_Toc25724"/>
      <w:r>
        <w:rPr>
          <w:rFonts w:hint="eastAsia"/>
          <w:sz w:val="30"/>
          <w:szCs w:val="30"/>
        </w:rPr>
        <w:t>七、中标和合同</w:t>
      </w:r>
      <w:bookmarkEnd w:id="72"/>
    </w:p>
    <w:p w14:paraId="2E7DE2DC">
      <w:pPr>
        <w:spacing w:line="400" w:lineRule="exact"/>
        <w:ind w:firstLine="482" w:firstLineChars="200"/>
        <w:rPr>
          <w:rFonts w:ascii="宋体" w:hAnsi="宋体" w:cs="宋体"/>
          <w:b/>
          <w:sz w:val="24"/>
        </w:rPr>
      </w:pPr>
      <w:r>
        <w:rPr>
          <w:rFonts w:hint="eastAsia" w:ascii="宋体" w:hAnsi="宋体" w:cs="宋体"/>
          <w:b/>
          <w:sz w:val="24"/>
        </w:rPr>
        <w:t>30.确定中标人</w:t>
      </w:r>
    </w:p>
    <w:p w14:paraId="4C2E37CE">
      <w:pPr>
        <w:spacing w:line="400" w:lineRule="exact"/>
        <w:ind w:firstLine="422" w:firstLineChars="200"/>
        <w:rPr>
          <w:rFonts w:ascii="宋体" w:hAnsi="宋体" w:cs="宋体"/>
          <w:b/>
          <w:bCs/>
          <w:szCs w:val="21"/>
        </w:rPr>
      </w:pPr>
      <w:r>
        <w:rPr>
          <w:rFonts w:hint="eastAsia" w:ascii="宋体" w:hAnsi="宋体" w:cs="宋体"/>
          <w:b/>
          <w:bCs/>
          <w:szCs w:val="21"/>
        </w:rPr>
        <w:t>30.1本项目授权评标委员会直接按第四章“评标方法及标准”的规定排列中标候选人顺序，并依照次序确定中标人。</w:t>
      </w:r>
    </w:p>
    <w:p w14:paraId="72BC6BFC">
      <w:pPr>
        <w:spacing w:line="400" w:lineRule="exact"/>
        <w:ind w:firstLine="420" w:firstLineChars="200"/>
        <w:rPr>
          <w:rFonts w:ascii="宋体" w:hAnsi="宋体" w:cs="宋体"/>
          <w:szCs w:val="21"/>
        </w:rPr>
      </w:pPr>
      <w:r>
        <w:rPr>
          <w:rFonts w:hint="eastAsia" w:ascii="宋体" w:hAnsi="宋体" w:cs="宋体"/>
          <w:szCs w:val="21"/>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2985FFC6">
      <w:pPr>
        <w:spacing w:line="400" w:lineRule="exact"/>
        <w:ind w:firstLine="420" w:firstLineChars="200"/>
        <w:rPr>
          <w:rFonts w:ascii="宋体" w:hAnsi="宋体" w:cs="宋体"/>
          <w:szCs w:val="21"/>
        </w:rPr>
      </w:pPr>
      <w:r>
        <w:rPr>
          <w:rFonts w:hint="eastAsia" w:ascii="宋体" w:hAnsi="宋体" w:cs="宋体"/>
          <w:szCs w:val="21"/>
        </w:rPr>
        <w:t>30.3中标供应商无正当理由拒签合同的，根据《中华人民共和国政府采购法》第七十七条第一款规定处理。</w:t>
      </w:r>
    </w:p>
    <w:p w14:paraId="7AF0A502">
      <w:pPr>
        <w:spacing w:line="400" w:lineRule="exact"/>
        <w:ind w:firstLine="420" w:firstLineChars="200"/>
        <w:rPr>
          <w:rFonts w:ascii="宋体" w:hAnsi="宋体" w:cs="宋体"/>
          <w:szCs w:val="21"/>
        </w:rPr>
      </w:pPr>
      <w:r>
        <w:rPr>
          <w:rFonts w:hint="eastAsia" w:ascii="宋体" w:hAnsi="宋体" w:cs="宋体"/>
          <w:szCs w:val="21"/>
        </w:rPr>
        <w:t>30.4根据《中华人民共和国民法典》</w:t>
      </w:r>
      <w:r>
        <w:rPr>
          <w:rFonts w:hint="eastAsia" w:ascii="宋体" w:hAnsi="宋体" w:cs="宋体"/>
          <w:sz w:val="19"/>
          <w:szCs w:val="19"/>
        </w:rPr>
        <w:t>第五百六十三条</w:t>
      </w:r>
      <w:r>
        <w:rPr>
          <w:rFonts w:hint="eastAsia" w:ascii="宋体" w:hAnsi="宋体" w:cs="宋体"/>
          <w:szCs w:val="21"/>
        </w:rPr>
        <w:t>，因不可抗力致使不能实现合同目的的，当事人可以解除合同。</w:t>
      </w:r>
    </w:p>
    <w:p w14:paraId="02DD4858">
      <w:pPr>
        <w:spacing w:line="400" w:lineRule="exact"/>
        <w:ind w:firstLine="482" w:firstLineChars="200"/>
        <w:rPr>
          <w:rFonts w:ascii="宋体" w:hAnsi="宋体" w:cs="宋体"/>
          <w:b/>
          <w:sz w:val="24"/>
        </w:rPr>
      </w:pPr>
      <w:r>
        <w:rPr>
          <w:rFonts w:hint="eastAsia" w:ascii="宋体" w:hAnsi="宋体" w:cs="宋体"/>
          <w:b/>
          <w:sz w:val="24"/>
        </w:rPr>
        <w:t>31.结果公告</w:t>
      </w:r>
    </w:p>
    <w:p w14:paraId="4BCA9085">
      <w:pPr>
        <w:spacing w:line="400" w:lineRule="exact"/>
        <w:ind w:firstLine="420" w:firstLineChars="200"/>
        <w:rPr>
          <w:rFonts w:ascii="宋体" w:hAnsi="宋体" w:cs="宋体"/>
        </w:rPr>
      </w:pPr>
      <w:r>
        <w:rPr>
          <w:rFonts w:hint="eastAsia" w:ascii="宋体" w:hAnsi="宋体" w:cs="宋体"/>
          <w:szCs w:val="21"/>
        </w:rPr>
        <w:t>31.1</w:t>
      </w:r>
      <w:r>
        <w:rPr>
          <w:rFonts w:hint="eastAsia" w:ascii="宋体" w:hAnsi="宋体" w:cs="宋体"/>
        </w:rPr>
        <w:t>在中标供应商确定之日起2个工作日内，由采购代理机构</w:t>
      </w:r>
      <w:r>
        <w:rPr>
          <w:rFonts w:hint="eastAsia" w:ascii="宋体" w:hAnsi="宋体" w:cs="宋体"/>
          <w:b/>
          <w:szCs w:val="21"/>
        </w:rPr>
        <w:t>在招标公告发布媒体上</w:t>
      </w:r>
      <w:r>
        <w:rPr>
          <w:rFonts w:hint="eastAsia" w:ascii="宋体" w:hAnsi="宋体" w:cs="宋体"/>
        </w:rPr>
        <w:t>发布中标结果公告，中标结果公告期限为1个工作日，发布中标结果公告的同时向中标供应商发出中标通知书。</w:t>
      </w:r>
      <w:r>
        <w:rPr>
          <w:rFonts w:hint="eastAsia" w:ascii="宋体" w:hAnsi="宋体" w:cs="宋体"/>
          <w:b/>
          <w:szCs w:val="21"/>
        </w:rPr>
        <w:t>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确定排名第二的中标候选人为中标人。</w:t>
      </w:r>
      <w:r>
        <w:rPr>
          <w:rFonts w:hint="eastAsia" w:ascii="宋体" w:hAnsi="宋体" w:cs="宋体"/>
          <w:szCs w:val="21"/>
        </w:rPr>
        <w:t>排名第二的中标候选人因前款规定的同样原因被取消中标资格的，授权的评标委员会可以确定排名第三的中标候选人为中标人，以此类推。</w:t>
      </w:r>
    </w:p>
    <w:p w14:paraId="4AD21EA2">
      <w:pPr>
        <w:spacing w:line="400" w:lineRule="exact"/>
        <w:ind w:firstLine="420" w:firstLineChars="200"/>
        <w:rPr>
          <w:rFonts w:ascii="宋体" w:hAnsi="宋体" w:cs="宋体"/>
          <w:szCs w:val="21"/>
        </w:rPr>
      </w:pPr>
      <w:r>
        <w:rPr>
          <w:rFonts w:hint="eastAsia" w:ascii="宋体" w:hAnsi="宋体" w:cs="宋体"/>
          <w:szCs w:val="21"/>
        </w:rPr>
        <w:t>以上信息查询记录及相关证据与采购文件一并保存。</w:t>
      </w:r>
    </w:p>
    <w:p w14:paraId="381EABDF">
      <w:pPr>
        <w:spacing w:line="400" w:lineRule="exact"/>
        <w:ind w:firstLine="420" w:firstLineChars="200"/>
        <w:rPr>
          <w:rFonts w:ascii="宋体" w:hAnsi="宋体" w:cs="宋体"/>
          <w:szCs w:val="21"/>
        </w:rPr>
      </w:pPr>
      <w:r>
        <w:rPr>
          <w:rFonts w:hint="eastAsia" w:ascii="宋体" w:hAnsi="宋体" w:cs="宋体"/>
          <w:szCs w:val="21"/>
        </w:rPr>
        <w:t>31.2中小企业在政府采购活动过程中，请根据企业的真实情况出具《中小（小微）企业声明函》。依法享受中小企业优惠政策的，采购人或者采购代理机构在公告中标结果时，同时公告其《中小（小微）企业声明函》，接受社会监督。</w:t>
      </w:r>
    </w:p>
    <w:p w14:paraId="021DEE72">
      <w:pPr>
        <w:spacing w:line="400" w:lineRule="exact"/>
        <w:ind w:firstLine="482" w:firstLineChars="200"/>
        <w:rPr>
          <w:rFonts w:ascii="宋体" w:hAnsi="宋体" w:cs="宋体"/>
          <w:b/>
          <w:sz w:val="24"/>
        </w:rPr>
      </w:pPr>
      <w:r>
        <w:rPr>
          <w:rFonts w:hint="eastAsia" w:ascii="宋体" w:hAnsi="宋体" w:cs="宋体"/>
          <w:b/>
          <w:sz w:val="24"/>
        </w:rPr>
        <w:t>32.发出中标通知书</w:t>
      </w:r>
    </w:p>
    <w:p w14:paraId="554C812C">
      <w:pPr>
        <w:spacing w:line="400" w:lineRule="exact"/>
        <w:ind w:firstLine="422" w:firstLineChars="200"/>
        <w:rPr>
          <w:rFonts w:ascii="宋体" w:hAnsi="宋体" w:cs="宋体"/>
          <w:b/>
          <w:szCs w:val="21"/>
        </w:rPr>
      </w:pPr>
      <w:r>
        <w:rPr>
          <w:rFonts w:hint="eastAsia" w:ascii="宋体" w:hAnsi="宋体" w:cs="宋体"/>
          <w:b/>
          <w:szCs w:val="21"/>
        </w:rPr>
        <w:t>32.1在发布中标公告的同时，采购代理机构向中标人通过广西政府采购云平台发出电子中标通知书。</w:t>
      </w:r>
    </w:p>
    <w:p w14:paraId="1C3EBF62">
      <w:pPr>
        <w:spacing w:line="400" w:lineRule="exact"/>
        <w:ind w:firstLine="422" w:firstLineChars="200"/>
        <w:rPr>
          <w:rFonts w:ascii="宋体" w:hAnsi="宋体" w:cs="宋体"/>
          <w:b/>
          <w:szCs w:val="21"/>
        </w:rPr>
      </w:pPr>
      <w:r>
        <w:rPr>
          <w:rFonts w:hint="eastAsia" w:ascii="宋体" w:hAnsi="宋体" w:cs="宋体"/>
          <w:b/>
          <w:szCs w:val="21"/>
        </w:rPr>
        <w:t>32.2对未通过资格审查的投标人，采购人或采购机构应当告知其未通过的原因；采用综合评分办法评审的，采购人或采购机构还应当告知未中标人本人的评审得分与排序。</w:t>
      </w:r>
    </w:p>
    <w:p w14:paraId="37AA41BE">
      <w:pPr>
        <w:spacing w:line="400" w:lineRule="exact"/>
        <w:ind w:firstLine="482" w:firstLineChars="200"/>
        <w:rPr>
          <w:rFonts w:ascii="宋体" w:hAnsi="宋体" w:cs="宋体"/>
          <w:b/>
          <w:sz w:val="24"/>
        </w:rPr>
      </w:pPr>
      <w:r>
        <w:rPr>
          <w:rFonts w:hint="eastAsia" w:ascii="宋体" w:hAnsi="宋体" w:cs="宋体"/>
          <w:b/>
          <w:sz w:val="24"/>
        </w:rPr>
        <w:t>33. 无义务解释未中标原因</w:t>
      </w:r>
    </w:p>
    <w:p w14:paraId="69E998F5">
      <w:pPr>
        <w:spacing w:line="400" w:lineRule="exact"/>
        <w:ind w:firstLine="422" w:firstLineChars="200"/>
        <w:rPr>
          <w:rFonts w:ascii="宋体" w:hAnsi="宋体" w:cs="宋体"/>
          <w:b/>
          <w:szCs w:val="21"/>
        </w:rPr>
      </w:pPr>
      <w:r>
        <w:rPr>
          <w:rFonts w:hint="eastAsia" w:ascii="宋体" w:hAnsi="宋体" w:cs="宋体"/>
          <w:b/>
          <w:szCs w:val="21"/>
        </w:rPr>
        <w:t>采购代理机构无义务向未中标的投标人解释未中标原因和退还投标文件。</w:t>
      </w:r>
    </w:p>
    <w:p w14:paraId="3F88EA6A">
      <w:pPr>
        <w:spacing w:line="400" w:lineRule="exact"/>
        <w:ind w:firstLine="482" w:firstLineChars="200"/>
        <w:rPr>
          <w:rFonts w:ascii="宋体" w:hAnsi="宋体" w:cs="宋体"/>
          <w:b/>
          <w:sz w:val="24"/>
        </w:rPr>
      </w:pPr>
      <w:r>
        <w:rPr>
          <w:rFonts w:hint="eastAsia" w:ascii="宋体" w:hAnsi="宋体" w:cs="宋体"/>
          <w:b/>
          <w:sz w:val="24"/>
        </w:rPr>
        <w:t>34.合同授予标准</w:t>
      </w:r>
    </w:p>
    <w:p w14:paraId="62547F0B">
      <w:pPr>
        <w:spacing w:line="400" w:lineRule="exact"/>
        <w:ind w:firstLine="420" w:firstLineChars="200"/>
        <w:rPr>
          <w:rFonts w:ascii="宋体" w:hAnsi="宋体" w:cs="宋体"/>
          <w:szCs w:val="21"/>
        </w:rPr>
      </w:pPr>
      <w:r>
        <w:rPr>
          <w:rFonts w:hint="eastAsia" w:ascii="宋体" w:hAnsi="宋体" w:cs="宋体"/>
          <w:szCs w:val="21"/>
        </w:rPr>
        <w:t>合同将授予被确定实质上响应招标文件要求，具备履行合同能力的中标人（招标文件另有约定多名中标人的除外）。</w:t>
      </w:r>
    </w:p>
    <w:p w14:paraId="7FCA286E">
      <w:pPr>
        <w:spacing w:line="400" w:lineRule="exact"/>
        <w:ind w:firstLine="482" w:firstLineChars="200"/>
        <w:rPr>
          <w:rFonts w:ascii="宋体" w:hAnsi="宋体" w:cs="宋体"/>
          <w:b/>
          <w:sz w:val="24"/>
        </w:rPr>
      </w:pPr>
      <w:r>
        <w:rPr>
          <w:rFonts w:hint="eastAsia" w:ascii="宋体" w:hAnsi="宋体" w:cs="宋体"/>
          <w:b/>
          <w:sz w:val="24"/>
        </w:rPr>
        <w:t>35.履约保证金</w:t>
      </w:r>
    </w:p>
    <w:p w14:paraId="652EC817">
      <w:pPr>
        <w:pStyle w:val="131"/>
        <w:snapToGrid w:val="0"/>
        <w:spacing w:before="0" w:line="400" w:lineRule="exact"/>
        <w:ind w:firstLine="420"/>
        <w:rPr>
          <w:rFonts w:ascii="宋体" w:hAnsi="宋体" w:cs="宋体"/>
          <w:kern w:val="0"/>
          <w:sz w:val="21"/>
          <w:szCs w:val="21"/>
          <w:lang w:val="zh-CN"/>
        </w:rPr>
      </w:pPr>
      <w:r>
        <w:rPr>
          <w:rFonts w:hint="eastAsia" w:ascii="宋体" w:hAnsi="宋体" w:cs="宋体"/>
          <w:kern w:val="0"/>
          <w:sz w:val="21"/>
          <w:szCs w:val="21"/>
          <w:lang w:val="zh-CN"/>
        </w:rPr>
        <w:t>见“投标人须知前附表”。</w:t>
      </w:r>
    </w:p>
    <w:p w14:paraId="1059F689">
      <w:pPr>
        <w:spacing w:line="400" w:lineRule="exact"/>
        <w:ind w:firstLine="482" w:firstLineChars="200"/>
        <w:rPr>
          <w:rFonts w:ascii="宋体" w:hAnsi="宋体" w:cs="宋体"/>
          <w:b/>
          <w:sz w:val="24"/>
        </w:rPr>
      </w:pPr>
      <w:r>
        <w:rPr>
          <w:rFonts w:hint="eastAsia" w:ascii="宋体" w:hAnsi="宋体" w:cs="宋体"/>
          <w:b/>
          <w:sz w:val="24"/>
        </w:rPr>
        <w:t>36.签订合同</w:t>
      </w:r>
    </w:p>
    <w:p w14:paraId="72F041AC">
      <w:pPr>
        <w:spacing w:line="400" w:lineRule="exact"/>
        <w:ind w:firstLine="420" w:firstLineChars="200"/>
        <w:rPr>
          <w:rFonts w:ascii="宋体" w:hAnsi="宋体" w:cs="宋体"/>
          <w:szCs w:val="21"/>
        </w:rPr>
      </w:pPr>
      <w:r>
        <w:rPr>
          <w:rFonts w:hint="eastAsia" w:ascii="宋体" w:hAnsi="宋体" w:cs="宋体"/>
          <w:szCs w:val="21"/>
        </w:rPr>
        <w:t>36.1</w:t>
      </w:r>
      <w:r>
        <w:rPr>
          <w:rFonts w:hint="eastAsia" w:ascii="宋体" w:hAnsi="宋体" w:cs="宋体"/>
          <w:b/>
          <w:szCs w:val="21"/>
        </w:rPr>
        <w:t>中标人领取电子中标通知书后</w:t>
      </w:r>
      <w:r>
        <w:rPr>
          <w:rFonts w:hint="eastAsia" w:ascii="宋体" w:hAnsi="宋体" w:cs="宋体"/>
          <w:szCs w:val="21"/>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127BC9E9">
      <w:pPr>
        <w:spacing w:line="400" w:lineRule="exact"/>
        <w:ind w:firstLine="420" w:firstLineChars="200"/>
        <w:rPr>
          <w:rFonts w:ascii="宋体" w:hAnsi="宋体" w:cs="宋体"/>
          <w:szCs w:val="21"/>
        </w:rPr>
      </w:pPr>
      <w:r>
        <w:rPr>
          <w:rFonts w:hint="eastAsia" w:ascii="宋体" w:hAnsi="宋体" w:cs="宋体"/>
          <w:szCs w:val="21"/>
        </w:rPr>
        <w:t>36.2采购合同由采购人与中标供应商根据招标文件、投标文件等内容通过政府采购电子交易平台在线签订，自动备案。</w:t>
      </w:r>
    </w:p>
    <w:p w14:paraId="3545D645">
      <w:pPr>
        <w:spacing w:line="400" w:lineRule="exact"/>
        <w:ind w:firstLine="420" w:firstLineChars="200"/>
        <w:rPr>
          <w:rFonts w:ascii="宋体" w:hAnsi="宋体" w:cs="宋体"/>
          <w:szCs w:val="21"/>
        </w:rPr>
      </w:pPr>
      <w:r>
        <w:rPr>
          <w:rFonts w:hint="eastAsia" w:ascii="宋体" w:hAnsi="宋体" w:cs="宋体"/>
          <w:szCs w:val="21"/>
        </w:rPr>
        <w:t>36.3签订合同时间：按中标通知书规定的时间与采购人签订合同（最长不能超过25日）。</w:t>
      </w:r>
    </w:p>
    <w:p w14:paraId="115F36DD">
      <w:pPr>
        <w:spacing w:line="400" w:lineRule="exact"/>
        <w:ind w:firstLine="420" w:firstLineChars="200"/>
        <w:rPr>
          <w:rFonts w:ascii="宋体" w:hAnsi="宋体" w:cs="宋体"/>
          <w:szCs w:val="21"/>
        </w:rPr>
      </w:pPr>
      <w:r>
        <w:rPr>
          <w:rFonts w:hint="eastAsia" w:ascii="宋体" w:hAnsi="宋体" w:cs="宋体"/>
          <w:szCs w:val="21"/>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770668D2">
      <w:pPr>
        <w:spacing w:line="400" w:lineRule="exact"/>
        <w:ind w:firstLine="420" w:firstLineChars="200"/>
        <w:rPr>
          <w:rFonts w:ascii="宋体" w:hAnsi="宋体" w:cs="宋体"/>
          <w:szCs w:val="21"/>
        </w:rPr>
      </w:pPr>
      <w:r>
        <w:rPr>
          <w:rFonts w:hint="eastAsia" w:ascii="宋体" w:hAnsi="宋体" w:cs="宋体"/>
          <w:szCs w:val="21"/>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FDCA698">
      <w:pPr>
        <w:spacing w:line="400" w:lineRule="exact"/>
        <w:ind w:firstLine="420" w:firstLineChars="200"/>
        <w:rPr>
          <w:rFonts w:ascii="宋体" w:hAnsi="宋体" w:cs="宋体"/>
          <w:szCs w:val="21"/>
        </w:rPr>
      </w:pPr>
      <w:r>
        <w:rPr>
          <w:rFonts w:hint="eastAsia" w:ascii="宋体" w:hAnsi="宋体" w:cs="宋体"/>
          <w:szCs w:val="21"/>
        </w:rPr>
        <w:t>36.6采购人或中标供应商不得单方面向合同另一方提出任何招标文件没有约定的条件或不合理的要求，作为签订合同的条件；也不得协商另行订立背离招标文件和合同实质性内容的协议。</w:t>
      </w:r>
    </w:p>
    <w:p w14:paraId="5731F1ED">
      <w:pPr>
        <w:spacing w:line="400" w:lineRule="exact"/>
        <w:ind w:firstLine="420" w:firstLineChars="200"/>
        <w:rPr>
          <w:rFonts w:ascii="宋体" w:hAnsi="宋体" w:cs="宋体"/>
          <w:szCs w:val="21"/>
        </w:rPr>
      </w:pPr>
      <w:r>
        <w:rPr>
          <w:rFonts w:hint="eastAsia" w:ascii="宋体" w:hAnsi="宋体" w:cs="宋体"/>
          <w:szCs w:val="21"/>
        </w:rPr>
        <w:t>36.7如签订合同并生效后，供应商无故拒绝或延期，除按照合同条款处理外，将承担相应的法律责任。</w:t>
      </w:r>
    </w:p>
    <w:p w14:paraId="1AF10A1D">
      <w:pPr>
        <w:spacing w:line="400" w:lineRule="exact"/>
        <w:ind w:firstLine="422" w:firstLineChars="200"/>
        <w:rPr>
          <w:rFonts w:ascii="宋体" w:hAnsi="宋体" w:cs="宋体"/>
          <w:b/>
          <w:szCs w:val="21"/>
        </w:rPr>
      </w:pPr>
      <w:r>
        <w:rPr>
          <w:rFonts w:hint="eastAsia" w:ascii="宋体" w:hAnsi="宋体" w:cs="宋体"/>
          <w:b/>
          <w:szCs w:val="21"/>
        </w:rPr>
        <w:t>36.8采购人需追加与合同标的相同的货物或者服务的，在不改变原合同条款且已报财政部门批准落实资金的前提下，可从原中标供应商处添购，所签订的补充添置合同的采购资金总额不超过原采购合同金额的10%。</w:t>
      </w:r>
    </w:p>
    <w:p w14:paraId="4F1459DC">
      <w:pPr>
        <w:spacing w:line="400" w:lineRule="exact"/>
        <w:ind w:firstLine="482" w:firstLineChars="200"/>
        <w:rPr>
          <w:rFonts w:ascii="宋体" w:hAnsi="宋体" w:cs="宋体"/>
          <w:b/>
          <w:sz w:val="24"/>
        </w:rPr>
      </w:pPr>
      <w:r>
        <w:rPr>
          <w:rFonts w:hint="eastAsia" w:ascii="宋体" w:hAnsi="宋体" w:cs="宋体"/>
          <w:b/>
          <w:sz w:val="24"/>
        </w:rPr>
        <w:t>37.政府采购合同公告</w:t>
      </w:r>
    </w:p>
    <w:p w14:paraId="55964365">
      <w:pPr>
        <w:spacing w:line="400" w:lineRule="exact"/>
        <w:ind w:firstLine="420" w:firstLineChars="200"/>
        <w:rPr>
          <w:rFonts w:ascii="宋体" w:hAnsi="宋体" w:cs="宋体"/>
        </w:rPr>
      </w:pPr>
      <w:r>
        <w:rPr>
          <w:rFonts w:hint="eastAsia" w:ascii="宋体" w:hAnsi="宋体" w:cs="宋体"/>
        </w:rPr>
        <w:t>采购人或者受托采购代理机构应当自政府采购合同签订之日起2个工作日内，将政府采购合同</w:t>
      </w:r>
      <w:r>
        <w:rPr>
          <w:rFonts w:hint="eastAsia" w:ascii="宋体" w:hAnsi="宋体" w:cs="宋体"/>
          <w:bCs/>
        </w:rPr>
        <w:t>在以下媒体上发布</w:t>
      </w:r>
      <w:r>
        <w:rPr>
          <w:rFonts w:hint="eastAsia" w:ascii="宋体" w:hAnsi="宋体" w:cs="宋体"/>
          <w:kern w:val="0"/>
          <w:szCs w:val="21"/>
        </w:rPr>
        <w:t>“广西政府采购网”（http：//zfcg.gxzf.gov.cn）</w:t>
      </w:r>
      <w:r>
        <w:rPr>
          <w:rFonts w:hint="eastAsia" w:ascii="宋体" w:hAnsi="宋体" w:cs="宋体"/>
        </w:rPr>
        <w:t>上公告，但政府采购合同中涉及国家秘密、商业秘密的内容除外。</w:t>
      </w:r>
    </w:p>
    <w:p w14:paraId="55189DE4">
      <w:pPr>
        <w:spacing w:line="400" w:lineRule="exact"/>
        <w:ind w:firstLine="482" w:firstLineChars="200"/>
        <w:rPr>
          <w:rFonts w:ascii="宋体" w:hAnsi="宋体" w:cs="宋体"/>
          <w:b/>
          <w:sz w:val="24"/>
        </w:rPr>
      </w:pPr>
      <w:r>
        <w:rPr>
          <w:rFonts w:hint="eastAsia" w:ascii="宋体" w:hAnsi="宋体" w:cs="宋体"/>
          <w:b/>
          <w:sz w:val="24"/>
        </w:rPr>
        <w:t>38.询问、质疑和投诉</w:t>
      </w:r>
    </w:p>
    <w:p w14:paraId="1D9E21E8">
      <w:pPr>
        <w:spacing w:line="400" w:lineRule="exact"/>
        <w:ind w:firstLine="422" w:firstLineChars="200"/>
        <w:rPr>
          <w:rFonts w:ascii="宋体" w:hAnsi="宋体" w:cs="宋体"/>
          <w:b/>
          <w:szCs w:val="21"/>
        </w:rPr>
      </w:pPr>
      <w:r>
        <w:rPr>
          <w:rFonts w:hint="eastAsia" w:ascii="宋体" w:hAnsi="宋体" w:cs="宋体"/>
          <w:b/>
          <w:szCs w:val="21"/>
        </w:rPr>
        <w:t>38.1询问</w:t>
      </w:r>
    </w:p>
    <w:p w14:paraId="600319E6">
      <w:pPr>
        <w:spacing w:line="400" w:lineRule="exact"/>
        <w:ind w:firstLine="420" w:firstLineChars="200"/>
        <w:rPr>
          <w:rFonts w:ascii="宋体" w:hAnsi="宋体" w:cs="宋体"/>
          <w:bCs/>
          <w:szCs w:val="21"/>
        </w:rPr>
      </w:pPr>
      <w:r>
        <w:rPr>
          <w:rFonts w:hint="eastAsia" w:ascii="宋体" w:hAnsi="宋体" w:cs="宋体"/>
          <w:bCs/>
          <w:szCs w:val="21"/>
        </w:rPr>
        <w:t>38.1.1供应商在开标前对政府采购活动事项有疑问的，可以向采购人或采购代理机构项目负责人提出询问。</w:t>
      </w:r>
    </w:p>
    <w:p w14:paraId="04849532">
      <w:pPr>
        <w:spacing w:line="400" w:lineRule="exact"/>
        <w:ind w:firstLine="420" w:firstLineChars="200"/>
        <w:rPr>
          <w:rFonts w:ascii="宋体" w:hAnsi="宋体" w:cs="宋体"/>
          <w:bCs/>
          <w:szCs w:val="21"/>
        </w:rPr>
      </w:pPr>
      <w:r>
        <w:rPr>
          <w:rFonts w:hint="eastAsia" w:ascii="宋体" w:hAnsi="宋体" w:cs="宋体"/>
          <w:bCs/>
          <w:szCs w:val="21"/>
        </w:rPr>
        <w:t>38.1.2采购人或采购人委托的采购代理机构自受理询问之日起3个工作日内对供应商依法提出的询问作出答复，</w:t>
      </w:r>
      <w:r>
        <w:rPr>
          <w:rFonts w:hint="eastAsia" w:ascii="宋体" w:hAnsi="宋体" w:cs="宋体"/>
        </w:rPr>
        <w:t>但答复内容不得涉及商业秘密</w:t>
      </w:r>
      <w:r>
        <w:rPr>
          <w:rFonts w:hint="eastAsia" w:ascii="宋体" w:hAnsi="宋体" w:cs="宋体"/>
          <w:bCs/>
          <w:szCs w:val="21"/>
        </w:rPr>
        <w:t>。</w:t>
      </w:r>
    </w:p>
    <w:p w14:paraId="4C0CBB08">
      <w:pPr>
        <w:spacing w:line="400" w:lineRule="exact"/>
        <w:ind w:firstLine="420" w:firstLineChars="200"/>
        <w:rPr>
          <w:rFonts w:ascii="宋体" w:hAnsi="宋体" w:cs="宋体"/>
          <w:bCs/>
          <w:szCs w:val="21"/>
        </w:rPr>
      </w:pPr>
      <w:r>
        <w:rPr>
          <w:rFonts w:hint="eastAsia" w:ascii="宋体" w:hAnsi="宋体" w:cs="宋体"/>
          <w:bCs/>
          <w:szCs w:val="21"/>
        </w:rPr>
        <w:t>38.1.3询问事项可能影响中标、成交结果的，采购人应当暂停签订合同，已经签订合同的，应当中止履行合同。</w:t>
      </w:r>
    </w:p>
    <w:p w14:paraId="498CB5BC">
      <w:pPr>
        <w:spacing w:line="400" w:lineRule="exact"/>
        <w:ind w:firstLine="420" w:firstLineChars="200"/>
        <w:rPr>
          <w:rFonts w:ascii="宋体" w:hAnsi="宋体" w:cs="宋体"/>
          <w:szCs w:val="21"/>
        </w:rPr>
      </w:pPr>
      <w:r>
        <w:rPr>
          <w:rFonts w:hint="eastAsia" w:ascii="宋体" w:hAnsi="宋体" w:cs="宋体"/>
          <w:szCs w:val="21"/>
        </w:rPr>
        <w:t>38.2质疑</w:t>
      </w:r>
    </w:p>
    <w:p w14:paraId="3BEF94EE">
      <w:pPr>
        <w:spacing w:line="400" w:lineRule="exact"/>
        <w:ind w:firstLine="420" w:firstLineChars="200"/>
        <w:rPr>
          <w:rFonts w:ascii="宋体" w:hAnsi="宋体" w:cs="宋体"/>
          <w:b/>
          <w:szCs w:val="21"/>
        </w:rPr>
      </w:pPr>
      <w:r>
        <w:rPr>
          <w:rFonts w:hint="eastAsia" w:ascii="宋体" w:hAnsi="宋体" w:cs="宋体"/>
          <w:szCs w:val="21"/>
        </w:rPr>
        <w:t>38.2.1</w:t>
      </w:r>
      <w:r>
        <w:rPr>
          <w:rFonts w:hint="eastAsia" w:ascii="宋体" w:hAnsi="宋体" w:cs="宋体"/>
          <w:b/>
          <w:szCs w:val="21"/>
        </w:rPr>
        <w:t>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w:t>
      </w:r>
    </w:p>
    <w:p w14:paraId="39D2C68C">
      <w:pPr>
        <w:spacing w:line="400" w:lineRule="exact"/>
        <w:ind w:firstLine="420" w:firstLineChars="200"/>
        <w:rPr>
          <w:rFonts w:ascii="宋体" w:hAnsi="宋体" w:cs="宋体"/>
          <w:bCs/>
        </w:rPr>
      </w:pPr>
      <w:r>
        <w:rPr>
          <w:rFonts w:hint="eastAsia" w:ascii="宋体" w:hAnsi="宋体" w:cs="宋体"/>
          <w:bCs/>
        </w:rPr>
        <w:t>（1）潜在供应商依法获取公开招标文件后，认为采购文件使自己的权益受到损害的，应当在公开招标文件公告期限届满之日起7个工作日内提出质疑。</w:t>
      </w:r>
      <w:r>
        <w:rPr>
          <w:rFonts w:hint="eastAsia" w:ascii="宋体" w:hAnsi="宋体" w:cs="宋体"/>
        </w:rPr>
        <w:t>委托代理协议无特殊约定的，</w:t>
      </w:r>
      <w:r>
        <w:rPr>
          <w:rFonts w:hint="eastAsia" w:ascii="宋体" w:hAnsi="宋体" w:cs="宋体"/>
          <w:bCs/>
        </w:rPr>
        <w:t>对公开招标文件中采购需求（含资格要求、采购预算和评分办法）的质疑由采购人受理并负责答复；对公开招标文件中的采购执行程序的质疑由采购代理机构受理并负责答复。</w:t>
      </w:r>
    </w:p>
    <w:p w14:paraId="0B4CA089">
      <w:pPr>
        <w:spacing w:line="400" w:lineRule="exact"/>
        <w:ind w:firstLine="420" w:firstLineChars="200"/>
        <w:rPr>
          <w:rFonts w:ascii="宋体" w:hAnsi="宋体" w:cs="宋体"/>
          <w:bCs/>
        </w:rPr>
      </w:pPr>
      <w:r>
        <w:rPr>
          <w:rFonts w:hint="eastAsia" w:ascii="宋体" w:hAnsi="宋体" w:cs="宋体"/>
          <w:bCs/>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0A033D16">
      <w:pPr>
        <w:spacing w:line="400" w:lineRule="exact"/>
        <w:ind w:firstLine="420" w:firstLineChars="200"/>
        <w:rPr>
          <w:rFonts w:ascii="宋体" w:hAnsi="宋体" w:cs="宋体"/>
          <w:bCs/>
        </w:rPr>
      </w:pPr>
      <w:r>
        <w:rPr>
          <w:rFonts w:hint="eastAsia" w:ascii="宋体" w:hAnsi="宋体" w:cs="宋体"/>
          <w:bCs/>
        </w:rPr>
        <w:t>（3）供应商认为中标或者成交结果使自己的权益受到损害的，应当在中标或者成交结果公告期限届满之日起7个工作日内提出质疑，由采购人受理并负责答复。</w:t>
      </w:r>
    </w:p>
    <w:p w14:paraId="63251D10">
      <w:pPr>
        <w:spacing w:line="400" w:lineRule="exact"/>
        <w:ind w:firstLine="422" w:firstLineChars="200"/>
        <w:rPr>
          <w:rFonts w:ascii="宋体" w:hAnsi="宋体" w:cs="宋体"/>
          <w:bCs/>
          <w:szCs w:val="21"/>
        </w:rPr>
      </w:pPr>
      <w:r>
        <w:rPr>
          <w:rFonts w:hint="eastAsia" w:ascii="宋体" w:hAnsi="宋体" w:cs="宋体"/>
          <w:b/>
          <w:bCs/>
          <w:szCs w:val="21"/>
        </w:rPr>
        <w:t>38.2.2</w:t>
      </w:r>
      <w:r>
        <w:rPr>
          <w:rFonts w:hint="eastAsia" w:ascii="宋体" w:hAnsi="宋体" w:cs="宋体"/>
          <w:bCs/>
          <w:szCs w:val="21"/>
        </w:rPr>
        <w:t>供应商质疑实行实名制，其质疑应当有具体的质疑事项及事实根据，质疑应当坚持依法依规、诚实信用原则，不得进行虚假、恶意质疑。</w:t>
      </w:r>
    </w:p>
    <w:p w14:paraId="28A24C00">
      <w:pPr>
        <w:spacing w:line="400" w:lineRule="exact"/>
        <w:ind w:firstLine="422" w:firstLineChars="200"/>
        <w:rPr>
          <w:rFonts w:ascii="宋体" w:hAnsi="宋体" w:cs="宋体"/>
          <w:bCs/>
        </w:rPr>
      </w:pPr>
      <w:r>
        <w:rPr>
          <w:rFonts w:hint="eastAsia" w:ascii="宋体" w:hAnsi="宋体" w:cs="宋体"/>
          <w:b/>
          <w:bCs/>
        </w:rPr>
        <w:t>38.2.3</w:t>
      </w:r>
      <w:r>
        <w:rPr>
          <w:rFonts w:hint="eastAsia" w:ascii="宋体" w:hAnsi="宋体" w:cs="宋体"/>
          <w:bCs/>
        </w:rPr>
        <w:t>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cs="宋体"/>
        </w:rPr>
        <w:t>。</w:t>
      </w:r>
    </w:p>
    <w:p w14:paraId="7E31F0BC">
      <w:pPr>
        <w:spacing w:line="400" w:lineRule="exact"/>
        <w:ind w:firstLine="422" w:firstLineChars="200"/>
        <w:rPr>
          <w:rFonts w:ascii="宋体" w:hAnsi="宋体" w:cs="宋体"/>
          <w:b/>
          <w:bCs/>
        </w:rPr>
      </w:pPr>
      <w:r>
        <w:rPr>
          <w:rFonts w:hint="eastAsia" w:ascii="宋体" w:hAnsi="宋体" w:cs="宋体"/>
          <w:b/>
          <w:bCs/>
        </w:rPr>
        <w:t>38.2.4质疑供应商提起质疑应当符合下列条件：</w:t>
      </w:r>
    </w:p>
    <w:p w14:paraId="0876B923">
      <w:pPr>
        <w:spacing w:line="400" w:lineRule="exact"/>
        <w:ind w:firstLine="420" w:firstLineChars="200"/>
        <w:rPr>
          <w:rFonts w:ascii="宋体" w:hAnsi="宋体" w:cs="宋体"/>
          <w:bCs/>
        </w:rPr>
      </w:pPr>
      <w:r>
        <w:rPr>
          <w:rFonts w:hint="eastAsia" w:ascii="宋体" w:hAnsi="宋体" w:cs="宋体"/>
          <w:bCs/>
        </w:rPr>
        <w:t>（1）质疑供应商是参与所质疑</w:t>
      </w:r>
      <w:r>
        <w:rPr>
          <w:rFonts w:hint="eastAsia" w:ascii="宋体" w:hAnsi="宋体" w:cs="宋体"/>
          <w:bCs/>
          <w:szCs w:val="21"/>
        </w:rPr>
        <w:t>项目</w:t>
      </w:r>
      <w:r>
        <w:rPr>
          <w:rFonts w:hint="eastAsia" w:ascii="宋体" w:hAnsi="宋体" w:cs="宋体"/>
          <w:bCs/>
        </w:rPr>
        <w:t>采购活动的供应商（潜在供应商已依法获取可之一的采购文件的，可以对该采购文件质疑）；</w:t>
      </w:r>
    </w:p>
    <w:p w14:paraId="6F369C91">
      <w:pPr>
        <w:spacing w:line="400" w:lineRule="exact"/>
        <w:ind w:firstLine="420" w:firstLineChars="200"/>
        <w:rPr>
          <w:rFonts w:ascii="宋体" w:hAnsi="宋体" w:cs="宋体"/>
          <w:bCs/>
        </w:rPr>
      </w:pPr>
      <w:r>
        <w:rPr>
          <w:rFonts w:hint="eastAsia" w:ascii="宋体" w:hAnsi="宋体" w:cs="宋体"/>
          <w:bCs/>
        </w:rPr>
        <w:t>（2）质疑函内容符合本章第38.2.5项的规定；</w:t>
      </w:r>
    </w:p>
    <w:p w14:paraId="5564AC93">
      <w:pPr>
        <w:spacing w:line="400" w:lineRule="exact"/>
        <w:ind w:firstLine="420" w:firstLineChars="200"/>
        <w:rPr>
          <w:rFonts w:ascii="宋体" w:hAnsi="宋体" w:cs="宋体"/>
          <w:bCs/>
        </w:rPr>
      </w:pPr>
      <w:r>
        <w:rPr>
          <w:rFonts w:hint="eastAsia" w:ascii="宋体" w:hAnsi="宋体" w:cs="宋体"/>
          <w:bCs/>
        </w:rPr>
        <w:t>（3）在质疑有效期限内提起质疑；</w:t>
      </w:r>
    </w:p>
    <w:p w14:paraId="06B0923D">
      <w:pPr>
        <w:spacing w:line="400" w:lineRule="exact"/>
        <w:ind w:firstLine="420" w:firstLineChars="200"/>
        <w:rPr>
          <w:rFonts w:ascii="宋体" w:hAnsi="宋体" w:cs="宋体"/>
          <w:bCs/>
        </w:rPr>
      </w:pPr>
      <w:r>
        <w:rPr>
          <w:rFonts w:hint="eastAsia" w:ascii="宋体" w:hAnsi="宋体" w:cs="宋体"/>
          <w:bCs/>
        </w:rPr>
        <w:t>（4）属于所质疑的采购人或采购人委托的采购代理机构组织的采购活动；</w:t>
      </w:r>
    </w:p>
    <w:p w14:paraId="665E1FAF">
      <w:pPr>
        <w:spacing w:line="400" w:lineRule="exact"/>
        <w:ind w:firstLine="420" w:firstLineChars="200"/>
        <w:rPr>
          <w:rFonts w:ascii="宋体" w:hAnsi="宋体" w:cs="宋体"/>
          <w:bCs/>
        </w:rPr>
      </w:pPr>
      <w:r>
        <w:rPr>
          <w:rFonts w:hint="eastAsia" w:ascii="宋体" w:hAnsi="宋体" w:cs="宋体"/>
          <w:bCs/>
        </w:rPr>
        <w:t>（5）同一质疑事项未经采购人或采购人委托的采购代理机构质疑处理；</w:t>
      </w:r>
    </w:p>
    <w:p w14:paraId="7D9A9A0F">
      <w:pPr>
        <w:spacing w:line="400" w:lineRule="exact"/>
        <w:ind w:firstLine="420" w:firstLineChars="200"/>
        <w:rPr>
          <w:rFonts w:ascii="宋体" w:hAnsi="宋体" w:cs="宋体"/>
          <w:bCs/>
        </w:rPr>
      </w:pPr>
      <w:r>
        <w:rPr>
          <w:rFonts w:hint="eastAsia" w:ascii="宋体" w:hAnsi="宋体" w:cs="宋体"/>
          <w:bCs/>
        </w:rPr>
        <w:t>（6）供应商对同一采购程序环节的质疑应当在质疑有效期内一次性提出；</w:t>
      </w:r>
    </w:p>
    <w:p w14:paraId="03D5CE92">
      <w:pPr>
        <w:spacing w:line="400" w:lineRule="exact"/>
        <w:ind w:firstLine="420" w:firstLineChars="200"/>
        <w:rPr>
          <w:rFonts w:ascii="宋体" w:hAnsi="宋体" w:cs="宋体"/>
          <w:bCs/>
        </w:rPr>
      </w:pPr>
      <w:r>
        <w:rPr>
          <w:rFonts w:hint="eastAsia" w:ascii="宋体" w:hAnsi="宋体" w:cs="宋体"/>
          <w:bCs/>
        </w:rPr>
        <w:t>（7）供应商提交质疑应当提交必要的证明材料，证明材料应以合法手段取得；</w:t>
      </w:r>
    </w:p>
    <w:p w14:paraId="19E7CBF0">
      <w:pPr>
        <w:spacing w:line="400" w:lineRule="exact"/>
        <w:ind w:firstLine="420" w:firstLineChars="200"/>
        <w:rPr>
          <w:rFonts w:ascii="宋体" w:hAnsi="宋体" w:cs="宋体"/>
        </w:rPr>
      </w:pPr>
      <w:r>
        <w:rPr>
          <w:rFonts w:hint="eastAsia" w:ascii="宋体" w:hAnsi="宋体" w:cs="宋体"/>
          <w:bCs/>
        </w:rPr>
        <w:t>（8）财政部门规定的其他条件。</w:t>
      </w:r>
    </w:p>
    <w:p w14:paraId="7806692C">
      <w:pPr>
        <w:spacing w:line="400" w:lineRule="exact"/>
        <w:ind w:firstLine="420" w:firstLineChars="200"/>
        <w:rPr>
          <w:rFonts w:ascii="宋体" w:hAnsi="宋体" w:cs="宋体"/>
          <w:b/>
          <w:szCs w:val="21"/>
        </w:rPr>
      </w:pPr>
      <w:bookmarkStart w:id="73" w:name="_9.2质疑、投诉应当采用书面形式，质疑函、投诉书均应明确阐述招标文件、"/>
      <w:bookmarkEnd w:id="73"/>
      <w:r>
        <w:rPr>
          <w:rFonts w:hint="eastAsia" w:ascii="宋体" w:hAnsi="宋体" w:cs="宋体"/>
          <w:szCs w:val="21"/>
        </w:rPr>
        <w:t>38.2.5</w:t>
      </w:r>
      <w:r>
        <w:rPr>
          <w:rFonts w:hint="eastAsia" w:ascii="宋体" w:hAnsi="宋体" w:cs="宋体"/>
          <w:bCs/>
        </w:rPr>
        <w:t>供应商提出质疑应当提交质疑函和必要的证明材料，针对同一采购程序环节的质疑必须在法定质疑期内一次性提出。质疑函应当包括下列内容（质疑函格式后附）：</w:t>
      </w:r>
    </w:p>
    <w:p w14:paraId="2D8C36A7">
      <w:pPr>
        <w:spacing w:line="400" w:lineRule="exact"/>
        <w:ind w:firstLine="420" w:firstLineChars="200"/>
        <w:rPr>
          <w:rFonts w:ascii="宋体" w:hAnsi="宋体" w:cs="宋体"/>
          <w:bCs/>
        </w:rPr>
      </w:pPr>
      <w:r>
        <w:rPr>
          <w:rFonts w:hint="eastAsia" w:ascii="宋体" w:hAnsi="宋体" w:cs="宋体"/>
          <w:bCs/>
        </w:rPr>
        <w:t>（1）供应商的姓名或者名称、地址、邮编、联系人及联系电话；</w:t>
      </w:r>
    </w:p>
    <w:p w14:paraId="300C7171">
      <w:pPr>
        <w:spacing w:line="400" w:lineRule="exact"/>
        <w:ind w:firstLine="420" w:firstLineChars="200"/>
        <w:rPr>
          <w:rFonts w:ascii="宋体" w:hAnsi="宋体" w:cs="宋体"/>
          <w:bCs/>
        </w:rPr>
      </w:pPr>
      <w:r>
        <w:rPr>
          <w:rFonts w:hint="eastAsia" w:ascii="宋体" w:hAnsi="宋体" w:cs="宋体"/>
          <w:bCs/>
        </w:rPr>
        <w:t>（2）质疑项目的名称、编号；</w:t>
      </w:r>
    </w:p>
    <w:p w14:paraId="3D338C19">
      <w:pPr>
        <w:spacing w:line="400" w:lineRule="exact"/>
        <w:ind w:firstLine="420" w:firstLineChars="200"/>
        <w:rPr>
          <w:rFonts w:ascii="宋体" w:hAnsi="宋体" w:cs="宋体"/>
          <w:bCs/>
        </w:rPr>
      </w:pPr>
      <w:r>
        <w:rPr>
          <w:rFonts w:hint="eastAsia" w:ascii="宋体" w:hAnsi="宋体" w:cs="宋体"/>
          <w:bCs/>
        </w:rPr>
        <w:t>（3）具体、明确的质疑事项和与质疑事项相关的请求；</w:t>
      </w:r>
    </w:p>
    <w:p w14:paraId="1DD99969">
      <w:pPr>
        <w:spacing w:line="400" w:lineRule="exact"/>
        <w:ind w:firstLine="420" w:firstLineChars="200"/>
        <w:rPr>
          <w:rFonts w:ascii="宋体" w:hAnsi="宋体" w:cs="宋体"/>
          <w:bCs/>
        </w:rPr>
      </w:pPr>
      <w:r>
        <w:rPr>
          <w:rFonts w:hint="eastAsia" w:ascii="宋体" w:hAnsi="宋体" w:cs="宋体"/>
          <w:bCs/>
        </w:rPr>
        <w:t>（4）事实依据（列明权益受到损害的事实和理由）；</w:t>
      </w:r>
    </w:p>
    <w:p w14:paraId="7D9A9DFE">
      <w:pPr>
        <w:spacing w:line="400" w:lineRule="exact"/>
        <w:ind w:firstLine="420" w:firstLineChars="200"/>
        <w:rPr>
          <w:rFonts w:ascii="宋体" w:hAnsi="宋体" w:cs="宋体"/>
          <w:bCs/>
        </w:rPr>
      </w:pPr>
      <w:r>
        <w:rPr>
          <w:rFonts w:hint="eastAsia" w:ascii="宋体" w:hAnsi="宋体" w:cs="宋体"/>
          <w:bCs/>
        </w:rPr>
        <w:t>（5）必要的法律依据；</w:t>
      </w:r>
    </w:p>
    <w:p w14:paraId="304138F8">
      <w:pPr>
        <w:spacing w:line="400" w:lineRule="exact"/>
        <w:ind w:firstLine="420" w:firstLineChars="200"/>
        <w:rPr>
          <w:rFonts w:ascii="宋体" w:hAnsi="宋体" w:cs="宋体"/>
          <w:bCs/>
        </w:rPr>
      </w:pPr>
      <w:r>
        <w:rPr>
          <w:rFonts w:hint="eastAsia" w:ascii="宋体" w:hAnsi="宋体" w:cs="宋体"/>
          <w:bCs/>
        </w:rPr>
        <w:t>（6）提出质疑的日期。</w:t>
      </w:r>
    </w:p>
    <w:p w14:paraId="5A3948DF">
      <w:pPr>
        <w:spacing w:line="400" w:lineRule="exact"/>
        <w:ind w:firstLine="420" w:firstLineChars="200"/>
        <w:rPr>
          <w:rFonts w:ascii="宋体" w:hAnsi="宋体" w:cs="宋体"/>
          <w:bCs/>
        </w:rPr>
      </w:pPr>
      <w:r>
        <w:rPr>
          <w:rFonts w:hint="eastAsia" w:ascii="宋体" w:hAnsi="宋体" w:cs="宋体"/>
          <w:bCs/>
        </w:rPr>
        <w:t>供应商为自然人的，应当由本人签字；供应商为法人或者其他组织的，应当由法定代表人、主要负责人，或者其委托代理人签字或者盖章，并加盖公章。</w:t>
      </w:r>
    </w:p>
    <w:p w14:paraId="73694275">
      <w:pPr>
        <w:spacing w:line="400" w:lineRule="exact"/>
        <w:ind w:firstLine="422" w:firstLineChars="200"/>
        <w:rPr>
          <w:rFonts w:ascii="宋体" w:hAnsi="宋体" w:cs="宋体"/>
          <w:b/>
          <w:szCs w:val="20"/>
        </w:rPr>
      </w:pPr>
      <w:r>
        <w:rPr>
          <w:rFonts w:hint="eastAsia" w:ascii="宋体" w:hAnsi="宋体" w:cs="宋体"/>
          <w:b/>
          <w:szCs w:val="20"/>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2F4F57B0">
      <w:pPr>
        <w:spacing w:line="400" w:lineRule="exact"/>
        <w:ind w:firstLine="420" w:firstLineChars="200"/>
        <w:rPr>
          <w:rFonts w:ascii="宋体" w:hAnsi="宋体" w:cs="宋体"/>
          <w:bCs/>
          <w:szCs w:val="21"/>
        </w:rPr>
      </w:pPr>
      <w:r>
        <w:rPr>
          <w:rFonts w:hint="eastAsia" w:ascii="宋体" w:hAnsi="宋体" w:cs="宋体"/>
          <w:szCs w:val="21"/>
        </w:rPr>
        <w:t>3</w:t>
      </w:r>
      <w:r>
        <w:rPr>
          <w:rFonts w:hint="eastAsia" w:ascii="宋体" w:hAnsi="宋体" w:cs="宋体"/>
          <w:bCs/>
          <w:szCs w:val="21"/>
        </w:rPr>
        <w:t>8.2.7采购人、采购代理机构认为供应商质疑不成立，或者成立但未对中标结果构成影响的，继续开展采购活动；认为供应商质疑成立且影响或者可能影响中标结果的，按照下列情况处理：</w:t>
      </w:r>
    </w:p>
    <w:p w14:paraId="215CF651">
      <w:pPr>
        <w:spacing w:line="400" w:lineRule="exact"/>
        <w:ind w:firstLine="420" w:firstLineChars="200"/>
        <w:rPr>
          <w:rFonts w:ascii="宋体" w:hAnsi="宋体" w:cs="宋体"/>
          <w:bCs/>
        </w:rPr>
      </w:pPr>
      <w:r>
        <w:rPr>
          <w:rFonts w:hint="eastAsia" w:ascii="宋体" w:hAnsi="宋体" w:cs="宋体"/>
          <w:bCs/>
        </w:rPr>
        <w:t>（一）对招标文件提出的质疑，依法通过澄清或者修改可以继续开展采购活动的，澄清或者修改招标文件后继续开展采购活动；否则应当修改招标文件后重新开展采购活动。</w:t>
      </w:r>
    </w:p>
    <w:p w14:paraId="39AD97AC">
      <w:pPr>
        <w:spacing w:line="400" w:lineRule="exact"/>
        <w:ind w:firstLine="420" w:firstLineChars="200"/>
        <w:rPr>
          <w:rFonts w:ascii="宋体" w:hAnsi="宋体" w:cs="宋体"/>
          <w:bCs/>
        </w:rPr>
      </w:pPr>
      <w:r>
        <w:rPr>
          <w:rFonts w:hint="eastAsia" w:ascii="宋体" w:hAnsi="宋体" w:cs="宋体"/>
          <w:bCs/>
        </w:rPr>
        <w:t>（二）对采购过程、中标结果提出的质疑，合格供应商符合法定数量时，可以从合格的中标候选人中另行确定中标供应商的，应当依法另行确定中标供应商；否则应当重新开展采购活动。</w:t>
      </w:r>
    </w:p>
    <w:p w14:paraId="4424E079">
      <w:pPr>
        <w:spacing w:line="400" w:lineRule="exact"/>
        <w:ind w:firstLine="420" w:firstLineChars="200"/>
        <w:rPr>
          <w:rFonts w:ascii="宋体" w:hAnsi="宋体" w:cs="宋体"/>
          <w:bCs/>
        </w:rPr>
      </w:pPr>
      <w:r>
        <w:rPr>
          <w:rFonts w:hint="eastAsia" w:ascii="宋体" w:hAnsi="宋体" w:cs="宋体"/>
          <w:bCs/>
        </w:rPr>
        <w:t>质疑答复导致中标结果改变的，采购人或者采购代理机构应当将有关情况书面报告本级财政部门。</w:t>
      </w:r>
    </w:p>
    <w:p w14:paraId="578672B4">
      <w:pPr>
        <w:spacing w:line="400" w:lineRule="exact"/>
        <w:ind w:firstLine="422" w:firstLineChars="200"/>
        <w:rPr>
          <w:rFonts w:ascii="宋体" w:hAnsi="宋体" w:cs="宋体"/>
          <w:b/>
        </w:rPr>
      </w:pPr>
      <w:r>
        <w:rPr>
          <w:rFonts w:hint="eastAsia" w:ascii="宋体" w:hAnsi="宋体" w:cs="宋体"/>
          <w:b/>
        </w:rPr>
        <w:t>38.3投诉</w:t>
      </w:r>
    </w:p>
    <w:p w14:paraId="0762A360">
      <w:pPr>
        <w:spacing w:line="400" w:lineRule="exact"/>
        <w:ind w:firstLine="422" w:firstLineChars="200"/>
        <w:rPr>
          <w:rFonts w:ascii="宋体" w:hAnsi="宋体" w:cs="宋体"/>
          <w:bCs/>
        </w:rPr>
      </w:pPr>
      <w:r>
        <w:rPr>
          <w:rFonts w:hint="eastAsia" w:ascii="宋体" w:hAnsi="宋体" w:cs="宋体"/>
          <w:b/>
        </w:rPr>
        <w:t>38.3</w:t>
      </w:r>
      <w:r>
        <w:rPr>
          <w:rFonts w:hint="eastAsia" w:ascii="宋体" w:hAnsi="宋体" w:cs="宋体"/>
          <w:bCs/>
        </w:rPr>
        <w:t>.</w:t>
      </w:r>
      <w:r>
        <w:rPr>
          <w:rFonts w:hint="eastAsia" w:ascii="宋体" w:hAnsi="宋体" w:cs="宋体"/>
          <w:b/>
          <w:bCs/>
        </w:rPr>
        <w:t>1</w:t>
      </w:r>
      <w:r>
        <w:rPr>
          <w:rFonts w:hint="eastAsia" w:ascii="宋体" w:hAnsi="宋体" w:cs="宋体"/>
          <w:bCs/>
        </w:rPr>
        <w:t>供应商认为采购文件、采购过程、中标和成交结果使自己的合法权益受到损害的，应当首先依法向采购人或采购人委托的</w:t>
      </w:r>
      <w:r>
        <w:rPr>
          <w:rFonts w:hint="eastAsia" w:ascii="宋体" w:hAnsi="宋体" w:cs="宋体"/>
        </w:rPr>
        <w:t>采购代理机构</w:t>
      </w:r>
      <w:r>
        <w:rPr>
          <w:rFonts w:hint="eastAsia" w:ascii="宋体" w:hAnsi="宋体" w:cs="宋体"/>
          <w:bCs/>
        </w:rPr>
        <w:t>提出质疑。对采购人、</w:t>
      </w:r>
      <w:r>
        <w:rPr>
          <w:rFonts w:hint="eastAsia" w:ascii="宋体" w:hAnsi="宋体" w:cs="宋体"/>
        </w:rPr>
        <w:t>采购代理机构</w:t>
      </w:r>
      <w:r>
        <w:rPr>
          <w:rFonts w:hint="eastAsia" w:ascii="宋体" w:hAnsi="宋体" w:cs="宋体"/>
          <w:bCs/>
        </w:rPr>
        <w:t>的答复不满意，或者采购人、</w:t>
      </w:r>
      <w:r>
        <w:rPr>
          <w:rFonts w:hint="eastAsia" w:ascii="宋体" w:hAnsi="宋体" w:cs="宋体"/>
        </w:rPr>
        <w:t>采购代理机构</w:t>
      </w:r>
      <w:r>
        <w:rPr>
          <w:rFonts w:hint="eastAsia" w:ascii="宋体" w:hAnsi="宋体" w:cs="宋体"/>
          <w:bCs/>
        </w:rPr>
        <w:t>未在规定期限内做出答复的，供应商可以在答复期满后15个工作日内向广西壮族自治区本级政府采购监督管理部门提起投诉。</w:t>
      </w:r>
    </w:p>
    <w:p w14:paraId="5866977B">
      <w:pPr>
        <w:spacing w:line="400" w:lineRule="exact"/>
        <w:ind w:firstLine="422" w:firstLineChars="200"/>
        <w:rPr>
          <w:rFonts w:ascii="宋体" w:hAnsi="宋体" w:cs="宋体"/>
          <w:bCs/>
        </w:rPr>
      </w:pPr>
      <w:r>
        <w:rPr>
          <w:rFonts w:hint="eastAsia" w:ascii="宋体" w:hAnsi="宋体" w:cs="宋体"/>
          <w:b/>
        </w:rPr>
        <w:t>38.3.2</w:t>
      </w:r>
      <w:r>
        <w:rPr>
          <w:rFonts w:hint="eastAsia" w:ascii="宋体" w:hAnsi="宋体" w:cs="宋体"/>
        </w:rPr>
        <w:t>投诉人投诉时，应当提交投诉书，并按照被投诉采购人、采购代理机构和与投诉事项有关的供应商数量提供投诉书的副本。投诉书</w:t>
      </w:r>
      <w:r>
        <w:rPr>
          <w:rFonts w:hint="eastAsia" w:ascii="宋体" w:hAnsi="宋体" w:cs="宋体"/>
          <w:szCs w:val="21"/>
        </w:rPr>
        <w:t>应当包括下列主要内容</w:t>
      </w:r>
      <w:r>
        <w:rPr>
          <w:rFonts w:hint="eastAsia" w:ascii="宋体" w:hAnsi="宋体" w:cs="宋体"/>
        </w:rPr>
        <w:t>（如材料中有外文资料应同时附上对应的中文译本）</w:t>
      </w:r>
      <w:r>
        <w:rPr>
          <w:rFonts w:hint="eastAsia" w:ascii="宋体" w:hAnsi="宋体" w:cs="宋体"/>
          <w:bCs/>
        </w:rPr>
        <w:t>（投诉书格式后附）</w:t>
      </w:r>
      <w:r>
        <w:rPr>
          <w:rFonts w:hint="eastAsia" w:ascii="宋体" w:hAnsi="宋体" w:cs="宋体"/>
          <w:szCs w:val="21"/>
        </w:rPr>
        <w:t>：</w:t>
      </w:r>
    </w:p>
    <w:p w14:paraId="25B099CE">
      <w:pPr>
        <w:spacing w:line="400" w:lineRule="exact"/>
        <w:ind w:firstLine="420" w:firstLineChars="200"/>
        <w:rPr>
          <w:rFonts w:ascii="宋体" w:hAnsi="宋体" w:cs="宋体"/>
        </w:rPr>
      </w:pPr>
      <w:r>
        <w:rPr>
          <w:rFonts w:hint="eastAsia" w:ascii="宋体" w:hAnsi="宋体" w:cs="宋体"/>
        </w:rPr>
        <w:t>（1）投诉人和被投诉人的名称、地址、邮编、联系人及联系电话等；</w:t>
      </w:r>
    </w:p>
    <w:p w14:paraId="345521FF">
      <w:pPr>
        <w:spacing w:line="400" w:lineRule="exact"/>
        <w:ind w:firstLine="420" w:firstLineChars="200"/>
        <w:rPr>
          <w:rFonts w:ascii="宋体" w:hAnsi="宋体" w:cs="宋体"/>
        </w:rPr>
      </w:pPr>
      <w:r>
        <w:rPr>
          <w:rFonts w:hint="eastAsia" w:ascii="宋体" w:hAnsi="宋体" w:cs="宋体"/>
        </w:rPr>
        <w:t>（2）质疑和质疑答复情况及相关证明材料；</w:t>
      </w:r>
    </w:p>
    <w:p w14:paraId="5DA37049">
      <w:pPr>
        <w:spacing w:line="400" w:lineRule="exact"/>
        <w:ind w:firstLine="420" w:firstLineChars="200"/>
        <w:rPr>
          <w:rFonts w:ascii="宋体" w:hAnsi="宋体" w:cs="宋体"/>
        </w:rPr>
      </w:pPr>
      <w:r>
        <w:rPr>
          <w:rFonts w:hint="eastAsia" w:ascii="宋体" w:hAnsi="宋体" w:cs="宋体"/>
        </w:rPr>
        <w:t>（3）具体、明确的投诉事项和与投诉事项相关的投诉请求；</w:t>
      </w:r>
    </w:p>
    <w:p w14:paraId="5D6BBF29">
      <w:pPr>
        <w:spacing w:line="400" w:lineRule="exact"/>
        <w:ind w:firstLine="420" w:firstLineChars="200"/>
        <w:rPr>
          <w:rFonts w:ascii="宋体" w:hAnsi="宋体" w:cs="宋体"/>
        </w:rPr>
      </w:pPr>
      <w:r>
        <w:rPr>
          <w:rFonts w:hint="eastAsia" w:ascii="宋体" w:hAnsi="宋体" w:cs="宋体"/>
        </w:rPr>
        <w:t>（4）事实依据；</w:t>
      </w:r>
    </w:p>
    <w:p w14:paraId="1E5DC1E5">
      <w:pPr>
        <w:spacing w:line="400" w:lineRule="exact"/>
        <w:ind w:firstLine="420" w:firstLineChars="200"/>
        <w:rPr>
          <w:rFonts w:ascii="宋体" w:hAnsi="宋体" w:cs="宋体"/>
        </w:rPr>
      </w:pPr>
      <w:r>
        <w:rPr>
          <w:rFonts w:hint="eastAsia" w:ascii="宋体" w:hAnsi="宋体" w:cs="宋体"/>
        </w:rPr>
        <w:t>（5）法律依据；</w:t>
      </w:r>
    </w:p>
    <w:p w14:paraId="50182D8D">
      <w:pPr>
        <w:spacing w:line="400" w:lineRule="exact"/>
        <w:ind w:firstLine="420" w:firstLineChars="200"/>
        <w:rPr>
          <w:rFonts w:ascii="宋体" w:hAnsi="宋体" w:cs="宋体"/>
        </w:rPr>
      </w:pPr>
      <w:r>
        <w:rPr>
          <w:rFonts w:hint="eastAsia" w:ascii="宋体" w:hAnsi="宋体" w:cs="宋体"/>
        </w:rPr>
        <w:t>（6）提起投诉的日期。</w:t>
      </w:r>
    </w:p>
    <w:p w14:paraId="0C3173B5">
      <w:pPr>
        <w:spacing w:line="400" w:lineRule="exact"/>
        <w:ind w:firstLine="420" w:firstLineChars="200"/>
        <w:rPr>
          <w:rFonts w:ascii="宋体" w:hAnsi="宋体" w:cs="宋体"/>
        </w:rPr>
      </w:pPr>
      <w:r>
        <w:rPr>
          <w:rFonts w:hint="eastAsia" w:ascii="宋体" w:hAnsi="宋体" w:cs="宋体"/>
        </w:rPr>
        <w:t>（7）附件材料：营业执照副本内页复印件（要求证件有效并清晰反映企业法人经营范围；近期连续三个月依法缴纳税收和在职职工社会保障资金证明材料（复印件）。</w:t>
      </w:r>
      <w:r>
        <w:rPr>
          <w:rFonts w:hint="eastAsia" w:ascii="宋体" w:hAnsi="宋体" w:cs="宋体"/>
        </w:rPr>
        <w:tab/>
      </w:r>
    </w:p>
    <w:p w14:paraId="44816245">
      <w:pPr>
        <w:spacing w:line="400" w:lineRule="exact"/>
        <w:ind w:firstLine="422" w:firstLineChars="200"/>
        <w:rPr>
          <w:rFonts w:ascii="宋体" w:hAnsi="宋体" w:cs="宋体"/>
          <w:bCs/>
        </w:rPr>
      </w:pPr>
      <w:r>
        <w:rPr>
          <w:rFonts w:hint="eastAsia" w:ascii="宋体" w:hAnsi="宋体" w:cs="宋体"/>
          <w:b/>
        </w:rPr>
        <w:t>38.3.3</w:t>
      </w:r>
      <w:r>
        <w:rPr>
          <w:rFonts w:hint="eastAsia" w:ascii="宋体" w:hAnsi="宋体" w:cs="宋体"/>
        </w:rPr>
        <w:t>投诉人可以委托代理人办理投诉事务。</w:t>
      </w:r>
      <w:r>
        <w:rPr>
          <w:rFonts w:hint="eastAsia" w:ascii="宋体" w:hAnsi="宋体" w:cs="宋体"/>
          <w:bCs/>
        </w:rPr>
        <w:t>委托代理人应熟悉相关业务情况。</w:t>
      </w:r>
      <w:r>
        <w:rPr>
          <w:rFonts w:hint="eastAsia" w:ascii="宋体" w:hAnsi="宋体" w:cs="宋体"/>
        </w:rPr>
        <w:t>代理人办理投诉事务时，除提交投诉书外，还应当提交投诉人的授权委托书和委托代理人身份证明复印件。</w:t>
      </w:r>
    </w:p>
    <w:p w14:paraId="6ED2FB2A">
      <w:pPr>
        <w:spacing w:line="400" w:lineRule="exact"/>
        <w:ind w:firstLine="422" w:firstLineChars="200"/>
        <w:rPr>
          <w:rFonts w:ascii="宋体" w:hAnsi="宋体" w:cs="宋体"/>
        </w:rPr>
      </w:pPr>
      <w:r>
        <w:rPr>
          <w:rFonts w:hint="eastAsia" w:ascii="宋体" w:hAnsi="宋体" w:cs="宋体"/>
          <w:b/>
        </w:rPr>
        <w:t>38.3.4</w:t>
      </w:r>
      <w:r>
        <w:rPr>
          <w:rFonts w:hint="eastAsia" w:ascii="宋体" w:hAnsi="宋体" w:cs="宋体"/>
        </w:rPr>
        <w:t>投诉人提起投诉应当符合下列条件：</w:t>
      </w:r>
    </w:p>
    <w:p w14:paraId="190BAC87">
      <w:pPr>
        <w:spacing w:line="400" w:lineRule="exact"/>
        <w:ind w:firstLine="420" w:firstLineChars="200"/>
        <w:rPr>
          <w:rFonts w:ascii="宋体" w:hAnsi="宋体" w:cs="宋体"/>
        </w:rPr>
      </w:pPr>
      <w:r>
        <w:rPr>
          <w:rFonts w:hint="eastAsia" w:ascii="宋体" w:hAnsi="宋体" w:cs="宋体"/>
        </w:rPr>
        <w:t>（1）投诉人是参与所投诉政府采购活动的供应商；</w:t>
      </w:r>
    </w:p>
    <w:p w14:paraId="713B7187">
      <w:pPr>
        <w:spacing w:line="400" w:lineRule="exact"/>
        <w:ind w:firstLine="420" w:firstLineChars="200"/>
        <w:rPr>
          <w:rFonts w:ascii="宋体" w:hAnsi="宋体" w:cs="宋体"/>
        </w:rPr>
      </w:pPr>
      <w:r>
        <w:rPr>
          <w:rFonts w:hint="eastAsia" w:ascii="宋体" w:hAnsi="宋体" w:cs="宋体"/>
        </w:rPr>
        <w:t>（2）提起投诉前已依法进行质疑；</w:t>
      </w:r>
    </w:p>
    <w:p w14:paraId="797F0B01">
      <w:pPr>
        <w:spacing w:line="400" w:lineRule="exact"/>
        <w:ind w:firstLine="420" w:firstLineChars="200"/>
        <w:rPr>
          <w:rFonts w:ascii="宋体" w:hAnsi="宋体" w:cs="宋体"/>
        </w:rPr>
      </w:pPr>
      <w:r>
        <w:rPr>
          <w:rFonts w:hint="eastAsia" w:ascii="宋体" w:hAnsi="宋体" w:cs="宋体"/>
        </w:rPr>
        <w:t>（3）投诉书内容符合本章第38.3.2项的规定；</w:t>
      </w:r>
    </w:p>
    <w:p w14:paraId="095D2076">
      <w:pPr>
        <w:spacing w:line="400" w:lineRule="exact"/>
        <w:ind w:firstLine="420" w:firstLineChars="200"/>
        <w:rPr>
          <w:rFonts w:ascii="宋体" w:hAnsi="宋体" w:cs="宋体"/>
        </w:rPr>
      </w:pPr>
      <w:r>
        <w:rPr>
          <w:rFonts w:hint="eastAsia" w:ascii="宋体" w:hAnsi="宋体" w:cs="宋体"/>
        </w:rPr>
        <w:t>（4）在投诉有效期限内提起投诉；</w:t>
      </w:r>
    </w:p>
    <w:p w14:paraId="7AB72C47">
      <w:pPr>
        <w:spacing w:line="400" w:lineRule="exact"/>
        <w:ind w:firstLine="420" w:firstLineChars="200"/>
        <w:rPr>
          <w:rFonts w:ascii="宋体" w:hAnsi="宋体" w:cs="宋体"/>
        </w:rPr>
      </w:pPr>
      <w:r>
        <w:rPr>
          <w:rFonts w:hint="eastAsia" w:ascii="宋体" w:hAnsi="宋体" w:cs="宋体"/>
        </w:rPr>
        <w:t>（5）属于广西壮族自治区本级政府采购监督管理部门管辖；</w:t>
      </w:r>
    </w:p>
    <w:p w14:paraId="2620DBD2">
      <w:pPr>
        <w:spacing w:line="400" w:lineRule="exact"/>
        <w:ind w:firstLine="420" w:firstLineChars="200"/>
        <w:rPr>
          <w:rFonts w:ascii="宋体" w:hAnsi="宋体" w:cs="宋体"/>
        </w:rPr>
      </w:pPr>
      <w:r>
        <w:rPr>
          <w:rFonts w:hint="eastAsia" w:ascii="宋体" w:hAnsi="宋体" w:cs="宋体"/>
        </w:rPr>
        <w:t>（6）同一投诉事项未经广西壮族自治区本级</w:t>
      </w:r>
      <w:r>
        <w:rPr>
          <w:rFonts w:hint="eastAsia" w:ascii="宋体" w:hAnsi="宋体" w:cs="宋体"/>
          <w:bCs/>
        </w:rPr>
        <w:t>政府采购监督管理部门</w:t>
      </w:r>
      <w:r>
        <w:rPr>
          <w:rFonts w:hint="eastAsia" w:ascii="宋体" w:hAnsi="宋体" w:cs="宋体"/>
        </w:rPr>
        <w:t>投诉处理；</w:t>
      </w:r>
    </w:p>
    <w:p w14:paraId="6AB0E8AF">
      <w:pPr>
        <w:spacing w:line="400" w:lineRule="exact"/>
        <w:ind w:firstLine="420" w:firstLineChars="200"/>
        <w:rPr>
          <w:rFonts w:ascii="宋体" w:hAnsi="宋体" w:cs="宋体"/>
        </w:rPr>
      </w:pPr>
      <w:r>
        <w:rPr>
          <w:rFonts w:hint="eastAsia" w:ascii="宋体" w:hAnsi="宋体" w:cs="宋体"/>
        </w:rPr>
        <w:t>（7）国务院财政部门规定的其他条件。</w:t>
      </w:r>
    </w:p>
    <w:p w14:paraId="143EAC76">
      <w:pPr>
        <w:spacing w:line="400" w:lineRule="exact"/>
        <w:ind w:firstLine="422" w:firstLineChars="200"/>
        <w:rPr>
          <w:rFonts w:ascii="宋体" w:hAnsi="宋体" w:cs="宋体"/>
        </w:rPr>
      </w:pPr>
      <w:r>
        <w:rPr>
          <w:rFonts w:hint="eastAsia" w:ascii="宋体" w:hAnsi="宋体" w:cs="宋体"/>
          <w:b/>
        </w:rPr>
        <w:t>38.3.5</w:t>
      </w:r>
      <w:r>
        <w:rPr>
          <w:rFonts w:hint="eastAsia" w:ascii="宋体" w:hAnsi="宋体" w:cs="宋体"/>
        </w:rPr>
        <w:t>政府采购监督管理部门自受理投诉之日起30个工作日内，对投诉事项作出处理决定，并以书面形式通知投诉人、被投诉人及其他与投诉处理结果有利害关系的政府采购当事人。并将投诉结果在http：//zfcg.gxzf.gov.cn（广西壮族自治区政府采购网）发布。</w:t>
      </w:r>
    </w:p>
    <w:p w14:paraId="70A52AEF">
      <w:pPr>
        <w:spacing w:line="400" w:lineRule="exact"/>
        <w:ind w:firstLine="422" w:firstLineChars="200"/>
        <w:rPr>
          <w:rFonts w:ascii="宋体" w:hAnsi="宋体" w:cs="宋体"/>
        </w:rPr>
      </w:pPr>
      <w:r>
        <w:rPr>
          <w:rFonts w:hint="eastAsia" w:ascii="宋体" w:hAnsi="宋体" w:cs="宋体"/>
          <w:b/>
        </w:rPr>
        <w:t>38.3.6</w:t>
      </w:r>
      <w:r>
        <w:rPr>
          <w:rFonts w:hint="eastAsia" w:ascii="宋体" w:hAnsi="宋体" w:cs="宋体"/>
        </w:rPr>
        <w:t>政府采购监督管理部门在处理投诉事项期间，可以视具体情况暂停采购活动。</w:t>
      </w:r>
    </w:p>
    <w:p w14:paraId="7B1583D6">
      <w:pPr>
        <w:pStyle w:val="4"/>
        <w:spacing w:before="0" w:after="0" w:line="480" w:lineRule="auto"/>
        <w:jc w:val="center"/>
        <w:rPr>
          <w:sz w:val="30"/>
          <w:szCs w:val="30"/>
        </w:rPr>
      </w:pPr>
      <w:r>
        <w:rPr>
          <w:rFonts w:hint="eastAsia"/>
          <w:sz w:val="30"/>
          <w:szCs w:val="30"/>
        </w:rPr>
        <w:t>八、验收</w:t>
      </w:r>
    </w:p>
    <w:p w14:paraId="031B9A00">
      <w:pPr>
        <w:spacing w:line="400" w:lineRule="exact"/>
        <w:ind w:firstLine="482" w:firstLineChars="200"/>
        <w:rPr>
          <w:rFonts w:ascii="宋体" w:hAnsi="宋体" w:cs="宋体"/>
          <w:b/>
          <w:sz w:val="24"/>
        </w:rPr>
      </w:pPr>
      <w:r>
        <w:rPr>
          <w:rFonts w:hint="eastAsia" w:ascii="宋体" w:hAnsi="宋体" w:cs="宋体"/>
          <w:b/>
          <w:sz w:val="24"/>
        </w:rPr>
        <w:t>39.验收</w:t>
      </w:r>
    </w:p>
    <w:p w14:paraId="3E677926">
      <w:pPr>
        <w:tabs>
          <w:tab w:val="left" w:pos="0"/>
        </w:tabs>
        <w:spacing w:line="400" w:lineRule="exact"/>
        <w:ind w:firstLine="480"/>
        <w:rPr>
          <w:rFonts w:ascii="宋体" w:hAnsi="宋体" w:cs="宋体"/>
        </w:rPr>
      </w:pPr>
      <w:r>
        <w:rPr>
          <w:rFonts w:hint="eastAsia" w:ascii="宋体" w:hAnsi="宋体" w:cs="宋体"/>
        </w:rPr>
        <w:t>39.1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F898D18">
      <w:pPr>
        <w:tabs>
          <w:tab w:val="left" w:pos="0"/>
        </w:tabs>
        <w:spacing w:line="400" w:lineRule="exact"/>
        <w:ind w:firstLine="480"/>
        <w:rPr>
          <w:rFonts w:ascii="宋体" w:hAnsi="宋体" w:cs="宋体"/>
        </w:rPr>
      </w:pPr>
      <w:r>
        <w:rPr>
          <w:rFonts w:hint="eastAsia" w:ascii="宋体" w:hAnsi="宋体" w:cs="宋体"/>
        </w:rPr>
        <w:t>39.2采购人可以邀请参加本项目的其他投标人或者第三方机构参与验收。参与验收的投标人或者第三方机构的意见作为验收书的参考资料一并存档。</w:t>
      </w:r>
    </w:p>
    <w:p w14:paraId="5749F24C">
      <w:pPr>
        <w:tabs>
          <w:tab w:val="left" w:pos="0"/>
        </w:tabs>
        <w:spacing w:line="400" w:lineRule="exact"/>
        <w:ind w:firstLine="480"/>
        <w:rPr>
          <w:rFonts w:ascii="宋体" w:hAnsi="宋体" w:cs="宋体"/>
        </w:rPr>
      </w:pPr>
      <w:r>
        <w:rPr>
          <w:rFonts w:hint="eastAsia" w:ascii="宋体" w:hAnsi="宋体" w:cs="宋体"/>
        </w:rPr>
        <w:t>39.3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41773C1">
      <w:pPr>
        <w:tabs>
          <w:tab w:val="left" w:pos="0"/>
        </w:tabs>
        <w:spacing w:line="400" w:lineRule="exact"/>
        <w:ind w:firstLine="480"/>
        <w:rPr>
          <w:rFonts w:ascii="宋体" w:hAnsi="宋体" w:cs="宋体"/>
        </w:rPr>
      </w:pPr>
      <w:r>
        <w:rPr>
          <w:rFonts w:hint="eastAsia" w:ascii="宋体" w:hAnsi="宋体" w:cs="宋体"/>
        </w:rPr>
        <w:t>39.4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E91346B">
      <w:pPr>
        <w:pStyle w:val="4"/>
        <w:spacing w:before="0" w:after="0" w:line="432" w:lineRule="auto"/>
        <w:jc w:val="center"/>
        <w:rPr>
          <w:sz w:val="30"/>
          <w:szCs w:val="30"/>
        </w:rPr>
      </w:pPr>
      <w:bookmarkStart w:id="74" w:name="_Toc23063"/>
      <w:r>
        <w:rPr>
          <w:rFonts w:hint="eastAsia"/>
          <w:sz w:val="30"/>
          <w:szCs w:val="30"/>
        </w:rPr>
        <w:t>九、其他事项</w:t>
      </w:r>
      <w:bookmarkEnd w:id="74"/>
    </w:p>
    <w:p w14:paraId="1AC0F292">
      <w:pPr>
        <w:spacing w:line="380" w:lineRule="exact"/>
        <w:ind w:firstLine="482" w:firstLineChars="200"/>
        <w:rPr>
          <w:rFonts w:ascii="宋体" w:hAnsi="宋体" w:cs="宋体"/>
          <w:b/>
          <w:sz w:val="24"/>
        </w:rPr>
      </w:pPr>
      <w:r>
        <w:rPr>
          <w:rFonts w:hint="eastAsia" w:ascii="宋体" w:hAnsi="宋体" w:cs="宋体"/>
          <w:b/>
          <w:sz w:val="24"/>
        </w:rPr>
        <w:t>40.代理服务费</w:t>
      </w:r>
    </w:p>
    <w:p w14:paraId="18F0EB1B">
      <w:pPr>
        <w:spacing w:line="380" w:lineRule="exact"/>
        <w:ind w:firstLine="422" w:firstLineChars="200"/>
        <w:rPr>
          <w:rFonts w:ascii="宋体" w:hAnsi="宋体" w:cs="宋体"/>
          <w:b/>
          <w:szCs w:val="21"/>
        </w:rPr>
      </w:pPr>
      <w:r>
        <w:rPr>
          <w:rFonts w:hint="eastAsia" w:ascii="宋体" w:hAnsi="宋体" w:cs="宋体"/>
          <w:b/>
          <w:szCs w:val="21"/>
        </w:rPr>
        <w:t>代理服务收费标准及缴费账户详见“投标人须知前附表”，投标人为联合体的，可以由联合体中的一方或者多方共同交纳代理服务费。</w:t>
      </w:r>
    </w:p>
    <w:p w14:paraId="3D9215AA">
      <w:pPr>
        <w:spacing w:line="380" w:lineRule="exact"/>
        <w:ind w:firstLine="482" w:firstLineChars="200"/>
        <w:rPr>
          <w:rFonts w:ascii="宋体" w:hAnsi="宋体" w:cs="宋体"/>
          <w:b/>
          <w:sz w:val="24"/>
        </w:rPr>
      </w:pPr>
      <w:r>
        <w:rPr>
          <w:rFonts w:hint="eastAsia" w:ascii="宋体" w:hAnsi="宋体" w:cs="宋体"/>
          <w:b/>
          <w:sz w:val="24"/>
        </w:rPr>
        <w:t>41.需要补充的其他内容</w:t>
      </w:r>
    </w:p>
    <w:p w14:paraId="360F7679">
      <w:pPr>
        <w:tabs>
          <w:tab w:val="left" w:pos="0"/>
        </w:tabs>
        <w:spacing w:line="380" w:lineRule="exact"/>
        <w:ind w:firstLine="480"/>
        <w:rPr>
          <w:rFonts w:ascii="宋体" w:hAnsi="宋体" w:cs="宋体"/>
        </w:rPr>
      </w:pPr>
      <w:r>
        <w:rPr>
          <w:rFonts w:hint="eastAsia" w:ascii="宋体" w:hAnsi="宋体" w:cs="宋体"/>
        </w:rPr>
        <w:t>41.1本招标文件解释规则详见“投标人须知前附表”。</w:t>
      </w:r>
    </w:p>
    <w:p w14:paraId="09DED8F9">
      <w:pPr>
        <w:tabs>
          <w:tab w:val="left" w:pos="0"/>
        </w:tabs>
        <w:spacing w:line="380" w:lineRule="exact"/>
        <w:ind w:firstLine="480"/>
        <w:rPr>
          <w:rFonts w:ascii="宋体" w:hAnsi="宋体" w:cs="宋体"/>
        </w:rPr>
      </w:pPr>
      <w:r>
        <w:rPr>
          <w:rFonts w:hint="eastAsia" w:ascii="宋体" w:hAnsi="宋体" w:cs="宋体"/>
        </w:rPr>
        <w:t>41.2其他事项详见“投标人须知前附表”。</w:t>
      </w:r>
    </w:p>
    <w:p w14:paraId="64C857CC">
      <w:pPr>
        <w:tabs>
          <w:tab w:val="left" w:pos="0"/>
        </w:tabs>
        <w:spacing w:line="380" w:lineRule="exact"/>
        <w:ind w:firstLine="480"/>
        <w:rPr>
          <w:rFonts w:ascii="宋体" w:hAnsi="宋体" w:cs="宋体"/>
        </w:rPr>
      </w:pPr>
      <w:r>
        <w:rPr>
          <w:rFonts w:hint="eastAsia" w:ascii="宋体" w:hAnsi="宋体" w:cs="宋体"/>
        </w:rPr>
        <w:t>41.3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由中小企业制造，即货物由中小企业生产且使用该中小企业商号或者注册商标，不对其中涉及的工程承建商和服务的承接商作出要求的，享受本文件规定的中小企业扶持政策。</w:t>
      </w:r>
    </w:p>
    <w:p w14:paraId="29A58E7F">
      <w:pPr>
        <w:tabs>
          <w:tab w:val="left" w:pos="0"/>
        </w:tabs>
        <w:spacing w:line="380" w:lineRule="exact"/>
        <w:ind w:firstLine="480"/>
        <w:rPr>
          <w:rFonts w:ascii="宋体" w:hAnsi="宋体" w:cs="宋体"/>
        </w:rPr>
      </w:pPr>
      <w:r>
        <w:rPr>
          <w:rFonts w:hint="eastAsia" w:ascii="宋体" w:hAnsi="宋体" w:cs="宋体"/>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0642DC88">
      <w:pPr>
        <w:tabs>
          <w:tab w:val="left" w:pos="0"/>
        </w:tabs>
        <w:spacing w:line="380" w:lineRule="exact"/>
        <w:ind w:firstLine="480"/>
        <w:rPr>
          <w:rFonts w:ascii="宋体" w:hAnsi="宋体" w:cs="宋体"/>
        </w:rPr>
      </w:pPr>
      <w:r>
        <w:rPr>
          <w:rFonts w:hint="eastAsia" w:ascii="宋体" w:hAnsi="宋体" w:cs="宋体"/>
        </w:rPr>
        <w:t>依据本文件规定享受扶持政策获得政府采购合同的，小微企业不得将合同分包给大中型企业，中型企业不得将合同分包给大型企业。</w:t>
      </w:r>
      <w:bookmarkEnd w:id="60"/>
      <w:bookmarkEnd w:id="61"/>
    </w:p>
    <w:p w14:paraId="6EEC065D">
      <w:pPr>
        <w:pStyle w:val="2"/>
        <w:spacing w:before="0" w:after="0" w:line="360" w:lineRule="auto"/>
        <w:jc w:val="center"/>
        <w:rPr>
          <w:rFonts w:ascii="宋体" w:hAnsi="宋体" w:cs="宋体"/>
        </w:rPr>
      </w:pPr>
      <w:r>
        <w:rPr>
          <w:rFonts w:hint="eastAsia" w:ascii="宋体" w:hAnsi="宋体" w:cs="宋体"/>
        </w:rPr>
        <w:br w:type="page"/>
      </w:r>
      <w:bookmarkStart w:id="75" w:name="_Toc254970548"/>
      <w:bookmarkStart w:id="76" w:name="_Toc254970689"/>
      <w:bookmarkStart w:id="77" w:name="_Toc330456896"/>
      <w:bookmarkStart w:id="78" w:name="_Toc13156"/>
      <w:r>
        <w:rPr>
          <w:rFonts w:hint="eastAsia" w:ascii="宋体" w:hAnsi="宋体" w:cs="宋体"/>
        </w:rPr>
        <w:t>第四章  评标方法及评标标准</w:t>
      </w:r>
      <w:bookmarkEnd w:id="75"/>
      <w:bookmarkEnd w:id="76"/>
      <w:bookmarkEnd w:id="77"/>
      <w:bookmarkEnd w:id="78"/>
    </w:p>
    <w:p w14:paraId="53552FDF">
      <w:pPr>
        <w:pStyle w:val="3"/>
        <w:spacing w:before="0" w:after="0" w:line="360" w:lineRule="auto"/>
        <w:jc w:val="center"/>
        <w:rPr>
          <w:rFonts w:ascii="宋体" w:hAnsi="宋体" w:eastAsia="宋体" w:cs="宋体"/>
        </w:rPr>
      </w:pPr>
      <w:bookmarkStart w:id="79" w:name="_Toc6926"/>
      <w:bookmarkStart w:id="80" w:name="_Toc30032"/>
      <w:r>
        <w:rPr>
          <w:rFonts w:hint="eastAsia" w:ascii="宋体" w:hAnsi="宋体" w:eastAsia="宋体" w:cs="宋体"/>
        </w:rPr>
        <w:t>第一节 评标方法</w:t>
      </w:r>
      <w:bookmarkEnd w:id="79"/>
      <w:bookmarkEnd w:id="80"/>
    </w:p>
    <w:p w14:paraId="3BF4BAD7">
      <w:pPr>
        <w:pStyle w:val="25"/>
        <w:tabs>
          <w:tab w:val="left" w:pos="2472"/>
        </w:tabs>
        <w:spacing w:line="400" w:lineRule="exact"/>
        <w:ind w:firstLine="420" w:firstLineChars="200"/>
        <w:rPr>
          <w:rFonts w:hAnsi="宋体" w:cs="宋体"/>
          <w:sz w:val="21"/>
        </w:rPr>
      </w:pPr>
      <w:r>
        <w:rPr>
          <w:rFonts w:hint="eastAsia" w:hAnsi="宋体" w:cs="宋体"/>
          <w:sz w:val="21"/>
        </w:rPr>
        <w:t>本项目采用</w:t>
      </w:r>
      <w:r>
        <w:rPr>
          <w:rFonts w:hint="eastAsia" w:hAnsi="宋体" w:cs="宋体"/>
          <w:sz w:val="21"/>
          <w:u w:val="single"/>
        </w:rPr>
        <w:t xml:space="preserve"> 以下勾选的方式</w:t>
      </w:r>
      <w:r>
        <w:rPr>
          <w:rFonts w:hint="eastAsia" w:hAnsi="宋体" w:cs="宋体"/>
          <w:sz w:val="21"/>
        </w:rPr>
        <w:t>进行评审。</w:t>
      </w:r>
    </w:p>
    <w:p w14:paraId="200A6081">
      <w:pPr>
        <w:autoSpaceDE w:val="0"/>
        <w:autoSpaceDN w:val="0"/>
        <w:adjustRightInd w:val="0"/>
        <w:spacing w:line="400" w:lineRule="exact"/>
        <w:ind w:firstLine="420" w:firstLineChars="200"/>
        <w:rPr>
          <w:rFonts w:ascii="宋体" w:hAnsi="宋体" w:cs="宋体"/>
          <w:szCs w:val="21"/>
        </w:rPr>
      </w:pPr>
      <w:r>
        <w:rPr>
          <w:rFonts w:hint="eastAsia" w:ascii="宋体" w:hAnsi="宋体" w:cs="宋体"/>
          <w:szCs w:val="21"/>
        </w:rPr>
        <w:t>☑综合评分法，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以技术性能得分较高者为先。</w:t>
      </w:r>
    </w:p>
    <w:p w14:paraId="64AA5B0E">
      <w:pPr>
        <w:autoSpaceDE w:val="0"/>
        <w:autoSpaceDN w:val="0"/>
        <w:adjustRightInd w:val="0"/>
        <w:spacing w:line="400" w:lineRule="exact"/>
        <w:ind w:firstLine="420" w:firstLineChars="200"/>
        <w:rPr>
          <w:rFonts w:ascii="宋体" w:hAnsi="宋体" w:cs="宋体"/>
          <w:szCs w:val="21"/>
        </w:rPr>
      </w:pPr>
      <w:r>
        <w:rPr>
          <w:rFonts w:hint="eastAsia" w:ascii="宋体" w:hAnsi="宋体" w:cs="宋体"/>
          <w:szCs w:val="21"/>
        </w:rPr>
        <w:t>该评标方法适用本项目所有标段。</w:t>
      </w:r>
    </w:p>
    <w:p w14:paraId="09C67FCE">
      <w:pPr>
        <w:pStyle w:val="25"/>
        <w:spacing w:line="400" w:lineRule="exact"/>
        <w:ind w:firstLine="420"/>
        <w:rPr>
          <w:rFonts w:hAnsi="宋体" w:cs="宋体"/>
        </w:rPr>
      </w:pPr>
    </w:p>
    <w:p w14:paraId="4F8D046A">
      <w:pPr>
        <w:pStyle w:val="3"/>
        <w:spacing w:before="0" w:after="0" w:line="480" w:lineRule="auto"/>
        <w:jc w:val="center"/>
        <w:rPr>
          <w:rFonts w:ascii="宋体" w:hAnsi="宋体" w:eastAsia="宋体" w:cs="宋体"/>
        </w:rPr>
      </w:pPr>
      <w:bookmarkStart w:id="81" w:name="_Toc7459"/>
      <w:bookmarkStart w:id="82" w:name="_Toc9427"/>
      <w:r>
        <w:rPr>
          <w:rFonts w:hint="eastAsia" w:ascii="宋体" w:hAnsi="宋体" w:eastAsia="宋体" w:cs="宋体"/>
        </w:rPr>
        <w:t>第二节 评标程序</w:t>
      </w:r>
      <w:bookmarkEnd w:id="81"/>
      <w:bookmarkEnd w:id="82"/>
    </w:p>
    <w:p w14:paraId="455E36D8">
      <w:pPr>
        <w:spacing w:line="400" w:lineRule="exact"/>
        <w:ind w:firstLine="422" w:firstLineChars="200"/>
        <w:rPr>
          <w:rFonts w:ascii="宋体" w:hAnsi="宋体" w:cs="宋体"/>
          <w:b/>
          <w:szCs w:val="21"/>
        </w:rPr>
      </w:pPr>
      <w:r>
        <w:rPr>
          <w:rFonts w:hint="eastAsia" w:ascii="宋体" w:hAnsi="宋体" w:cs="宋体"/>
          <w:b/>
          <w:szCs w:val="21"/>
        </w:rPr>
        <w:t>1.符合性审查</w:t>
      </w:r>
    </w:p>
    <w:p w14:paraId="7A27042C">
      <w:pPr>
        <w:spacing w:line="400" w:lineRule="exact"/>
        <w:ind w:firstLine="420" w:firstLineChars="200"/>
        <w:rPr>
          <w:rFonts w:ascii="宋体" w:hAnsi="宋体" w:cs="宋体"/>
          <w:szCs w:val="21"/>
        </w:rPr>
      </w:pPr>
      <w:r>
        <w:rPr>
          <w:rFonts w:hint="eastAsia" w:ascii="宋体" w:hAnsi="宋体" w:cs="宋体"/>
          <w:szCs w:val="21"/>
        </w:rPr>
        <w:t>评标委员会应当对符合资格的投标人的投标文件进行投标报价、商务、技术等实质性内容符合性审查，以确定其是否满足招标文件的实质性要求。</w:t>
      </w:r>
    </w:p>
    <w:p w14:paraId="626B8655">
      <w:pPr>
        <w:spacing w:line="400" w:lineRule="exact"/>
        <w:ind w:firstLine="422" w:firstLineChars="200"/>
        <w:rPr>
          <w:rFonts w:ascii="宋体" w:hAnsi="宋体" w:cs="宋体"/>
          <w:b/>
          <w:szCs w:val="21"/>
        </w:rPr>
      </w:pPr>
      <w:r>
        <w:rPr>
          <w:rFonts w:hint="eastAsia" w:ascii="宋体" w:hAnsi="宋体" w:cs="宋体"/>
          <w:b/>
          <w:szCs w:val="21"/>
        </w:rPr>
        <w:t>2.符合性审查不通过而导致投标无效的情形</w:t>
      </w:r>
    </w:p>
    <w:p w14:paraId="4513E763">
      <w:pPr>
        <w:spacing w:line="400" w:lineRule="exact"/>
        <w:ind w:firstLine="420" w:firstLineChars="200"/>
        <w:rPr>
          <w:rFonts w:ascii="宋体" w:hAnsi="宋体" w:cs="宋体"/>
          <w:szCs w:val="21"/>
        </w:rPr>
      </w:pPr>
      <w:r>
        <w:rPr>
          <w:rFonts w:hint="eastAsia" w:ascii="宋体" w:hAnsi="宋体" w:cs="宋体"/>
          <w:szCs w:val="21"/>
        </w:rPr>
        <w:t>投标人的投标文件中存在对招标文件的任何实质性要求和条件的负偏离，将被视为投标无效。</w:t>
      </w:r>
    </w:p>
    <w:p w14:paraId="5910A0D0">
      <w:pPr>
        <w:spacing w:line="400" w:lineRule="exact"/>
        <w:ind w:firstLine="420" w:firstLineChars="200"/>
        <w:rPr>
          <w:rFonts w:ascii="宋体" w:hAnsi="宋体" w:cs="宋体"/>
          <w:szCs w:val="21"/>
        </w:rPr>
      </w:pPr>
      <w:r>
        <w:rPr>
          <w:rFonts w:hint="eastAsia" w:ascii="宋体" w:hAnsi="宋体" w:cs="宋体"/>
          <w:szCs w:val="21"/>
        </w:rPr>
        <w:t>2.1在报价评审时，如发现下列情形之一的，将被视为投标无效：</w:t>
      </w:r>
    </w:p>
    <w:p w14:paraId="14F3F7A3">
      <w:pPr>
        <w:spacing w:line="400" w:lineRule="exact"/>
        <w:ind w:firstLine="420" w:firstLineChars="200"/>
        <w:rPr>
          <w:rFonts w:ascii="宋体" w:hAnsi="宋体" w:cs="宋体"/>
          <w:szCs w:val="21"/>
        </w:rPr>
      </w:pPr>
      <w:r>
        <w:rPr>
          <w:rFonts w:hint="eastAsia" w:ascii="宋体" w:hAnsi="宋体" w:cs="宋体"/>
          <w:szCs w:val="21"/>
        </w:rPr>
        <w:t>（1）投标文件未提供“投标人须知前附表”第13.1条规定中“必须提供”的文件资料的；</w:t>
      </w:r>
    </w:p>
    <w:p w14:paraId="2F5B1A8C">
      <w:pPr>
        <w:spacing w:line="400" w:lineRule="exact"/>
        <w:ind w:firstLine="420" w:firstLineChars="200"/>
        <w:rPr>
          <w:rFonts w:ascii="宋体" w:hAnsi="宋体" w:cs="宋体"/>
          <w:szCs w:val="21"/>
        </w:rPr>
      </w:pPr>
      <w:r>
        <w:rPr>
          <w:rFonts w:hint="eastAsia" w:ascii="宋体" w:hAnsi="宋体" w:cs="宋体"/>
          <w:szCs w:val="21"/>
        </w:rPr>
        <w:t>（2）未采用人民币报价或者未按照招标文件标明的币种报价的；</w:t>
      </w:r>
    </w:p>
    <w:p w14:paraId="15783943">
      <w:pPr>
        <w:spacing w:line="400" w:lineRule="exact"/>
        <w:ind w:firstLine="420" w:firstLineChars="200"/>
        <w:rPr>
          <w:rFonts w:ascii="宋体" w:hAnsi="宋体" w:cs="宋体"/>
          <w:szCs w:val="21"/>
        </w:rPr>
      </w:pPr>
      <w:r>
        <w:rPr>
          <w:rFonts w:hint="eastAsia" w:ascii="宋体" w:hAnsi="宋体" w:cs="宋体"/>
          <w:szCs w:val="21"/>
        </w:rPr>
        <w:t>（3）报价超出招标文件规定最高限价，或者超出采购预算金额（包括分项预算）的；</w:t>
      </w:r>
    </w:p>
    <w:p w14:paraId="002752FD">
      <w:pPr>
        <w:spacing w:line="400" w:lineRule="exact"/>
        <w:ind w:firstLine="420" w:firstLineChars="200"/>
        <w:rPr>
          <w:rFonts w:ascii="宋体" w:hAnsi="宋体" w:cs="宋体"/>
          <w:szCs w:val="21"/>
        </w:rPr>
      </w:pPr>
      <w:r>
        <w:rPr>
          <w:rFonts w:hint="eastAsia" w:ascii="宋体" w:hAnsi="宋体" w:cs="宋体"/>
          <w:szCs w:val="21"/>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0C9AECA0">
      <w:pPr>
        <w:spacing w:line="400" w:lineRule="exact"/>
        <w:ind w:firstLine="420" w:firstLineChars="200"/>
        <w:rPr>
          <w:rFonts w:ascii="宋体" w:hAnsi="宋体" w:cs="宋体"/>
          <w:szCs w:val="21"/>
        </w:rPr>
      </w:pPr>
      <w:r>
        <w:rPr>
          <w:rFonts w:hint="eastAsia" w:ascii="宋体" w:hAnsi="宋体" w:cs="宋体"/>
          <w:szCs w:val="21"/>
        </w:rPr>
        <w:t>（5）修正后的报价，投标人不确认的；</w:t>
      </w:r>
    </w:p>
    <w:p w14:paraId="67569B6B">
      <w:pPr>
        <w:spacing w:line="400" w:lineRule="exact"/>
        <w:ind w:firstLine="420" w:firstLineChars="200"/>
        <w:rPr>
          <w:rFonts w:ascii="宋体" w:hAnsi="宋体" w:cs="宋体"/>
          <w:szCs w:val="21"/>
        </w:rPr>
      </w:pPr>
      <w:r>
        <w:rPr>
          <w:rFonts w:hint="eastAsia" w:ascii="宋体" w:hAnsi="宋体" w:cs="宋体"/>
          <w:szCs w:val="21"/>
        </w:rPr>
        <w:t>（6）投标人属于本章第5条第（2）项情形的。</w:t>
      </w:r>
    </w:p>
    <w:p w14:paraId="6E63095F">
      <w:pPr>
        <w:spacing w:line="400" w:lineRule="exact"/>
        <w:ind w:firstLine="420" w:firstLineChars="200"/>
        <w:rPr>
          <w:rFonts w:ascii="宋体" w:hAnsi="宋体" w:cs="宋体"/>
          <w:szCs w:val="21"/>
        </w:rPr>
      </w:pPr>
      <w:r>
        <w:rPr>
          <w:rFonts w:hint="eastAsia" w:ascii="宋体" w:hAnsi="宋体" w:cs="宋体"/>
          <w:szCs w:val="21"/>
        </w:rPr>
        <w:t>2.2在商务评审时，如发现下列情形之一的，将被视为投标无效：</w:t>
      </w:r>
    </w:p>
    <w:p w14:paraId="67F39E13">
      <w:pPr>
        <w:spacing w:line="400" w:lineRule="exact"/>
        <w:ind w:firstLine="420" w:firstLineChars="200"/>
        <w:rPr>
          <w:rFonts w:ascii="宋体" w:hAnsi="宋体" w:cs="宋体"/>
          <w:szCs w:val="21"/>
        </w:rPr>
      </w:pPr>
      <w:r>
        <w:rPr>
          <w:rFonts w:hint="eastAsia" w:ascii="宋体" w:hAnsi="宋体" w:cs="宋体"/>
          <w:szCs w:val="21"/>
        </w:rPr>
        <w:t>（1）投标文件未按招标文件要求签署、盖章的；</w:t>
      </w:r>
    </w:p>
    <w:p w14:paraId="2F0C4183">
      <w:pPr>
        <w:spacing w:line="400" w:lineRule="exact"/>
        <w:ind w:firstLine="420" w:firstLineChars="200"/>
        <w:rPr>
          <w:rFonts w:ascii="宋体" w:hAnsi="宋体" w:cs="宋体"/>
          <w:szCs w:val="21"/>
        </w:rPr>
      </w:pPr>
      <w:r>
        <w:rPr>
          <w:rFonts w:hint="eastAsia" w:ascii="宋体" w:hAnsi="宋体" w:cs="宋体"/>
          <w:szCs w:val="21"/>
        </w:rPr>
        <w:t>（2）委托代理人未能出具有效身份证明或者出具的身份证明与授权委托书中的信息不符的；</w:t>
      </w:r>
    </w:p>
    <w:p w14:paraId="685263FC">
      <w:pPr>
        <w:spacing w:line="400" w:lineRule="exact"/>
        <w:ind w:firstLine="420" w:firstLineChars="200"/>
        <w:rPr>
          <w:rFonts w:ascii="宋体" w:hAnsi="宋体" w:cs="宋体"/>
          <w:szCs w:val="21"/>
        </w:rPr>
      </w:pPr>
      <w:r>
        <w:rPr>
          <w:rFonts w:hint="eastAsia" w:ascii="宋体" w:hAnsi="宋体" w:cs="宋体"/>
          <w:szCs w:val="21"/>
        </w:rPr>
        <w:t>（3）投标文件未提供“投标人须知前附表”第13.1条规定中“必须提供”或者“委托时必须提供”的文件资料的；</w:t>
      </w:r>
    </w:p>
    <w:p w14:paraId="1BB97225">
      <w:pPr>
        <w:spacing w:line="400" w:lineRule="exact"/>
        <w:ind w:firstLine="420" w:firstLineChars="200"/>
        <w:rPr>
          <w:rFonts w:ascii="宋体" w:hAnsi="宋体" w:cs="宋体"/>
          <w:szCs w:val="21"/>
        </w:rPr>
      </w:pPr>
      <w:r>
        <w:rPr>
          <w:rFonts w:hint="eastAsia" w:ascii="宋体" w:hAnsi="宋体" w:cs="宋体"/>
          <w:szCs w:val="21"/>
        </w:rPr>
        <w:t>（4）投标有效期、项目完成时间（交货时间、服务完成时间或者服务期等）、质保期等商务条款发生负偏离的；</w:t>
      </w:r>
    </w:p>
    <w:p w14:paraId="26A60F06">
      <w:pPr>
        <w:spacing w:line="400" w:lineRule="exact"/>
        <w:ind w:firstLine="420" w:firstLineChars="200"/>
        <w:rPr>
          <w:rFonts w:ascii="宋体" w:hAnsi="宋体" w:cs="宋体"/>
          <w:szCs w:val="21"/>
        </w:rPr>
      </w:pPr>
      <w:r>
        <w:rPr>
          <w:rFonts w:hint="eastAsia" w:ascii="宋体" w:hAnsi="宋体" w:cs="宋体"/>
          <w:szCs w:val="21"/>
        </w:rPr>
        <w:t>（5）商务条款评审允许负偏离的条款数超过“投标人须知前附表”规定项数的。</w:t>
      </w:r>
    </w:p>
    <w:p w14:paraId="7CC2FE66">
      <w:pPr>
        <w:spacing w:line="400" w:lineRule="exact"/>
        <w:ind w:firstLine="420" w:firstLineChars="200"/>
        <w:rPr>
          <w:rFonts w:ascii="宋体" w:hAnsi="宋体" w:cs="宋体"/>
          <w:szCs w:val="21"/>
        </w:rPr>
      </w:pPr>
      <w:r>
        <w:rPr>
          <w:rFonts w:hint="eastAsia" w:ascii="宋体" w:hAnsi="宋体" w:cs="宋体"/>
          <w:szCs w:val="21"/>
        </w:rPr>
        <w:t>（6）投标文件的实质性内容未使用中文表述、使用计量单位不符合招标文件要求的；</w:t>
      </w:r>
    </w:p>
    <w:p w14:paraId="098ACFE6">
      <w:pPr>
        <w:spacing w:line="400" w:lineRule="exact"/>
        <w:ind w:firstLine="420" w:firstLineChars="200"/>
        <w:rPr>
          <w:rFonts w:ascii="宋体" w:hAnsi="宋体" w:cs="宋体"/>
          <w:szCs w:val="21"/>
        </w:rPr>
      </w:pPr>
      <w:r>
        <w:rPr>
          <w:rFonts w:hint="eastAsia" w:ascii="宋体" w:hAnsi="宋体" w:cs="宋体"/>
          <w:szCs w:val="21"/>
        </w:rPr>
        <w:t>（7）投标文件中的文件资料因填写不齐全或者内容虚假或者出现其他情形而导致被评标委员会认定无效的；</w:t>
      </w:r>
    </w:p>
    <w:p w14:paraId="570871B0">
      <w:pPr>
        <w:spacing w:line="400" w:lineRule="exact"/>
        <w:ind w:firstLine="420" w:firstLineChars="200"/>
        <w:rPr>
          <w:rFonts w:ascii="宋体" w:hAnsi="宋体" w:cs="宋体"/>
          <w:szCs w:val="21"/>
        </w:rPr>
      </w:pPr>
      <w:r>
        <w:rPr>
          <w:rFonts w:hint="eastAsia" w:ascii="宋体" w:hAnsi="宋体" w:cs="宋体"/>
          <w:szCs w:val="21"/>
        </w:rPr>
        <w:t>（8）投标文件含有采购人不能接受的附加条件的；</w:t>
      </w:r>
    </w:p>
    <w:p w14:paraId="696D6B66">
      <w:pPr>
        <w:spacing w:line="400" w:lineRule="exact"/>
        <w:ind w:firstLine="420" w:firstLineChars="200"/>
        <w:rPr>
          <w:rFonts w:ascii="宋体" w:hAnsi="宋体" w:cs="宋体"/>
          <w:szCs w:val="21"/>
        </w:rPr>
      </w:pPr>
      <w:r>
        <w:rPr>
          <w:rFonts w:hint="eastAsia" w:ascii="宋体" w:hAnsi="宋体" w:cs="宋体"/>
          <w:szCs w:val="21"/>
        </w:rPr>
        <w:t>（9）未响应招标文件实质性要求的；</w:t>
      </w:r>
    </w:p>
    <w:p w14:paraId="72EA2363">
      <w:pPr>
        <w:spacing w:line="400" w:lineRule="exact"/>
        <w:ind w:firstLine="420" w:firstLineChars="200"/>
        <w:rPr>
          <w:rFonts w:ascii="宋体" w:hAnsi="宋体" w:cs="宋体"/>
          <w:szCs w:val="21"/>
        </w:rPr>
      </w:pPr>
      <w:r>
        <w:rPr>
          <w:rFonts w:hint="eastAsia" w:ascii="宋体" w:hAnsi="宋体" w:cs="宋体"/>
          <w:szCs w:val="21"/>
        </w:rPr>
        <w:t>（10）属于投标人须知正文第9.2条情形的；</w:t>
      </w:r>
    </w:p>
    <w:p w14:paraId="048629BC">
      <w:pPr>
        <w:spacing w:line="400" w:lineRule="exact"/>
        <w:ind w:firstLine="420" w:firstLineChars="200"/>
        <w:rPr>
          <w:rFonts w:ascii="宋体" w:hAnsi="宋体" w:cs="宋体"/>
          <w:szCs w:val="21"/>
        </w:rPr>
      </w:pPr>
      <w:r>
        <w:rPr>
          <w:rFonts w:hint="eastAsia" w:ascii="宋体" w:hAnsi="宋体" w:cs="宋体"/>
          <w:szCs w:val="21"/>
        </w:rPr>
        <w:t>（11）法律、法规和招标文件规定的其他无效情形。</w:t>
      </w:r>
    </w:p>
    <w:p w14:paraId="2A1F2CE5">
      <w:pPr>
        <w:spacing w:line="400" w:lineRule="exact"/>
        <w:ind w:firstLine="420" w:firstLineChars="200"/>
        <w:rPr>
          <w:rFonts w:ascii="宋体" w:hAnsi="宋体" w:cs="宋体"/>
          <w:szCs w:val="21"/>
        </w:rPr>
      </w:pPr>
      <w:r>
        <w:rPr>
          <w:rFonts w:hint="eastAsia" w:ascii="宋体" w:hAnsi="宋体" w:cs="宋体"/>
          <w:szCs w:val="21"/>
        </w:rPr>
        <w:t>2.3在技术评审时，如发现下列情形之一的，将被视为投标无效：</w:t>
      </w:r>
    </w:p>
    <w:p w14:paraId="369C3D94">
      <w:pPr>
        <w:spacing w:line="400" w:lineRule="exact"/>
        <w:ind w:firstLine="420" w:firstLineChars="200"/>
        <w:rPr>
          <w:rFonts w:ascii="宋体" w:hAnsi="宋体" w:cs="宋体"/>
          <w:szCs w:val="21"/>
        </w:rPr>
      </w:pPr>
      <w:r>
        <w:rPr>
          <w:rFonts w:hint="eastAsia" w:ascii="宋体" w:hAnsi="宋体" w:cs="宋体"/>
          <w:szCs w:val="21"/>
        </w:rPr>
        <w:t>（1）不满足招标文件实质性要求的货物内容、技术要求、安全、质量标准的；</w:t>
      </w:r>
    </w:p>
    <w:p w14:paraId="67E926B5">
      <w:pPr>
        <w:spacing w:line="400" w:lineRule="exact"/>
        <w:ind w:firstLine="420" w:firstLineChars="200"/>
        <w:rPr>
          <w:rFonts w:ascii="宋体" w:hAnsi="宋体" w:cs="宋体"/>
          <w:szCs w:val="21"/>
        </w:rPr>
      </w:pPr>
      <w:r>
        <w:rPr>
          <w:rFonts w:hint="eastAsia" w:ascii="宋体" w:hAnsi="宋体" w:cs="宋体"/>
          <w:szCs w:val="21"/>
        </w:rPr>
        <w:t>（2）技术需求评审允许负偏离的条款数超过“投标人须知前附表”规定项数的；</w:t>
      </w:r>
    </w:p>
    <w:p w14:paraId="2D878856">
      <w:pPr>
        <w:spacing w:line="400" w:lineRule="exact"/>
        <w:ind w:firstLine="420" w:firstLineChars="200"/>
        <w:rPr>
          <w:rFonts w:ascii="宋体" w:hAnsi="宋体" w:cs="宋体"/>
          <w:szCs w:val="21"/>
        </w:rPr>
      </w:pPr>
      <w:r>
        <w:rPr>
          <w:rFonts w:hint="eastAsia" w:ascii="宋体" w:hAnsi="宋体" w:cs="宋体"/>
          <w:szCs w:val="21"/>
        </w:rPr>
        <w:t>（3）投标文件未提供“投标人须知前附表”第13.1条规定中“必须提供”的文件资料的；</w:t>
      </w:r>
    </w:p>
    <w:p w14:paraId="2B14362C">
      <w:pPr>
        <w:spacing w:line="400" w:lineRule="exact"/>
        <w:ind w:firstLine="420" w:firstLineChars="200"/>
        <w:rPr>
          <w:rFonts w:ascii="宋体" w:hAnsi="宋体" w:cs="宋体"/>
          <w:szCs w:val="21"/>
        </w:rPr>
      </w:pPr>
      <w:r>
        <w:rPr>
          <w:rFonts w:hint="eastAsia" w:ascii="宋体" w:hAnsi="宋体" w:cs="宋体"/>
          <w:szCs w:val="21"/>
        </w:rPr>
        <w:t>（4）虚假投标，或者出现其他情形而导致被评标委员会认定无效的；</w:t>
      </w:r>
    </w:p>
    <w:p w14:paraId="08FEA319">
      <w:pPr>
        <w:spacing w:line="400" w:lineRule="exact"/>
        <w:ind w:firstLine="420" w:firstLineChars="200"/>
        <w:rPr>
          <w:rFonts w:ascii="宋体" w:hAnsi="宋体" w:cs="宋体"/>
          <w:szCs w:val="21"/>
        </w:rPr>
      </w:pPr>
      <w:r>
        <w:rPr>
          <w:rFonts w:hint="eastAsia" w:ascii="宋体" w:hAnsi="宋体" w:cs="宋体"/>
          <w:szCs w:val="21"/>
        </w:rPr>
        <w:t>（5）投标技术方案不明确，招标文件未允许但存在一个或者一个以上备选（替代）投标方案的。</w:t>
      </w:r>
    </w:p>
    <w:p w14:paraId="5AE3A360">
      <w:pPr>
        <w:spacing w:line="400" w:lineRule="exact"/>
        <w:ind w:firstLine="422" w:firstLineChars="200"/>
        <w:rPr>
          <w:rFonts w:ascii="宋体" w:hAnsi="宋体" w:cs="宋体"/>
          <w:b/>
          <w:szCs w:val="21"/>
        </w:rPr>
      </w:pPr>
      <w:r>
        <w:rPr>
          <w:rFonts w:hint="eastAsia" w:ascii="宋体" w:hAnsi="宋体" w:cs="宋体"/>
          <w:b/>
          <w:szCs w:val="21"/>
        </w:rPr>
        <w:t>3.澄清补正、说明或者补正</w:t>
      </w:r>
    </w:p>
    <w:p w14:paraId="7992E2FB">
      <w:pPr>
        <w:spacing w:line="400" w:lineRule="exact"/>
        <w:ind w:firstLine="420" w:firstLineChars="200"/>
        <w:rPr>
          <w:rFonts w:ascii="宋体" w:hAnsi="宋体" w:cs="宋体"/>
          <w:szCs w:val="21"/>
        </w:rPr>
      </w:pPr>
      <w:r>
        <w:rPr>
          <w:rFonts w:hint="eastAsia" w:ascii="宋体" w:hAnsi="宋体" w:cs="宋体"/>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408DA0B2">
      <w:pPr>
        <w:spacing w:line="400" w:lineRule="exact"/>
        <w:ind w:firstLine="420" w:firstLineChars="200"/>
        <w:rPr>
          <w:rFonts w:ascii="宋体" w:hAnsi="宋体" w:cs="宋体"/>
          <w:szCs w:val="21"/>
        </w:rPr>
      </w:pPr>
      <w:r>
        <w:rPr>
          <w:rFonts w:hint="eastAsia" w:ascii="宋体" w:hAnsi="宋体" w:cs="宋体"/>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45845111">
      <w:pPr>
        <w:spacing w:line="400" w:lineRule="exact"/>
        <w:ind w:firstLine="422" w:firstLineChars="200"/>
        <w:rPr>
          <w:rFonts w:ascii="宋体" w:hAnsi="宋体" w:cs="宋体"/>
          <w:b/>
          <w:szCs w:val="21"/>
        </w:rPr>
      </w:pPr>
      <w:r>
        <w:rPr>
          <w:rFonts w:hint="eastAsia" w:ascii="宋体" w:hAnsi="宋体" w:cs="宋体"/>
          <w:b/>
          <w:szCs w:val="21"/>
        </w:rPr>
        <w:t>4.投标文件修正</w:t>
      </w:r>
    </w:p>
    <w:p w14:paraId="5C333C10">
      <w:pPr>
        <w:spacing w:line="400" w:lineRule="exact"/>
        <w:ind w:firstLine="420" w:firstLineChars="200"/>
        <w:rPr>
          <w:rFonts w:ascii="宋体" w:hAnsi="宋体" w:cs="宋体"/>
          <w:szCs w:val="21"/>
        </w:rPr>
      </w:pPr>
      <w:r>
        <w:rPr>
          <w:rFonts w:hint="eastAsia" w:ascii="宋体" w:hAnsi="宋体" w:cs="宋体"/>
          <w:szCs w:val="21"/>
        </w:rPr>
        <w:t>4.1投标文件报价出现前后不一致的，按照下列规定修正：</w:t>
      </w:r>
    </w:p>
    <w:p w14:paraId="2912B06B">
      <w:pPr>
        <w:spacing w:line="400" w:lineRule="exact"/>
        <w:ind w:firstLine="420" w:firstLineChars="200"/>
        <w:rPr>
          <w:rFonts w:ascii="宋体" w:hAnsi="宋体" w:cs="宋体"/>
          <w:szCs w:val="21"/>
        </w:rPr>
      </w:pPr>
      <w:r>
        <w:rPr>
          <w:rFonts w:hint="eastAsia" w:ascii="宋体" w:hAnsi="宋体" w:cs="宋体"/>
          <w:szCs w:val="21"/>
        </w:rPr>
        <w:t>（1）报价文件中“开标一览表”内容与投标文件中相应内容不一致的，以“开标一览表”为准；</w:t>
      </w:r>
    </w:p>
    <w:p w14:paraId="3206510D">
      <w:pPr>
        <w:spacing w:line="400" w:lineRule="exact"/>
        <w:ind w:firstLine="420" w:firstLineChars="200"/>
        <w:rPr>
          <w:rFonts w:ascii="宋体" w:hAnsi="宋体" w:cs="宋体"/>
          <w:szCs w:val="21"/>
        </w:rPr>
      </w:pPr>
      <w:r>
        <w:rPr>
          <w:rFonts w:hint="eastAsia" w:ascii="宋体" w:hAnsi="宋体" w:cs="宋体"/>
          <w:szCs w:val="21"/>
        </w:rPr>
        <w:t>（2）大写金额和小写金额不一致的，以大写金额为准；</w:t>
      </w:r>
    </w:p>
    <w:p w14:paraId="3DC85AD2">
      <w:pPr>
        <w:spacing w:line="400" w:lineRule="exact"/>
        <w:ind w:firstLine="420" w:firstLineChars="200"/>
        <w:rPr>
          <w:rFonts w:ascii="宋体" w:hAnsi="宋体" w:cs="宋体"/>
          <w:szCs w:val="21"/>
        </w:rPr>
      </w:pPr>
      <w:r>
        <w:rPr>
          <w:rFonts w:hint="eastAsia" w:ascii="宋体" w:hAnsi="宋体" w:cs="宋体"/>
          <w:szCs w:val="21"/>
        </w:rPr>
        <w:t>（3）单价金额小数点或者百分比有明显错位的，以开标一览表的总价为准，并修改单价；</w:t>
      </w:r>
    </w:p>
    <w:p w14:paraId="21407793">
      <w:pPr>
        <w:spacing w:line="400" w:lineRule="exact"/>
        <w:ind w:firstLine="420" w:firstLineChars="200"/>
        <w:rPr>
          <w:rFonts w:ascii="宋体" w:hAnsi="宋体" w:cs="宋体"/>
          <w:szCs w:val="21"/>
        </w:rPr>
      </w:pPr>
      <w:r>
        <w:rPr>
          <w:rFonts w:hint="eastAsia" w:ascii="宋体" w:hAnsi="宋体" w:cs="宋体"/>
          <w:szCs w:val="21"/>
        </w:rPr>
        <w:t>（4）总价金额与按单价汇总金额不一致的，以单价金额计算结果为准。</w:t>
      </w:r>
    </w:p>
    <w:p w14:paraId="0CC45A7E">
      <w:pPr>
        <w:spacing w:line="400" w:lineRule="exact"/>
        <w:ind w:firstLine="420" w:firstLineChars="200"/>
        <w:rPr>
          <w:rFonts w:ascii="宋体" w:hAnsi="宋体" w:cs="宋体"/>
          <w:szCs w:val="21"/>
        </w:rPr>
      </w:pPr>
      <w:r>
        <w:rPr>
          <w:rFonts w:hint="eastAsia" w:ascii="宋体" w:hAnsi="宋体" w:cs="宋体"/>
          <w:szCs w:val="21"/>
        </w:rPr>
        <w:t>同时出现两种以上不一致的，按照以上（1）-（4）规定的顺序修正。修正后的报价经投标人确认后产生约束力，投标人不确认的，其投标无效。</w:t>
      </w:r>
    </w:p>
    <w:p w14:paraId="3B43E033">
      <w:pPr>
        <w:spacing w:line="400" w:lineRule="exact"/>
        <w:ind w:firstLine="420" w:firstLineChars="200"/>
        <w:rPr>
          <w:rFonts w:ascii="宋体" w:hAnsi="宋体" w:cs="宋体"/>
          <w:szCs w:val="21"/>
        </w:rPr>
      </w:pPr>
      <w:r>
        <w:rPr>
          <w:rFonts w:hint="eastAsia" w:ascii="宋体" w:hAnsi="宋体" w:cs="宋体"/>
          <w:szCs w:val="21"/>
        </w:rPr>
        <w:t>4.2经投标人确认修正后的报价若超过采购预算金额或者最高限价，投标人的投标文件作无效投标处理。</w:t>
      </w:r>
    </w:p>
    <w:p w14:paraId="1314E842">
      <w:pPr>
        <w:spacing w:line="400" w:lineRule="exact"/>
        <w:ind w:firstLine="420" w:firstLineChars="200"/>
        <w:rPr>
          <w:rFonts w:ascii="宋体" w:hAnsi="宋体" w:cs="宋体"/>
          <w:szCs w:val="21"/>
        </w:rPr>
      </w:pPr>
      <w:r>
        <w:rPr>
          <w:rFonts w:hint="eastAsia" w:ascii="宋体" w:hAnsi="宋体" w:cs="宋体"/>
          <w:szCs w:val="21"/>
        </w:rPr>
        <w:t>4.3经投标人确认修正后的报价作为签订合同的依据，并以此报价计算价格分。</w:t>
      </w:r>
    </w:p>
    <w:p w14:paraId="1ACAEA84">
      <w:pPr>
        <w:spacing w:line="400" w:lineRule="exact"/>
        <w:ind w:firstLine="420" w:firstLineChars="200"/>
        <w:rPr>
          <w:rFonts w:ascii="宋体" w:hAnsi="宋体" w:cs="宋体"/>
          <w:szCs w:val="21"/>
        </w:rPr>
      </w:pPr>
      <w:r>
        <w:rPr>
          <w:rFonts w:hint="eastAsia" w:ascii="宋体" w:hAnsi="宋体" w:cs="宋体"/>
          <w:szCs w:val="21"/>
        </w:rPr>
        <w:t>5.比较与评价</w:t>
      </w:r>
    </w:p>
    <w:p w14:paraId="51BB7949">
      <w:pPr>
        <w:spacing w:line="400" w:lineRule="exact"/>
        <w:ind w:firstLine="420" w:firstLineChars="200"/>
        <w:rPr>
          <w:rFonts w:ascii="宋体" w:hAnsi="宋体" w:cs="宋体"/>
          <w:szCs w:val="21"/>
        </w:rPr>
      </w:pPr>
      <w:r>
        <w:rPr>
          <w:rFonts w:hint="eastAsia" w:ascii="宋体" w:hAnsi="宋体" w:cs="宋体"/>
          <w:szCs w:val="21"/>
        </w:rPr>
        <w:t>（1）评标委员会按照招标文件中规定的评标方法和评标标准，对符合性审查合格的投标文件进行商务和技术评估，综合比较与评价。</w:t>
      </w:r>
    </w:p>
    <w:p w14:paraId="50802277">
      <w:pPr>
        <w:spacing w:line="400" w:lineRule="exact"/>
        <w:ind w:firstLine="420" w:firstLineChars="200"/>
        <w:rPr>
          <w:rFonts w:ascii="宋体" w:hAnsi="宋体" w:cs="宋体"/>
          <w:szCs w:val="21"/>
        </w:rPr>
      </w:pPr>
      <w:r>
        <w:rPr>
          <w:rFonts w:hint="eastAsia" w:ascii="宋体" w:hAnsi="宋体" w:cs="宋体"/>
          <w:szCs w:val="21"/>
        </w:rPr>
        <w:t>（2）评标委员会独立对每个投标人的投标文件进行评价，并汇总每个投标人的得分。</w:t>
      </w:r>
    </w:p>
    <w:p w14:paraId="51DAB16C">
      <w:pPr>
        <w:spacing w:line="400" w:lineRule="exact"/>
        <w:ind w:firstLine="422" w:firstLineChars="200"/>
        <w:rPr>
          <w:rFonts w:ascii="宋体" w:hAnsi="宋体" w:cs="宋体"/>
          <w:b/>
          <w:bCs/>
        </w:rPr>
      </w:pPr>
      <w:r>
        <w:rPr>
          <w:rFonts w:hint="eastAsia" w:ascii="宋体" w:hAnsi="宋体" w:cs="宋体"/>
          <w:b/>
        </w:rPr>
        <w:t>▲6.</w:t>
      </w:r>
      <w:r>
        <w:rPr>
          <w:rFonts w:hint="eastAsia" w:ascii="宋体" w:hAnsi="宋体" w:cs="宋体"/>
          <w:b/>
          <w:bCs/>
        </w:rPr>
        <w:t>异常低价审查：政府采购评审中出现下列情形之一的，评审委员会应当启动异常低价投标审查程序：</w:t>
      </w:r>
    </w:p>
    <w:p w14:paraId="6E322ACA">
      <w:pPr>
        <w:spacing w:line="400" w:lineRule="exact"/>
        <w:ind w:firstLine="422" w:firstLineChars="200"/>
        <w:rPr>
          <w:rFonts w:ascii="宋体" w:hAnsi="宋体" w:cs="宋体"/>
          <w:b/>
          <w:bCs/>
        </w:rPr>
      </w:pPr>
      <w:r>
        <w:rPr>
          <w:rFonts w:hint="eastAsia" w:ascii="宋体" w:hAnsi="宋体" w:cs="宋体"/>
          <w:b/>
          <w:bCs/>
        </w:rPr>
        <w:t>（1）投标报价低于全部通过符合性审查供应商投标报价平均值50%的，即投标报价&lt;全部通过符合性审查供应商投标报价平均值×50%；</w:t>
      </w:r>
    </w:p>
    <w:p w14:paraId="332939CB">
      <w:pPr>
        <w:spacing w:line="400" w:lineRule="exact"/>
        <w:ind w:firstLine="422" w:firstLineChars="200"/>
        <w:rPr>
          <w:rFonts w:ascii="宋体" w:hAnsi="宋体" w:cs="宋体"/>
          <w:b/>
          <w:bCs/>
        </w:rPr>
      </w:pPr>
      <w:r>
        <w:rPr>
          <w:rFonts w:hint="eastAsia" w:ascii="宋体" w:hAnsi="宋体" w:cs="宋体"/>
          <w:b/>
          <w:bCs/>
        </w:rPr>
        <w:t>（2）投标报价低于通过符合性审查的次低报价供应商投标报价50%的，即投标报价&lt;通过符合性审查的次低报价供应商投标报价×50%；</w:t>
      </w:r>
    </w:p>
    <w:p w14:paraId="7AB57C6C">
      <w:pPr>
        <w:spacing w:line="400" w:lineRule="exact"/>
        <w:ind w:firstLine="422" w:firstLineChars="200"/>
        <w:rPr>
          <w:rFonts w:ascii="宋体" w:hAnsi="宋体" w:cs="宋体"/>
          <w:b/>
          <w:bCs/>
        </w:rPr>
      </w:pPr>
      <w:r>
        <w:rPr>
          <w:rFonts w:hint="eastAsia" w:ascii="宋体" w:hAnsi="宋体" w:cs="宋体"/>
          <w:b/>
          <w:bCs/>
        </w:rPr>
        <w:t>（3）投标报价低于采购项目最高限价45%的，即投标报价&lt;采购项目最高限价×45%；</w:t>
      </w:r>
    </w:p>
    <w:p w14:paraId="2BD56DBE">
      <w:pPr>
        <w:spacing w:line="400" w:lineRule="exact"/>
        <w:ind w:firstLine="422" w:firstLineChars="200"/>
        <w:rPr>
          <w:rFonts w:ascii="宋体" w:hAnsi="宋体" w:cs="宋体"/>
          <w:b/>
          <w:bCs/>
        </w:rPr>
      </w:pPr>
      <w:r>
        <w:rPr>
          <w:rFonts w:hint="eastAsia" w:ascii="宋体" w:hAnsi="宋体" w:cs="宋体"/>
          <w:b/>
          <w:bCs/>
        </w:rPr>
        <w:t>（4）评审委员会基于专业判断，认为供应商报价过低，有可能影响产品质量或者不能诚信履约的其他情形。</w:t>
      </w:r>
    </w:p>
    <w:p w14:paraId="65A03869">
      <w:pPr>
        <w:spacing w:line="400" w:lineRule="exact"/>
        <w:ind w:firstLine="422" w:firstLineChars="200"/>
        <w:rPr>
          <w:rFonts w:ascii="宋体" w:hAnsi="宋体" w:cs="宋体"/>
          <w:b/>
          <w:bCs/>
        </w:rPr>
      </w:pPr>
      <w:r>
        <w:rPr>
          <w:rFonts w:hint="eastAsia" w:ascii="宋体" w:hAnsi="宋体" w:cs="宋体"/>
          <w:b/>
          <w:bCs/>
        </w:rPr>
        <w:t>7.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2FD362E0">
      <w:pPr>
        <w:spacing w:line="400" w:lineRule="exact"/>
        <w:ind w:firstLine="422" w:firstLineChars="200"/>
        <w:rPr>
          <w:rFonts w:ascii="宋体" w:hAnsi="宋体" w:cs="宋体"/>
          <w:b/>
          <w:bCs/>
        </w:rPr>
      </w:pPr>
      <w:r>
        <w:rPr>
          <w:rFonts w:hint="eastAsia" w:ascii="宋体" w:hAnsi="宋体" w:cs="宋体"/>
          <w:b/>
          <w:bCs/>
        </w:rPr>
        <w:t>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511A1524">
      <w:pPr>
        <w:spacing w:line="400" w:lineRule="exact"/>
        <w:ind w:firstLine="420" w:firstLineChars="200"/>
        <w:rPr>
          <w:rFonts w:ascii="宋体" w:hAnsi="宋体" w:cs="宋体"/>
          <w:szCs w:val="21"/>
        </w:rPr>
      </w:pPr>
      <w:r>
        <w:rPr>
          <w:rFonts w:hint="eastAsia" w:ascii="宋体" w:hAnsi="宋体" w:cs="宋体"/>
          <w:szCs w:val="21"/>
        </w:rPr>
        <w:t>（3）评标委员会按照招标文件中规定的评标方法和标准计算各投标人的报价得分。在计算过程中，不得去掉最高报价或者最低报价。</w:t>
      </w:r>
    </w:p>
    <w:p w14:paraId="63CA9122">
      <w:pPr>
        <w:spacing w:line="400" w:lineRule="exact"/>
        <w:ind w:firstLine="420" w:firstLineChars="200"/>
        <w:rPr>
          <w:rFonts w:ascii="宋体" w:hAnsi="宋体" w:cs="宋体"/>
          <w:szCs w:val="21"/>
        </w:rPr>
      </w:pPr>
      <w:r>
        <w:rPr>
          <w:rFonts w:hint="eastAsia" w:ascii="宋体" w:hAnsi="宋体" w:cs="宋体"/>
          <w:szCs w:val="21"/>
        </w:rPr>
        <w:t>（4）各投标人的得分为所有评委的有效评分的算术平均数。</w:t>
      </w:r>
    </w:p>
    <w:p w14:paraId="7CA15957">
      <w:pPr>
        <w:spacing w:line="400" w:lineRule="exact"/>
        <w:ind w:firstLine="420" w:firstLineChars="200"/>
        <w:rPr>
          <w:rFonts w:ascii="宋体" w:hAnsi="宋体" w:cs="宋体"/>
          <w:szCs w:val="21"/>
        </w:rPr>
      </w:pPr>
      <w:r>
        <w:rPr>
          <w:rFonts w:hint="eastAsia" w:ascii="宋体" w:hAnsi="宋体" w:cs="宋体"/>
          <w:szCs w:val="21"/>
        </w:rPr>
        <w:t>（5）评标委员会按照招标文件中的规定推荐中标候选人。</w:t>
      </w:r>
    </w:p>
    <w:p w14:paraId="79492A9F">
      <w:pPr>
        <w:spacing w:line="400" w:lineRule="exact"/>
        <w:ind w:firstLine="420" w:firstLineChars="200"/>
        <w:rPr>
          <w:rFonts w:ascii="宋体" w:hAnsi="宋体" w:cs="宋体"/>
          <w:szCs w:val="21"/>
        </w:rPr>
      </w:pPr>
      <w:r>
        <w:rPr>
          <w:rFonts w:hint="eastAsia" w:ascii="宋体" w:hAnsi="宋体" w:cs="宋体"/>
          <w:szCs w:val="21"/>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62851F2A">
      <w:pPr>
        <w:spacing w:line="400" w:lineRule="exact"/>
        <w:ind w:firstLine="420" w:firstLineChars="200"/>
        <w:rPr>
          <w:rFonts w:ascii="宋体" w:hAnsi="宋体" w:cs="宋体"/>
          <w:szCs w:val="21"/>
        </w:rPr>
      </w:pPr>
    </w:p>
    <w:p w14:paraId="7CBEC93D">
      <w:pPr>
        <w:spacing w:line="400" w:lineRule="exact"/>
        <w:ind w:firstLine="420" w:firstLineChars="200"/>
        <w:rPr>
          <w:rFonts w:ascii="宋体" w:hAnsi="宋体" w:cs="宋体"/>
        </w:rPr>
      </w:pPr>
    </w:p>
    <w:p w14:paraId="56BFFA84">
      <w:pPr>
        <w:pStyle w:val="3"/>
        <w:spacing w:before="0" w:after="0" w:line="480" w:lineRule="auto"/>
        <w:jc w:val="center"/>
        <w:rPr>
          <w:rFonts w:ascii="宋体" w:hAnsi="宋体" w:eastAsia="宋体" w:cs="宋体"/>
        </w:rPr>
      </w:pPr>
      <w:bookmarkStart w:id="83" w:name="_Toc4066"/>
      <w:bookmarkStart w:id="84" w:name="_Toc28758"/>
      <w:r>
        <w:rPr>
          <w:rFonts w:hint="eastAsia" w:ascii="宋体" w:hAnsi="宋体" w:eastAsia="宋体" w:cs="宋体"/>
        </w:rPr>
        <w:t>第三节 评分标准</w:t>
      </w:r>
      <w:bookmarkEnd w:id="83"/>
      <w:bookmarkEnd w:id="84"/>
    </w:p>
    <w:p w14:paraId="4BF04312">
      <w:pPr>
        <w:pStyle w:val="25"/>
        <w:jc w:val="center"/>
        <w:rPr>
          <w:rFonts w:hAnsi="宋体" w:cs="宋体"/>
          <w:b/>
          <w:sz w:val="30"/>
          <w:szCs w:val="30"/>
        </w:rPr>
      </w:pPr>
      <w:r>
        <w:rPr>
          <w:rFonts w:hint="eastAsia" w:hAnsi="宋体" w:cs="宋体"/>
          <w:b/>
          <w:sz w:val="30"/>
          <w:szCs w:val="30"/>
        </w:rPr>
        <w:t>综合评分法</w:t>
      </w:r>
    </w:p>
    <w:p w14:paraId="32EAEE83">
      <w:pPr>
        <w:pStyle w:val="25"/>
        <w:jc w:val="center"/>
        <w:rPr>
          <w:rFonts w:hAnsi="宋体" w:cs="宋体"/>
          <w:b/>
          <w:sz w:val="30"/>
          <w:szCs w:val="30"/>
        </w:rPr>
      </w:pPr>
      <w:r>
        <w:rPr>
          <w:rFonts w:hint="eastAsia" w:hAnsi="宋体" w:cs="宋体"/>
          <w:b/>
          <w:sz w:val="30"/>
          <w:szCs w:val="30"/>
        </w:rPr>
        <w:t>（适用于标项一）</w:t>
      </w:r>
    </w:p>
    <w:p w14:paraId="6E97522B">
      <w:pPr>
        <w:adjustRightInd w:val="0"/>
        <w:spacing w:after="156" w:line="380" w:lineRule="exact"/>
        <w:textAlignment w:val="baseline"/>
        <w:rPr>
          <w:rFonts w:ascii="宋体" w:hAnsi="宋体"/>
          <w:b/>
          <w:bCs/>
          <w:kern w:val="0"/>
          <w:szCs w:val="21"/>
        </w:rPr>
      </w:pPr>
      <w:r>
        <w:rPr>
          <w:rFonts w:hint="eastAsia" w:ascii="宋体" w:hAnsi="宋体"/>
          <w:b/>
          <w:bCs/>
          <w:kern w:val="0"/>
          <w:szCs w:val="21"/>
        </w:rPr>
        <w:t>一、评标原则</w:t>
      </w:r>
    </w:p>
    <w:p w14:paraId="5F653B84">
      <w:pPr>
        <w:adjustRightInd w:val="0"/>
        <w:spacing w:line="380" w:lineRule="exact"/>
        <w:textAlignment w:val="baseline"/>
        <w:rPr>
          <w:rFonts w:ascii="宋体" w:hAnsi="宋体"/>
          <w:bCs/>
          <w:kern w:val="0"/>
          <w:szCs w:val="21"/>
        </w:rPr>
      </w:pPr>
      <w:r>
        <w:rPr>
          <w:rFonts w:hint="eastAsia" w:ascii="宋体" w:hAnsi="宋体"/>
          <w:bCs/>
          <w:kern w:val="0"/>
          <w:szCs w:val="21"/>
        </w:rPr>
        <w:t xml:space="preserve">    （一）评委组成：</w:t>
      </w:r>
      <w:r>
        <w:rPr>
          <w:rFonts w:hint="eastAsia"/>
          <w:bCs/>
          <w:kern w:val="0"/>
          <w:szCs w:val="21"/>
        </w:rPr>
        <w:t>本招标采购项目的评标委员会由采购人代表和评审专家组成，成员人数应当为五人以上单数。其中，评审专家不得少于成员总数的三分之二。</w:t>
      </w:r>
    </w:p>
    <w:p w14:paraId="1060F6C9">
      <w:pPr>
        <w:adjustRightInd w:val="0"/>
        <w:spacing w:line="380" w:lineRule="exact"/>
        <w:textAlignment w:val="baseline"/>
        <w:rPr>
          <w:rFonts w:ascii="宋体" w:hAnsi="宋体"/>
          <w:b/>
          <w:bCs/>
          <w:kern w:val="0"/>
          <w:szCs w:val="21"/>
        </w:rPr>
      </w:pPr>
      <w:r>
        <w:rPr>
          <w:rFonts w:hint="eastAsia" w:ascii="宋体" w:hAnsi="宋体"/>
          <w:bCs/>
          <w:kern w:val="0"/>
          <w:szCs w:val="21"/>
        </w:rPr>
        <w:t xml:space="preserve">    （二）评标依据：</w:t>
      </w:r>
      <w:r>
        <w:rPr>
          <w:rFonts w:hint="eastAsia"/>
          <w:bCs/>
          <w:kern w:val="0"/>
          <w:szCs w:val="21"/>
        </w:rPr>
        <w:t>评委将以招投标文件为评标依据，对投标人的投标文件内容按百分制打分。</w:t>
      </w:r>
    </w:p>
    <w:p w14:paraId="6429A340">
      <w:pPr>
        <w:adjustRightInd w:val="0"/>
        <w:spacing w:line="380" w:lineRule="exact"/>
        <w:textAlignment w:val="baseline"/>
        <w:rPr>
          <w:rFonts w:ascii="宋体" w:hAnsi="宋体"/>
          <w:bCs/>
          <w:kern w:val="0"/>
          <w:szCs w:val="21"/>
        </w:rPr>
      </w:pPr>
      <w:r>
        <w:rPr>
          <w:rFonts w:hint="eastAsia" w:ascii="宋体" w:hAnsi="宋体"/>
          <w:bCs/>
          <w:kern w:val="0"/>
          <w:szCs w:val="21"/>
        </w:rPr>
        <w:t xml:space="preserve">    （三）评标方式：以封闭方式进行。</w:t>
      </w:r>
    </w:p>
    <w:p w14:paraId="7D796BCE">
      <w:pPr>
        <w:adjustRightInd w:val="0"/>
        <w:spacing w:line="380" w:lineRule="exact"/>
        <w:textAlignment w:val="baseline"/>
        <w:rPr>
          <w:rFonts w:ascii="宋体" w:hAnsi="宋体"/>
          <w:b/>
          <w:bCs/>
          <w:kern w:val="0"/>
          <w:szCs w:val="21"/>
        </w:rPr>
      </w:pPr>
      <w:r>
        <w:rPr>
          <w:rFonts w:hint="eastAsia" w:ascii="宋体" w:hAnsi="宋体"/>
          <w:b/>
          <w:bCs/>
          <w:kern w:val="0"/>
          <w:szCs w:val="21"/>
        </w:rPr>
        <w:t>二、评标方法</w:t>
      </w:r>
    </w:p>
    <w:p w14:paraId="5B638459">
      <w:pPr>
        <w:adjustRightInd w:val="0"/>
        <w:spacing w:line="380" w:lineRule="exact"/>
        <w:textAlignment w:val="baseline"/>
        <w:rPr>
          <w:rFonts w:ascii="宋体" w:hAnsi="宋体"/>
          <w:bCs/>
          <w:kern w:val="0"/>
          <w:szCs w:val="21"/>
        </w:rPr>
      </w:pPr>
      <w:r>
        <w:rPr>
          <w:rFonts w:hint="eastAsia" w:ascii="宋体" w:hAnsi="宋体"/>
          <w:bCs/>
          <w:kern w:val="0"/>
          <w:szCs w:val="21"/>
        </w:rPr>
        <w:t>（一）对进入详评的，采用百分制综合评分法。</w:t>
      </w:r>
    </w:p>
    <w:p w14:paraId="03E3BACA">
      <w:pPr>
        <w:adjustRightInd w:val="0"/>
        <w:spacing w:line="380" w:lineRule="exact"/>
        <w:textAlignment w:val="baseline"/>
        <w:rPr>
          <w:rFonts w:ascii="宋体" w:hAnsi="宋体"/>
          <w:bCs/>
          <w:kern w:val="0"/>
          <w:szCs w:val="21"/>
        </w:rPr>
      </w:pPr>
      <w:r>
        <w:rPr>
          <w:rFonts w:hint="eastAsia" w:ascii="宋体" w:hAnsi="宋体"/>
          <w:bCs/>
          <w:kern w:val="0"/>
          <w:szCs w:val="21"/>
        </w:rPr>
        <w:t>（二）计分办法（按四舍五入取至百分位）：</w:t>
      </w:r>
    </w:p>
    <w:p w14:paraId="41C02070">
      <w:pPr>
        <w:spacing w:line="380" w:lineRule="exact"/>
        <w:rPr>
          <w:rFonts w:ascii="宋体" w:hAnsi="宋体"/>
          <w:b/>
          <w:szCs w:val="21"/>
        </w:rPr>
      </w:pPr>
      <w:r>
        <w:rPr>
          <w:rFonts w:ascii="宋体" w:hAnsi="宋体"/>
          <w:b/>
          <w:szCs w:val="21"/>
        </w:rPr>
        <w:t>1</w:t>
      </w:r>
      <w:r>
        <w:rPr>
          <w:rFonts w:hint="eastAsia" w:ascii="宋体" w:hAnsi="宋体"/>
          <w:b/>
          <w:szCs w:val="21"/>
        </w:rPr>
        <w:t>、价格分……………………………………………………………………………………………………30分</w:t>
      </w:r>
    </w:p>
    <w:p w14:paraId="1F46D4CC">
      <w:pPr>
        <w:pStyle w:val="25"/>
        <w:spacing w:line="400" w:lineRule="exact"/>
        <w:ind w:firstLine="420" w:firstLineChars="200"/>
        <w:rPr>
          <w:rFonts w:hAnsi="宋体" w:cs="宋体"/>
          <w:bCs/>
          <w:kern w:val="2"/>
          <w:sz w:val="21"/>
        </w:rPr>
      </w:pPr>
      <w:r>
        <w:rPr>
          <w:rFonts w:hint="eastAsia" w:hAnsi="宋体" w:cs="宋体"/>
          <w:bCs/>
          <w:kern w:val="2"/>
          <w:sz w:val="21"/>
        </w:rPr>
        <w:t>（1）评标报价为投标人的投标报价进行政策性扣除后的价格，评标报价只是作为评标时使用。最终中标人的中标金额等于投标报价。</w:t>
      </w:r>
    </w:p>
    <w:p w14:paraId="0299CC75">
      <w:pPr>
        <w:snapToGrid w:val="0"/>
        <w:spacing w:line="400" w:lineRule="exact"/>
        <w:ind w:firstLine="420" w:firstLineChars="200"/>
        <w:rPr>
          <w:rFonts w:ascii="宋体" w:hAnsi="宋体" w:cs="宋体"/>
          <w:bCs/>
          <w:szCs w:val="21"/>
        </w:rPr>
      </w:pPr>
      <w:r>
        <w:rPr>
          <w:rFonts w:hint="eastAsia" w:ascii="宋体" w:hAnsi="宋体" w:cs="宋体"/>
          <w:bCs/>
          <w:szCs w:val="21"/>
        </w:rPr>
        <w:t>（2）政策性扣除计算方法。</w:t>
      </w:r>
    </w:p>
    <w:p w14:paraId="6A7F91CC">
      <w:pPr>
        <w:snapToGrid w:val="0"/>
        <w:spacing w:line="400" w:lineRule="exact"/>
        <w:ind w:firstLine="420" w:firstLineChars="200"/>
        <w:rPr>
          <w:rFonts w:ascii="宋体" w:hAnsi="宋体" w:cs="宋体"/>
          <w:szCs w:val="21"/>
        </w:rPr>
      </w:pPr>
      <w:r>
        <w:rPr>
          <w:rFonts w:hint="eastAsia" w:ascii="宋体" w:hAnsi="宋体" w:cs="宋体"/>
          <w:bCs/>
          <w:szCs w:val="21"/>
        </w:rPr>
        <w:t>根据《政府采购促进中小企业发展管理办法》（财库〔2020〕46号）及</w:t>
      </w:r>
      <w:r>
        <w:rPr>
          <w:rFonts w:hint="eastAsia" w:ascii="宋体" w:hAnsi="宋体" w:cs="宋体"/>
          <w:b/>
          <w:bCs/>
          <w:szCs w:val="21"/>
        </w:rPr>
        <w:t>《</w:t>
      </w:r>
      <w:r>
        <w:rPr>
          <w:rFonts w:hint="eastAsia" w:ascii="宋体" w:hAnsi="宋体" w:cs="宋体"/>
          <w:bCs/>
          <w:szCs w:val="21"/>
        </w:rPr>
        <w:t>广西壮族自治区财政厅关于持续优化政府采购营商环境推动高质量发展的通知</w:t>
      </w:r>
      <w:r>
        <w:rPr>
          <w:rFonts w:hint="eastAsia" w:ascii="宋体" w:hAnsi="宋体" w:cs="宋体"/>
          <w:b/>
          <w:bCs/>
          <w:szCs w:val="21"/>
        </w:rPr>
        <w:t>》（</w:t>
      </w:r>
      <w:r>
        <w:rPr>
          <w:rFonts w:hint="eastAsia" w:ascii="宋体" w:hAnsi="宋体" w:cs="宋体"/>
          <w:bCs/>
          <w:szCs w:val="21"/>
        </w:rPr>
        <w:t>桂财采〔2024〕55号</w:t>
      </w:r>
      <w:r>
        <w:rPr>
          <w:rFonts w:hint="eastAsia" w:ascii="宋体" w:hAnsi="宋体" w:cs="宋体"/>
          <w:b/>
          <w:bCs/>
          <w:szCs w:val="21"/>
        </w:rPr>
        <w:t>）</w:t>
      </w:r>
      <w:r>
        <w:rPr>
          <w:rFonts w:hint="eastAsia" w:ascii="宋体" w:hAnsi="宋体" w:cs="宋体"/>
          <w:bCs/>
          <w:szCs w:val="21"/>
        </w:rPr>
        <w:t>的规定，投标人在其投标文件中提供《中小企业声明函》，且其投标全部货物由小微企业</w:t>
      </w:r>
      <w:r>
        <w:rPr>
          <w:rFonts w:hint="eastAsia" w:ascii="宋体" w:hAnsi="宋体" w:cs="宋体"/>
          <w:bCs/>
          <w:color w:val="000000"/>
          <w:szCs w:val="21"/>
        </w:rPr>
        <w:t>制造的，对其投标报价给予</w:t>
      </w:r>
      <w:r>
        <w:rPr>
          <w:rFonts w:hint="eastAsia" w:ascii="宋体" w:hAnsi="宋体" w:cs="宋体"/>
          <w:bCs/>
          <w:color w:val="000000"/>
          <w:szCs w:val="21"/>
          <w:u w:val="single"/>
        </w:rPr>
        <w:t>10%</w:t>
      </w:r>
      <w:r>
        <w:rPr>
          <w:rFonts w:hint="eastAsia" w:ascii="宋体" w:hAnsi="宋体" w:cs="宋体"/>
          <w:bCs/>
          <w:color w:val="000000"/>
          <w:szCs w:val="21"/>
        </w:rPr>
        <w:t>（范围为10%-20%）的扣除，扣除后的价格为评标报价，即评标报价=投标报价×（1-</w:t>
      </w:r>
      <w:r>
        <w:rPr>
          <w:rFonts w:hint="eastAsia" w:ascii="宋体" w:hAnsi="宋体" w:cs="宋体"/>
          <w:bCs/>
          <w:color w:val="000000"/>
          <w:szCs w:val="21"/>
          <w:u w:val="single"/>
        </w:rPr>
        <w:t>10</w:t>
      </w:r>
      <w:r>
        <w:rPr>
          <w:rFonts w:hint="eastAsia" w:ascii="宋体" w:hAnsi="宋体" w:cs="宋体"/>
          <w:bCs/>
          <w:color w:val="000000"/>
          <w:szCs w:val="21"/>
        </w:rPr>
        <w:t>%）。接受大中型企业与小微企业组成联合体或者允许大中型企业向一家或者多家小微企业分包的采购项目，联合</w:t>
      </w:r>
      <w:r>
        <w:rPr>
          <w:rFonts w:hint="eastAsia" w:ascii="宋体" w:hAnsi="宋体" w:cs="宋体"/>
          <w:bCs/>
          <w:szCs w:val="21"/>
        </w:rPr>
        <w:t>协议或者分包意向协议约定小微企业的合同份额占到合同总金额30%以上的，采购人、采购代理机构应当对联合体或者大中型企业的报价给予</w:t>
      </w:r>
      <w:r>
        <w:rPr>
          <w:rFonts w:hint="eastAsia" w:ascii="宋体" w:hAnsi="宋体" w:cs="宋体"/>
          <w:bCs/>
          <w:szCs w:val="21"/>
          <w:u w:val="single"/>
        </w:rPr>
        <w:t>4</w:t>
      </w:r>
      <w:r>
        <w:rPr>
          <w:rFonts w:hint="eastAsia" w:ascii="宋体" w:hAnsi="宋体" w:cs="宋体"/>
          <w:bCs/>
          <w:szCs w:val="21"/>
        </w:rPr>
        <w:t>%（范围为4%-6%）的扣除，用扣除后的价格参加评审，扣除后的价格为评标报价，即评标报价=投标报价×（1-</w:t>
      </w:r>
      <w:r>
        <w:rPr>
          <w:rFonts w:hint="eastAsia" w:ascii="宋体" w:hAnsi="宋体" w:cs="宋体"/>
          <w:bCs/>
          <w:szCs w:val="21"/>
          <w:u w:val="single"/>
        </w:rPr>
        <w:t>4</w:t>
      </w:r>
      <w:r>
        <w:rPr>
          <w:rFonts w:hint="eastAsia" w:ascii="宋体" w:hAnsi="宋体" w:cs="宋体"/>
          <w:bCs/>
          <w:szCs w:val="21"/>
        </w:rPr>
        <w:t>%）。除上述情况外，评标报价=投标报价。</w:t>
      </w:r>
    </w:p>
    <w:p w14:paraId="46BB5657">
      <w:pPr>
        <w:snapToGrid w:val="0"/>
        <w:spacing w:line="400" w:lineRule="exact"/>
        <w:ind w:firstLine="420" w:firstLineChars="200"/>
        <w:rPr>
          <w:rFonts w:ascii="宋体" w:hAnsi="宋体" w:cs="宋体"/>
          <w:bCs/>
          <w:szCs w:val="21"/>
        </w:rPr>
      </w:pPr>
      <w:r>
        <w:rPr>
          <w:rFonts w:hint="eastAsia" w:ascii="宋体" w:hAnsi="宋体" w:cs="宋体"/>
          <w:bCs/>
          <w:szCs w:val="21"/>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s="宋体"/>
          <w:szCs w:val="21"/>
        </w:rPr>
        <w:t>监狱企业参加政府采购活动时，应当提供由省级以上监狱管理局、戒毒管理局（含新疆生产建设兵团）出具的属于监狱企业的证明文件。</w:t>
      </w:r>
      <w:r>
        <w:rPr>
          <w:rFonts w:hint="eastAsia" w:ascii="宋体" w:hAnsi="宋体" w:cs="宋体"/>
          <w:bCs/>
          <w:szCs w:val="21"/>
        </w:rPr>
        <w:t>监狱企业属于小型、微型企业的，不重复享受政策。</w:t>
      </w:r>
    </w:p>
    <w:p w14:paraId="374E2DC6">
      <w:pPr>
        <w:snapToGrid w:val="0"/>
        <w:spacing w:line="400" w:lineRule="exact"/>
        <w:ind w:firstLine="420" w:firstLineChars="200"/>
        <w:rPr>
          <w:rFonts w:ascii="宋体" w:hAnsi="宋体" w:cs="宋体"/>
          <w:bCs/>
          <w:szCs w:val="21"/>
        </w:rPr>
      </w:pPr>
      <w:r>
        <w:rPr>
          <w:rFonts w:hint="eastAsia" w:ascii="宋体" w:hAnsi="宋体" w:cs="宋体"/>
          <w:szCs w:val="21"/>
        </w:rPr>
        <w:t>（4）按照</w:t>
      </w:r>
      <w:r>
        <w:rPr>
          <w:rFonts w:hint="eastAsia" w:ascii="宋体" w:hAnsi="宋体" w:cs="宋体"/>
          <w:bCs/>
          <w:szCs w:val="21"/>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s="宋体"/>
          <w:szCs w:val="21"/>
        </w:rPr>
        <w:t>残疾人福利性单位参加政府采购活动时，应当提供该通知规定的《残疾人福利性单位声明函》，并对声明的真实性负责。</w:t>
      </w:r>
      <w:r>
        <w:rPr>
          <w:rFonts w:hint="eastAsia" w:ascii="宋体" w:hAnsi="宋体" w:cs="宋体"/>
          <w:bCs/>
          <w:szCs w:val="21"/>
        </w:rPr>
        <w:t>残疾人福利性单位属于小型、微型企业的，不重复享受政策。</w:t>
      </w:r>
    </w:p>
    <w:p w14:paraId="46757652">
      <w:pPr>
        <w:snapToGrid w:val="0"/>
        <w:spacing w:line="400" w:lineRule="exact"/>
        <w:ind w:firstLine="420" w:firstLineChars="200"/>
        <w:rPr>
          <w:rFonts w:ascii="宋体" w:hAnsi="宋体" w:cs="宋体"/>
          <w:bCs/>
          <w:szCs w:val="21"/>
        </w:rPr>
      </w:pPr>
      <w:r>
        <w:rPr>
          <w:rFonts w:hint="eastAsia" w:ascii="宋体" w:hAnsi="宋体" w:cs="宋体"/>
          <w:bCs/>
          <w:szCs w:val="21"/>
        </w:rPr>
        <w:t>（5）</w:t>
      </w:r>
      <w:r>
        <w:rPr>
          <w:rFonts w:hint="eastAsia" w:ascii="宋体" w:hAnsi="宋体" w:cs="宋体"/>
          <w:szCs w:val="21"/>
        </w:rPr>
        <w:t>根据《国务院办公厅关于在政府采购中实施本国产品标准及相关政策的通知》（国办发〔2025〕34号）的规定，供应商对其提供的产品出具符合要求的《关于符合本国产品标准的声明函》，该产品视为本国产品。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6E854A9">
      <w:pPr>
        <w:snapToGrid w:val="0"/>
        <w:spacing w:line="400" w:lineRule="exact"/>
        <w:ind w:firstLine="420" w:firstLineChars="200"/>
        <w:rPr>
          <w:rFonts w:ascii="宋体" w:hAnsi="宋体" w:cs="宋体"/>
          <w:bCs/>
          <w:szCs w:val="21"/>
        </w:rPr>
      </w:pPr>
      <w:r>
        <w:rPr>
          <w:rFonts w:hint="eastAsia" w:ascii="宋体" w:hAnsi="宋体" w:cs="宋体"/>
          <w:bCs/>
          <w:szCs w:val="21"/>
        </w:rPr>
        <w:t>（6）满足招标文件要求且评标报价最低的评标报价为评标基准价，其价格分为满分。</w:t>
      </w:r>
    </w:p>
    <w:p w14:paraId="7B8F9A6C">
      <w:pPr>
        <w:snapToGrid w:val="0"/>
        <w:spacing w:line="400" w:lineRule="exact"/>
        <w:ind w:firstLine="420" w:firstLineChars="200"/>
        <w:rPr>
          <w:rFonts w:ascii="宋体" w:hAnsi="宋体" w:cs="宋体"/>
          <w:bCs/>
          <w:szCs w:val="21"/>
        </w:rPr>
      </w:pPr>
      <w:r>
        <w:rPr>
          <w:rFonts w:hint="eastAsia" w:ascii="宋体" w:hAnsi="宋体" w:cs="宋体"/>
          <w:bCs/>
          <w:szCs w:val="21"/>
        </w:rPr>
        <w:t>（7）价格分计算公式：价格分=（评标基准价／评标报价）×</w:t>
      </w:r>
      <w:r>
        <w:rPr>
          <w:rFonts w:hint="eastAsia" w:ascii="宋体" w:hAnsi="宋体" w:cs="宋体"/>
          <w:bCs/>
          <w:szCs w:val="21"/>
          <w:u w:val="single"/>
        </w:rPr>
        <w:t>30</w:t>
      </w:r>
      <w:r>
        <w:rPr>
          <w:rFonts w:hint="eastAsia" w:ascii="宋体" w:hAnsi="宋体" w:cs="宋体"/>
          <w:bCs/>
          <w:szCs w:val="21"/>
        </w:rPr>
        <w:t xml:space="preserve">分 </w:t>
      </w:r>
      <w:r>
        <w:rPr>
          <w:rFonts w:hint="eastAsia" w:ascii="宋体" w:hAnsi="宋体" w:cs="宋体"/>
          <w:szCs w:val="21"/>
        </w:rPr>
        <w:t xml:space="preserve">  </w:t>
      </w:r>
    </w:p>
    <w:p w14:paraId="7220ABBC">
      <w:pPr>
        <w:spacing w:line="400" w:lineRule="exact"/>
        <w:ind w:firstLine="422" w:firstLineChars="200"/>
        <w:rPr>
          <w:rFonts w:ascii="宋体" w:hAnsi="宋体" w:cs="宋体"/>
          <w:b/>
          <w:bCs/>
        </w:rPr>
      </w:pPr>
      <w:r>
        <w:rPr>
          <w:rFonts w:hint="eastAsia" w:ascii="宋体" w:hAnsi="宋体" w:cs="宋体"/>
          <w:b/>
          <w:bCs/>
        </w:rPr>
        <w:t>注：本国产品价格扣除政策与中小企业、监狱企业、残疾人福利性单位价格扣除政策可重复享受。</w:t>
      </w:r>
    </w:p>
    <w:p w14:paraId="272A4A68">
      <w:pPr>
        <w:pStyle w:val="41"/>
        <w:tabs>
          <w:tab w:val="right" w:leader="dot" w:pos="9185"/>
        </w:tabs>
        <w:spacing w:line="400" w:lineRule="exact"/>
        <w:ind w:left="0" w:leftChars="0" w:firstLine="420" w:firstLineChars="200"/>
        <w:rPr>
          <w:rFonts w:ascii="宋体" w:hAnsi="宋体" w:cs="宋体"/>
          <w:bCs/>
          <w:szCs w:val="21"/>
        </w:rPr>
      </w:pPr>
      <w:r>
        <w:rPr>
          <w:rFonts w:hint="eastAsia" w:ascii="宋体" w:hAnsi="宋体" w:cs="宋体"/>
          <w:bCs/>
          <w:szCs w:val="21"/>
        </w:rPr>
        <w:t>异常低价审查：具体详见第三章《投标人须知》内容。</w:t>
      </w:r>
    </w:p>
    <w:p w14:paraId="272676B9">
      <w:pPr>
        <w:pStyle w:val="41"/>
        <w:tabs>
          <w:tab w:val="right" w:leader="dot" w:pos="9185"/>
        </w:tabs>
        <w:spacing w:line="400" w:lineRule="exact"/>
        <w:ind w:left="0" w:leftChars="0"/>
        <w:rPr>
          <w:rFonts w:ascii="宋体" w:hAnsi="宋体" w:cs="宋体"/>
          <w:b/>
        </w:rPr>
      </w:pPr>
      <w:r>
        <w:rPr>
          <w:rFonts w:hint="eastAsia" w:ascii="宋体" w:hAnsi="宋体" w:cs="宋体"/>
          <w:b/>
        </w:rPr>
        <w:t>2、设备性能分……………………………………………………………………………………30分</w:t>
      </w:r>
    </w:p>
    <w:p w14:paraId="667FDCF7">
      <w:pPr>
        <w:snapToGrid w:val="0"/>
        <w:spacing w:line="400" w:lineRule="exact"/>
        <w:ind w:firstLine="420" w:firstLineChars="200"/>
        <w:rPr>
          <w:rFonts w:ascii="宋体" w:hAnsi="宋体" w:cs="宋体"/>
          <w:szCs w:val="21"/>
        </w:rPr>
      </w:pPr>
      <w:r>
        <w:rPr>
          <w:rFonts w:hint="eastAsia" w:ascii="宋体" w:hAnsi="宋体" w:cs="宋体"/>
          <w:szCs w:val="21"/>
        </w:rPr>
        <w:t>根据所投货物对项目要求及技术需求中响应程度打分。</w:t>
      </w:r>
    </w:p>
    <w:p w14:paraId="1BBF5D8D">
      <w:pPr>
        <w:spacing w:line="400" w:lineRule="exact"/>
        <w:ind w:firstLine="420" w:firstLineChars="200"/>
      </w:pPr>
      <w:r>
        <w:rPr>
          <w:rFonts w:hint="eastAsia" w:ascii="宋体" w:hAnsi="宋体" w:cs="宋体"/>
          <w:bCs/>
          <w:szCs w:val="21"/>
        </w:rPr>
        <w:t>标注“</w:t>
      </w:r>
      <w:r>
        <w:rPr>
          <w:rFonts w:hint="eastAsia" w:ascii="宋体" w:hAnsi="宋体" w:cs="宋体"/>
          <w:szCs w:val="21"/>
        </w:rPr>
        <w:t>*</w:t>
      </w:r>
      <w:r>
        <w:rPr>
          <w:rFonts w:hint="eastAsia" w:ascii="宋体" w:hAnsi="宋体" w:cs="宋体"/>
          <w:bCs/>
          <w:szCs w:val="21"/>
        </w:rPr>
        <w:t>”（4项）的技术参数满足</w:t>
      </w:r>
      <w:r>
        <w:rPr>
          <w:rFonts w:hint="eastAsia" w:ascii="宋体" w:hAnsi="宋体"/>
          <w:bCs/>
          <w:szCs w:val="21"/>
        </w:rPr>
        <w:t>招标文件要求的，</w:t>
      </w:r>
      <w:r>
        <w:rPr>
          <w:rFonts w:hint="eastAsia" w:ascii="宋体" w:hAnsi="宋体" w:cs="宋体"/>
          <w:szCs w:val="21"/>
        </w:rPr>
        <w:t>投标人能够</w:t>
      </w:r>
      <w:r>
        <w:rPr>
          <w:rFonts w:hint="eastAsia" w:ascii="宋体" w:hAnsi="宋体" w:cs="宋体"/>
          <w:bCs/>
          <w:szCs w:val="21"/>
        </w:rPr>
        <w:t>在投标文件中</w:t>
      </w:r>
      <w:r>
        <w:rPr>
          <w:rFonts w:hint="eastAsia" w:ascii="宋体" w:hAnsi="宋体" w:cs="宋体"/>
          <w:szCs w:val="21"/>
        </w:rPr>
        <w:t>提供投标产品彩页或相应技术参数的厂家使用说明书（如厂家提供的产品使用说明书为英文版，请同时提供中文版）或</w:t>
      </w:r>
      <w:r>
        <w:rPr>
          <w:rFonts w:hint="eastAsia" w:ascii="宋体" w:hAnsi="宋体" w:cs="宋体"/>
          <w:bCs/>
          <w:szCs w:val="21"/>
        </w:rPr>
        <w:t>括国家认可的有资质的</w:t>
      </w:r>
      <w:r>
        <w:rPr>
          <w:rFonts w:hint="eastAsia" w:ascii="宋体" w:hAnsi="宋体" w:cs="宋体"/>
          <w:szCs w:val="21"/>
        </w:rPr>
        <w:t>第三方检测报告复印件作为技术参数证明文件，</w:t>
      </w:r>
      <w:r>
        <w:rPr>
          <w:rFonts w:hint="eastAsia" w:ascii="宋体" w:hAnsi="宋体"/>
          <w:bCs/>
          <w:szCs w:val="21"/>
        </w:rPr>
        <w:t>每一项得1分，满分4分</w:t>
      </w:r>
      <w:r>
        <w:rPr>
          <w:rFonts w:hint="eastAsia" w:ascii="宋体" w:hAnsi="宋体" w:cs="宋体"/>
          <w:szCs w:val="21"/>
        </w:rPr>
        <w:t>。</w:t>
      </w:r>
    </w:p>
    <w:p w14:paraId="4EDE6F05">
      <w:pPr>
        <w:spacing w:line="400" w:lineRule="exact"/>
        <w:ind w:firstLine="420" w:firstLineChars="200"/>
      </w:pPr>
      <w:r>
        <w:rPr>
          <w:rFonts w:hint="eastAsia" w:ascii="宋体" w:hAnsi="宋体" w:cs="宋体"/>
          <w:bCs/>
          <w:szCs w:val="21"/>
        </w:rPr>
        <w:t>未标注“▲”、“</w:t>
      </w:r>
      <w:r>
        <w:rPr>
          <w:rFonts w:hint="eastAsia" w:ascii="宋体" w:hAnsi="宋体" w:cs="宋体"/>
          <w:szCs w:val="21"/>
        </w:rPr>
        <w:t>*</w:t>
      </w:r>
      <w:r>
        <w:rPr>
          <w:rFonts w:hint="eastAsia" w:ascii="宋体" w:hAnsi="宋体" w:cs="宋体"/>
          <w:bCs/>
          <w:szCs w:val="21"/>
        </w:rPr>
        <w:t>”（104项）的技术参数满足</w:t>
      </w:r>
      <w:r>
        <w:rPr>
          <w:rFonts w:hint="eastAsia" w:ascii="宋体" w:hAnsi="宋体"/>
          <w:bCs/>
          <w:szCs w:val="21"/>
        </w:rPr>
        <w:t>招标文件要求的，</w:t>
      </w:r>
      <w:r>
        <w:rPr>
          <w:rFonts w:hint="eastAsia" w:ascii="宋体" w:hAnsi="宋体" w:cs="宋体"/>
          <w:szCs w:val="21"/>
        </w:rPr>
        <w:t>投标人能够</w:t>
      </w:r>
      <w:r>
        <w:rPr>
          <w:rFonts w:hint="eastAsia" w:ascii="宋体" w:hAnsi="宋体" w:cs="宋体"/>
          <w:bCs/>
          <w:szCs w:val="21"/>
        </w:rPr>
        <w:t>在投标文件中</w:t>
      </w:r>
      <w:r>
        <w:rPr>
          <w:rFonts w:hint="eastAsia" w:ascii="宋体" w:hAnsi="宋体" w:cs="宋体"/>
          <w:szCs w:val="21"/>
        </w:rPr>
        <w:t>提供投标产品彩页或相应技术参数的厂家使用说明书（如厂家提供的产品使用说明书为英文版，请同时提供中文版）或</w:t>
      </w:r>
      <w:r>
        <w:rPr>
          <w:rFonts w:hint="eastAsia" w:ascii="宋体" w:hAnsi="宋体" w:cs="宋体"/>
          <w:bCs/>
          <w:szCs w:val="21"/>
        </w:rPr>
        <w:t>括国家认可的有资质的</w:t>
      </w:r>
      <w:r>
        <w:rPr>
          <w:rFonts w:hint="eastAsia" w:ascii="宋体" w:hAnsi="宋体" w:cs="宋体"/>
          <w:szCs w:val="21"/>
        </w:rPr>
        <w:t>第三方检测报告复印件作为技术参数证明文件，</w:t>
      </w:r>
      <w:r>
        <w:rPr>
          <w:rFonts w:hint="eastAsia" w:ascii="宋体" w:hAnsi="宋体"/>
          <w:bCs/>
          <w:szCs w:val="21"/>
        </w:rPr>
        <w:t>每一项得0.25分，满分26分</w:t>
      </w:r>
      <w:r>
        <w:rPr>
          <w:rFonts w:hint="eastAsia" w:ascii="宋体" w:hAnsi="宋体" w:cs="宋体"/>
          <w:szCs w:val="21"/>
        </w:rPr>
        <w:t>。</w:t>
      </w:r>
    </w:p>
    <w:p w14:paraId="1844FB3D">
      <w:pPr>
        <w:pStyle w:val="41"/>
        <w:tabs>
          <w:tab w:val="right" w:leader="dot" w:pos="9185"/>
        </w:tabs>
        <w:spacing w:line="400" w:lineRule="exact"/>
        <w:ind w:left="0" w:leftChars="0"/>
        <w:rPr>
          <w:rFonts w:ascii="宋体" w:hAnsi="宋体" w:cs="宋体"/>
          <w:color w:val="000000"/>
          <w:szCs w:val="21"/>
        </w:rPr>
      </w:pPr>
      <w:r>
        <w:rPr>
          <w:rFonts w:hint="eastAsia" w:ascii="宋体" w:hAnsi="宋体" w:cs="宋体"/>
          <w:b/>
          <w:bCs/>
          <w:color w:val="000000"/>
          <w:szCs w:val="21"/>
        </w:rPr>
        <w:t>3、</w:t>
      </w:r>
      <w:r>
        <w:rPr>
          <w:rFonts w:hint="eastAsia" w:ascii="宋体" w:hAnsi="宋体" w:cs="宋体"/>
          <w:b/>
          <w:bCs/>
          <w:color w:val="000000"/>
          <w:szCs w:val="21"/>
          <w:lang w:val="en-US" w:eastAsia="zh-CN"/>
        </w:rPr>
        <w:t>项目实施方案</w:t>
      </w:r>
      <w:r>
        <w:rPr>
          <w:rFonts w:hint="eastAsia" w:ascii="宋体" w:hAnsi="宋体" w:cs="宋体"/>
          <w:b/>
          <w:color w:val="000000"/>
        </w:rPr>
        <w:t>分</w:t>
      </w:r>
      <w:r>
        <w:rPr>
          <w:rFonts w:hint="eastAsia" w:ascii="宋体" w:hAnsi="宋体" w:cs="宋体"/>
          <w:b/>
          <w:bCs/>
          <w:color w:val="000000"/>
        </w:rPr>
        <w:t>………………………………………………………………………………………16分</w:t>
      </w:r>
    </w:p>
    <w:p w14:paraId="3489914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000000"/>
        </w:rPr>
      </w:pPr>
      <w:r>
        <w:rPr>
          <w:rFonts w:hint="eastAsia" w:ascii="宋体" w:hAnsi="宋体" w:cs="宋体"/>
          <w:b w:val="0"/>
          <w:bCs/>
          <w:color w:val="000000"/>
        </w:rPr>
        <w:t>一档（5分）：投标人提供的服务方案基本满足招标文件要求，有供货措施、服务期的供货计划、产</w:t>
      </w:r>
    </w:p>
    <w:p w14:paraId="7AE321D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cs="宋体"/>
          <w:b w:val="0"/>
          <w:bCs/>
          <w:color w:val="000000"/>
        </w:rPr>
      </w:pPr>
      <w:r>
        <w:rPr>
          <w:rFonts w:hint="eastAsia" w:ascii="宋体" w:hAnsi="宋体" w:cs="宋体"/>
          <w:b w:val="0"/>
          <w:bCs/>
          <w:color w:val="000000"/>
        </w:rPr>
        <w:t>品质量保障措施以及供应服务流程内容。</w:t>
      </w:r>
    </w:p>
    <w:p w14:paraId="02B628C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000000"/>
        </w:rPr>
      </w:pPr>
      <w:r>
        <w:rPr>
          <w:rFonts w:hint="eastAsia" w:ascii="宋体" w:hAnsi="宋体" w:cs="宋体"/>
          <w:b w:val="0"/>
          <w:bCs/>
          <w:color w:val="000000"/>
        </w:rPr>
        <w:t>二档（10分）：在一档的基础上，有合法正规的供货渠道，有确保供货稳定的措施，针对本次采购的产品有具体、详细的供货计划、产品供应服务流程以及产品质量保障措施。能够保证使用单位的使用效率、在质保期满后1年内不会严重影响使用单位正常使用，操控及安装维修的便利性设计有设计亮点且能够满足使用单位的操作及正常维护需求。</w:t>
      </w:r>
    </w:p>
    <w:p w14:paraId="7FD42BB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000000"/>
        </w:rPr>
      </w:pPr>
      <w:r>
        <w:rPr>
          <w:rFonts w:hint="eastAsia" w:ascii="宋体" w:hAnsi="宋体" w:cs="宋体"/>
          <w:b w:val="0"/>
          <w:bCs/>
          <w:color w:val="000000"/>
        </w:rPr>
        <w:t>三档（16分）：在二档的基础上，有具体的执行组织措施、执行保障措施，有具体的服务保障体系及措施内容包含仓库管理制度、不合格品管理制度、成品管理制度，能够结合自身经验进一步对项目服务工作进行分析，并有重点、难点分析，能够保证在质保期满后1年以上的稳定运行及整机各类功能实现，充分符合或优于使用单位对整机操控及安装维修的便利性需求及实际使用需求，设计原理保证其维修期短、易于使用单位技术人员判断维修需求。</w:t>
      </w:r>
    </w:p>
    <w:p w14:paraId="520CA5E5">
      <w:pPr>
        <w:spacing w:line="400" w:lineRule="exact"/>
        <w:rPr>
          <w:rFonts w:ascii="宋体" w:hAnsi="宋体" w:cs="宋体"/>
          <w:b/>
          <w:color w:val="000000"/>
        </w:rPr>
      </w:pPr>
      <w:r>
        <w:rPr>
          <w:rFonts w:hint="eastAsia" w:ascii="宋体" w:hAnsi="宋体" w:cs="宋体"/>
          <w:b/>
          <w:color w:val="000000"/>
        </w:rPr>
        <w:t>4、售后服务分………………………………………………………………………………………12分</w:t>
      </w:r>
    </w:p>
    <w:p w14:paraId="708FC8AA">
      <w:pPr>
        <w:spacing w:line="400" w:lineRule="exact"/>
        <w:ind w:firstLine="420" w:firstLineChars="200"/>
        <w:rPr>
          <w:rFonts w:ascii="宋体" w:hAnsi="宋体" w:cs="宋体"/>
          <w:color w:val="000000"/>
        </w:rPr>
      </w:pPr>
      <w:r>
        <w:rPr>
          <w:rFonts w:hint="eastAsia" w:ascii="宋体" w:hAnsi="宋体" w:cs="宋体"/>
          <w:color w:val="000000"/>
        </w:rPr>
        <w:t>一档（3分）：质量保证措施和售后服务承诺基本满足招标文件要求，承诺解决故障时间为</w:t>
      </w:r>
      <w:r>
        <w:rPr>
          <w:rFonts w:hint="eastAsia" w:ascii="宋体" w:hAnsi="宋体" w:cs="宋体"/>
          <w:color w:val="000000"/>
          <w:u w:val="single"/>
        </w:rPr>
        <w:t xml:space="preserve"> </w:t>
      </w:r>
      <w:r>
        <w:rPr>
          <w:rFonts w:ascii="宋体" w:hAnsi="宋体" w:cs="宋体"/>
          <w:color w:val="000000"/>
          <w:u w:val="single"/>
        </w:rPr>
        <w:t>4</w:t>
      </w:r>
      <w:r>
        <w:rPr>
          <w:rFonts w:hint="eastAsia" w:ascii="宋体" w:hAnsi="宋体" w:cs="宋体"/>
          <w:color w:val="000000"/>
          <w:u w:val="single"/>
        </w:rPr>
        <w:t xml:space="preserve">  </w:t>
      </w:r>
      <w:r>
        <w:rPr>
          <w:rFonts w:hint="eastAsia" w:ascii="宋体" w:hAnsi="宋体" w:cs="宋体"/>
          <w:color w:val="000000"/>
        </w:rPr>
        <w:t>个小时以内，有具体承诺，服务内容、保障措施能满足采购人需求；</w:t>
      </w:r>
    </w:p>
    <w:p w14:paraId="6A4CC7E5">
      <w:pPr>
        <w:spacing w:line="400" w:lineRule="exact"/>
        <w:ind w:firstLine="420" w:firstLineChars="200"/>
        <w:rPr>
          <w:rFonts w:ascii="宋体" w:hAnsi="宋体" w:cs="宋体"/>
          <w:color w:val="000000"/>
        </w:rPr>
      </w:pPr>
      <w:r>
        <w:rPr>
          <w:rFonts w:hint="eastAsia" w:ascii="宋体" w:hAnsi="宋体" w:cs="宋体"/>
          <w:color w:val="000000"/>
        </w:rPr>
        <w:t>二档（6分）：在一档的基础上，质量保证措施和售后服务承诺完善，售后响应时间满足招标文件要求，承诺解决故障时间为</w:t>
      </w:r>
      <w:r>
        <w:rPr>
          <w:rFonts w:hint="eastAsia" w:ascii="宋体" w:hAnsi="宋体" w:cs="宋体"/>
          <w:color w:val="000000"/>
          <w:u w:val="single"/>
        </w:rPr>
        <w:t xml:space="preserve">  </w:t>
      </w:r>
      <w:r>
        <w:rPr>
          <w:rFonts w:ascii="宋体" w:hAnsi="宋体" w:cs="宋体"/>
          <w:color w:val="000000"/>
          <w:u w:val="single"/>
        </w:rPr>
        <w:t>2</w:t>
      </w:r>
      <w:r>
        <w:rPr>
          <w:rFonts w:hint="eastAsia" w:ascii="宋体" w:hAnsi="宋体" w:cs="宋体"/>
          <w:color w:val="000000"/>
          <w:u w:val="single"/>
        </w:rPr>
        <w:t xml:space="preserve">   </w:t>
      </w:r>
      <w:r>
        <w:rPr>
          <w:rFonts w:hint="eastAsia" w:ascii="宋体" w:hAnsi="宋体" w:cs="宋体"/>
          <w:color w:val="000000"/>
        </w:rPr>
        <w:t>个小时以内，且有具体承诺，服务内容、保障措施能满足采购人需求，具备培训方案，投标人具备满足本项目的售后保障能力（提供售后服务承诺函等）。</w:t>
      </w:r>
    </w:p>
    <w:p w14:paraId="1BBC1534">
      <w:pPr>
        <w:spacing w:line="400" w:lineRule="exact"/>
        <w:ind w:firstLine="420" w:firstLineChars="200"/>
        <w:rPr>
          <w:rFonts w:ascii="宋体" w:hAnsi="宋体" w:cs="宋体"/>
          <w:color w:val="000000"/>
        </w:rPr>
      </w:pPr>
      <w:r>
        <w:rPr>
          <w:rFonts w:hint="eastAsia" w:ascii="宋体" w:hAnsi="宋体" w:cs="宋体"/>
          <w:color w:val="000000"/>
        </w:rPr>
        <w:t>三档（9分）：在二档的基础上，质量保证措施和售后服务承诺充分满足招标文件要求，承诺解决故障时间为</w:t>
      </w:r>
      <w:r>
        <w:rPr>
          <w:rFonts w:hint="eastAsia" w:ascii="宋体" w:hAnsi="宋体" w:cs="宋体"/>
          <w:color w:val="000000"/>
          <w:u w:val="single"/>
        </w:rPr>
        <w:t xml:space="preserve">  </w:t>
      </w:r>
      <w:r>
        <w:rPr>
          <w:rFonts w:ascii="宋体" w:hAnsi="宋体" w:cs="宋体"/>
          <w:color w:val="000000"/>
          <w:u w:val="single"/>
        </w:rPr>
        <w:t>1</w:t>
      </w:r>
      <w:r>
        <w:rPr>
          <w:rFonts w:hint="eastAsia" w:ascii="宋体" w:hAnsi="宋体" w:cs="宋体"/>
          <w:color w:val="000000"/>
          <w:u w:val="single"/>
        </w:rPr>
        <w:t xml:space="preserve">   </w:t>
      </w:r>
      <w:r>
        <w:rPr>
          <w:rFonts w:hint="eastAsia" w:ascii="宋体" w:hAnsi="宋体" w:cs="宋体"/>
          <w:color w:val="000000"/>
        </w:rPr>
        <w:t>个小时以内，提供</w:t>
      </w:r>
      <w:r>
        <w:rPr>
          <w:rFonts w:hint="eastAsia" w:ascii="宋体" w:hAnsi="宋体" w:cs="宋体"/>
          <w:color w:val="000000"/>
          <w:szCs w:val="21"/>
        </w:rPr>
        <w:t>对产品退换货措施、上门服务方案、售后措施方案、质量跟踪服务措施</w:t>
      </w:r>
      <w:r>
        <w:rPr>
          <w:rFonts w:hint="eastAsia" w:ascii="宋体" w:hAnsi="宋体" w:cs="宋体"/>
          <w:color w:val="000000"/>
        </w:rPr>
        <w:t>，质保期内免费提供专门班组技术人员运维，并提供免费运维服务承诺函的。</w:t>
      </w:r>
    </w:p>
    <w:p w14:paraId="61420390">
      <w:pPr>
        <w:spacing w:line="400" w:lineRule="exact"/>
        <w:ind w:firstLine="420" w:firstLineChars="200"/>
        <w:rPr>
          <w:rFonts w:ascii="宋体" w:hAnsi="宋体" w:cs="宋体"/>
          <w:color w:val="000000"/>
        </w:rPr>
      </w:pPr>
      <w:r>
        <w:rPr>
          <w:rFonts w:hint="eastAsia" w:ascii="宋体" w:hAnsi="宋体" w:cs="宋体"/>
          <w:color w:val="000000"/>
        </w:rPr>
        <w:t>四档（12分）：在三档的基础上，质量保证措施和售后服务承诺优于招标文件要求，承诺解决故障时间为</w:t>
      </w:r>
      <w:r>
        <w:rPr>
          <w:rFonts w:hint="eastAsia" w:ascii="宋体" w:hAnsi="宋体" w:cs="宋体"/>
          <w:color w:val="000000"/>
          <w:u w:val="single"/>
        </w:rPr>
        <w:t xml:space="preserve">  </w:t>
      </w:r>
      <w:r>
        <w:rPr>
          <w:rFonts w:ascii="宋体" w:hAnsi="宋体" w:cs="宋体"/>
          <w:color w:val="000000"/>
          <w:u w:val="single"/>
        </w:rPr>
        <w:t>0.5</w:t>
      </w:r>
      <w:r>
        <w:rPr>
          <w:rFonts w:hint="eastAsia" w:ascii="宋体" w:hAnsi="宋体" w:cs="宋体"/>
          <w:color w:val="000000"/>
          <w:u w:val="single"/>
        </w:rPr>
        <w:t xml:space="preserve">   </w:t>
      </w:r>
      <w:r>
        <w:rPr>
          <w:rFonts w:hint="eastAsia" w:ascii="宋体" w:hAnsi="宋体" w:cs="宋体"/>
          <w:color w:val="000000"/>
        </w:rPr>
        <w:t>个小时以内且售后响应时间充分优于招标文件要求，</w:t>
      </w:r>
      <w:r>
        <w:rPr>
          <w:rFonts w:hint="eastAsia" w:ascii="宋体" w:hAnsi="宋体" w:cs="宋体"/>
          <w:bCs/>
          <w:color w:val="000000"/>
          <w:kern w:val="0"/>
          <w:szCs w:val="21"/>
        </w:rPr>
        <w:t>提供有详细的产品退换货流程，有对不合格产品的召回措施、流程，对产品的包装有</w:t>
      </w:r>
      <w:r>
        <w:rPr>
          <w:rFonts w:hint="eastAsia" w:ascii="宋体" w:hAnsi="宋体" w:cs="宋体"/>
          <w:color w:val="000000"/>
          <w:kern w:val="0"/>
          <w:szCs w:val="21"/>
        </w:rPr>
        <w:t>防潮、防霉、防破损、装卸以及保管等管理措施，承诺有具体的退换货时间。</w:t>
      </w:r>
    </w:p>
    <w:p w14:paraId="7E7335E4">
      <w:pPr>
        <w:spacing w:line="400" w:lineRule="exact"/>
        <w:rPr>
          <w:rFonts w:ascii="宋体" w:hAnsi="宋体" w:cs="宋体"/>
          <w:b/>
          <w:color w:val="000000"/>
        </w:rPr>
      </w:pPr>
      <w:r>
        <w:rPr>
          <w:rFonts w:hint="eastAsia" w:ascii="宋体" w:hAnsi="宋体" w:cs="宋体"/>
          <w:b/>
          <w:color w:val="000000"/>
        </w:rPr>
        <w:t>5、信誉业绩分………………………………………………………………………………………………10分</w:t>
      </w:r>
    </w:p>
    <w:p w14:paraId="29B57C3A">
      <w:pPr>
        <w:snapToGrid w:val="0"/>
        <w:spacing w:line="360" w:lineRule="auto"/>
        <w:ind w:firstLine="411" w:firstLineChars="196"/>
        <w:jc w:val="left"/>
        <w:rPr>
          <w:rFonts w:ascii="宋体" w:hAnsi="宋体" w:cs="宋体"/>
          <w:bCs/>
          <w:color w:val="000000"/>
          <w:szCs w:val="21"/>
        </w:rPr>
      </w:pPr>
      <w:r>
        <w:rPr>
          <w:rFonts w:hint="eastAsia" w:ascii="宋体" w:hAnsi="宋体" w:cs="宋体"/>
          <w:bCs/>
          <w:color w:val="000000"/>
          <w:szCs w:val="21"/>
        </w:rPr>
        <w:t>（1）投标人或所投货物生产厂家通过国际标准：质量管理体系认证（ISO9000系列），以通过认证机构年审合格有效证明为准，提供证书复印件得2分，满分2分。</w:t>
      </w:r>
    </w:p>
    <w:p w14:paraId="4EA5930D">
      <w:pPr>
        <w:snapToGrid w:val="0"/>
        <w:spacing w:line="360" w:lineRule="auto"/>
        <w:ind w:firstLine="411" w:firstLineChars="196"/>
        <w:jc w:val="left"/>
        <w:rPr>
          <w:rFonts w:ascii="宋体" w:hAnsi="宋体" w:cs="宋体"/>
          <w:bCs/>
          <w:color w:val="000000"/>
          <w:szCs w:val="21"/>
        </w:rPr>
      </w:pPr>
      <w:r>
        <w:rPr>
          <w:rFonts w:hint="eastAsia" w:ascii="宋体" w:hAnsi="宋体" w:cs="宋体"/>
          <w:bCs/>
          <w:color w:val="000000"/>
          <w:szCs w:val="21"/>
        </w:rPr>
        <w:t>（2）投标人或所投货物生产厂家通过国际标准：环境管理体系认证（ISO14000系列），以通过认证机构年审合格有效证明为准，提供证书复印件得2分，满分2分。</w:t>
      </w:r>
    </w:p>
    <w:p w14:paraId="1D8BBBDD">
      <w:pPr>
        <w:snapToGrid w:val="0"/>
        <w:spacing w:line="360" w:lineRule="auto"/>
        <w:ind w:firstLine="411" w:firstLineChars="196"/>
        <w:jc w:val="left"/>
        <w:rPr>
          <w:rFonts w:ascii="宋体" w:hAnsi="宋体" w:cs="宋体"/>
          <w:bCs/>
          <w:color w:val="000000"/>
          <w:szCs w:val="21"/>
        </w:rPr>
      </w:pPr>
      <w:r>
        <w:rPr>
          <w:rFonts w:hint="eastAsia" w:ascii="宋体" w:hAnsi="宋体" w:cs="宋体"/>
          <w:bCs/>
          <w:color w:val="000000"/>
          <w:szCs w:val="21"/>
        </w:rPr>
        <w:t>（3）投标人2023年1月1日以来有与本次采购内容相类似业绩的（以有效的合同或中标（成交）通知书复印件为准），每有一份得2分，满分6分。</w:t>
      </w:r>
    </w:p>
    <w:p w14:paraId="71833F7A">
      <w:pPr>
        <w:spacing w:line="400" w:lineRule="exact"/>
        <w:rPr>
          <w:rFonts w:ascii="宋体" w:hAnsi="宋体" w:cs="宋体"/>
          <w:bCs/>
          <w:color w:val="000000"/>
        </w:rPr>
      </w:pPr>
      <w:r>
        <w:rPr>
          <w:rFonts w:hint="eastAsia" w:ascii="宋体" w:hAnsi="宋体" w:cs="宋体"/>
          <w:b/>
          <w:color w:val="000000"/>
        </w:rPr>
        <w:t>6、政策功能分………………………………………………………………………………………………2分</w:t>
      </w:r>
    </w:p>
    <w:p w14:paraId="2390FD71">
      <w:pPr>
        <w:spacing w:line="400" w:lineRule="exact"/>
        <w:ind w:firstLine="420" w:firstLineChars="200"/>
        <w:rPr>
          <w:rFonts w:ascii="宋体" w:hAnsi="宋体" w:cs="宋体"/>
          <w:color w:val="000000"/>
        </w:rPr>
      </w:pPr>
      <w:r>
        <w:rPr>
          <w:rFonts w:hint="eastAsia" w:ascii="宋体" w:hAnsi="宋体" w:cs="宋体"/>
          <w:color w:val="000000"/>
        </w:rPr>
        <w:t>（1）投标产品属于政府采购</w:t>
      </w:r>
      <w:r>
        <w:rPr>
          <w:rFonts w:hint="eastAsia" w:ascii="宋体" w:hAnsi="宋体" w:cs="宋体"/>
          <w:b/>
          <w:color w:val="000000"/>
        </w:rPr>
        <w:t>非强制</w:t>
      </w:r>
      <w:r>
        <w:rPr>
          <w:rFonts w:hint="eastAsia" w:ascii="宋体" w:hAnsi="宋体" w:cs="宋体"/>
          <w:color w:val="000000"/>
        </w:rPr>
        <w:t>节能产品的，应根据《市场监管总局关于发布参与实施政府采购节能产品、环境标志产品认证机构名录的公告》2019年第16号、财库〔2019〕9号以及财库〔2019〕19号文规定，投标人的投标产品，投标时须提供国家确定的认证机构出具的、处于有效期之内的有效的节能产品认证证书复印件并加盖投标人公章（适用于非强制采购节能产品，提供投标产品所属清单页），每提供1份得1分，满分1分。</w:t>
      </w:r>
    </w:p>
    <w:p w14:paraId="7BFB0BCE">
      <w:pPr>
        <w:spacing w:line="400" w:lineRule="exact"/>
        <w:ind w:firstLine="420" w:firstLineChars="200"/>
        <w:rPr>
          <w:rFonts w:ascii="宋体" w:hAnsi="宋体" w:cs="宋体"/>
          <w:color w:val="000000"/>
        </w:rPr>
      </w:pPr>
      <w:r>
        <w:rPr>
          <w:rFonts w:hint="eastAsia" w:ascii="宋体" w:hAnsi="宋体" w:cs="宋体"/>
          <w:color w:val="000000"/>
        </w:rPr>
        <w:t>（2）投标产品属于环境标志产品的，应根据《市场监管总局关于发布参与实施政府采购节能产品、环境标志产品认证机构名录的公告》2019年第16号、财库〔2019〕9号以及财库〔2019〕18号文规定，投标人的投标产品，投标时提供国家确定的认证机构出具的、处于有效期之内的有效的环境产品认证证书复印件并加盖投标人公章，每提供1份得1分，满分1分。</w:t>
      </w:r>
    </w:p>
    <w:p w14:paraId="28D18BDE">
      <w:pPr>
        <w:spacing w:line="380" w:lineRule="exact"/>
        <w:rPr>
          <w:rFonts w:hAnsi="宋体"/>
          <w:bCs/>
          <w:color w:val="000000"/>
          <w:szCs w:val="21"/>
        </w:rPr>
      </w:pPr>
      <w:r>
        <w:rPr>
          <w:rFonts w:hint="eastAsia" w:ascii="宋体" w:hAnsi="宋体"/>
          <w:b/>
          <w:color w:val="000000"/>
          <w:szCs w:val="21"/>
        </w:rPr>
        <w:t>（三）总得分</w:t>
      </w:r>
      <w:r>
        <w:rPr>
          <w:rFonts w:ascii="宋体" w:hAnsi="宋体"/>
          <w:b/>
          <w:color w:val="000000"/>
          <w:szCs w:val="21"/>
        </w:rPr>
        <w:t xml:space="preserve">=1 + 2 + 3 </w:t>
      </w:r>
      <w:r>
        <w:rPr>
          <w:rFonts w:hint="eastAsia" w:ascii="宋体" w:hAnsi="宋体"/>
          <w:b/>
          <w:color w:val="000000"/>
          <w:szCs w:val="21"/>
        </w:rPr>
        <w:t>+4 + 5 + 6。</w:t>
      </w:r>
    </w:p>
    <w:p w14:paraId="0944D1A6">
      <w:pPr>
        <w:spacing w:line="400" w:lineRule="exact"/>
        <w:rPr>
          <w:rFonts w:ascii="宋体" w:hAnsi="宋体" w:cs="宋体"/>
          <w:bCs/>
          <w:color w:val="000000"/>
        </w:rPr>
      </w:pPr>
    </w:p>
    <w:p w14:paraId="7958F5E1">
      <w:pPr>
        <w:pStyle w:val="25"/>
        <w:jc w:val="center"/>
        <w:rPr>
          <w:rFonts w:hAnsi="宋体" w:cs="宋体"/>
          <w:b/>
          <w:color w:val="000000"/>
          <w:sz w:val="30"/>
          <w:szCs w:val="30"/>
        </w:rPr>
      </w:pPr>
    </w:p>
    <w:p w14:paraId="3F5F9EB5">
      <w:pPr>
        <w:pStyle w:val="25"/>
        <w:jc w:val="center"/>
        <w:rPr>
          <w:rFonts w:hAnsi="宋体" w:cs="宋体"/>
          <w:b/>
          <w:color w:val="000000"/>
          <w:sz w:val="30"/>
          <w:szCs w:val="30"/>
        </w:rPr>
      </w:pPr>
    </w:p>
    <w:p w14:paraId="748B334A">
      <w:pPr>
        <w:pStyle w:val="25"/>
        <w:jc w:val="center"/>
        <w:rPr>
          <w:rFonts w:hAnsi="宋体" w:cs="宋体"/>
          <w:b/>
          <w:color w:val="000000" w:themeColor="text1"/>
          <w:sz w:val="30"/>
          <w:szCs w:val="30"/>
          <w14:textFill>
            <w14:solidFill>
              <w14:schemeClr w14:val="tx1"/>
            </w14:solidFill>
          </w14:textFill>
        </w:rPr>
      </w:pPr>
    </w:p>
    <w:p w14:paraId="66A67C6B">
      <w:pPr>
        <w:pStyle w:val="25"/>
        <w:jc w:val="center"/>
        <w:rPr>
          <w:rFonts w:hAnsi="宋体" w:cs="宋体"/>
          <w:b/>
          <w:color w:val="000000" w:themeColor="text1"/>
          <w:sz w:val="30"/>
          <w:szCs w:val="30"/>
          <w14:textFill>
            <w14:solidFill>
              <w14:schemeClr w14:val="tx1"/>
            </w14:solidFill>
          </w14:textFill>
        </w:rPr>
      </w:pPr>
    </w:p>
    <w:p w14:paraId="19E80D72">
      <w:pPr>
        <w:pStyle w:val="25"/>
        <w:jc w:val="center"/>
        <w:rPr>
          <w:rFonts w:hAnsi="宋体" w:cs="宋体"/>
          <w:b/>
          <w:color w:val="000000" w:themeColor="text1"/>
          <w:sz w:val="30"/>
          <w:szCs w:val="30"/>
          <w14:textFill>
            <w14:solidFill>
              <w14:schemeClr w14:val="tx1"/>
            </w14:solidFill>
          </w14:textFill>
        </w:rPr>
      </w:pPr>
    </w:p>
    <w:p w14:paraId="69C887A8">
      <w:pPr>
        <w:pStyle w:val="25"/>
        <w:jc w:val="center"/>
        <w:rPr>
          <w:rFonts w:hAnsi="宋体" w:cs="宋体"/>
          <w:b/>
          <w:color w:val="000000" w:themeColor="text1"/>
          <w:sz w:val="30"/>
          <w:szCs w:val="30"/>
          <w14:textFill>
            <w14:solidFill>
              <w14:schemeClr w14:val="tx1"/>
            </w14:solidFill>
          </w14:textFill>
        </w:rPr>
      </w:pPr>
    </w:p>
    <w:p w14:paraId="73ED788B">
      <w:pPr>
        <w:pStyle w:val="25"/>
        <w:jc w:val="center"/>
        <w:rPr>
          <w:rFonts w:hAnsi="宋体" w:cs="宋体"/>
          <w:b/>
          <w:color w:val="000000" w:themeColor="text1"/>
          <w:sz w:val="30"/>
          <w:szCs w:val="30"/>
          <w14:textFill>
            <w14:solidFill>
              <w14:schemeClr w14:val="tx1"/>
            </w14:solidFill>
          </w14:textFill>
        </w:rPr>
      </w:pPr>
    </w:p>
    <w:p w14:paraId="23C472A8">
      <w:pPr>
        <w:pStyle w:val="25"/>
        <w:jc w:val="center"/>
        <w:rPr>
          <w:rFonts w:hAnsi="宋体" w:cs="宋体"/>
          <w:b/>
          <w:color w:val="000000" w:themeColor="text1"/>
          <w:sz w:val="30"/>
          <w:szCs w:val="30"/>
          <w14:textFill>
            <w14:solidFill>
              <w14:schemeClr w14:val="tx1"/>
            </w14:solidFill>
          </w14:textFill>
        </w:rPr>
      </w:pPr>
    </w:p>
    <w:p w14:paraId="61BEE8AF">
      <w:pPr>
        <w:pStyle w:val="25"/>
        <w:jc w:val="center"/>
        <w:rPr>
          <w:rFonts w:hAnsi="宋体" w:cs="宋体"/>
          <w:b/>
          <w:color w:val="000000" w:themeColor="text1"/>
          <w:sz w:val="30"/>
          <w:szCs w:val="30"/>
          <w14:textFill>
            <w14:solidFill>
              <w14:schemeClr w14:val="tx1"/>
            </w14:solidFill>
          </w14:textFill>
        </w:rPr>
      </w:pPr>
    </w:p>
    <w:p w14:paraId="51AD3768">
      <w:pPr>
        <w:pStyle w:val="25"/>
        <w:jc w:val="center"/>
        <w:rPr>
          <w:rFonts w:hAnsi="宋体" w:cs="宋体"/>
          <w:b/>
          <w:color w:val="000000" w:themeColor="text1"/>
          <w:sz w:val="30"/>
          <w:szCs w:val="30"/>
          <w14:textFill>
            <w14:solidFill>
              <w14:schemeClr w14:val="tx1"/>
            </w14:solidFill>
          </w14:textFill>
        </w:rPr>
      </w:pPr>
    </w:p>
    <w:p w14:paraId="0EFC257B">
      <w:pPr>
        <w:pStyle w:val="25"/>
        <w:jc w:val="center"/>
        <w:rPr>
          <w:rFonts w:hAnsi="宋体" w:cs="宋体"/>
          <w:b/>
          <w:color w:val="000000" w:themeColor="text1"/>
          <w:sz w:val="30"/>
          <w:szCs w:val="30"/>
          <w14:textFill>
            <w14:solidFill>
              <w14:schemeClr w14:val="tx1"/>
            </w14:solidFill>
          </w14:textFill>
        </w:rPr>
      </w:pPr>
    </w:p>
    <w:p w14:paraId="29964086">
      <w:pPr>
        <w:pStyle w:val="25"/>
        <w:jc w:val="center"/>
        <w:rPr>
          <w:rFonts w:hAnsi="宋体" w:cs="宋体"/>
          <w:b/>
          <w:color w:val="000000" w:themeColor="text1"/>
          <w:sz w:val="30"/>
          <w:szCs w:val="30"/>
          <w14:textFill>
            <w14:solidFill>
              <w14:schemeClr w14:val="tx1"/>
            </w14:solidFill>
          </w14:textFill>
        </w:rPr>
      </w:pPr>
    </w:p>
    <w:p w14:paraId="64BC1227">
      <w:pPr>
        <w:pStyle w:val="25"/>
        <w:jc w:val="center"/>
        <w:rPr>
          <w:rFonts w:hAnsi="宋体" w:cs="宋体"/>
          <w:b/>
          <w:color w:val="000000" w:themeColor="text1"/>
          <w:sz w:val="30"/>
          <w:szCs w:val="30"/>
          <w14:textFill>
            <w14:solidFill>
              <w14:schemeClr w14:val="tx1"/>
            </w14:solidFill>
          </w14:textFill>
        </w:rPr>
      </w:pPr>
    </w:p>
    <w:p w14:paraId="0C794B89">
      <w:pPr>
        <w:pStyle w:val="25"/>
        <w:jc w:val="center"/>
        <w:rPr>
          <w:rFonts w:hAnsi="宋体" w:cs="宋体"/>
          <w:b/>
          <w:color w:val="000000" w:themeColor="text1"/>
          <w:sz w:val="30"/>
          <w:szCs w:val="30"/>
          <w14:textFill>
            <w14:solidFill>
              <w14:schemeClr w14:val="tx1"/>
            </w14:solidFill>
          </w14:textFill>
        </w:rPr>
      </w:pPr>
    </w:p>
    <w:p w14:paraId="2FFCCBD3">
      <w:pPr>
        <w:pStyle w:val="25"/>
        <w:jc w:val="center"/>
        <w:rPr>
          <w:rFonts w:hAnsi="宋体" w:cs="宋体"/>
          <w:b/>
          <w:color w:val="000000" w:themeColor="text1"/>
          <w:sz w:val="30"/>
          <w:szCs w:val="30"/>
          <w14:textFill>
            <w14:solidFill>
              <w14:schemeClr w14:val="tx1"/>
            </w14:solidFill>
          </w14:textFill>
        </w:rPr>
      </w:pPr>
    </w:p>
    <w:p w14:paraId="13BD70F1">
      <w:pPr>
        <w:pStyle w:val="25"/>
        <w:jc w:val="center"/>
        <w:rPr>
          <w:rFonts w:hAnsi="宋体" w:cs="宋体"/>
          <w:b/>
          <w:color w:val="000000" w:themeColor="text1"/>
          <w:sz w:val="30"/>
          <w:szCs w:val="30"/>
          <w14:textFill>
            <w14:solidFill>
              <w14:schemeClr w14:val="tx1"/>
            </w14:solidFill>
          </w14:textFill>
        </w:rPr>
      </w:pPr>
    </w:p>
    <w:p w14:paraId="15F61B32">
      <w:pPr>
        <w:pStyle w:val="25"/>
        <w:jc w:val="center"/>
        <w:rPr>
          <w:rFonts w:hAnsi="宋体" w:cs="宋体"/>
          <w:b/>
          <w:color w:val="000000" w:themeColor="text1"/>
          <w:sz w:val="30"/>
          <w:szCs w:val="30"/>
          <w14:textFill>
            <w14:solidFill>
              <w14:schemeClr w14:val="tx1"/>
            </w14:solidFill>
          </w14:textFill>
        </w:rPr>
      </w:pPr>
    </w:p>
    <w:p w14:paraId="0A1E0445">
      <w:pPr>
        <w:pStyle w:val="25"/>
        <w:jc w:val="center"/>
        <w:rPr>
          <w:rFonts w:hAnsi="宋体" w:cs="宋体"/>
          <w:b/>
          <w:color w:val="000000" w:themeColor="text1"/>
          <w:sz w:val="30"/>
          <w:szCs w:val="30"/>
          <w14:textFill>
            <w14:solidFill>
              <w14:schemeClr w14:val="tx1"/>
            </w14:solidFill>
          </w14:textFill>
        </w:rPr>
      </w:pPr>
    </w:p>
    <w:p w14:paraId="59B97431">
      <w:pPr>
        <w:pStyle w:val="25"/>
        <w:jc w:val="center"/>
        <w:rPr>
          <w:rFonts w:hAnsi="宋体" w:cs="宋体"/>
          <w:b/>
          <w:color w:val="000000" w:themeColor="text1"/>
          <w:sz w:val="30"/>
          <w:szCs w:val="30"/>
          <w14:textFill>
            <w14:solidFill>
              <w14:schemeClr w14:val="tx1"/>
            </w14:solidFill>
          </w14:textFill>
        </w:rPr>
      </w:pPr>
    </w:p>
    <w:p w14:paraId="63A5D946">
      <w:pPr>
        <w:pStyle w:val="25"/>
        <w:jc w:val="center"/>
        <w:rPr>
          <w:rFonts w:hAnsi="宋体" w:cs="宋体"/>
          <w:b/>
          <w:color w:val="000000" w:themeColor="text1"/>
          <w:sz w:val="30"/>
          <w:szCs w:val="30"/>
          <w14:textFill>
            <w14:solidFill>
              <w14:schemeClr w14:val="tx1"/>
            </w14:solidFill>
          </w14:textFill>
        </w:rPr>
      </w:pPr>
    </w:p>
    <w:p w14:paraId="072EBD7C">
      <w:pPr>
        <w:pStyle w:val="25"/>
        <w:jc w:val="center"/>
        <w:rPr>
          <w:rFonts w:hAnsi="宋体" w:cs="宋体"/>
          <w:b/>
          <w:color w:val="000000" w:themeColor="text1"/>
          <w:sz w:val="30"/>
          <w:szCs w:val="30"/>
          <w14:textFill>
            <w14:solidFill>
              <w14:schemeClr w14:val="tx1"/>
            </w14:solidFill>
          </w14:textFill>
        </w:rPr>
      </w:pPr>
    </w:p>
    <w:p w14:paraId="2DDD6277">
      <w:pPr>
        <w:pStyle w:val="25"/>
        <w:jc w:val="center"/>
        <w:rPr>
          <w:rFonts w:hAnsi="宋体" w:cs="宋体"/>
          <w:b/>
          <w:color w:val="000000"/>
          <w:sz w:val="30"/>
          <w:szCs w:val="30"/>
        </w:rPr>
      </w:pPr>
      <w:r>
        <w:rPr>
          <w:rFonts w:hint="eastAsia" w:hAnsi="宋体" w:cs="宋体"/>
          <w:b/>
          <w:color w:val="000000"/>
          <w:sz w:val="30"/>
          <w:szCs w:val="30"/>
        </w:rPr>
        <w:t>综合评分法</w:t>
      </w:r>
    </w:p>
    <w:p w14:paraId="2B6FD1C7">
      <w:pPr>
        <w:pStyle w:val="25"/>
        <w:jc w:val="center"/>
        <w:rPr>
          <w:rFonts w:hAnsi="宋体" w:cs="宋体"/>
          <w:b/>
          <w:color w:val="000000"/>
          <w:sz w:val="30"/>
          <w:szCs w:val="30"/>
        </w:rPr>
      </w:pPr>
      <w:r>
        <w:rPr>
          <w:rFonts w:hint="eastAsia" w:hAnsi="宋体" w:cs="宋体"/>
          <w:b/>
          <w:color w:val="000000"/>
          <w:sz w:val="30"/>
          <w:szCs w:val="30"/>
        </w:rPr>
        <w:t>（适用于标项二）</w:t>
      </w:r>
    </w:p>
    <w:p w14:paraId="5BDF061C">
      <w:pPr>
        <w:adjustRightInd w:val="0"/>
        <w:spacing w:after="156" w:line="380" w:lineRule="exact"/>
        <w:textAlignment w:val="baseline"/>
        <w:rPr>
          <w:rFonts w:ascii="宋体" w:hAnsi="宋体"/>
          <w:b/>
          <w:bCs/>
          <w:color w:val="000000"/>
          <w:kern w:val="0"/>
          <w:szCs w:val="21"/>
        </w:rPr>
      </w:pPr>
      <w:r>
        <w:rPr>
          <w:rFonts w:hint="eastAsia" w:ascii="宋体" w:hAnsi="宋体"/>
          <w:b/>
          <w:bCs/>
          <w:color w:val="000000"/>
          <w:kern w:val="0"/>
          <w:szCs w:val="21"/>
        </w:rPr>
        <w:t>一、评标原则</w:t>
      </w:r>
    </w:p>
    <w:p w14:paraId="3162CD0F">
      <w:pPr>
        <w:adjustRightInd w:val="0"/>
        <w:spacing w:line="380" w:lineRule="exact"/>
        <w:textAlignment w:val="baseline"/>
        <w:rPr>
          <w:rFonts w:ascii="宋体" w:hAnsi="宋体"/>
          <w:bCs/>
          <w:kern w:val="0"/>
          <w:szCs w:val="21"/>
        </w:rPr>
      </w:pPr>
      <w:r>
        <w:rPr>
          <w:rFonts w:hint="eastAsia" w:ascii="宋体" w:hAnsi="宋体"/>
          <w:bCs/>
          <w:kern w:val="0"/>
          <w:szCs w:val="21"/>
        </w:rPr>
        <w:t xml:space="preserve">    （一）评委组成：</w:t>
      </w:r>
      <w:r>
        <w:rPr>
          <w:rFonts w:hint="eastAsia"/>
          <w:bCs/>
          <w:kern w:val="0"/>
          <w:szCs w:val="21"/>
        </w:rPr>
        <w:t>本招标采购项目的评标委员会由采购人代表和评审专家组成，成员人数应当为五人以上单数。其中，评审专家不得少于成员总数的三分之二。</w:t>
      </w:r>
    </w:p>
    <w:p w14:paraId="5BCDA93B">
      <w:pPr>
        <w:adjustRightInd w:val="0"/>
        <w:spacing w:line="380" w:lineRule="exact"/>
        <w:textAlignment w:val="baseline"/>
        <w:rPr>
          <w:rFonts w:ascii="宋体" w:hAnsi="宋体"/>
          <w:b/>
          <w:bCs/>
          <w:kern w:val="0"/>
          <w:szCs w:val="21"/>
        </w:rPr>
      </w:pPr>
      <w:r>
        <w:rPr>
          <w:rFonts w:hint="eastAsia" w:ascii="宋体" w:hAnsi="宋体"/>
          <w:bCs/>
          <w:kern w:val="0"/>
          <w:szCs w:val="21"/>
        </w:rPr>
        <w:t xml:space="preserve">    （二）评标依据：</w:t>
      </w:r>
      <w:r>
        <w:rPr>
          <w:rFonts w:hint="eastAsia"/>
          <w:bCs/>
          <w:kern w:val="0"/>
          <w:szCs w:val="21"/>
        </w:rPr>
        <w:t>评委将以招投标文件为评标依据，对投标人的投标文件内容按百分制打分。</w:t>
      </w:r>
    </w:p>
    <w:p w14:paraId="2C217CA6">
      <w:pPr>
        <w:adjustRightInd w:val="0"/>
        <w:spacing w:line="380" w:lineRule="exact"/>
        <w:textAlignment w:val="baseline"/>
        <w:rPr>
          <w:rFonts w:ascii="宋体" w:hAnsi="宋体"/>
          <w:bCs/>
          <w:kern w:val="0"/>
          <w:szCs w:val="21"/>
        </w:rPr>
      </w:pPr>
      <w:r>
        <w:rPr>
          <w:rFonts w:hint="eastAsia" w:ascii="宋体" w:hAnsi="宋体"/>
          <w:bCs/>
          <w:kern w:val="0"/>
          <w:szCs w:val="21"/>
        </w:rPr>
        <w:t xml:space="preserve">    （三）评标方式：以封闭方式进行。</w:t>
      </w:r>
    </w:p>
    <w:p w14:paraId="0DBFFA56">
      <w:pPr>
        <w:adjustRightInd w:val="0"/>
        <w:spacing w:line="380" w:lineRule="exact"/>
        <w:textAlignment w:val="baseline"/>
        <w:rPr>
          <w:rFonts w:ascii="宋体" w:hAnsi="宋体"/>
          <w:b/>
          <w:bCs/>
          <w:kern w:val="0"/>
          <w:szCs w:val="21"/>
        </w:rPr>
      </w:pPr>
      <w:r>
        <w:rPr>
          <w:rFonts w:hint="eastAsia" w:ascii="宋体" w:hAnsi="宋体"/>
          <w:b/>
          <w:bCs/>
          <w:kern w:val="0"/>
          <w:szCs w:val="21"/>
        </w:rPr>
        <w:t>二、评标方法</w:t>
      </w:r>
    </w:p>
    <w:p w14:paraId="7E9530C7">
      <w:pPr>
        <w:adjustRightInd w:val="0"/>
        <w:spacing w:line="380" w:lineRule="exact"/>
        <w:textAlignment w:val="baseline"/>
        <w:rPr>
          <w:rFonts w:ascii="宋体" w:hAnsi="宋体"/>
          <w:bCs/>
          <w:kern w:val="0"/>
          <w:szCs w:val="21"/>
        </w:rPr>
      </w:pPr>
      <w:r>
        <w:rPr>
          <w:rFonts w:hint="eastAsia" w:ascii="宋体" w:hAnsi="宋体"/>
          <w:bCs/>
          <w:kern w:val="0"/>
          <w:szCs w:val="21"/>
        </w:rPr>
        <w:t>（一）对进入详评的，采用百分制综合评分法。</w:t>
      </w:r>
    </w:p>
    <w:p w14:paraId="6AF3FF66">
      <w:pPr>
        <w:adjustRightInd w:val="0"/>
        <w:spacing w:line="380" w:lineRule="exact"/>
        <w:textAlignment w:val="baseline"/>
        <w:rPr>
          <w:rFonts w:ascii="宋体" w:hAnsi="宋体"/>
          <w:bCs/>
          <w:kern w:val="0"/>
          <w:szCs w:val="21"/>
        </w:rPr>
      </w:pPr>
      <w:r>
        <w:rPr>
          <w:rFonts w:hint="eastAsia" w:ascii="宋体" w:hAnsi="宋体"/>
          <w:bCs/>
          <w:kern w:val="0"/>
          <w:szCs w:val="21"/>
        </w:rPr>
        <w:t>（二）计分办法（按四舍五入取至百分位）：</w:t>
      </w:r>
    </w:p>
    <w:p w14:paraId="1A61EA48">
      <w:pPr>
        <w:spacing w:line="380" w:lineRule="exact"/>
        <w:rPr>
          <w:rFonts w:ascii="宋体" w:hAnsi="宋体"/>
          <w:b/>
          <w:szCs w:val="21"/>
        </w:rPr>
      </w:pPr>
      <w:r>
        <w:rPr>
          <w:rFonts w:ascii="宋体" w:hAnsi="宋体"/>
          <w:b/>
          <w:szCs w:val="21"/>
        </w:rPr>
        <w:t>1</w:t>
      </w:r>
      <w:r>
        <w:rPr>
          <w:rFonts w:hint="eastAsia" w:ascii="宋体" w:hAnsi="宋体"/>
          <w:b/>
          <w:szCs w:val="21"/>
        </w:rPr>
        <w:t>、价格分……………………………………………………………………………………………………30分</w:t>
      </w:r>
    </w:p>
    <w:p w14:paraId="5FF61072">
      <w:pPr>
        <w:pStyle w:val="25"/>
        <w:spacing w:line="400" w:lineRule="exact"/>
        <w:ind w:firstLine="400" w:firstLineChars="200"/>
      </w:pPr>
      <w:r>
        <w:rPr>
          <w:rFonts w:hint="eastAsia"/>
        </w:rPr>
        <w:t>（1）评标报价为投标人的投标报价进行政策性扣除后的价格，评标报价只是作为评标时使用。最终中标人的中标金额等于投标报价。</w:t>
      </w:r>
    </w:p>
    <w:p w14:paraId="4E707E40">
      <w:pPr>
        <w:snapToGrid w:val="0"/>
        <w:spacing w:line="400" w:lineRule="exact"/>
        <w:ind w:firstLine="420" w:firstLineChars="200"/>
        <w:rPr>
          <w:rFonts w:ascii="宋体" w:hAnsi="宋体" w:cs="宋体"/>
          <w:bCs/>
          <w:szCs w:val="21"/>
        </w:rPr>
      </w:pPr>
      <w:r>
        <w:rPr>
          <w:rFonts w:hint="eastAsia" w:ascii="宋体" w:hAnsi="宋体" w:cs="宋体"/>
          <w:bCs/>
          <w:szCs w:val="21"/>
        </w:rPr>
        <w:t>（2）政策性扣除计算方法。</w:t>
      </w:r>
    </w:p>
    <w:p w14:paraId="76C4F179">
      <w:pPr>
        <w:snapToGrid w:val="0"/>
        <w:spacing w:line="400" w:lineRule="exact"/>
        <w:ind w:firstLine="420" w:firstLineChars="200"/>
        <w:rPr>
          <w:rFonts w:ascii="宋体" w:hAnsi="宋体" w:cs="宋体"/>
          <w:szCs w:val="21"/>
        </w:rPr>
      </w:pPr>
      <w:r>
        <w:rPr>
          <w:rFonts w:hint="eastAsia" w:ascii="宋体" w:hAnsi="宋体" w:cs="宋体"/>
          <w:bCs/>
          <w:szCs w:val="21"/>
        </w:rPr>
        <w:t>根据《政府采购促进中小企业发展管理办法》（财库〔2020〕46号）及</w:t>
      </w:r>
      <w:r>
        <w:rPr>
          <w:rFonts w:hint="eastAsia" w:ascii="宋体" w:hAnsi="宋体" w:cs="宋体"/>
          <w:b/>
          <w:bCs/>
          <w:szCs w:val="21"/>
        </w:rPr>
        <w:t>《</w:t>
      </w:r>
      <w:r>
        <w:rPr>
          <w:rFonts w:hint="eastAsia" w:ascii="宋体" w:hAnsi="宋体" w:cs="宋体"/>
          <w:bCs/>
          <w:szCs w:val="21"/>
        </w:rPr>
        <w:t>广西壮族自治区财政厅关于持续优化政府采购营商环境推动高质量发展的</w:t>
      </w:r>
      <w:r>
        <w:rPr>
          <w:rFonts w:hint="eastAsia" w:ascii="宋体" w:hAnsi="宋体" w:cs="宋体"/>
          <w:bCs/>
          <w:color w:val="000000"/>
          <w:szCs w:val="21"/>
        </w:rPr>
        <w:t>通知</w:t>
      </w:r>
      <w:r>
        <w:rPr>
          <w:rFonts w:hint="eastAsia" w:ascii="宋体" w:hAnsi="宋体" w:cs="宋体"/>
          <w:b/>
          <w:bCs/>
          <w:color w:val="000000"/>
          <w:szCs w:val="21"/>
        </w:rPr>
        <w:t>》（</w:t>
      </w:r>
      <w:r>
        <w:rPr>
          <w:rFonts w:hint="eastAsia" w:ascii="宋体" w:hAnsi="宋体" w:cs="宋体"/>
          <w:bCs/>
          <w:color w:val="000000"/>
          <w:szCs w:val="21"/>
        </w:rPr>
        <w:t>桂财采〔2024〕55号</w:t>
      </w:r>
      <w:r>
        <w:rPr>
          <w:rFonts w:hint="eastAsia" w:ascii="宋体" w:hAnsi="宋体" w:cs="宋体"/>
          <w:b/>
          <w:bCs/>
          <w:color w:val="000000"/>
          <w:szCs w:val="21"/>
        </w:rPr>
        <w:t>）</w:t>
      </w:r>
      <w:r>
        <w:rPr>
          <w:rFonts w:hint="eastAsia" w:ascii="宋体" w:hAnsi="宋体" w:cs="宋体"/>
          <w:bCs/>
          <w:color w:val="000000"/>
          <w:szCs w:val="21"/>
        </w:rPr>
        <w:t>的规定，投标人在其投标文件中提供《中小企业声明函》，且其投标全部货物由小微企业制造的，对其投标报价给予</w:t>
      </w:r>
      <w:r>
        <w:rPr>
          <w:rFonts w:hint="eastAsia" w:ascii="宋体" w:hAnsi="宋体" w:cs="宋体"/>
          <w:bCs/>
          <w:color w:val="000000"/>
          <w:szCs w:val="21"/>
          <w:u w:val="single"/>
        </w:rPr>
        <w:t>10%</w:t>
      </w:r>
      <w:r>
        <w:rPr>
          <w:rFonts w:hint="eastAsia" w:ascii="宋体" w:hAnsi="宋体" w:cs="宋体"/>
          <w:bCs/>
          <w:color w:val="000000"/>
          <w:szCs w:val="21"/>
        </w:rPr>
        <w:t>（范围为10%-20%）的扣除，扣除后的价格为评标报价，即评标报价=投标报价×（1-</w:t>
      </w:r>
      <w:r>
        <w:rPr>
          <w:rFonts w:hint="eastAsia" w:ascii="宋体" w:hAnsi="宋体" w:cs="宋体"/>
          <w:bCs/>
          <w:color w:val="000000"/>
          <w:szCs w:val="21"/>
          <w:u w:val="single"/>
        </w:rPr>
        <w:t>10</w:t>
      </w:r>
      <w:r>
        <w:rPr>
          <w:rFonts w:hint="eastAsia" w:ascii="宋体" w:hAnsi="宋体" w:cs="宋体"/>
          <w:bCs/>
          <w:color w:val="000000"/>
          <w:szCs w:val="21"/>
        </w:rPr>
        <w:t>%）。接受大中型企业与小微企业组成联合体或者允许大中型企业向一家或者多家小微企业分包的采</w:t>
      </w:r>
      <w:r>
        <w:rPr>
          <w:rFonts w:hint="eastAsia" w:ascii="宋体" w:hAnsi="宋体" w:cs="宋体"/>
          <w:bCs/>
          <w:szCs w:val="21"/>
        </w:rPr>
        <w:t>购项目，联合协议或者分包意向协议约定小微企业的合同份额占到合同总金额30%以上的，采购人、采购代理机构应当对联合体或者大中型企业的报价给予</w:t>
      </w:r>
      <w:r>
        <w:rPr>
          <w:rFonts w:hint="eastAsia" w:ascii="宋体" w:hAnsi="宋体" w:cs="宋体"/>
          <w:bCs/>
          <w:szCs w:val="21"/>
          <w:u w:val="single"/>
        </w:rPr>
        <w:t>4</w:t>
      </w:r>
      <w:r>
        <w:rPr>
          <w:rFonts w:hint="eastAsia" w:ascii="宋体" w:hAnsi="宋体" w:cs="宋体"/>
          <w:bCs/>
          <w:szCs w:val="21"/>
        </w:rPr>
        <w:t>%（范围为4%-6%）的扣除，用扣除后的价格参加评审，扣除后的价格为评标报价，即评标报价=投标报价×（1-</w:t>
      </w:r>
      <w:r>
        <w:rPr>
          <w:rFonts w:hint="eastAsia" w:ascii="宋体" w:hAnsi="宋体" w:cs="宋体"/>
          <w:bCs/>
          <w:szCs w:val="21"/>
          <w:u w:val="single"/>
        </w:rPr>
        <w:t>4</w:t>
      </w:r>
      <w:r>
        <w:rPr>
          <w:rFonts w:hint="eastAsia" w:ascii="宋体" w:hAnsi="宋体" w:cs="宋体"/>
          <w:bCs/>
          <w:szCs w:val="21"/>
        </w:rPr>
        <w:t>%）。除上述情况外，评标报价=投标报价。</w:t>
      </w:r>
    </w:p>
    <w:p w14:paraId="79A41C90">
      <w:pPr>
        <w:snapToGrid w:val="0"/>
        <w:spacing w:line="400" w:lineRule="exact"/>
        <w:ind w:firstLine="420" w:firstLineChars="200"/>
        <w:rPr>
          <w:rFonts w:ascii="宋体" w:hAnsi="宋体" w:cs="宋体"/>
          <w:bCs/>
          <w:szCs w:val="21"/>
        </w:rPr>
      </w:pPr>
      <w:r>
        <w:rPr>
          <w:rFonts w:hint="eastAsia" w:ascii="宋体" w:hAnsi="宋体" w:cs="宋体"/>
          <w:bCs/>
          <w:szCs w:val="21"/>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s="宋体"/>
          <w:szCs w:val="21"/>
        </w:rPr>
        <w:t>监狱企业参加政府采购活动时，应当提供由省级以上监狱管理局、戒毒管理局（含新疆生产建设兵团）出具的属于监狱企业的证明文件。</w:t>
      </w:r>
      <w:r>
        <w:rPr>
          <w:rFonts w:hint="eastAsia" w:ascii="宋体" w:hAnsi="宋体" w:cs="宋体"/>
          <w:bCs/>
          <w:szCs w:val="21"/>
        </w:rPr>
        <w:t>监狱企业属于小型、微型企业的，不重复享受政策。</w:t>
      </w:r>
    </w:p>
    <w:p w14:paraId="51D78D0D">
      <w:pPr>
        <w:snapToGrid w:val="0"/>
        <w:spacing w:line="400" w:lineRule="exact"/>
        <w:ind w:firstLine="420" w:firstLineChars="200"/>
        <w:rPr>
          <w:rFonts w:ascii="宋体" w:hAnsi="宋体" w:cs="宋体"/>
          <w:bCs/>
          <w:szCs w:val="21"/>
        </w:rPr>
      </w:pPr>
      <w:r>
        <w:rPr>
          <w:rFonts w:hint="eastAsia" w:ascii="宋体" w:hAnsi="宋体" w:cs="宋体"/>
          <w:szCs w:val="21"/>
        </w:rPr>
        <w:t>（4）按照</w:t>
      </w:r>
      <w:r>
        <w:rPr>
          <w:rFonts w:hint="eastAsia" w:ascii="宋体" w:hAnsi="宋体" w:cs="宋体"/>
          <w:bCs/>
          <w:szCs w:val="21"/>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s="宋体"/>
          <w:szCs w:val="21"/>
        </w:rPr>
        <w:t>残疾人福利性单位参加政府采购活动时，应当提供该通知规定的《残疾人福利性单位声明函》，并对声明的真实性负责。</w:t>
      </w:r>
      <w:r>
        <w:rPr>
          <w:rFonts w:hint="eastAsia" w:ascii="宋体" w:hAnsi="宋体" w:cs="宋体"/>
          <w:bCs/>
          <w:szCs w:val="21"/>
        </w:rPr>
        <w:t>残疾人福利性单位属于小型、微型企业的，不重复享受政策。</w:t>
      </w:r>
    </w:p>
    <w:p w14:paraId="63F1A371">
      <w:pPr>
        <w:snapToGrid w:val="0"/>
        <w:spacing w:line="400" w:lineRule="exact"/>
        <w:ind w:firstLine="420" w:firstLineChars="200"/>
        <w:rPr>
          <w:rFonts w:ascii="宋体" w:hAnsi="宋体" w:cs="宋体"/>
          <w:bCs/>
          <w:szCs w:val="21"/>
        </w:rPr>
      </w:pPr>
      <w:r>
        <w:rPr>
          <w:rFonts w:hint="eastAsia" w:ascii="宋体" w:hAnsi="宋体" w:cs="宋体"/>
          <w:bCs/>
          <w:szCs w:val="21"/>
        </w:rPr>
        <w:t>（5）</w:t>
      </w:r>
      <w:r>
        <w:rPr>
          <w:rFonts w:hint="eastAsia" w:ascii="宋体" w:hAnsi="宋体" w:cs="宋体"/>
          <w:szCs w:val="21"/>
        </w:rPr>
        <w:t>根据《国务院办公厅关于在政府采购中实施本国产品标准及相关政策的通知》（国办发〔2025〕34号）的规定，供应商对其提供的产品出具符合要求的《关于符合本国产品标准的声明函》，该产品视为本国产品。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EB01CA6">
      <w:pPr>
        <w:snapToGrid w:val="0"/>
        <w:spacing w:line="400" w:lineRule="exact"/>
        <w:ind w:firstLine="420" w:firstLineChars="200"/>
        <w:rPr>
          <w:rFonts w:ascii="宋体" w:hAnsi="宋体" w:cs="宋体"/>
          <w:bCs/>
          <w:szCs w:val="21"/>
        </w:rPr>
      </w:pPr>
      <w:r>
        <w:rPr>
          <w:rFonts w:hint="eastAsia" w:ascii="宋体" w:hAnsi="宋体" w:cs="宋体"/>
          <w:bCs/>
          <w:szCs w:val="21"/>
        </w:rPr>
        <w:t>（6）满足招标文件要求且评标报价最低的评标报价为评标基准价，其价格分为满分。</w:t>
      </w:r>
    </w:p>
    <w:p w14:paraId="20342411">
      <w:pPr>
        <w:snapToGrid w:val="0"/>
        <w:spacing w:line="400" w:lineRule="exact"/>
        <w:ind w:firstLine="420" w:firstLineChars="200"/>
        <w:rPr>
          <w:rFonts w:ascii="宋体" w:hAnsi="宋体" w:cs="宋体"/>
          <w:bCs/>
          <w:szCs w:val="21"/>
        </w:rPr>
      </w:pPr>
      <w:r>
        <w:rPr>
          <w:rFonts w:hint="eastAsia" w:ascii="宋体" w:hAnsi="宋体" w:cs="宋体"/>
          <w:bCs/>
          <w:szCs w:val="21"/>
        </w:rPr>
        <w:t>（7）价格分计算公式：价格分=（评标基准价／评标报价）×</w:t>
      </w:r>
      <w:r>
        <w:rPr>
          <w:rFonts w:hint="eastAsia" w:ascii="宋体" w:hAnsi="宋体" w:cs="宋体"/>
          <w:bCs/>
          <w:szCs w:val="21"/>
          <w:u w:val="single"/>
        </w:rPr>
        <w:t>30</w:t>
      </w:r>
      <w:r>
        <w:rPr>
          <w:rFonts w:hint="eastAsia" w:ascii="宋体" w:hAnsi="宋体" w:cs="宋体"/>
          <w:bCs/>
          <w:szCs w:val="21"/>
        </w:rPr>
        <w:t xml:space="preserve">分 </w:t>
      </w:r>
      <w:r>
        <w:rPr>
          <w:rFonts w:hint="eastAsia" w:ascii="宋体" w:hAnsi="宋体" w:cs="宋体"/>
          <w:szCs w:val="21"/>
        </w:rPr>
        <w:t xml:space="preserve">  </w:t>
      </w:r>
    </w:p>
    <w:p w14:paraId="453789DC">
      <w:pPr>
        <w:spacing w:line="400" w:lineRule="exact"/>
        <w:ind w:firstLine="422" w:firstLineChars="200"/>
        <w:rPr>
          <w:rFonts w:ascii="宋体" w:hAnsi="宋体" w:cs="宋体"/>
          <w:b/>
          <w:bCs/>
        </w:rPr>
      </w:pPr>
      <w:r>
        <w:rPr>
          <w:rFonts w:hint="eastAsia" w:ascii="宋体" w:hAnsi="宋体" w:cs="宋体"/>
          <w:b/>
          <w:bCs/>
        </w:rPr>
        <w:t>注：本国产品价格扣除政策与中小企业、监狱企业、残疾人福利性单位价格扣除政策可重复享受。</w:t>
      </w:r>
    </w:p>
    <w:p w14:paraId="104481A3">
      <w:pPr>
        <w:pStyle w:val="41"/>
        <w:tabs>
          <w:tab w:val="right" w:leader="dot" w:pos="9185"/>
        </w:tabs>
        <w:spacing w:line="400" w:lineRule="exact"/>
        <w:ind w:left="0" w:leftChars="0" w:firstLine="420" w:firstLineChars="200"/>
        <w:rPr>
          <w:rFonts w:ascii="宋体" w:hAnsi="宋体" w:cs="宋体"/>
          <w:bCs/>
          <w:color w:val="000000"/>
          <w:szCs w:val="21"/>
        </w:rPr>
      </w:pPr>
      <w:r>
        <w:rPr>
          <w:rFonts w:hint="eastAsia" w:ascii="宋体" w:hAnsi="宋体" w:cs="宋体"/>
          <w:bCs/>
          <w:color w:val="000000"/>
          <w:szCs w:val="21"/>
        </w:rPr>
        <w:t>异常低价审查：具体详见第三章《投标人须知》内容。</w:t>
      </w:r>
    </w:p>
    <w:p w14:paraId="54515702">
      <w:pPr>
        <w:pStyle w:val="41"/>
        <w:tabs>
          <w:tab w:val="right" w:leader="dot" w:pos="9185"/>
        </w:tabs>
        <w:spacing w:line="400" w:lineRule="exact"/>
        <w:ind w:left="0" w:leftChars="0"/>
        <w:rPr>
          <w:rFonts w:ascii="宋体" w:hAnsi="宋体" w:cs="宋体"/>
          <w:b/>
          <w:color w:val="000000"/>
        </w:rPr>
      </w:pPr>
      <w:r>
        <w:rPr>
          <w:rFonts w:hint="eastAsia" w:ascii="宋体" w:hAnsi="宋体" w:cs="宋体"/>
          <w:b/>
          <w:color w:val="000000"/>
        </w:rPr>
        <w:t>2、设备性能分…………………………………………………………………………………30分</w:t>
      </w:r>
    </w:p>
    <w:p w14:paraId="1B00E11E">
      <w:pPr>
        <w:snapToGrid w:val="0"/>
        <w:spacing w:line="400" w:lineRule="exact"/>
        <w:ind w:firstLine="420" w:firstLineChars="200"/>
        <w:rPr>
          <w:rFonts w:ascii="宋体" w:hAnsi="宋体" w:cs="宋体"/>
          <w:color w:val="000000"/>
          <w:szCs w:val="21"/>
        </w:rPr>
      </w:pPr>
      <w:r>
        <w:rPr>
          <w:rFonts w:hint="eastAsia" w:ascii="宋体" w:hAnsi="宋体" w:cs="宋体"/>
          <w:color w:val="000000"/>
          <w:szCs w:val="21"/>
        </w:rPr>
        <w:t>根据所投货物对项目要求及技术需求中响应程度打分。</w:t>
      </w:r>
    </w:p>
    <w:p w14:paraId="5C5BB210">
      <w:pPr>
        <w:spacing w:line="400" w:lineRule="exact"/>
        <w:ind w:firstLine="420" w:firstLineChars="200"/>
        <w:rPr>
          <w:color w:val="000000"/>
        </w:rPr>
      </w:pPr>
      <w:r>
        <w:rPr>
          <w:rFonts w:hint="eastAsia" w:ascii="宋体" w:hAnsi="宋体" w:cs="宋体"/>
          <w:bCs/>
          <w:color w:val="000000"/>
          <w:szCs w:val="21"/>
        </w:rPr>
        <w:t>标注“</w:t>
      </w:r>
      <w:r>
        <w:rPr>
          <w:rFonts w:hint="eastAsia" w:ascii="宋体" w:hAnsi="宋体" w:cs="宋体"/>
          <w:color w:val="000000"/>
          <w:szCs w:val="21"/>
        </w:rPr>
        <w:t>*</w:t>
      </w:r>
      <w:r>
        <w:rPr>
          <w:rFonts w:hint="eastAsia" w:ascii="宋体" w:hAnsi="宋体" w:cs="宋体"/>
          <w:bCs/>
          <w:color w:val="000000"/>
          <w:szCs w:val="21"/>
        </w:rPr>
        <w:t>”（14项）的技术参数满足</w:t>
      </w:r>
      <w:r>
        <w:rPr>
          <w:rFonts w:hint="eastAsia" w:ascii="宋体" w:hAnsi="宋体"/>
          <w:bCs/>
          <w:color w:val="000000"/>
          <w:szCs w:val="21"/>
        </w:rPr>
        <w:t>招标文件要求的，</w:t>
      </w:r>
      <w:r>
        <w:rPr>
          <w:rFonts w:hint="eastAsia" w:ascii="宋体" w:hAnsi="宋体" w:cs="宋体"/>
          <w:color w:val="000000"/>
          <w:szCs w:val="21"/>
        </w:rPr>
        <w:t>投标人能够</w:t>
      </w:r>
      <w:r>
        <w:rPr>
          <w:rFonts w:hint="eastAsia" w:ascii="宋体" w:hAnsi="宋体" w:cs="宋体"/>
          <w:bCs/>
          <w:color w:val="000000"/>
          <w:szCs w:val="21"/>
        </w:rPr>
        <w:t>在投标文件中</w:t>
      </w:r>
      <w:r>
        <w:rPr>
          <w:rFonts w:hint="eastAsia" w:ascii="宋体" w:hAnsi="宋体" w:cs="宋体"/>
          <w:color w:val="000000"/>
          <w:szCs w:val="21"/>
        </w:rPr>
        <w:t>提供投标产品彩页或相应技术参数的厂家使用说明书（如厂家提供的产品使用说明书为英文版，请同时提供中文版）或</w:t>
      </w:r>
      <w:r>
        <w:rPr>
          <w:rFonts w:hint="eastAsia" w:ascii="宋体" w:hAnsi="宋体" w:cs="宋体"/>
          <w:bCs/>
          <w:color w:val="000000"/>
          <w:szCs w:val="21"/>
        </w:rPr>
        <w:t>括国家认可的有资质的</w:t>
      </w:r>
      <w:r>
        <w:rPr>
          <w:rFonts w:hint="eastAsia" w:ascii="宋体" w:hAnsi="宋体" w:cs="宋体"/>
          <w:color w:val="000000"/>
          <w:szCs w:val="21"/>
        </w:rPr>
        <w:t>第三方检测报告复印件作为技术参数证明文件，</w:t>
      </w:r>
      <w:r>
        <w:rPr>
          <w:rFonts w:hint="eastAsia" w:ascii="宋体" w:hAnsi="宋体"/>
          <w:bCs/>
          <w:color w:val="000000"/>
          <w:szCs w:val="21"/>
        </w:rPr>
        <w:t>每一项得1分，满分14分</w:t>
      </w:r>
      <w:r>
        <w:rPr>
          <w:rFonts w:hint="eastAsia" w:ascii="宋体" w:hAnsi="宋体" w:cs="宋体"/>
          <w:color w:val="000000"/>
          <w:szCs w:val="21"/>
        </w:rPr>
        <w:t>。</w:t>
      </w:r>
    </w:p>
    <w:p w14:paraId="1F295304">
      <w:pPr>
        <w:spacing w:line="400" w:lineRule="exact"/>
        <w:ind w:firstLine="420" w:firstLineChars="200"/>
        <w:rPr>
          <w:color w:val="000000"/>
        </w:rPr>
      </w:pPr>
      <w:r>
        <w:rPr>
          <w:rFonts w:hint="eastAsia" w:ascii="宋体" w:hAnsi="宋体" w:cs="宋体"/>
          <w:bCs/>
          <w:color w:val="000000"/>
          <w:szCs w:val="21"/>
        </w:rPr>
        <w:t>未标注</w:t>
      </w:r>
      <w:r>
        <w:rPr>
          <w:rFonts w:hint="eastAsia" w:ascii="宋体" w:hAnsi="宋体" w:cs="宋体"/>
          <w:bCs/>
          <w:szCs w:val="21"/>
        </w:rPr>
        <w:t>“▲”、</w:t>
      </w:r>
      <w:r>
        <w:rPr>
          <w:rFonts w:hint="eastAsia" w:ascii="宋体" w:hAnsi="宋体" w:cs="宋体"/>
          <w:bCs/>
          <w:color w:val="000000"/>
          <w:szCs w:val="21"/>
        </w:rPr>
        <w:t>“</w:t>
      </w:r>
      <w:r>
        <w:rPr>
          <w:rFonts w:hint="eastAsia" w:ascii="宋体" w:hAnsi="宋体" w:cs="宋体"/>
          <w:color w:val="000000"/>
          <w:szCs w:val="21"/>
        </w:rPr>
        <w:t>*</w:t>
      </w:r>
      <w:r>
        <w:rPr>
          <w:rFonts w:hint="eastAsia" w:ascii="宋体" w:hAnsi="宋体" w:cs="宋体"/>
          <w:bCs/>
          <w:color w:val="000000"/>
          <w:szCs w:val="21"/>
        </w:rPr>
        <w:t>”（106项）的技术参数满足</w:t>
      </w:r>
      <w:r>
        <w:rPr>
          <w:rFonts w:hint="eastAsia" w:ascii="宋体" w:hAnsi="宋体"/>
          <w:bCs/>
          <w:color w:val="000000"/>
          <w:szCs w:val="21"/>
        </w:rPr>
        <w:t>招标文件要求的，</w:t>
      </w:r>
      <w:r>
        <w:rPr>
          <w:rFonts w:hint="eastAsia" w:ascii="宋体" w:hAnsi="宋体" w:cs="宋体"/>
          <w:color w:val="000000"/>
          <w:szCs w:val="21"/>
        </w:rPr>
        <w:t>投标人能够</w:t>
      </w:r>
      <w:r>
        <w:rPr>
          <w:rFonts w:hint="eastAsia" w:ascii="宋体" w:hAnsi="宋体" w:cs="宋体"/>
          <w:bCs/>
          <w:color w:val="000000"/>
          <w:szCs w:val="21"/>
        </w:rPr>
        <w:t>在投标文件中</w:t>
      </w:r>
      <w:r>
        <w:rPr>
          <w:rFonts w:hint="eastAsia" w:ascii="宋体" w:hAnsi="宋体" w:cs="宋体"/>
          <w:color w:val="000000"/>
          <w:szCs w:val="21"/>
        </w:rPr>
        <w:t>提供投标产品彩页或相应技术参数的厂家使用说明书（如厂家提供的产品使用说明书为英文版，请同时提供中文版）或</w:t>
      </w:r>
      <w:r>
        <w:rPr>
          <w:rFonts w:hint="eastAsia" w:ascii="宋体" w:hAnsi="宋体" w:cs="宋体"/>
          <w:bCs/>
          <w:color w:val="000000"/>
          <w:szCs w:val="21"/>
        </w:rPr>
        <w:t>括国家认可的有资质的</w:t>
      </w:r>
      <w:r>
        <w:rPr>
          <w:rFonts w:hint="eastAsia" w:ascii="宋体" w:hAnsi="宋体" w:cs="宋体"/>
          <w:color w:val="000000"/>
          <w:szCs w:val="21"/>
        </w:rPr>
        <w:t>第三方检测报告复印件作为技术参数证明文件，</w:t>
      </w:r>
      <w:r>
        <w:rPr>
          <w:rFonts w:hint="eastAsia" w:ascii="宋体" w:hAnsi="宋体"/>
          <w:bCs/>
          <w:color w:val="000000"/>
          <w:szCs w:val="21"/>
        </w:rPr>
        <w:t>每一项得0.15分，满分16分</w:t>
      </w:r>
      <w:r>
        <w:rPr>
          <w:rFonts w:hint="eastAsia" w:ascii="宋体" w:hAnsi="宋体" w:cs="宋体"/>
          <w:color w:val="000000"/>
          <w:szCs w:val="21"/>
        </w:rPr>
        <w:t>。</w:t>
      </w:r>
    </w:p>
    <w:p w14:paraId="7BA73471">
      <w:pPr>
        <w:pStyle w:val="41"/>
        <w:tabs>
          <w:tab w:val="right" w:leader="dot" w:pos="9185"/>
        </w:tabs>
        <w:spacing w:line="400" w:lineRule="exact"/>
        <w:ind w:left="0" w:leftChars="0"/>
        <w:rPr>
          <w:rFonts w:ascii="宋体" w:hAnsi="宋体" w:cs="宋体"/>
          <w:color w:val="000000"/>
          <w:szCs w:val="21"/>
        </w:rPr>
      </w:pPr>
      <w:r>
        <w:rPr>
          <w:rFonts w:hint="eastAsia" w:ascii="宋体" w:hAnsi="宋体" w:cs="宋体"/>
          <w:b/>
          <w:bCs/>
          <w:color w:val="000000"/>
          <w:szCs w:val="21"/>
        </w:rPr>
        <w:t>3、</w:t>
      </w:r>
      <w:r>
        <w:rPr>
          <w:rFonts w:hint="eastAsia" w:ascii="宋体" w:hAnsi="宋体" w:cs="宋体"/>
          <w:b/>
          <w:bCs/>
          <w:color w:val="000000"/>
          <w:szCs w:val="21"/>
          <w:lang w:val="en-US" w:eastAsia="zh-CN"/>
        </w:rPr>
        <w:t>项目实施方案</w:t>
      </w:r>
      <w:r>
        <w:rPr>
          <w:rFonts w:hint="eastAsia" w:ascii="宋体" w:hAnsi="宋体" w:cs="宋体"/>
          <w:b/>
          <w:color w:val="000000"/>
        </w:rPr>
        <w:t>分</w:t>
      </w:r>
      <w:r>
        <w:rPr>
          <w:rFonts w:hint="eastAsia" w:ascii="宋体" w:hAnsi="宋体" w:cs="宋体"/>
          <w:b/>
          <w:bCs/>
          <w:color w:val="000000"/>
        </w:rPr>
        <w:t>………………………………………………………………………………………16分</w:t>
      </w:r>
    </w:p>
    <w:p w14:paraId="6C60E72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000000"/>
        </w:rPr>
      </w:pPr>
      <w:r>
        <w:rPr>
          <w:rFonts w:hint="eastAsia" w:ascii="宋体" w:hAnsi="宋体" w:cs="宋体"/>
          <w:b w:val="0"/>
          <w:bCs/>
          <w:color w:val="000000"/>
        </w:rPr>
        <w:t>一档（5分）：投标人提供的服务方案基本满足招标文件要求，有供货措施、服务期的供货计划、产</w:t>
      </w:r>
    </w:p>
    <w:p w14:paraId="1522B6FD">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cs="宋体"/>
          <w:b w:val="0"/>
          <w:bCs/>
          <w:color w:val="000000"/>
        </w:rPr>
      </w:pPr>
      <w:r>
        <w:rPr>
          <w:rFonts w:hint="eastAsia" w:ascii="宋体" w:hAnsi="宋体" w:cs="宋体"/>
          <w:b w:val="0"/>
          <w:bCs/>
          <w:color w:val="000000"/>
        </w:rPr>
        <w:t>品质量保障措施以及供应服务流程内容。</w:t>
      </w:r>
    </w:p>
    <w:p w14:paraId="783C449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000000"/>
        </w:rPr>
      </w:pPr>
      <w:r>
        <w:rPr>
          <w:rFonts w:hint="eastAsia" w:ascii="宋体" w:hAnsi="宋体" w:cs="宋体"/>
          <w:b w:val="0"/>
          <w:bCs/>
          <w:color w:val="000000"/>
        </w:rPr>
        <w:t>二档（10分）：在一档的基础上，有合法正规的供货渠道，有确保供货稳定的措施，针对本次采购的产品有具体、详细的供货计划、产品供应服务流程以及产品质量保障措施。能够保证使用单位的使用效率、在质保期满后1年内不会严重影响使用单位正常使用，操控及安装维修的便利性设计有设计亮点且能够满足使用单位的操作及正常维护需求。</w:t>
      </w:r>
    </w:p>
    <w:p w14:paraId="42D554E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000000"/>
        </w:rPr>
      </w:pPr>
      <w:r>
        <w:rPr>
          <w:rFonts w:hint="eastAsia" w:ascii="宋体" w:hAnsi="宋体" w:cs="宋体"/>
          <w:b w:val="0"/>
          <w:bCs/>
          <w:color w:val="000000"/>
        </w:rPr>
        <w:t>三档（16分）：在二档的基础上，有具体的执行组织措施、执行保障措施，有具体的服务保障体系及措施内容包含仓库管理制度、不合格品管理制度、成品管理制度，能够结合自身经验进一步对项目服务工作进行分析，并有重点、难点分析，能够保证在质保期满后1年以上的稳定运行及整机各类功能实现，充分符合或优于使用单位对整机操控及安装维修的便利性需求及实际使用需求，设计原理保证其维修期短、易于使用单位技术人员判断维修需求。</w:t>
      </w:r>
    </w:p>
    <w:p w14:paraId="490C4F6D">
      <w:pPr>
        <w:spacing w:line="400" w:lineRule="exact"/>
        <w:rPr>
          <w:rFonts w:ascii="宋体" w:hAnsi="宋体" w:cs="宋体"/>
          <w:b/>
          <w:color w:val="000000"/>
        </w:rPr>
      </w:pPr>
      <w:r>
        <w:rPr>
          <w:rFonts w:hint="eastAsia" w:ascii="宋体" w:hAnsi="宋体" w:cs="宋体"/>
          <w:b/>
          <w:color w:val="000000"/>
        </w:rPr>
        <w:t>4、售后服务分…………………………………………………………………………………………12分</w:t>
      </w:r>
    </w:p>
    <w:p w14:paraId="19E52B80">
      <w:pPr>
        <w:spacing w:line="400" w:lineRule="exact"/>
        <w:ind w:firstLine="420" w:firstLineChars="200"/>
        <w:rPr>
          <w:rFonts w:ascii="宋体" w:hAnsi="宋体" w:cs="宋体"/>
          <w:color w:val="000000"/>
        </w:rPr>
      </w:pPr>
      <w:r>
        <w:rPr>
          <w:rFonts w:hint="eastAsia" w:ascii="宋体" w:hAnsi="宋体" w:cs="宋体"/>
          <w:color w:val="000000"/>
        </w:rPr>
        <w:t>一档（3分）：质量保证措施和售后服务承诺基本满足招标文件要求，承诺解决故障时间为</w:t>
      </w:r>
      <w:r>
        <w:rPr>
          <w:rFonts w:hint="eastAsia" w:ascii="宋体" w:hAnsi="宋体" w:cs="宋体"/>
          <w:color w:val="000000"/>
          <w:u w:val="single"/>
        </w:rPr>
        <w:t xml:space="preserve"> </w:t>
      </w:r>
      <w:r>
        <w:rPr>
          <w:rFonts w:ascii="宋体" w:hAnsi="宋体" w:cs="宋体"/>
          <w:color w:val="000000"/>
          <w:u w:val="single"/>
        </w:rPr>
        <w:t>4</w:t>
      </w:r>
      <w:r>
        <w:rPr>
          <w:rFonts w:hint="eastAsia" w:ascii="宋体" w:hAnsi="宋体" w:cs="宋体"/>
          <w:color w:val="000000"/>
          <w:u w:val="single"/>
        </w:rPr>
        <w:t xml:space="preserve"> </w:t>
      </w:r>
      <w:r>
        <w:rPr>
          <w:rFonts w:hint="eastAsia" w:ascii="宋体" w:hAnsi="宋体" w:cs="宋体"/>
          <w:color w:val="000000"/>
        </w:rPr>
        <w:t>个小时以内，有具体承诺，服务内容、保障措施能满足采购人需求；</w:t>
      </w:r>
    </w:p>
    <w:p w14:paraId="43241340">
      <w:pPr>
        <w:spacing w:line="400" w:lineRule="exact"/>
        <w:ind w:firstLine="420" w:firstLineChars="200"/>
        <w:rPr>
          <w:rFonts w:ascii="宋体" w:hAnsi="宋体" w:cs="宋体"/>
          <w:color w:val="000000"/>
        </w:rPr>
      </w:pPr>
      <w:r>
        <w:rPr>
          <w:rFonts w:hint="eastAsia" w:ascii="宋体" w:hAnsi="宋体" w:cs="宋体"/>
          <w:color w:val="000000"/>
        </w:rPr>
        <w:t>二档（6分）：在一档的基础上，质量保证措施和售后服务承诺完善，售后响应时间满足招标文件要求，承诺解决故障时间为</w:t>
      </w:r>
      <w:r>
        <w:rPr>
          <w:rFonts w:hint="eastAsia" w:ascii="宋体" w:hAnsi="宋体" w:cs="宋体"/>
          <w:color w:val="000000"/>
          <w:u w:val="single"/>
        </w:rPr>
        <w:t xml:space="preserve">  </w:t>
      </w:r>
      <w:r>
        <w:rPr>
          <w:rFonts w:ascii="宋体" w:hAnsi="宋体" w:cs="宋体"/>
          <w:color w:val="000000"/>
          <w:u w:val="single"/>
        </w:rPr>
        <w:t>2</w:t>
      </w:r>
      <w:r>
        <w:rPr>
          <w:rFonts w:hint="eastAsia" w:ascii="宋体" w:hAnsi="宋体" w:cs="宋体"/>
          <w:color w:val="000000"/>
          <w:u w:val="single"/>
        </w:rPr>
        <w:t xml:space="preserve">  </w:t>
      </w:r>
      <w:r>
        <w:rPr>
          <w:rFonts w:hint="eastAsia" w:ascii="宋体" w:hAnsi="宋体" w:cs="宋体"/>
          <w:color w:val="000000"/>
        </w:rPr>
        <w:t>个小时以内，且有具体承诺，服务内容、保障措施能满足采购人需求，具备培训方案，投标人具备满足本项目的售后保障能力（提供售后服务承诺函等）。</w:t>
      </w:r>
    </w:p>
    <w:p w14:paraId="5DC87945">
      <w:pPr>
        <w:spacing w:line="400" w:lineRule="exact"/>
        <w:ind w:firstLine="420" w:firstLineChars="200"/>
        <w:rPr>
          <w:rFonts w:ascii="宋体" w:hAnsi="宋体" w:cs="宋体"/>
          <w:color w:val="000000"/>
        </w:rPr>
      </w:pPr>
      <w:r>
        <w:rPr>
          <w:rFonts w:hint="eastAsia" w:ascii="宋体" w:hAnsi="宋体" w:cs="宋体"/>
          <w:color w:val="000000"/>
        </w:rPr>
        <w:t>三档（9分）：在二档的基础上，质量保证措施和售后服务承诺充分满足招标文件要求，承诺解决故障时间为</w:t>
      </w:r>
      <w:r>
        <w:rPr>
          <w:rFonts w:hint="eastAsia" w:ascii="宋体" w:hAnsi="宋体" w:cs="宋体"/>
          <w:color w:val="000000"/>
          <w:u w:val="single"/>
        </w:rPr>
        <w:t xml:space="preserve">  </w:t>
      </w:r>
      <w:r>
        <w:rPr>
          <w:rFonts w:ascii="宋体" w:hAnsi="宋体" w:cs="宋体"/>
          <w:color w:val="000000"/>
          <w:u w:val="single"/>
        </w:rPr>
        <w:t>1</w:t>
      </w:r>
      <w:r>
        <w:rPr>
          <w:rFonts w:hint="eastAsia" w:ascii="宋体" w:hAnsi="宋体" w:cs="宋体"/>
          <w:color w:val="000000"/>
          <w:u w:val="single"/>
        </w:rPr>
        <w:t xml:space="preserve">  </w:t>
      </w:r>
      <w:r>
        <w:rPr>
          <w:rFonts w:hint="eastAsia" w:ascii="宋体" w:hAnsi="宋体" w:cs="宋体"/>
          <w:color w:val="000000"/>
        </w:rPr>
        <w:t>个小时以内，提供</w:t>
      </w:r>
      <w:r>
        <w:rPr>
          <w:rFonts w:hint="eastAsia" w:ascii="宋体" w:hAnsi="宋体" w:cs="宋体"/>
          <w:color w:val="000000"/>
          <w:szCs w:val="21"/>
        </w:rPr>
        <w:t>对产品退换货措施、上门服务方案、售后措施方案、质量跟踪服务措施</w:t>
      </w:r>
      <w:r>
        <w:rPr>
          <w:rFonts w:hint="eastAsia" w:ascii="宋体" w:hAnsi="宋体" w:cs="宋体"/>
          <w:color w:val="000000"/>
        </w:rPr>
        <w:t>，质保期内免费提供专门班组技术人员运维，并提供免费运维服务承诺函的。</w:t>
      </w:r>
    </w:p>
    <w:p w14:paraId="397D498E">
      <w:pPr>
        <w:spacing w:line="400" w:lineRule="exact"/>
        <w:ind w:firstLine="420" w:firstLineChars="200"/>
        <w:rPr>
          <w:rFonts w:ascii="宋体" w:hAnsi="宋体" w:cs="宋体"/>
          <w:color w:val="000000"/>
        </w:rPr>
      </w:pPr>
      <w:r>
        <w:rPr>
          <w:rFonts w:hint="eastAsia" w:ascii="宋体" w:hAnsi="宋体" w:cs="宋体"/>
          <w:color w:val="000000"/>
        </w:rPr>
        <w:t>四档（12分）：在三档的基础上，质量保证措施和售后服务承诺优于招标文件要求，承诺解决故障时间为</w:t>
      </w:r>
      <w:r>
        <w:rPr>
          <w:rFonts w:hint="eastAsia" w:ascii="宋体" w:hAnsi="宋体" w:cs="宋体"/>
          <w:color w:val="000000"/>
          <w:u w:val="single"/>
        </w:rPr>
        <w:t xml:space="preserve">  </w:t>
      </w:r>
      <w:r>
        <w:rPr>
          <w:rFonts w:ascii="宋体" w:hAnsi="宋体" w:cs="宋体"/>
          <w:color w:val="000000"/>
          <w:u w:val="single"/>
        </w:rPr>
        <w:t>0.5</w:t>
      </w:r>
      <w:r>
        <w:rPr>
          <w:rFonts w:hint="eastAsia" w:ascii="宋体" w:hAnsi="宋体" w:cs="宋体"/>
          <w:color w:val="000000"/>
          <w:u w:val="single"/>
        </w:rPr>
        <w:t xml:space="preserve">  </w:t>
      </w:r>
      <w:r>
        <w:rPr>
          <w:rFonts w:hint="eastAsia" w:ascii="宋体" w:hAnsi="宋体" w:cs="宋体"/>
          <w:color w:val="000000"/>
        </w:rPr>
        <w:t>个小时以内且售后响应时间充分优于招标文件要求，</w:t>
      </w:r>
      <w:r>
        <w:rPr>
          <w:rFonts w:hint="eastAsia" w:ascii="宋体" w:hAnsi="宋体" w:cs="宋体"/>
          <w:bCs/>
          <w:color w:val="000000"/>
          <w:kern w:val="0"/>
          <w:szCs w:val="21"/>
        </w:rPr>
        <w:t>提供有详细的产品退换货流程，有对不合格产品的召回措施、流程，对产品的包装有</w:t>
      </w:r>
      <w:r>
        <w:rPr>
          <w:rFonts w:hint="eastAsia" w:ascii="宋体" w:hAnsi="宋体" w:cs="宋体"/>
          <w:color w:val="000000"/>
          <w:kern w:val="0"/>
          <w:szCs w:val="21"/>
        </w:rPr>
        <w:t>防潮、防霉、防破损、装卸以及保管等管理措施，承诺有具体的退换货时间。</w:t>
      </w:r>
    </w:p>
    <w:p w14:paraId="11DED472">
      <w:pPr>
        <w:spacing w:line="400" w:lineRule="exact"/>
        <w:rPr>
          <w:rFonts w:ascii="宋体" w:hAnsi="宋体" w:cs="宋体"/>
          <w:b/>
          <w:color w:val="000000"/>
        </w:rPr>
      </w:pPr>
      <w:r>
        <w:rPr>
          <w:rFonts w:hint="eastAsia" w:ascii="宋体" w:hAnsi="宋体" w:cs="宋体"/>
          <w:b/>
          <w:color w:val="000000"/>
        </w:rPr>
        <w:t>5、信誉业绩分………………………………………………………………………………………………10分</w:t>
      </w:r>
    </w:p>
    <w:p w14:paraId="11DAAAE1">
      <w:pPr>
        <w:snapToGrid w:val="0"/>
        <w:spacing w:line="400" w:lineRule="exact"/>
        <w:ind w:firstLine="411" w:firstLineChars="196"/>
        <w:jc w:val="left"/>
        <w:rPr>
          <w:rFonts w:ascii="宋体" w:hAnsi="宋体" w:cs="宋体"/>
          <w:bCs/>
          <w:color w:val="000000"/>
          <w:szCs w:val="21"/>
        </w:rPr>
      </w:pPr>
      <w:r>
        <w:rPr>
          <w:rFonts w:hint="eastAsia" w:ascii="宋体" w:hAnsi="宋体" w:cs="宋体"/>
          <w:bCs/>
          <w:color w:val="000000"/>
          <w:szCs w:val="21"/>
        </w:rPr>
        <w:t>（1）投标人或所投货物生产厂家通过国际标准：质量管理体系认证（ISO9000系列），</w:t>
      </w:r>
      <w:r>
        <w:rPr>
          <w:rFonts w:hint="eastAsia" w:ascii="宋体" w:hAnsi="宋体" w:cs="宋体"/>
          <w:color w:val="000000"/>
        </w:rPr>
        <w:t>以通过认证机构年审合格有效证明为准，</w:t>
      </w:r>
      <w:r>
        <w:rPr>
          <w:rFonts w:hint="eastAsia" w:ascii="宋体" w:hAnsi="宋体" w:cs="宋体"/>
          <w:bCs/>
          <w:color w:val="000000"/>
          <w:szCs w:val="21"/>
        </w:rPr>
        <w:t>提供证书复印件得2分，满分2分。</w:t>
      </w:r>
    </w:p>
    <w:p w14:paraId="6BF209F4">
      <w:pPr>
        <w:snapToGrid w:val="0"/>
        <w:spacing w:line="400" w:lineRule="exact"/>
        <w:ind w:firstLine="411" w:firstLineChars="196"/>
        <w:jc w:val="left"/>
        <w:rPr>
          <w:rFonts w:ascii="宋体" w:hAnsi="宋体" w:cs="宋体"/>
          <w:bCs/>
          <w:color w:val="000000"/>
          <w:szCs w:val="21"/>
        </w:rPr>
      </w:pPr>
      <w:r>
        <w:rPr>
          <w:rFonts w:hint="eastAsia" w:ascii="宋体" w:hAnsi="宋体" w:cs="宋体"/>
          <w:bCs/>
          <w:color w:val="000000"/>
          <w:szCs w:val="21"/>
        </w:rPr>
        <w:t>（2）投标人或所投货物生产厂家通过国际标准：</w:t>
      </w:r>
      <w:r>
        <w:rPr>
          <w:rFonts w:hint="eastAsia" w:ascii="宋体" w:hAnsi="宋体" w:cs="宋体"/>
          <w:color w:val="000000"/>
          <w:szCs w:val="21"/>
        </w:rPr>
        <w:t>环境管理体系认证（ISO14000系列）</w:t>
      </w:r>
      <w:r>
        <w:rPr>
          <w:rFonts w:hint="eastAsia" w:ascii="宋体" w:hAnsi="宋体" w:cs="宋体"/>
          <w:bCs/>
          <w:color w:val="000000"/>
          <w:szCs w:val="21"/>
        </w:rPr>
        <w:t>，</w:t>
      </w:r>
      <w:r>
        <w:rPr>
          <w:rFonts w:hint="eastAsia" w:ascii="宋体" w:hAnsi="宋体" w:cs="宋体"/>
          <w:color w:val="000000"/>
        </w:rPr>
        <w:t>以通过认证机构年审合格有效证明为准，</w:t>
      </w:r>
      <w:r>
        <w:rPr>
          <w:rFonts w:hint="eastAsia" w:ascii="宋体" w:hAnsi="宋体" w:cs="宋体"/>
          <w:bCs/>
          <w:color w:val="000000"/>
          <w:szCs w:val="21"/>
        </w:rPr>
        <w:t>提供证书复印件得2分，满分2分。</w:t>
      </w:r>
    </w:p>
    <w:p w14:paraId="669A54CA">
      <w:pPr>
        <w:spacing w:line="400" w:lineRule="exact"/>
        <w:ind w:firstLine="210" w:firstLineChars="100"/>
        <w:rPr>
          <w:rFonts w:ascii="宋体" w:hAnsi="宋体" w:cs="宋体"/>
          <w:color w:val="000000"/>
          <w:kern w:val="0"/>
          <w:szCs w:val="21"/>
        </w:rPr>
      </w:pPr>
      <w:r>
        <w:rPr>
          <w:rFonts w:hint="eastAsia" w:ascii="宋体" w:hAnsi="宋体" w:cs="宋体"/>
          <w:bCs/>
          <w:color w:val="000000"/>
          <w:szCs w:val="21"/>
        </w:rPr>
        <w:t>（3）</w:t>
      </w:r>
      <w:r>
        <w:rPr>
          <w:rFonts w:hint="eastAsia" w:ascii="宋体" w:hAnsi="宋体" w:cs="宋体"/>
          <w:color w:val="000000"/>
          <w:kern w:val="0"/>
          <w:szCs w:val="21"/>
        </w:rPr>
        <w:t>投标人</w:t>
      </w:r>
      <w:r>
        <w:rPr>
          <w:rFonts w:hint="eastAsia" w:ascii="宋体" w:hAnsi="宋体" w:cs="宋体"/>
          <w:b/>
          <w:color w:val="000000"/>
          <w:kern w:val="0"/>
          <w:szCs w:val="21"/>
        </w:rPr>
        <w:t>2023</w:t>
      </w:r>
      <w:r>
        <w:rPr>
          <w:rFonts w:hint="eastAsia" w:ascii="宋体" w:hAnsi="宋体" w:cs="宋体"/>
          <w:color w:val="000000"/>
          <w:kern w:val="0"/>
          <w:szCs w:val="21"/>
        </w:rPr>
        <w:t>年1月1日以来有与本次采购内容相类似业绩的（以有效的合同或中标（成交）通知书复印件为准），每有一份得2分，满分6分。</w:t>
      </w:r>
    </w:p>
    <w:p w14:paraId="324F12F8">
      <w:pPr>
        <w:spacing w:line="400" w:lineRule="exact"/>
        <w:rPr>
          <w:rFonts w:ascii="宋体" w:hAnsi="宋体" w:cs="宋体"/>
          <w:bCs/>
          <w:color w:val="000000"/>
        </w:rPr>
      </w:pPr>
      <w:r>
        <w:rPr>
          <w:rFonts w:hint="eastAsia" w:ascii="宋体" w:hAnsi="宋体" w:cs="宋体"/>
          <w:b/>
          <w:color w:val="000000"/>
        </w:rPr>
        <w:t>6、政策功能分………………………………………………………………………………………………2分</w:t>
      </w:r>
    </w:p>
    <w:p w14:paraId="1177DBC9">
      <w:pPr>
        <w:spacing w:line="400" w:lineRule="exact"/>
        <w:ind w:firstLine="420" w:firstLineChars="200"/>
        <w:rPr>
          <w:rFonts w:ascii="宋体" w:hAnsi="宋体" w:cs="宋体"/>
          <w:color w:val="000000"/>
        </w:rPr>
      </w:pPr>
      <w:r>
        <w:rPr>
          <w:rFonts w:hint="eastAsia" w:ascii="宋体" w:hAnsi="宋体" w:cs="宋体"/>
          <w:color w:val="000000"/>
        </w:rPr>
        <w:t>（1）投标产品属于政府采购</w:t>
      </w:r>
      <w:r>
        <w:rPr>
          <w:rFonts w:hint="eastAsia" w:ascii="宋体" w:hAnsi="宋体" w:cs="宋体"/>
          <w:b/>
          <w:color w:val="000000"/>
        </w:rPr>
        <w:t>非强制</w:t>
      </w:r>
      <w:r>
        <w:rPr>
          <w:rFonts w:hint="eastAsia" w:ascii="宋体" w:hAnsi="宋体" w:cs="宋体"/>
          <w:color w:val="000000"/>
        </w:rPr>
        <w:t>节能产品的，应根据《市场监管总局关于发布参与实施政府采购节能产品、环境标志产品认证机构名录的公告》2019年第16号、财库〔2019〕9号以及财库〔2019〕19号文规定，投标人的投标产品，投标时须提供国家确定的认证机构出具的、处于有效期之内的有效的节能产品认证证书复印件并加盖投标人公章（适用于非强制采购节能产品，提供投标产品所属清单页），每提供1份得1分，满分1分。</w:t>
      </w:r>
    </w:p>
    <w:p w14:paraId="61E4AF35">
      <w:pPr>
        <w:spacing w:line="400" w:lineRule="exact"/>
        <w:ind w:firstLine="420" w:firstLineChars="200"/>
        <w:rPr>
          <w:rFonts w:ascii="宋体" w:hAnsi="宋体" w:cs="宋体"/>
          <w:color w:val="000000"/>
        </w:rPr>
      </w:pPr>
      <w:r>
        <w:rPr>
          <w:rFonts w:hint="eastAsia" w:ascii="宋体" w:hAnsi="宋体" w:cs="宋体"/>
          <w:color w:val="000000"/>
        </w:rPr>
        <w:t>（2）投标产品属于环境标志产品的，应根据《市场监管总局关于发布参与实施政府采购节能产品、环境标志产品认证机构名录的公告》2019年第16号、财库〔2019〕9号以及财库〔2019〕18号文规定，投标人的投标产品，投标时提供国家确定的认证机构出具的、处于有效期之内的有效的环境产品认证证书复印件并加盖投标人公章，每提供1份得1分，满分1分。</w:t>
      </w:r>
    </w:p>
    <w:p w14:paraId="4881C15B">
      <w:pPr>
        <w:spacing w:line="400" w:lineRule="exact"/>
        <w:rPr>
          <w:rFonts w:hAnsi="宋体"/>
          <w:bCs/>
          <w:color w:val="000000"/>
          <w:szCs w:val="21"/>
        </w:rPr>
      </w:pPr>
      <w:r>
        <w:rPr>
          <w:rFonts w:hint="eastAsia" w:ascii="宋体" w:hAnsi="宋体"/>
          <w:b/>
          <w:color w:val="000000"/>
          <w:szCs w:val="21"/>
        </w:rPr>
        <w:t>（三）总得分</w:t>
      </w:r>
      <w:r>
        <w:rPr>
          <w:rFonts w:ascii="宋体" w:hAnsi="宋体"/>
          <w:b/>
          <w:color w:val="000000"/>
          <w:szCs w:val="21"/>
        </w:rPr>
        <w:t xml:space="preserve">=1 + 2 + 3 </w:t>
      </w:r>
      <w:r>
        <w:rPr>
          <w:rFonts w:hint="eastAsia" w:ascii="宋体" w:hAnsi="宋体"/>
          <w:b/>
          <w:color w:val="000000"/>
          <w:szCs w:val="21"/>
        </w:rPr>
        <w:t>+4 + 5 + 6。</w:t>
      </w:r>
    </w:p>
    <w:p w14:paraId="36C63F01">
      <w:pPr>
        <w:spacing w:line="400" w:lineRule="exact"/>
        <w:rPr>
          <w:rFonts w:hAnsi="宋体"/>
          <w:bCs/>
          <w:color w:val="000000" w:themeColor="text1"/>
          <w:szCs w:val="21"/>
          <w14:textFill>
            <w14:solidFill>
              <w14:schemeClr w14:val="tx1"/>
            </w14:solidFill>
          </w14:textFill>
        </w:rPr>
      </w:pPr>
    </w:p>
    <w:p w14:paraId="464720E4">
      <w:pPr>
        <w:spacing w:line="400" w:lineRule="exact"/>
        <w:rPr>
          <w:rFonts w:ascii="宋体" w:hAnsi="宋体" w:cs="宋体"/>
          <w:bCs/>
        </w:rPr>
      </w:pPr>
    </w:p>
    <w:p w14:paraId="2BC1E57A">
      <w:pPr>
        <w:pStyle w:val="3"/>
        <w:spacing w:before="0" w:after="0" w:line="480" w:lineRule="auto"/>
        <w:jc w:val="center"/>
        <w:rPr>
          <w:rFonts w:ascii="宋体" w:hAnsi="宋体" w:eastAsia="宋体" w:cs="宋体"/>
        </w:rPr>
      </w:pPr>
      <w:bookmarkStart w:id="85" w:name="_Toc1557"/>
      <w:bookmarkStart w:id="86" w:name="_Toc5530"/>
      <w:r>
        <w:rPr>
          <w:rFonts w:hint="eastAsia" w:ascii="宋体" w:hAnsi="宋体" w:eastAsia="宋体" w:cs="宋体"/>
        </w:rPr>
        <w:t>第四节 中标候选人推荐原则</w:t>
      </w:r>
      <w:bookmarkEnd w:id="85"/>
      <w:bookmarkEnd w:id="86"/>
    </w:p>
    <w:p w14:paraId="37DDA9F0">
      <w:pPr>
        <w:adjustRightInd w:val="0"/>
        <w:spacing w:line="380" w:lineRule="exact"/>
        <w:textAlignment w:val="baseline"/>
        <w:rPr>
          <w:rFonts w:ascii="宋体" w:hAnsi="宋体"/>
          <w:bCs/>
          <w:kern w:val="0"/>
          <w:szCs w:val="20"/>
        </w:rPr>
      </w:pPr>
      <w:r>
        <w:rPr>
          <w:rFonts w:hint="eastAsia" w:ascii="宋体" w:hAnsi="宋体"/>
          <w:b/>
          <w:bCs/>
          <w:kern w:val="0"/>
          <w:szCs w:val="20"/>
        </w:rPr>
        <w:t xml:space="preserve"> </w:t>
      </w:r>
      <w:r>
        <w:rPr>
          <w:rFonts w:hint="eastAsia" w:ascii="宋体" w:hAnsi="宋体"/>
          <w:bCs/>
          <w:kern w:val="0"/>
          <w:szCs w:val="20"/>
        </w:rPr>
        <w:t>（一）评标委员会将根据评审后得分由高到低顺序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w:t>
      </w:r>
    </w:p>
    <w:p w14:paraId="6C8D4313">
      <w:pPr>
        <w:adjustRightInd w:val="0"/>
        <w:spacing w:line="380" w:lineRule="exact"/>
        <w:ind w:firstLine="420" w:firstLineChars="200"/>
        <w:textAlignment w:val="baseline"/>
        <w:rPr>
          <w:rFonts w:ascii="宋体" w:hAnsi="宋体"/>
          <w:bCs/>
          <w:kern w:val="0"/>
          <w:szCs w:val="20"/>
        </w:rPr>
      </w:pPr>
      <w:r>
        <w:rPr>
          <w:rFonts w:hint="eastAsia" w:ascii="宋体" w:hAnsi="宋体"/>
          <w:bCs/>
          <w:kern w:val="0"/>
          <w:szCs w:val="20"/>
        </w:rPr>
        <w:t>采购人应当确定评审委员会推荐排名第一的中标候选人为</w:t>
      </w:r>
      <w:r>
        <w:rPr>
          <w:rFonts w:hint="eastAsia" w:ascii="宋体" w:hAnsi="宋体"/>
          <w:kern w:val="0"/>
          <w:szCs w:val="20"/>
        </w:rPr>
        <w:t>中标人</w:t>
      </w:r>
      <w:r>
        <w:rPr>
          <w:rFonts w:hint="eastAsia" w:ascii="宋体" w:hAnsi="宋体"/>
          <w:bCs/>
          <w:kern w:val="0"/>
          <w:szCs w:val="20"/>
        </w:rPr>
        <w:t>。排名第一的中标候选人放弃中标、因不可抗力或者自身原因提出不能履行合同，采购人可以确定排名第二的中标候选人为</w:t>
      </w:r>
      <w:r>
        <w:rPr>
          <w:rFonts w:hint="eastAsia" w:ascii="宋体" w:hAnsi="宋体"/>
          <w:kern w:val="0"/>
          <w:szCs w:val="20"/>
        </w:rPr>
        <w:t>中标人</w:t>
      </w:r>
      <w:r>
        <w:rPr>
          <w:rFonts w:hint="eastAsia" w:ascii="宋体" w:hAnsi="宋体"/>
          <w:bCs/>
          <w:kern w:val="0"/>
          <w:szCs w:val="20"/>
        </w:rPr>
        <w:t>。排名第二的中标候选人因前款规定的同样原因不能签订合同的，采购人、采购代理机构可以确定排名第三的中标候选人为中标人，采购人也可以决定重新采购。对采购过程、中标结果提出的质疑，合格供应商符合法定数量时，可以从合格的中标候选人中另行确定中标供应商的，应当依法另行确定中标供应商；否则应当重新开展采购活动。</w:t>
      </w:r>
    </w:p>
    <w:p w14:paraId="32D2BBD9">
      <w:pPr>
        <w:adjustRightInd w:val="0"/>
        <w:spacing w:line="380" w:lineRule="exact"/>
        <w:textAlignment w:val="baseline"/>
        <w:rPr>
          <w:rFonts w:ascii="宋体" w:hAnsi="宋体"/>
          <w:kern w:val="0"/>
          <w:szCs w:val="20"/>
        </w:rPr>
      </w:pPr>
      <w:r>
        <w:rPr>
          <w:rFonts w:hint="eastAsia" w:ascii="宋体" w:hAnsi="宋体"/>
          <w:bCs/>
          <w:kern w:val="0"/>
          <w:szCs w:val="20"/>
        </w:rPr>
        <w:t xml:space="preserve">  （二）</w:t>
      </w:r>
      <w:r>
        <w:rPr>
          <w:rFonts w:hint="eastAsia" w:ascii="宋体" w:hAnsi="宋体" w:cs="宋体"/>
          <w:bCs/>
          <w:szCs w:val="21"/>
        </w:rPr>
        <w:t>异常低价审查：具体详见第三章《投标人须知》内容。</w:t>
      </w:r>
    </w:p>
    <w:p w14:paraId="08E22007">
      <w:pPr>
        <w:pStyle w:val="3"/>
        <w:spacing w:before="0" w:after="0" w:line="360" w:lineRule="auto"/>
        <w:jc w:val="center"/>
        <w:rPr>
          <w:rFonts w:ascii="宋体" w:hAnsi="宋体" w:eastAsia="宋体" w:cs="宋体"/>
        </w:rPr>
      </w:pPr>
      <w:bookmarkStart w:id="87" w:name="_Toc21687"/>
      <w:bookmarkStart w:id="88" w:name="_Toc965"/>
      <w:r>
        <w:rPr>
          <w:rFonts w:hint="eastAsia" w:ascii="宋体" w:hAnsi="宋体" w:eastAsia="宋体" w:cs="宋体"/>
        </w:rPr>
        <w:t>第五节 评标报告</w:t>
      </w:r>
      <w:bookmarkEnd w:id="87"/>
      <w:bookmarkEnd w:id="88"/>
    </w:p>
    <w:p w14:paraId="246847A9">
      <w:pPr>
        <w:pStyle w:val="131"/>
        <w:spacing w:before="0" w:line="400" w:lineRule="exact"/>
        <w:ind w:firstLine="482"/>
        <w:rPr>
          <w:rFonts w:ascii="宋体" w:hAnsi="宋体" w:cs="宋体"/>
          <w:b/>
          <w:bCs/>
          <w:szCs w:val="24"/>
        </w:rPr>
      </w:pPr>
      <w:r>
        <w:rPr>
          <w:rFonts w:hint="eastAsia" w:ascii="宋体" w:hAnsi="宋体" w:cs="宋体"/>
          <w:b/>
          <w:bCs/>
          <w:szCs w:val="24"/>
        </w:rPr>
        <w:t>（一）评标报告与推荐中标候选人</w:t>
      </w:r>
    </w:p>
    <w:p w14:paraId="435E742D">
      <w:pPr>
        <w:spacing w:line="400" w:lineRule="exact"/>
        <w:ind w:firstLine="420" w:firstLineChars="200"/>
        <w:rPr>
          <w:rFonts w:ascii="宋体" w:hAnsi="宋体" w:cs="宋体"/>
          <w:bCs/>
        </w:rPr>
      </w:pPr>
      <w:r>
        <w:rPr>
          <w:rFonts w:hint="eastAsia" w:ascii="宋体" w:hAnsi="宋体" w:cs="宋体"/>
          <w:bCs/>
        </w:rPr>
        <w:t>评标委员会根据原始评标记录和评标结果编写评标报告，并通过电子交易平台向采购人、采购代理机构提交。</w:t>
      </w:r>
    </w:p>
    <w:p w14:paraId="3AFAC78A">
      <w:pPr>
        <w:widowControl/>
        <w:spacing w:line="400" w:lineRule="exact"/>
        <w:ind w:firstLine="482" w:firstLineChars="200"/>
        <w:jc w:val="left"/>
        <w:rPr>
          <w:rFonts w:ascii="宋体" w:hAnsi="宋体" w:cs="宋体"/>
          <w:b/>
          <w:bCs/>
          <w:sz w:val="24"/>
        </w:rPr>
      </w:pPr>
      <w:r>
        <w:rPr>
          <w:rFonts w:hint="eastAsia" w:ascii="宋体" w:hAnsi="宋体" w:cs="宋体"/>
          <w:b/>
          <w:bCs/>
          <w:sz w:val="24"/>
        </w:rPr>
        <w:t>（二）评标争议事项处理</w:t>
      </w:r>
    </w:p>
    <w:p w14:paraId="1FE4D861">
      <w:pPr>
        <w:pStyle w:val="132"/>
        <w:ind w:firstLine="420"/>
        <w:rPr>
          <w:rFonts w:ascii="宋体" w:hAnsi="宋体" w:eastAsia="宋体" w:cs="宋体"/>
          <w:sz w:val="21"/>
        </w:rPr>
      </w:pPr>
      <w:r>
        <w:rPr>
          <w:rFonts w:hint="eastAsia" w:ascii="宋体" w:hAnsi="宋体" w:eastAsia="宋体" w:cs="宋体"/>
          <w:sz w:val="21"/>
        </w:rPr>
        <w:t>评标委员会成员对需要共同认定的事项存在争议的，应当按照少数服从多数的原则作出结论。持不同意见的评标委员会成员应当在评标报告上签署不同意见及理由，否则视为同意评标报告。</w:t>
      </w:r>
    </w:p>
    <w:p w14:paraId="207AE6A8">
      <w:pPr>
        <w:spacing w:line="360" w:lineRule="auto"/>
        <w:ind w:firstLine="422" w:firstLineChars="200"/>
        <w:contextualSpacing/>
        <w:rPr>
          <w:rFonts w:ascii="宋体" w:hAnsi="宋体" w:cs="宋体"/>
          <w:b/>
          <w:szCs w:val="21"/>
        </w:rPr>
      </w:pPr>
    </w:p>
    <w:p w14:paraId="20C3043E">
      <w:pPr>
        <w:pStyle w:val="2"/>
        <w:jc w:val="center"/>
        <w:rPr>
          <w:rFonts w:ascii="宋体" w:hAnsi="宋体" w:cs="宋体"/>
        </w:rPr>
      </w:pPr>
      <w:bookmarkStart w:id="89" w:name="_Toc30664"/>
    </w:p>
    <w:p w14:paraId="66BC5594">
      <w:pPr>
        <w:rPr>
          <w:rFonts w:ascii="宋体" w:hAnsi="宋体" w:cs="宋体"/>
        </w:rPr>
      </w:pPr>
    </w:p>
    <w:p w14:paraId="2A1B891E">
      <w:pPr>
        <w:rPr>
          <w:rFonts w:ascii="宋体" w:hAnsi="宋体" w:cs="宋体"/>
        </w:rPr>
      </w:pPr>
    </w:p>
    <w:p w14:paraId="791682D7">
      <w:pPr>
        <w:rPr>
          <w:rFonts w:ascii="宋体" w:hAnsi="宋体" w:cs="宋体"/>
        </w:rPr>
      </w:pPr>
    </w:p>
    <w:p w14:paraId="1B86A770">
      <w:pPr>
        <w:rPr>
          <w:rFonts w:ascii="宋体" w:hAnsi="宋体" w:cs="宋体"/>
        </w:rPr>
      </w:pPr>
    </w:p>
    <w:p w14:paraId="749CBF70">
      <w:pPr>
        <w:rPr>
          <w:rFonts w:ascii="宋体" w:hAnsi="宋体" w:cs="宋体"/>
        </w:rPr>
      </w:pPr>
    </w:p>
    <w:p w14:paraId="51E700D4">
      <w:pPr>
        <w:rPr>
          <w:rFonts w:ascii="宋体" w:hAnsi="宋体" w:cs="宋体"/>
        </w:rPr>
      </w:pPr>
    </w:p>
    <w:p w14:paraId="273BE636">
      <w:pPr>
        <w:rPr>
          <w:rFonts w:ascii="宋体" w:hAnsi="宋体" w:cs="宋体"/>
        </w:rPr>
      </w:pPr>
    </w:p>
    <w:p w14:paraId="1FB16DDC">
      <w:pPr>
        <w:rPr>
          <w:rFonts w:ascii="宋体" w:hAnsi="宋体" w:cs="宋体"/>
        </w:rPr>
      </w:pPr>
    </w:p>
    <w:p w14:paraId="771BE9EB">
      <w:pPr>
        <w:rPr>
          <w:rFonts w:ascii="宋体" w:hAnsi="宋体" w:cs="宋体"/>
        </w:rPr>
      </w:pPr>
    </w:p>
    <w:p w14:paraId="0E0E4313">
      <w:pPr>
        <w:rPr>
          <w:rFonts w:ascii="宋体" w:hAnsi="宋体" w:cs="宋体"/>
        </w:rPr>
      </w:pPr>
    </w:p>
    <w:p w14:paraId="6EFB57EC">
      <w:pPr>
        <w:rPr>
          <w:rFonts w:ascii="宋体" w:hAnsi="宋体" w:cs="宋体"/>
        </w:rPr>
      </w:pPr>
    </w:p>
    <w:p w14:paraId="36EF514A">
      <w:pPr>
        <w:rPr>
          <w:rFonts w:ascii="宋体" w:hAnsi="宋体" w:cs="宋体"/>
        </w:rPr>
      </w:pPr>
    </w:p>
    <w:p w14:paraId="74CC06D8">
      <w:pPr>
        <w:rPr>
          <w:rFonts w:ascii="宋体" w:hAnsi="宋体" w:cs="宋体"/>
        </w:rPr>
      </w:pPr>
    </w:p>
    <w:p w14:paraId="1DBC68B1">
      <w:pPr>
        <w:rPr>
          <w:rFonts w:ascii="宋体" w:hAnsi="宋体" w:cs="宋体"/>
        </w:rPr>
      </w:pPr>
    </w:p>
    <w:p w14:paraId="24C26EB4">
      <w:pPr>
        <w:rPr>
          <w:rFonts w:ascii="宋体" w:hAnsi="宋体" w:cs="宋体"/>
        </w:rPr>
      </w:pPr>
    </w:p>
    <w:p w14:paraId="20FB803B">
      <w:pPr>
        <w:rPr>
          <w:rFonts w:ascii="宋体" w:hAnsi="宋体" w:cs="宋体"/>
        </w:rPr>
      </w:pPr>
    </w:p>
    <w:p w14:paraId="1B7F39CF">
      <w:pPr>
        <w:rPr>
          <w:rFonts w:ascii="宋体" w:hAnsi="宋体" w:cs="宋体"/>
        </w:rPr>
      </w:pPr>
    </w:p>
    <w:p w14:paraId="3CADA862">
      <w:pPr>
        <w:rPr>
          <w:rFonts w:ascii="宋体" w:hAnsi="宋体" w:cs="宋体"/>
        </w:rPr>
      </w:pPr>
    </w:p>
    <w:p w14:paraId="474BE460">
      <w:pPr>
        <w:rPr>
          <w:rFonts w:ascii="宋体" w:hAnsi="宋体" w:cs="宋体"/>
        </w:rPr>
      </w:pPr>
    </w:p>
    <w:p w14:paraId="083235FE">
      <w:pPr>
        <w:rPr>
          <w:rFonts w:ascii="宋体" w:hAnsi="宋体" w:cs="宋体"/>
        </w:rPr>
      </w:pPr>
    </w:p>
    <w:p w14:paraId="2C4A20EF">
      <w:pPr>
        <w:rPr>
          <w:rFonts w:ascii="宋体" w:hAnsi="宋体" w:cs="宋体"/>
        </w:rPr>
      </w:pPr>
    </w:p>
    <w:p w14:paraId="6C820FFA">
      <w:pPr>
        <w:rPr>
          <w:rFonts w:ascii="宋体" w:hAnsi="宋体" w:cs="宋体"/>
        </w:rPr>
      </w:pPr>
    </w:p>
    <w:p w14:paraId="260DA71C">
      <w:pPr>
        <w:rPr>
          <w:rFonts w:ascii="宋体" w:hAnsi="宋体" w:cs="宋体"/>
        </w:rPr>
      </w:pPr>
    </w:p>
    <w:p w14:paraId="25B8F56E">
      <w:pPr>
        <w:rPr>
          <w:rFonts w:ascii="宋体" w:hAnsi="宋体" w:cs="宋体"/>
        </w:rPr>
      </w:pPr>
    </w:p>
    <w:p w14:paraId="6CF8AAD3">
      <w:pPr>
        <w:rPr>
          <w:rFonts w:ascii="宋体" w:hAnsi="宋体" w:cs="宋体"/>
        </w:rPr>
      </w:pPr>
    </w:p>
    <w:p w14:paraId="3ACB1EAA">
      <w:pPr>
        <w:rPr>
          <w:rFonts w:ascii="宋体" w:hAnsi="宋体" w:cs="宋体"/>
        </w:rPr>
      </w:pPr>
    </w:p>
    <w:p w14:paraId="69D0AD79">
      <w:pPr>
        <w:rPr>
          <w:rFonts w:ascii="宋体" w:hAnsi="宋体" w:cs="宋体"/>
        </w:rPr>
      </w:pPr>
    </w:p>
    <w:p w14:paraId="778D8288">
      <w:pPr>
        <w:rPr>
          <w:rFonts w:ascii="宋体" w:hAnsi="宋体" w:cs="宋体"/>
        </w:rPr>
      </w:pPr>
    </w:p>
    <w:p w14:paraId="06CD81EB">
      <w:pPr>
        <w:rPr>
          <w:rFonts w:ascii="宋体" w:hAnsi="宋体" w:cs="宋体"/>
        </w:rPr>
      </w:pPr>
    </w:p>
    <w:p w14:paraId="2DBB4C40">
      <w:pPr>
        <w:rPr>
          <w:rFonts w:ascii="宋体" w:hAnsi="宋体" w:cs="宋体"/>
        </w:rPr>
      </w:pPr>
    </w:p>
    <w:p w14:paraId="2839B107">
      <w:pPr>
        <w:rPr>
          <w:rFonts w:ascii="宋体" w:hAnsi="宋体" w:cs="宋体"/>
        </w:rPr>
      </w:pPr>
    </w:p>
    <w:p w14:paraId="0B3CACCF">
      <w:pPr>
        <w:rPr>
          <w:rFonts w:ascii="宋体" w:hAnsi="宋体" w:cs="宋体"/>
        </w:rPr>
      </w:pPr>
    </w:p>
    <w:p w14:paraId="6EA417B6">
      <w:pPr>
        <w:rPr>
          <w:rFonts w:ascii="宋体" w:hAnsi="宋体" w:cs="宋体"/>
        </w:rPr>
      </w:pPr>
    </w:p>
    <w:p w14:paraId="46D69B2E">
      <w:pPr>
        <w:rPr>
          <w:rFonts w:ascii="宋体" w:hAnsi="宋体" w:cs="宋体"/>
        </w:rPr>
      </w:pPr>
    </w:p>
    <w:p w14:paraId="2A5A9C96">
      <w:pPr>
        <w:rPr>
          <w:rFonts w:ascii="宋体" w:hAnsi="宋体" w:cs="宋体"/>
        </w:rPr>
      </w:pPr>
    </w:p>
    <w:p w14:paraId="3E547FF9">
      <w:pPr>
        <w:rPr>
          <w:rFonts w:ascii="宋体" w:hAnsi="宋体" w:cs="宋体"/>
        </w:rPr>
      </w:pPr>
    </w:p>
    <w:p w14:paraId="25664281">
      <w:pPr>
        <w:rPr>
          <w:rFonts w:ascii="宋体" w:hAnsi="宋体" w:cs="宋体"/>
        </w:rPr>
      </w:pPr>
    </w:p>
    <w:p w14:paraId="2C929253">
      <w:pPr>
        <w:rPr>
          <w:rFonts w:ascii="宋体" w:hAnsi="宋体" w:cs="宋体"/>
        </w:rPr>
      </w:pPr>
    </w:p>
    <w:p w14:paraId="4BFB80DF">
      <w:pPr>
        <w:rPr>
          <w:rFonts w:ascii="宋体" w:hAnsi="宋体" w:cs="宋体"/>
        </w:rPr>
      </w:pPr>
    </w:p>
    <w:p w14:paraId="3E76D048">
      <w:pPr>
        <w:rPr>
          <w:rFonts w:ascii="宋体" w:hAnsi="宋体" w:cs="宋体"/>
        </w:rPr>
      </w:pPr>
    </w:p>
    <w:p w14:paraId="0C7E39FB">
      <w:pPr>
        <w:rPr>
          <w:rFonts w:ascii="宋体" w:hAnsi="宋体" w:cs="宋体"/>
        </w:rPr>
      </w:pPr>
    </w:p>
    <w:p w14:paraId="6902FE7D">
      <w:pPr>
        <w:rPr>
          <w:rFonts w:ascii="宋体" w:hAnsi="宋体" w:cs="宋体"/>
        </w:rPr>
      </w:pPr>
    </w:p>
    <w:p w14:paraId="650C840E">
      <w:pPr>
        <w:rPr>
          <w:rFonts w:ascii="宋体" w:hAnsi="宋体" w:cs="宋体"/>
        </w:rPr>
      </w:pPr>
    </w:p>
    <w:p w14:paraId="0906D050">
      <w:pPr>
        <w:rPr>
          <w:rFonts w:ascii="宋体" w:hAnsi="宋体" w:cs="宋体"/>
        </w:rPr>
      </w:pPr>
    </w:p>
    <w:p w14:paraId="0C480CB1">
      <w:pPr>
        <w:pStyle w:val="2"/>
        <w:jc w:val="center"/>
        <w:rPr>
          <w:rFonts w:ascii="宋体" w:hAnsi="宋体" w:cs="宋体"/>
        </w:rPr>
      </w:pPr>
    </w:p>
    <w:p w14:paraId="3562A9DF">
      <w:pPr>
        <w:pStyle w:val="2"/>
        <w:jc w:val="center"/>
        <w:rPr>
          <w:rFonts w:ascii="宋体" w:hAnsi="宋体" w:cs="宋体"/>
        </w:rPr>
      </w:pPr>
    </w:p>
    <w:p w14:paraId="284F3A60">
      <w:pPr>
        <w:pStyle w:val="2"/>
        <w:jc w:val="center"/>
        <w:rPr>
          <w:rFonts w:ascii="宋体" w:hAnsi="宋体" w:cs="宋体"/>
        </w:rPr>
      </w:pPr>
      <w:r>
        <w:rPr>
          <w:rFonts w:hint="eastAsia" w:ascii="宋体" w:hAnsi="宋体" w:cs="宋体"/>
        </w:rPr>
        <w:t>第五章  拟签订的合同文本</w:t>
      </w:r>
      <w:bookmarkEnd w:id="89"/>
    </w:p>
    <w:p w14:paraId="64728B76">
      <w:pPr>
        <w:snapToGrid w:val="0"/>
        <w:jc w:val="center"/>
        <w:rPr>
          <w:rFonts w:ascii="宋体" w:hAnsi="宋体" w:cs="宋体"/>
          <w:bCs/>
          <w:sz w:val="32"/>
          <w:szCs w:val="32"/>
        </w:rPr>
      </w:pPr>
    </w:p>
    <w:p w14:paraId="7FBC39AB">
      <w:pPr>
        <w:snapToGrid w:val="0"/>
        <w:jc w:val="center"/>
        <w:rPr>
          <w:rFonts w:ascii="宋体" w:hAnsi="宋体" w:cs="宋体"/>
          <w:bCs/>
          <w:sz w:val="32"/>
          <w:szCs w:val="32"/>
        </w:rPr>
      </w:pPr>
    </w:p>
    <w:p w14:paraId="3C251920">
      <w:pPr>
        <w:snapToGrid w:val="0"/>
        <w:jc w:val="center"/>
        <w:rPr>
          <w:rFonts w:ascii="宋体" w:hAnsi="宋体" w:cs="宋体"/>
          <w:bCs/>
          <w:sz w:val="32"/>
          <w:szCs w:val="32"/>
        </w:rPr>
      </w:pPr>
    </w:p>
    <w:p w14:paraId="231B5C9D">
      <w:pPr>
        <w:snapToGrid w:val="0"/>
        <w:jc w:val="center"/>
        <w:rPr>
          <w:rFonts w:ascii="宋体" w:hAnsi="宋体" w:cs="宋体"/>
          <w:bCs/>
          <w:sz w:val="32"/>
          <w:szCs w:val="32"/>
        </w:rPr>
      </w:pPr>
    </w:p>
    <w:p w14:paraId="1388A5D4">
      <w:pPr>
        <w:snapToGrid w:val="0"/>
        <w:jc w:val="center"/>
        <w:rPr>
          <w:rFonts w:ascii="宋体" w:hAnsi="宋体" w:cs="宋体"/>
          <w:bCs/>
          <w:sz w:val="32"/>
          <w:szCs w:val="32"/>
        </w:rPr>
      </w:pPr>
    </w:p>
    <w:p w14:paraId="6EDB246B">
      <w:pPr>
        <w:snapToGrid w:val="0"/>
        <w:jc w:val="center"/>
        <w:rPr>
          <w:rFonts w:ascii="宋体" w:hAnsi="宋体" w:cs="宋体"/>
          <w:bCs/>
          <w:sz w:val="32"/>
          <w:szCs w:val="32"/>
        </w:rPr>
      </w:pPr>
    </w:p>
    <w:p w14:paraId="64662585">
      <w:pPr>
        <w:snapToGrid w:val="0"/>
        <w:jc w:val="center"/>
        <w:rPr>
          <w:rFonts w:ascii="宋体" w:hAnsi="宋体" w:cs="宋体"/>
          <w:bCs/>
          <w:sz w:val="32"/>
          <w:szCs w:val="32"/>
        </w:rPr>
      </w:pPr>
    </w:p>
    <w:p w14:paraId="55C0BBF8">
      <w:pPr>
        <w:snapToGrid w:val="0"/>
        <w:jc w:val="center"/>
        <w:rPr>
          <w:rFonts w:ascii="宋体" w:hAnsi="宋体" w:cs="宋体"/>
          <w:bCs/>
          <w:sz w:val="32"/>
          <w:szCs w:val="32"/>
        </w:rPr>
      </w:pPr>
    </w:p>
    <w:p w14:paraId="1CFA658A">
      <w:pPr>
        <w:snapToGrid w:val="0"/>
        <w:jc w:val="center"/>
        <w:rPr>
          <w:rFonts w:ascii="宋体" w:hAnsi="宋体" w:cs="宋体"/>
          <w:bCs/>
          <w:sz w:val="32"/>
          <w:szCs w:val="32"/>
        </w:rPr>
      </w:pPr>
    </w:p>
    <w:p w14:paraId="17F923F9">
      <w:pPr>
        <w:snapToGrid w:val="0"/>
        <w:jc w:val="center"/>
        <w:rPr>
          <w:rFonts w:ascii="宋体" w:hAnsi="宋体" w:cs="宋体"/>
          <w:bCs/>
          <w:sz w:val="32"/>
          <w:szCs w:val="32"/>
        </w:rPr>
      </w:pPr>
    </w:p>
    <w:p w14:paraId="5BDC0364">
      <w:pPr>
        <w:snapToGrid w:val="0"/>
        <w:jc w:val="center"/>
        <w:rPr>
          <w:rFonts w:ascii="宋体" w:hAnsi="宋体" w:cs="宋体"/>
          <w:bCs/>
          <w:sz w:val="32"/>
          <w:szCs w:val="32"/>
        </w:rPr>
      </w:pPr>
    </w:p>
    <w:p w14:paraId="76D48B20">
      <w:pPr>
        <w:snapToGrid w:val="0"/>
        <w:jc w:val="center"/>
        <w:rPr>
          <w:rFonts w:ascii="宋体" w:hAnsi="宋体" w:cs="宋体"/>
          <w:bCs/>
          <w:sz w:val="32"/>
          <w:szCs w:val="32"/>
        </w:rPr>
      </w:pPr>
    </w:p>
    <w:p w14:paraId="0D90B9B6">
      <w:pPr>
        <w:snapToGrid w:val="0"/>
        <w:jc w:val="center"/>
        <w:rPr>
          <w:rFonts w:ascii="宋体" w:hAnsi="宋体" w:cs="宋体"/>
          <w:bCs/>
          <w:sz w:val="32"/>
          <w:szCs w:val="32"/>
        </w:rPr>
      </w:pPr>
    </w:p>
    <w:p w14:paraId="2D26A2E6">
      <w:pPr>
        <w:snapToGrid w:val="0"/>
        <w:jc w:val="center"/>
        <w:rPr>
          <w:rFonts w:ascii="宋体" w:hAnsi="宋体" w:cs="宋体"/>
          <w:bCs/>
          <w:sz w:val="32"/>
          <w:szCs w:val="32"/>
        </w:rPr>
      </w:pPr>
    </w:p>
    <w:p w14:paraId="196A72A4">
      <w:pPr>
        <w:snapToGrid w:val="0"/>
        <w:jc w:val="center"/>
        <w:rPr>
          <w:rFonts w:ascii="宋体" w:hAnsi="宋体" w:cs="宋体"/>
          <w:bCs/>
          <w:sz w:val="32"/>
          <w:szCs w:val="32"/>
        </w:rPr>
      </w:pPr>
    </w:p>
    <w:p w14:paraId="1FFD39F1">
      <w:pPr>
        <w:pStyle w:val="18"/>
        <w:jc w:val="center"/>
        <w:rPr>
          <w:rFonts w:ascii="宋体" w:hAnsi="宋体" w:cs="宋体"/>
          <w:b/>
          <w:bCs/>
          <w:spacing w:val="-20"/>
          <w:kern w:val="44"/>
          <w:sz w:val="48"/>
          <w:szCs w:val="48"/>
        </w:rPr>
      </w:pPr>
      <w:bookmarkStart w:id="90" w:name="_Hlk55381736"/>
    </w:p>
    <w:p w14:paraId="6CF8C779">
      <w:pPr>
        <w:spacing w:line="360" w:lineRule="auto"/>
        <w:rPr>
          <w:rFonts w:ascii="仿宋_GB2312" w:hAnsi="楷体" w:eastAsia="仿宋_GB2312"/>
          <w:sz w:val="24"/>
          <w:u w:val="single"/>
        </w:rPr>
      </w:pPr>
      <w:r>
        <w:rPr>
          <w:rFonts w:hint="eastAsia" w:ascii="仿宋_GB2312" w:hAnsi="楷体" w:eastAsia="仿宋_GB2312"/>
          <w:sz w:val="24"/>
        </w:rPr>
        <w:t>“政采云”平台合同编号：</w:t>
      </w:r>
      <w:r>
        <w:rPr>
          <w:rFonts w:hint="eastAsia" w:ascii="仿宋_GB2312" w:hAnsi="楷体" w:eastAsia="仿宋_GB2312"/>
          <w:sz w:val="24"/>
          <w:u w:val="single"/>
        </w:rPr>
        <w:t xml:space="preserve">           </w:t>
      </w:r>
    </w:p>
    <w:bookmarkEnd w:id="90"/>
    <w:p w14:paraId="0AE8FE3B">
      <w:pPr>
        <w:jc w:val="center"/>
        <w:rPr>
          <w:rFonts w:ascii="宋体" w:hAnsi="宋体"/>
          <w:b/>
          <w:sz w:val="52"/>
          <w:szCs w:val="52"/>
        </w:rPr>
      </w:pPr>
    </w:p>
    <w:p w14:paraId="312EBFF0">
      <w:pPr>
        <w:jc w:val="center"/>
        <w:rPr>
          <w:rFonts w:ascii="宋体" w:hAnsi="宋体"/>
          <w:b/>
          <w:sz w:val="52"/>
          <w:szCs w:val="52"/>
        </w:rPr>
      </w:pPr>
    </w:p>
    <w:p w14:paraId="0AB099E8">
      <w:pPr>
        <w:jc w:val="center"/>
        <w:rPr>
          <w:rFonts w:ascii="宋体" w:hAnsi="宋体"/>
          <w:b/>
          <w:sz w:val="52"/>
          <w:szCs w:val="52"/>
        </w:rPr>
      </w:pPr>
      <w:r>
        <w:rPr>
          <w:rFonts w:hint="eastAsia" w:ascii="宋体" w:hAnsi="宋体"/>
          <w:b/>
          <w:sz w:val="52"/>
          <w:szCs w:val="52"/>
        </w:rPr>
        <w:t>采购合同</w:t>
      </w:r>
    </w:p>
    <w:p w14:paraId="56942292">
      <w:pPr>
        <w:jc w:val="center"/>
        <w:rPr>
          <w:rFonts w:ascii="宋体" w:hAnsi="宋体"/>
          <w:b/>
          <w:sz w:val="52"/>
          <w:szCs w:val="52"/>
        </w:rPr>
      </w:pPr>
    </w:p>
    <w:p w14:paraId="74C6474B">
      <w:pPr>
        <w:jc w:val="center"/>
        <w:rPr>
          <w:rFonts w:ascii="宋体" w:hAnsi="宋体"/>
          <w:b/>
          <w:sz w:val="52"/>
          <w:szCs w:val="52"/>
        </w:rPr>
      </w:pPr>
    </w:p>
    <w:p w14:paraId="5344843C">
      <w:pPr>
        <w:ind w:left="3593" w:leftChars="994" w:hanging="1506" w:hangingChars="500"/>
        <w:rPr>
          <w:rFonts w:ascii="宋体" w:hAnsi="宋体"/>
          <w:b/>
          <w:sz w:val="30"/>
          <w:szCs w:val="30"/>
        </w:rPr>
      </w:pPr>
      <w:r>
        <w:rPr>
          <w:rFonts w:hint="eastAsia" w:ascii="宋体" w:hAnsi="宋体"/>
          <w:b/>
          <w:sz w:val="30"/>
          <w:szCs w:val="30"/>
        </w:rPr>
        <w:t>合同名称：</w:t>
      </w:r>
      <w:r>
        <w:rPr>
          <w:rFonts w:hint="eastAsia" w:ascii="宋体" w:hAnsi="宋体"/>
          <w:b/>
          <w:sz w:val="32"/>
          <w:szCs w:val="32"/>
          <w:u w:val="single"/>
        </w:rPr>
        <w:t>广西壮族自治区民族医院2026年第一批医疗设备采购（重）</w:t>
      </w:r>
    </w:p>
    <w:p w14:paraId="021334F0">
      <w:pPr>
        <w:ind w:firstLine="2108" w:firstLineChars="700"/>
        <w:rPr>
          <w:rFonts w:ascii="宋体" w:hAnsi="宋体"/>
          <w:b/>
          <w:sz w:val="30"/>
          <w:szCs w:val="30"/>
        </w:rPr>
      </w:pPr>
    </w:p>
    <w:p w14:paraId="5421A51D">
      <w:pPr>
        <w:ind w:firstLine="2108" w:firstLineChars="700"/>
        <w:rPr>
          <w:rFonts w:hint="eastAsia" w:ascii="宋体" w:hAnsi="宋体" w:eastAsia="宋体"/>
          <w:b/>
          <w:sz w:val="30"/>
          <w:szCs w:val="30"/>
          <w:u w:val="single"/>
          <w:lang w:eastAsia="zh-CN"/>
        </w:rPr>
      </w:pPr>
      <w:r>
        <w:rPr>
          <w:rFonts w:hint="eastAsia" w:ascii="宋体" w:hAnsi="宋体"/>
          <w:b/>
          <w:sz w:val="30"/>
          <w:szCs w:val="30"/>
        </w:rPr>
        <w:t>项目编号：</w:t>
      </w:r>
      <w:r>
        <w:rPr>
          <w:rFonts w:hint="eastAsia" w:ascii="宋体" w:hAnsi="宋体"/>
          <w:b/>
          <w:sz w:val="32"/>
          <w:szCs w:val="32"/>
          <w:u w:val="single"/>
          <w:lang w:eastAsia="zh-CN"/>
        </w:rPr>
        <w:t>CZZC2026-G1-990144-GLZB</w:t>
      </w:r>
    </w:p>
    <w:p w14:paraId="0CA946D4">
      <w:pPr>
        <w:jc w:val="center"/>
        <w:rPr>
          <w:rFonts w:ascii="宋体" w:hAnsi="宋体"/>
          <w:b/>
          <w:sz w:val="30"/>
          <w:szCs w:val="30"/>
        </w:rPr>
      </w:pPr>
    </w:p>
    <w:p w14:paraId="40EC7D83">
      <w:pPr>
        <w:jc w:val="center"/>
        <w:rPr>
          <w:rFonts w:ascii="宋体" w:hAnsi="宋体"/>
          <w:b/>
          <w:sz w:val="30"/>
          <w:szCs w:val="30"/>
        </w:rPr>
      </w:pPr>
    </w:p>
    <w:p w14:paraId="0276C805">
      <w:pPr>
        <w:jc w:val="center"/>
        <w:rPr>
          <w:rFonts w:ascii="宋体" w:hAnsi="宋体"/>
          <w:b/>
          <w:sz w:val="30"/>
          <w:szCs w:val="30"/>
        </w:rPr>
      </w:pPr>
      <w:r>
        <w:rPr>
          <w:rFonts w:hint="eastAsia" w:ascii="宋体" w:hAnsi="宋体"/>
          <w:b/>
          <w:sz w:val="30"/>
          <w:szCs w:val="30"/>
        </w:rPr>
        <w:t xml:space="preserve"> </w:t>
      </w:r>
    </w:p>
    <w:p w14:paraId="7C9C03A8">
      <w:pPr>
        <w:rPr>
          <w:rFonts w:ascii="宋体" w:hAnsi="宋体"/>
          <w:b/>
          <w:sz w:val="30"/>
          <w:szCs w:val="30"/>
        </w:rPr>
      </w:pPr>
    </w:p>
    <w:p w14:paraId="57D5277F">
      <w:pPr>
        <w:ind w:firstLine="2096" w:firstLineChars="696"/>
        <w:rPr>
          <w:rFonts w:ascii="宋体" w:hAnsi="宋体"/>
          <w:b/>
          <w:sz w:val="30"/>
          <w:szCs w:val="30"/>
          <w:u w:val="single"/>
        </w:rPr>
      </w:pPr>
      <w:r>
        <w:rPr>
          <w:rFonts w:hint="eastAsia" w:ascii="宋体" w:hAnsi="宋体"/>
          <w:b/>
          <w:sz w:val="30"/>
          <w:szCs w:val="30"/>
        </w:rPr>
        <w:t>采购单位：</w:t>
      </w:r>
      <w:r>
        <w:rPr>
          <w:rFonts w:hint="eastAsia" w:ascii="宋体" w:hAnsi="宋体"/>
          <w:b/>
          <w:sz w:val="30"/>
          <w:szCs w:val="30"/>
          <w:u w:val="single"/>
        </w:rPr>
        <w:t>广西壮族自治区民族医院</w:t>
      </w:r>
    </w:p>
    <w:p w14:paraId="0AB1F19F">
      <w:pPr>
        <w:ind w:firstLine="2096" w:firstLineChars="696"/>
        <w:rPr>
          <w:rFonts w:ascii="宋体" w:hAnsi="宋体"/>
          <w:b/>
          <w:sz w:val="30"/>
          <w:szCs w:val="30"/>
        </w:rPr>
      </w:pPr>
    </w:p>
    <w:p w14:paraId="462BB406">
      <w:pPr>
        <w:ind w:firstLine="2096" w:firstLineChars="696"/>
        <w:rPr>
          <w:rFonts w:ascii="宋体" w:hAnsi="宋体"/>
          <w:b/>
          <w:sz w:val="30"/>
          <w:szCs w:val="30"/>
          <w:u w:val="single"/>
        </w:rPr>
      </w:pPr>
      <w:r>
        <w:rPr>
          <w:rFonts w:hint="eastAsia" w:ascii="宋体" w:hAnsi="宋体"/>
          <w:b/>
          <w:sz w:val="30"/>
          <w:szCs w:val="30"/>
        </w:rPr>
        <w:t>供 应 商：</w:t>
      </w:r>
      <w:r>
        <w:rPr>
          <w:rFonts w:hint="eastAsia" w:ascii="宋体" w:hAnsi="宋体"/>
          <w:b/>
          <w:sz w:val="30"/>
          <w:szCs w:val="30"/>
          <w:u w:val="single"/>
        </w:rPr>
        <w:t xml:space="preserve">                       </w:t>
      </w:r>
    </w:p>
    <w:p w14:paraId="5AFB65E3">
      <w:pPr>
        <w:ind w:firstLine="2096" w:firstLineChars="696"/>
        <w:rPr>
          <w:rFonts w:ascii="宋体" w:hAnsi="宋体"/>
          <w:b/>
          <w:sz w:val="30"/>
          <w:szCs w:val="30"/>
        </w:rPr>
      </w:pPr>
    </w:p>
    <w:p w14:paraId="704BF81E">
      <w:pPr>
        <w:ind w:firstLine="2096" w:firstLineChars="696"/>
        <w:rPr>
          <w:rFonts w:ascii="宋体" w:hAnsi="宋体"/>
          <w:b/>
          <w:sz w:val="30"/>
          <w:szCs w:val="30"/>
          <w:u w:val="single"/>
        </w:rPr>
      </w:pPr>
      <w:r>
        <w:rPr>
          <w:rFonts w:hint="eastAsia" w:ascii="宋体" w:hAnsi="宋体"/>
          <w:b/>
          <w:sz w:val="30"/>
          <w:szCs w:val="30"/>
        </w:rPr>
        <w:t>签订时间：</w:t>
      </w:r>
      <w:r>
        <w:rPr>
          <w:rFonts w:hint="eastAsia" w:ascii="宋体" w:hAnsi="宋体"/>
          <w:b/>
          <w:sz w:val="30"/>
          <w:szCs w:val="30"/>
          <w:u w:val="single"/>
        </w:rPr>
        <w:t xml:space="preserve">     年  </w:t>
      </w:r>
      <w:r>
        <w:rPr>
          <w:rFonts w:ascii="宋体" w:hAnsi="宋体"/>
          <w:b/>
          <w:sz w:val="30"/>
          <w:szCs w:val="30"/>
          <w:u w:val="single"/>
        </w:rPr>
        <w:t xml:space="preserve"> </w:t>
      </w:r>
      <w:r>
        <w:rPr>
          <w:rFonts w:hint="eastAsia" w:ascii="宋体" w:hAnsi="宋体"/>
          <w:b/>
          <w:sz w:val="30"/>
          <w:szCs w:val="30"/>
          <w:u w:val="single"/>
        </w:rPr>
        <w:t xml:space="preserve"> 月 </w:t>
      </w:r>
      <w:r>
        <w:rPr>
          <w:rFonts w:ascii="宋体" w:hAnsi="宋体"/>
          <w:b/>
          <w:sz w:val="30"/>
          <w:szCs w:val="30"/>
          <w:u w:val="single"/>
        </w:rPr>
        <w:t xml:space="preserve"> </w:t>
      </w:r>
      <w:r>
        <w:rPr>
          <w:rFonts w:hint="eastAsia" w:ascii="宋体" w:hAnsi="宋体"/>
          <w:b/>
          <w:sz w:val="30"/>
          <w:szCs w:val="30"/>
          <w:u w:val="single"/>
        </w:rPr>
        <w:t xml:space="preserve">  日</w:t>
      </w:r>
    </w:p>
    <w:p w14:paraId="09ECDBA4">
      <w:pPr>
        <w:rPr>
          <w:rFonts w:ascii="宋体" w:hAnsi="宋体"/>
          <w:b/>
          <w:sz w:val="30"/>
          <w:szCs w:val="30"/>
        </w:rPr>
      </w:pPr>
    </w:p>
    <w:p w14:paraId="08E543E8">
      <w:pPr>
        <w:rPr>
          <w:rFonts w:ascii="宋体" w:hAnsi="宋体"/>
          <w:b/>
          <w:sz w:val="30"/>
          <w:szCs w:val="30"/>
        </w:rPr>
      </w:pPr>
    </w:p>
    <w:p w14:paraId="775CFFBE">
      <w:pPr>
        <w:rPr>
          <w:rFonts w:ascii="宋体" w:hAnsi="宋体"/>
          <w:b/>
          <w:sz w:val="30"/>
          <w:szCs w:val="30"/>
        </w:rPr>
      </w:pPr>
    </w:p>
    <w:p w14:paraId="26922A0B">
      <w:pPr>
        <w:rPr>
          <w:rFonts w:ascii="宋体" w:hAnsi="宋体"/>
          <w:b/>
          <w:sz w:val="30"/>
          <w:szCs w:val="30"/>
        </w:rPr>
      </w:pPr>
    </w:p>
    <w:p w14:paraId="33B6402E">
      <w:pPr>
        <w:rPr>
          <w:rFonts w:ascii="宋体" w:hAnsi="宋体"/>
          <w:b/>
          <w:sz w:val="30"/>
          <w:szCs w:val="30"/>
        </w:rPr>
      </w:pPr>
    </w:p>
    <w:p w14:paraId="0FB5F8EB">
      <w:pPr>
        <w:rPr>
          <w:rFonts w:ascii="宋体" w:hAnsi="宋体"/>
          <w:b/>
          <w:sz w:val="30"/>
          <w:szCs w:val="30"/>
        </w:rPr>
      </w:pPr>
    </w:p>
    <w:p w14:paraId="1EDE9D72">
      <w:pPr>
        <w:rPr>
          <w:rFonts w:ascii="宋体" w:hAnsi="宋体"/>
          <w:b/>
          <w:sz w:val="30"/>
          <w:szCs w:val="30"/>
        </w:rPr>
      </w:pPr>
    </w:p>
    <w:p w14:paraId="6768FDFB">
      <w:pPr>
        <w:rPr>
          <w:rFonts w:ascii="宋体" w:hAnsi="宋体"/>
          <w:b/>
          <w:sz w:val="30"/>
          <w:szCs w:val="30"/>
        </w:rPr>
      </w:pPr>
    </w:p>
    <w:p w14:paraId="60133A09">
      <w:pPr>
        <w:rPr>
          <w:rFonts w:ascii="宋体" w:hAnsi="宋体"/>
          <w:b/>
          <w:sz w:val="30"/>
          <w:szCs w:val="30"/>
        </w:rPr>
      </w:pPr>
    </w:p>
    <w:p w14:paraId="1E796850">
      <w:pPr>
        <w:rPr>
          <w:rFonts w:ascii="宋体" w:hAnsi="宋体"/>
          <w:b/>
          <w:sz w:val="30"/>
          <w:szCs w:val="30"/>
        </w:rPr>
      </w:pPr>
    </w:p>
    <w:p w14:paraId="03FE7C28">
      <w:pPr>
        <w:rPr>
          <w:rFonts w:ascii="宋体" w:hAnsi="宋体"/>
          <w:b/>
          <w:sz w:val="30"/>
          <w:szCs w:val="30"/>
        </w:rPr>
      </w:pPr>
    </w:p>
    <w:p w14:paraId="6D03929C">
      <w:pPr>
        <w:rPr>
          <w:rFonts w:ascii="宋体" w:hAnsi="宋体"/>
          <w:b/>
          <w:sz w:val="30"/>
          <w:szCs w:val="30"/>
        </w:rPr>
      </w:pPr>
    </w:p>
    <w:p w14:paraId="5F9C7ABC">
      <w:pPr>
        <w:rPr>
          <w:rFonts w:ascii="宋体" w:hAnsi="宋体"/>
          <w:b/>
          <w:sz w:val="30"/>
          <w:szCs w:val="30"/>
        </w:rPr>
      </w:pPr>
    </w:p>
    <w:p w14:paraId="1DECC25A">
      <w:pPr>
        <w:rPr>
          <w:rFonts w:ascii="宋体" w:hAnsi="宋体"/>
          <w:b/>
          <w:sz w:val="30"/>
          <w:szCs w:val="30"/>
        </w:rPr>
      </w:pPr>
    </w:p>
    <w:p w14:paraId="5066D8E3">
      <w:pPr>
        <w:rPr>
          <w:rFonts w:ascii="宋体" w:hAnsi="宋体"/>
          <w:b/>
          <w:sz w:val="30"/>
          <w:szCs w:val="30"/>
        </w:rPr>
      </w:pPr>
      <w:r>
        <w:rPr>
          <w:rFonts w:hint="eastAsia" w:ascii="宋体" w:hAnsi="宋体"/>
          <w:b/>
          <w:sz w:val="30"/>
          <w:szCs w:val="30"/>
        </w:rPr>
        <w:t xml:space="preserve"> </w:t>
      </w:r>
      <w:r>
        <w:rPr>
          <w:rFonts w:ascii="宋体" w:hAnsi="宋体"/>
          <w:b/>
          <w:sz w:val="30"/>
          <w:szCs w:val="30"/>
        </w:rPr>
        <w:t xml:space="preserve">                        </w:t>
      </w:r>
      <w:r>
        <w:rPr>
          <w:rFonts w:hint="eastAsia" w:ascii="宋体" w:hAnsi="宋体"/>
          <w:b/>
          <w:sz w:val="30"/>
          <w:szCs w:val="30"/>
        </w:rPr>
        <w:t>《采购合同》</w:t>
      </w:r>
    </w:p>
    <w:p w14:paraId="29506415">
      <w:pPr>
        <w:spacing w:line="360" w:lineRule="exact"/>
        <w:rPr>
          <w:rFonts w:ascii="宋体" w:hAnsi="宋体"/>
          <w:b/>
          <w:sz w:val="30"/>
          <w:szCs w:val="30"/>
        </w:rPr>
      </w:pPr>
    </w:p>
    <w:p w14:paraId="5EB4C841">
      <w:pPr>
        <w:spacing w:line="360" w:lineRule="exact"/>
        <w:rPr>
          <w:rFonts w:hint="eastAsia" w:ascii="宋体" w:hAnsi="宋体" w:eastAsia="宋体"/>
          <w:sz w:val="24"/>
          <w:lang w:eastAsia="zh-CN"/>
        </w:rPr>
      </w:pPr>
      <w:r>
        <w:rPr>
          <w:rFonts w:hint="eastAsia" w:ascii="宋体" w:hAnsi="宋体"/>
          <w:b/>
          <w:sz w:val="24"/>
        </w:rPr>
        <w:t xml:space="preserve"> </w:t>
      </w:r>
      <w:r>
        <w:rPr>
          <w:rFonts w:ascii="宋体" w:hAnsi="宋体"/>
          <w:b/>
          <w:sz w:val="24"/>
        </w:rPr>
        <w:t xml:space="preserve">                                      </w:t>
      </w:r>
      <w:r>
        <w:rPr>
          <w:rFonts w:hint="eastAsia" w:ascii="宋体" w:hAnsi="宋体"/>
          <w:sz w:val="24"/>
        </w:rPr>
        <w:t>合同编号：</w:t>
      </w:r>
      <w:r>
        <w:rPr>
          <w:rFonts w:hint="eastAsia" w:ascii="宋体" w:hAnsi="宋体"/>
          <w:sz w:val="24"/>
          <w:lang w:eastAsia="zh-CN"/>
        </w:rPr>
        <w:t>CZZC2026-G1-990144-GLZB</w:t>
      </w:r>
    </w:p>
    <w:p w14:paraId="790E4683">
      <w:pPr>
        <w:spacing w:line="360" w:lineRule="exact"/>
        <w:rPr>
          <w:rFonts w:ascii="宋体" w:hAnsi="宋体"/>
          <w:sz w:val="24"/>
        </w:rPr>
      </w:pPr>
      <w:r>
        <w:rPr>
          <w:rFonts w:hint="eastAsia" w:ascii="宋体" w:hAnsi="宋体"/>
          <w:sz w:val="24"/>
        </w:rPr>
        <w:t>采购单位（甲方）：</w:t>
      </w:r>
      <w:r>
        <w:rPr>
          <w:rFonts w:hint="eastAsia" w:ascii="宋体" w:hAnsi="宋体"/>
          <w:sz w:val="24"/>
          <w:u w:val="single"/>
        </w:rPr>
        <w:t xml:space="preserve">广西壮族自治区民族医院 </w:t>
      </w:r>
      <w:r>
        <w:rPr>
          <w:rFonts w:ascii="宋体" w:hAnsi="宋体"/>
          <w:sz w:val="24"/>
          <w:u w:val="single"/>
        </w:rPr>
        <w:t xml:space="preserve"> </w:t>
      </w:r>
      <w:r>
        <w:rPr>
          <w:rFonts w:ascii="宋体" w:hAnsi="宋体"/>
          <w:sz w:val="24"/>
        </w:rPr>
        <w:t xml:space="preserve">                                                 </w:t>
      </w:r>
    </w:p>
    <w:p w14:paraId="7330B361">
      <w:pPr>
        <w:spacing w:line="360" w:lineRule="exact"/>
        <w:rPr>
          <w:rFonts w:ascii="宋体" w:hAnsi="宋体"/>
          <w:sz w:val="24"/>
        </w:rPr>
      </w:pPr>
      <w:r>
        <w:rPr>
          <w:rFonts w:hint="eastAsia" w:ascii="宋体" w:hAnsi="宋体"/>
          <w:sz w:val="24"/>
        </w:rPr>
        <w:t>供 应 商（乙方）：</w:t>
      </w:r>
      <w:r>
        <w:rPr>
          <w:rFonts w:hint="eastAsia" w:ascii="宋体" w:hAnsi="宋体"/>
          <w:sz w:val="24"/>
          <w:u w:val="single"/>
        </w:rPr>
        <w:t xml:space="preserve">                        </w:t>
      </w:r>
    </w:p>
    <w:p w14:paraId="65D82442">
      <w:pPr>
        <w:spacing w:line="360" w:lineRule="exact"/>
        <w:rPr>
          <w:rFonts w:ascii="宋体" w:hAnsi="宋体"/>
          <w:sz w:val="24"/>
        </w:rPr>
      </w:pPr>
      <w:r>
        <w:rPr>
          <w:rFonts w:hint="eastAsia" w:ascii="宋体" w:hAnsi="宋体"/>
          <w:sz w:val="24"/>
        </w:rPr>
        <w:t xml:space="preserve">项目名称和编号： </w:t>
      </w:r>
      <w:r>
        <w:rPr>
          <w:rFonts w:hint="eastAsia" w:ascii="宋体" w:hAnsi="宋体"/>
          <w:sz w:val="24"/>
          <w:u w:val="single"/>
        </w:rPr>
        <w:t>广西壮族自治区民族医院2026年第一批医疗设备采购（重）（</w:t>
      </w:r>
      <w:r>
        <w:rPr>
          <w:rFonts w:hint="eastAsia" w:ascii="宋体" w:hAnsi="宋体"/>
          <w:sz w:val="24"/>
          <w:u w:val="single"/>
          <w:lang w:eastAsia="zh-CN"/>
        </w:rPr>
        <w:t>CZZC2026-G1-990144-GLZB</w:t>
      </w:r>
      <w:r>
        <w:rPr>
          <w:rFonts w:hint="eastAsia" w:ascii="宋体" w:hAnsi="宋体"/>
          <w:sz w:val="24"/>
          <w:u w:val="single"/>
        </w:rPr>
        <w:t>）</w:t>
      </w:r>
    </w:p>
    <w:p w14:paraId="00888FF5">
      <w:pPr>
        <w:spacing w:line="360" w:lineRule="exact"/>
        <w:rPr>
          <w:rFonts w:ascii="宋体" w:hAnsi="宋体"/>
          <w:sz w:val="24"/>
        </w:rPr>
      </w:pPr>
      <w:r>
        <w:rPr>
          <w:rFonts w:hint="eastAsia" w:ascii="宋体" w:hAnsi="宋体"/>
          <w:sz w:val="24"/>
        </w:rPr>
        <w:t>签订地点：</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 xml:space="preserve"> </w:t>
      </w:r>
      <w:r>
        <w:rPr>
          <w:rFonts w:ascii="宋体" w:hAnsi="宋体"/>
          <w:sz w:val="24"/>
        </w:rPr>
        <w:t xml:space="preserve"> </w:t>
      </w:r>
      <w:r>
        <w:rPr>
          <w:rFonts w:hint="eastAsia" w:ascii="宋体" w:hAnsi="宋体"/>
          <w:sz w:val="24"/>
        </w:rPr>
        <w:t>签订时间：</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 xml:space="preserve"> </w:t>
      </w:r>
      <w:r>
        <w:rPr>
          <w:rFonts w:ascii="宋体" w:hAnsi="宋体"/>
          <w:sz w:val="24"/>
        </w:rPr>
        <w:t xml:space="preserve">            </w:t>
      </w:r>
    </w:p>
    <w:p w14:paraId="6F05E20D">
      <w:pPr>
        <w:rPr>
          <w:sz w:val="24"/>
        </w:rPr>
      </w:pPr>
    </w:p>
    <w:p w14:paraId="19AB8970">
      <w:pPr>
        <w:snapToGrid w:val="0"/>
        <w:spacing w:line="380" w:lineRule="exact"/>
        <w:ind w:firstLine="480" w:firstLineChars="200"/>
        <w:rPr>
          <w:rFonts w:ascii="宋体" w:hAnsi="宋体" w:cs="仿宋_GB2312"/>
          <w:color w:val="000000"/>
          <w:sz w:val="24"/>
        </w:rPr>
      </w:pPr>
    </w:p>
    <w:p w14:paraId="5796E2E4">
      <w:pPr>
        <w:spacing w:line="360" w:lineRule="auto"/>
        <w:ind w:firstLine="480" w:firstLineChars="200"/>
        <w:rPr>
          <w:rFonts w:ascii="宋体" w:hAnsi="宋体" w:cs="仿宋_GB2312"/>
          <w:color w:val="000000"/>
          <w:sz w:val="24"/>
        </w:rPr>
      </w:pPr>
      <w:r>
        <w:rPr>
          <w:rFonts w:hint="eastAsia" w:ascii="宋体" w:hAnsi="宋体" w:cs="仿宋_GB2312"/>
          <w:color w:val="000000"/>
          <w:sz w:val="24"/>
        </w:rPr>
        <w:t>根据《中华人民共和国政府采购法》、《中华人民共和国民法典》等法律、法规规定，按照采购文件规定条款和中标（或成交）供应商承诺，甲乙双方签订本合同。</w:t>
      </w:r>
    </w:p>
    <w:p w14:paraId="5DF233FB">
      <w:pPr>
        <w:spacing w:line="360" w:lineRule="auto"/>
        <w:ind w:firstLine="482" w:firstLineChars="200"/>
        <w:rPr>
          <w:rFonts w:ascii="宋体" w:hAnsi="宋体" w:cs="仿宋_GB2312"/>
          <w:b/>
          <w:bCs/>
          <w:color w:val="000000"/>
          <w:sz w:val="24"/>
        </w:rPr>
      </w:pPr>
      <w:r>
        <w:rPr>
          <w:rFonts w:hint="eastAsia" w:ascii="宋体" w:hAnsi="宋体" w:cs="仿宋_GB2312"/>
          <w:b/>
          <w:bCs/>
          <w:color w:val="000000"/>
          <w:sz w:val="24"/>
        </w:rPr>
        <w:t>第一条 合同标的</w:t>
      </w:r>
    </w:p>
    <w:p w14:paraId="48E1A2CE">
      <w:pPr>
        <w:spacing w:line="360" w:lineRule="auto"/>
        <w:ind w:firstLine="480" w:firstLineChars="200"/>
        <w:rPr>
          <w:rFonts w:ascii="宋体" w:hAnsi="宋体" w:cs="仿宋_GB2312"/>
          <w:color w:val="000000"/>
          <w:sz w:val="24"/>
        </w:rPr>
      </w:pPr>
      <w:r>
        <w:rPr>
          <w:rFonts w:hint="eastAsia" w:ascii="宋体" w:hAnsi="宋体" w:cs="仿宋_GB2312"/>
          <w:color w:val="000000"/>
          <w:sz w:val="24"/>
        </w:rPr>
        <w:t>1</w:t>
      </w:r>
      <w:r>
        <w:rPr>
          <w:rFonts w:hint="eastAsia" w:ascii="宋体" w:hAnsi="宋体" w:cs="仿宋_GB2312"/>
          <w:color w:val="000000"/>
          <w:kern w:val="1"/>
          <w:sz w:val="24"/>
          <w:lang w:eastAsia="ar-SA"/>
        </w:rPr>
        <w:t>.</w:t>
      </w:r>
      <w:r>
        <w:rPr>
          <w:rFonts w:hint="eastAsia" w:ascii="宋体" w:hAnsi="宋体" w:cs="仿宋_GB2312"/>
          <w:color w:val="000000"/>
          <w:kern w:val="1"/>
          <w:sz w:val="24"/>
        </w:rPr>
        <w:t xml:space="preserve"> </w:t>
      </w:r>
      <w:r>
        <w:rPr>
          <w:rFonts w:hint="eastAsia" w:ascii="宋体" w:hAnsi="宋体" w:cs="仿宋_GB2312"/>
          <w:color w:val="000000"/>
          <w:sz w:val="24"/>
        </w:rPr>
        <w:t>供货一览表</w:t>
      </w:r>
    </w:p>
    <w:tbl>
      <w:tblPr>
        <w:tblStyle w:val="48"/>
        <w:tblW w:w="5103"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1132"/>
        <w:gridCol w:w="1132"/>
        <w:gridCol w:w="1426"/>
        <w:gridCol w:w="1116"/>
        <w:gridCol w:w="931"/>
        <w:gridCol w:w="899"/>
        <w:gridCol w:w="1032"/>
        <w:gridCol w:w="1699"/>
      </w:tblGrid>
      <w:tr w14:paraId="7751B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43" w:type="pct"/>
            <w:vAlign w:val="center"/>
          </w:tcPr>
          <w:p w14:paraId="60A252F5">
            <w:pPr>
              <w:spacing w:line="360" w:lineRule="auto"/>
              <w:rPr>
                <w:rFonts w:ascii="宋体" w:hAnsi="宋体" w:cs="仿宋_GB2312"/>
                <w:color w:val="000000"/>
                <w:sz w:val="24"/>
              </w:rPr>
            </w:pPr>
            <w:r>
              <w:rPr>
                <w:rFonts w:hint="eastAsia" w:ascii="宋体" w:hAnsi="宋体" w:cs="仿宋_GB2312"/>
                <w:color w:val="000000"/>
                <w:sz w:val="24"/>
              </w:rPr>
              <w:t>序号</w:t>
            </w:r>
          </w:p>
        </w:tc>
        <w:tc>
          <w:tcPr>
            <w:tcW w:w="563" w:type="pct"/>
            <w:vAlign w:val="center"/>
          </w:tcPr>
          <w:p w14:paraId="1B77CD94">
            <w:pPr>
              <w:spacing w:line="360" w:lineRule="auto"/>
              <w:rPr>
                <w:rFonts w:ascii="宋体" w:hAnsi="宋体" w:cs="仿宋_GB2312"/>
                <w:color w:val="000000"/>
                <w:sz w:val="24"/>
              </w:rPr>
            </w:pPr>
            <w:r>
              <w:rPr>
                <w:rFonts w:hint="eastAsia" w:ascii="宋体" w:hAnsi="宋体" w:cs="仿宋_GB2312"/>
                <w:color w:val="000000"/>
                <w:sz w:val="24"/>
              </w:rPr>
              <w:t>产品名称</w:t>
            </w:r>
          </w:p>
        </w:tc>
        <w:tc>
          <w:tcPr>
            <w:tcW w:w="563" w:type="pct"/>
            <w:vAlign w:val="center"/>
          </w:tcPr>
          <w:p w14:paraId="734671BD">
            <w:pPr>
              <w:spacing w:line="360" w:lineRule="auto"/>
              <w:rPr>
                <w:rFonts w:ascii="宋体" w:hAnsi="宋体" w:cs="仿宋_GB2312"/>
                <w:color w:val="000000"/>
                <w:sz w:val="24"/>
              </w:rPr>
            </w:pPr>
            <w:r>
              <w:rPr>
                <w:rFonts w:hint="eastAsia" w:ascii="宋体" w:hAnsi="宋体" w:cs="仿宋_GB2312"/>
                <w:color w:val="000000"/>
                <w:sz w:val="24"/>
              </w:rPr>
              <w:t>商标品牌</w:t>
            </w:r>
          </w:p>
        </w:tc>
        <w:tc>
          <w:tcPr>
            <w:tcW w:w="709" w:type="pct"/>
            <w:vAlign w:val="center"/>
          </w:tcPr>
          <w:p w14:paraId="6F0D0E21">
            <w:pPr>
              <w:spacing w:line="360" w:lineRule="auto"/>
              <w:ind w:firstLine="200"/>
              <w:rPr>
                <w:rFonts w:ascii="宋体" w:hAnsi="宋体" w:cs="仿宋_GB2312"/>
                <w:color w:val="000000"/>
                <w:sz w:val="24"/>
              </w:rPr>
            </w:pPr>
            <w:r>
              <w:rPr>
                <w:rFonts w:hint="eastAsia" w:ascii="宋体" w:hAnsi="宋体" w:cs="仿宋_GB2312"/>
                <w:color w:val="000000"/>
                <w:sz w:val="24"/>
              </w:rPr>
              <w:t>规格型号</w:t>
            </w:r>
          </w:p>
        </w:tc>
        <w:tc>
          <w:tcPr>
            <w:tcW w:w="555" w:type="pct"/>
            <w:vAlign w:val="center"/>
          </w:tcPr>
          <w:p w14:paraId="62846345">
            <w:pPr>
              <w:spacing w:line="360" w:lineRule="auto"/>
              <w:rPr>
                <w:rFonts w:ascii="宋体" w:hAnsi="宋体" w:cs="仿宋_GB2312"/>
                <w:color w:val="000000"/>
                <w:sz w:val="24"/>
              </w:rPr>
            </w:pPr>
            <w:r>
              <w:rPr>
                <w:rFonts w:hint="eastAsia" w:ascii="宋体" w:hAnsi="宋体" w:cs="仿宋_GB2312"/>
                <w:color w:val="000000"/>
                <w:sz w:val="24"/>
              </w:rPr>
              <w:t>生产</w:t>
            </w:r>
          </w:p>
          <w:p w14:paraId="58C927D8">
            <w:pPr>
              <w:spacing w:line="360" w:lineRule="auto"/>
              <w:rPr>
                <w:rFonts w:ascii="宋体" w:hAnsi="宋体" w:cs="仿宋_GB2312"/>
                <w:color w:val="000000"/>
                <w:sz w:val="24"/>
              </w:rPr>
            </w:pPr>
            <w:r>
              <w:rPr>
                <w:rFonts w:hint="eastAsia" w:ascii="宋体" w:hAnsi="宋体" w:cs="仿宋_GB2312"/>
                <w:color w:val="000000"/>
                <w:sz w:val="24"/>
              </w:rPr>
              <w:t>厂家</w:t>
            </w:r>
          </w:p>
        </w:tc>
        <w:tc>
          <w:tcPr>
            <w:tcW w:w="463" w:type="pct"/>
            <w:vAlign w:val="center"/>
          </w:tcPr>
          <w:p w14:paraId="0CE16B13">
            <w:pPr>
              <w:spacing w:line="360" w:lineRule="auto"/>
              <w:ind w:firstLine="200"/>
              <w:rPr>
                <w:rFonts w:ascii="宋体" w:hAnsi="宋体" w:cs="仿宋_GB2312"/>
                <w:color w:val="000000"/>
                <w:sz w:val="24"/>
              </w:rPr>
            </w:pPr>
            <w:r>
              <w:rPr>
                <w:rFonts w:hint="eastAsia" w:ascii="宋体" w:hAnsi="宋体" w:cs="仿宋_GB2312"/>
                <w:color w:val="000000"/>
                <w:sz w:val="24"/>
              </w:rPr>
              <w:t>产地</w:t>
            </w:r>
          </w:p>
        </w:tc>
        <w:tc>
          <w:tcPr>
            <w:tcW w:w="447" w:type="pct"/>
            <w:vAlign w:val="center"/>
          </w:tcPr>
          <w:p w14:paraId="71417325">
            <w:pPr>
              <w:spacing w:line="360" w:lineRule="auto"/>
              <w:ind w:firstLine="200"/>
              <w:rPr>
                <w:rFonts w:ascii="宋体" w:hAnsi="宋体" w:cs="仿宋_GB2312"/>
                <w:color w:val="000000"/>
                <w:sz w:val="24"/>
              </w:rPr>
            </w:pPr>
            <w:r>
              <w:rPr>
                <w:rFonts w:hint="eastAsia" w:ascii="宋体" w:hAnsi="宋体" w:cs="仿宋_GB2312"/>
                <w:color w:val="000000"/>
                <w:sz w:val="24"/>
              </w:rPr>
              <w:t>数量</w:t>
            </w:r>
          </w:p>
          <w:p w14:paraId="6F23628F">
            <w:pPr>
              <w:spacing w:line="360" w:lineRule="auto"/>
              <w:ind w:firstLine="200"/>
              <w:rPr>
                <w:rFonts w:ascii="宋体" w:hAnsi="宋体" w:cs="仿宋_GB2312"/>
                <w:color w:val="000000"/>
                <w:sz w:val="24"/>
              </w:rPr>
            </w:pPr>
            <w:r>
              <w:rPr>
                <w:rFonts w:hint="eastAsia" w:ascii="宋体" w:hAnsi="宋体" w:cs="仿宋_GB2312"/>
                <w:color w:val="000000"/>
                <w:sz w:val="24"/>
              </w:rPr>
              <w:t>单位</w:t>
            </w:r>
          </w:p>
        </w:tc>
        <w:tc>
          <w:tcPr>
            <w:tcW w:w="513" w:type="pct"/>
            <w:vAlign w:val="center"/>
          </w:tcPr>
          <w:p w14:paraId="5DCA7E9A">
            <w:pPr>
              <w:spacing w:line="360" w:lineRule="auto"/>
              <w:rPr>
                <w:rFonts w:ascii="宋体" w:hAnsi="宋体" w:cs="仿宋_GB2312"/>
                <w:color w:val="000000"/>
                <w:sz w:val="24"/>
              </w:rPr>
            </w:pPr>
            <w:r>
              <w:rPr>
                <w:rFonts w:hint="eastAsia" w:ascii="宋体" w:hAnsi="宋体" w:cs="仿宋_GB2312"/>
                <w:color w:val="000000"/>
                <w:sz w:val="24"/>
              </w:rPr>
              <w:t>单价(元)</w:t>
            </w:r>
          </w:p>
        </w:tc>
        <w:tc>
          <w:tcPr>
            <w:tcW w:w="838" w:type="pct"/>
            <w:vAlign w:val="center"/>
          </w:tcPr>
          <w:p w14:paraId="2D3EAE3F">
            <w:pPr>
              <w:spacing w:line="360" w:lineRule="auto"/>
              <w:rPr>
                <w:rFonts w:ascii="宋体" w:hAnsi="宋体" w:cs="仿宋_GB2312"/>
                <w:color w:val="000000"/>
                <w:sz w:val="24"/>
              </w:rPr>
            </w:pPr>
            <w:r>
              <w:rPr>
                <w:rFonts w:hint="eastAsia" w:ascii="宋体" w:hAnsi="宋体" w:cs="仿宋_GB2312"/>
                <w:color w:val="000000"/>
                <w:sz w:val="24"/>
              </w:rPr>
              <w:t>金额(元)</w:t>
            </w:r>
          </w:p>
        </w:tc>
      </w:tr>
      <w:tr w14:paraId="31BCD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43" w:type="pct"/>
            <w:vAlign w:val="center"/>
          </w:tcPr>
          <w:p w14:paraId="01FE3F88">
            <w:pPr>
              <w:spacing w:line="360" w:lineRule="auto"/>
              <w:ind w:firstLine="200"/>
              <w:rPr>
                <w:rFonts w:ascii="宋体" w:hAnsi="宋体" w:cs="仿宋_GB2312"/>
                <w:color w:val="000000"/>
                <w:sz w:val="24"/>
              </w:rPr>
            </w:pPr>
            <w:r>
              <w:rPr>
                <w:rFonts w:hint="eastAsia" w:ascii="宋体" w:hAnsi="宋体" w:cs="仿宋_GB2312"/>
                <w:color w:val="000000"/>
                <w:sz w:val="24"/>
              </w:rPr>
              <w:t>1</w:t>
            </w:r>
          </w:p>
        </w:tc>
        <w:tc>
          <w:tcPr>
            <w:tcW w:w="563" w:type="pct"/>
            <w:vAlign w:val="center"/>
          </w:tcPr>
          <w:p w14:paraId="3506F3AD">
            <w:pPr>
              <w:spacing w:line="360" w:lineRule="auto"/>
              <w:ind w:firstLine="200"/>
              <w:rPr>
                <w:rFonts w:ascii="宋体" w:hAnsi="宋体" w:cs="仿宋_GB2312"/>
                <w:color w:val="000000"/>
                <w:sz w:val="24"/>
              </w:rPr>
            </w:pPr>
          </w:p>
        </w:tc>
        <w:tc>
          <w:tcPr>
            <w:tcW w:w="563" w:type="pct"/>
            <w:vAlign w:val="center"/>
          </w:tcPr>
          <w:p w14:paraId="3C6B0412">
            <w:pPr>
              <w:spacing w:line="360" w:lineRule="auto"/>
              <w:ind w:firstLine="200"/>
              <w:rPr>
                <w:rFonts w:ascii="宋体" w:hAnsi="宋体" w:cs="仿宋_GB2312"/>
                <w:color w:val="000000"/>
                <w:sz w:val="24"/>
              </w:rPr>
            </w:pPr>
          </w:p>
        </w:tc>
        <w:tc>
          <w:tcPr>
            <w:tcW w:w="709" w:type="pct"/>
            <w:vAlign w:val="center"/>
          </w:tcPr>
          <w:p w14:paraId="46C2C96A">
            <w:pPr>
              <w:spacing w:line="360" w:lineRule="auto"/>
              <w:ind w:firstLine="200"/>
              <w:rPr>
                <w:rFonts w:ascii="宋体" w:hAnsi="宋体" w:cs="仿宋_GB2312"/>
                <w:color w:val="000000"/>
                <w:sz w:val="24"/>
              </w:rPr>
            </w:pPr>
          </w:p>
        </w:tc>
        <w:tc>
          <w:tcPr>
            <w:tcW w:w="555" w:type="pct"/>
            <w:vAlign w:val="center"/>
          </w:tcPr>
          <w:p w14:paraId="32580EC1">
            <w:pPr>
              <w:spacing w:line="360" w:lineRule="auto"/>
              <w:ind w:firstLine="200"/>
              <w:rPr>
                <w:rFonts w:ascii="宋体" w:hAnsi="宋体" w:cs="仿宋_GB2312"/>
                <w:color w:val="000000"/>
                <w:sz w:val="24"/>
              </w:rPr>
            </w:pPr>
          </w:p>
        </w:tc>
        <w:tc>
          <w:tcPr>
            <w:tcW w:w="463" w:type="pct"/>
          </w:tcPr>
          <w:p w14:paraId="6EA4AA2B">
            <w:pPr>
              <w:spacing w:line="360" w:lineRule="auto"/>
              <w:ind w:firstLine="200"/>
              <w:rPr>
                <w:rFonts w:ascii="宋体" w:hAnsi="宋体" w:cs="仿宋_GB2312"/>
                <w:color w:val="000000"/>
                <w:sz w:val="24"/>
              </w:rPr>
            </w:pPr>
          </w:p>
        </w:tc>
        <w:tc>
          <w:tcPr>
            <w:tcW w:w="447" w:type="pct"/>
            <w:vAlign w:val="center"/>
          </w:tcPr>
          <w:p w14:paraId="6F4BF35D">
            <w:pPr>
              <w:spacing w:line="360" w:lineRule="auto"/>
              <w:ind w:firstLine="200"/>
              <w:rPr>
                <w:rFonts w:ascii="宋体" w:hAnsi="宋体" w:cs="仿宋_GB2312"/>
                <w:color w:val="000000"/>
                <w:sz w:val="24"/>
              </w:rPr>
            </w:pPr>
          </w:p>
        </w:tc>
        <w:tc>
          <w:tcPr>
            <w:tcW w:w="513" w:type="pct"/>
            <w:vAlign w:val="center"/>
          </w:tcPr>
          <w:p w14:paraId="1FE1D742">
            <w:pPr>
              <w:spacing w:line="360" w:lineRule="auto"/>
              <w:ind w:firstLine="200"/>
              <w:rPr>
                <w:rFonts w:ascii="宋体" w:hAnsi="宋体" w:cs="仿宋_GB2312"/>
                <w:color w:val="000000"/>
                <w:sz w:val="24"/>
              </w:rPr>
            </w:pPr>
          </w:p>
        </w:tc>
        <w:tc>
          <w:tcPr>
            <w:tcW w:w="838" w:type="pct"/>
            <w:vAlign w:val="center"/>
          </w:tcPr>
          <w:p w14:paraId="32CA2167">
            <w:pPr>
              <w:spacing w:line="360" w:lineRule="auto"/>
              <w:ind w:firstLine="200"/>
              <w:rPr>
                <w:rFonts w:ascii="宋体" w:hAnsi="宋体" w:cs="仿宋_GB2312"/>
                <w:color w:val="000000"/>
                <w:sz w:val="24"/>
              </w:rPr>
            </w:pPr>
          </w:p>
        </w:tc>
      </w:tr>
      <w:tr w14:paraId="28BE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5000" w:type="pct"/>
            <w:gridSpan w:val="9"/>
          </w:tcPr>
          <w:p w14:paraId="3C9306A9">
            <w:pPr>
              <w:spacing w:line="360" w:lineRule="auto"/>
              <w:ind w:firstLine="200"/>
              <w:rPr>
                <w:rFonts w:ascii="宋体" w:hAnsi="宋体" w:cs="仿宋_GB2312"/>
                <w:color w:val="000000"/>
                <w:sz w:val="24"/>
              </w:rPr>
            </w:pPr>
            <w:r>
              <w:rPr>
                <w:rFonts w:hint="eastAsia" w:ascii="宋体" w:hAnsi="宋体" w:cs="仿宋_GB2312"/>
                <w:color w:val="000000"/>
                <w:sz w:val="24"/>
              </w:rPr>
              <w:t xml:space="preserve">合计金额：大写人民币          元整（￥                     ）            </w:t>
            </w:r>
          </w:p>
        </w:tc>
      </w:tr>
    </w:tbl>
    <w:p w14:paraId="1C7FEA03">
      <w:pPr>
        <w:snapToGrid w:val="0"/>
        <w:spacing w:line="360" w:lineRule="auto"/>
        <w:ind w:firstLine="480" w:firstLineChars="200"/>
        <w:rPr>
          <w:rFonts w:ascii="宋体" w:hAnsi="宋体" w:cs="仿宋_GB2312"/>
          <w:b/>
          <w:bCs/>
          <w:color w:val="000000"/>
          <w:sz w:val="24"/>
        </w:rPr>
      </w:pPr>
      <w:r>
        <w:rPr>
          <w:rFonts w:hint="eastAsia" w:ascii="宋体" w:hAnsi="宋体" w:cs="仿宋_GB2312"/>
          <w:color w:val="000000"/>
          <w:sz w:val="24"/>
        </w:rPr>
        <w:t>2</w:t>
      </w:r>
      <w:r>
        <w:rPr>
          <w:rFonts w:hint="eastAsia" w:ascii="宋体" w:hAnsi="宋体" w:cs="仿宋_GB2312"/>
          <w:color w:val="000000"/>
          <w:kern w:val="1"/>
          <w:sz w:val="24"/>
          <w:lang w:eastAsia="ar-SA"/>
        </w:rPr>
        <w:t>.</w:t>
      </w:r>
      <w:r>
        <w:rPr>
          <w:rFonts w:hint="eastAsia" w:ascii="宋体" w:hAnsi="宋体" w:cs="仿宋_GB2312"/>
          <w:color w:val="000000"/>
          <w:sz w:val="24"/>
        </w:rPr>
        <w:t>合同合计金额包括货物价款，备件、专用工具、安装、调试、检验、技术培训及技术资料和包装、运输、搬卸、税金、售后服务</w:t>
      </w:r>
      <w:bookmarkStart w:id="91" w:name="_Hlk148991267"/>
      <w:r>
        <w:rPr>
          <w:rFonts w:hint="eastAsia" w:ascii="宋体" w:hAnsi="宋体" w:cs="仿宋_GB2312"/>
          <w:color w:val="000000"/>
          <w:sz w:val="24"/>
        </w:rPr>
        <w:t>、物料、人工、差旅、通讯、文印、保险等全部费用成本；除非另有明确约定，甲方无需向乙方支付额外任何价款、费用或报销</w:t>
      </w:r>
      <w:bookmarkEnd w:id="91"/>
      <w:r>
        <w:rPr>
          <w:rFonts w:hint="eastAsia" w:ascii="宋体" w:hAnsi="宋体" w:cs="仿宋_GB2312"/>
          <w:color w:val="000000"/>
          <w:sz w:val="24"/>
        </w:rPr>
        <w:t>。如公告规定、采购文件及投标/响应文件对其另有规定的，从其规定。</w:t>
      </w:r>
    </w:p>
    <w:p w14:paraId="6CEA711C">
      <w:pPr>
        <w:spacing w:line="360" w:lineRule="auto"/>
        <w:ind w:firstLine="482" w:firstLineChars="200"/>
        <w:rPr>
          <w:rFonts w:ascii="宋体" w:hAnsi="宋体" w:cs="仿宋_GB2312"/>
          <w:b/>
          <w:bCs/>
          <w:color w:val="000000"/>
          <w:sz w:val="24"/>
        </w:rPr>
      </w:pPr>
      <w:r>
        <w:rPr>
          <w:rFonts w:hint="eastAsia" w:ascii="宋体" w:hAnsi="宋体" w:cs="仿宋_GB2312"/>
          <w:b/>
          <w:bCs/>
          <w:color w:val="000000"/>
          <w:sz w:val="24"/>
        </w:rPr>
        <w:t>第二条 质量要求</w:t>
      </w:r>
    </w:p>
    <w:p w14:paraId="6D0C8B36">
      <w:pPr>
        <w:snapToGrid w:val="0"/>
        <w:spacing w:line="360" w:lineRule="auto"/>
        <w:ind w:firstLine="480" w:firstLineChars="200"/>
        <w:rPr>
          <w:rFonts w:ascii="宋体" w:hAnsi="宋体" w:cs="仿宋_GB2312"/>
          <w:color w:val="000000"/>
          <w:sz w:val="24"/>
        </w:rPr>
      </w:pPr>
      <w:r>
        <w:rPr>
          <w:rFonts w:hint="eastAsia" w:ascii="宋体" w:hAnsi="宋体" w:cs="仿宋_GB2312"/>
          <w:color w:val="000000"/>
          <w:sz w:val="24"/>
        </w:rPr>
        <w:t>1</w:t>
      </w:r>
      <w:r>
        <w:rPr>
          <w:rFonts w:hint="eastAsia" w:ascii="宋体" w:hAnsi="宋体" w:cs="仿宋_GB2312"/>
          <w:color w:val="000000"/>
          <w:kern w:val="1"/>
          <w:sz w:val="24"/>
          <w:lang w:eastAsia="ar-SA"/>
        </w:rPr>
        <w:t>.</w:t>
      </w:r>
      <w:r>
        <w:rPr>
          <w:rFonts w:hint="eastAsia" w:ascii="宋体" w:hAnsi="宋体" w:cs="仿宋_GB2312"/>
          <w:color w:val="000000"/>
          <w:sz w:val="24"/>
        </w:rPr>
        <w:t>乙方所提供的产品名称、商标品牌、生产厂家、规格型号、技术参数等质量必须与竞争性磋商文件规定及响应文件承诺相一致；经乙方安装调试完毕的产品，应满足甲方需求、合同目的，能够正常实现采购文件中要求的功能、参数。</w:t>
      </w:r>
    </w:p>
    <w:p w14:paraId="38AE62B8">
      <w:pPr>
        <w:snapToGrid w:val="0"/>
        <w:spacing w:line="360" w:lineRule="auto"/>
        <w:ind w:firstLine="480" w:firstLineChars="200"/>
        <w:rPr>
          <w:rFonts w:ascii="宋体" w:hAnsi="宋体" w:cs="仿宋_GB2312"/>
          <w:sz w:val="24"/>
        </w:rPr>
      </w:pPr>
      <w:r>
        <w:rPr>
          <w:rFonts w:hint="eastAsia" w:ascii="宋体" w:hAnsi="宋体" w:cs="仿宋_GB2312"/>
          <w:color w:val="000000"/>
          <w:sz w:val="24"/>
        </w:rPr>
        <w:t>2</w:t>
      </w:r>
      <w:r>
        <w:rPr>
          <w:rFonts w:hint="eastAsia" w:ascii="宋体" w:hAnsi="宋体" w:cs="仿宋_GB2312"/>
          <w:color w:val="000000"/>
          <w:kern w:val="1"/>
          <w:sz w:val="24"/>
          <w:lang w:eastAsia="ar-SA"/>
        </w:rPr>
        <w:t>.</w:t>
      </w:r>
      <w:r>
        <w:rPr>
          <w:rFonts w:hint="eastAsia" w:ascii="宋体" w:hAnsi="宋体" w:cs="仿宋_GB2312"/>
          <w:color w:val="000000"/>
          <w:kern w:val="1"/>
          <w:sz w:val="24"/>
        </w:rPr>
        <w:t>乙方所提供的货物必须是全新</w:t>
      </w:r>
      <w:r>
        <w:rPr>
          <w:rFonts w:hint="eastAsia" w:ascii="宋体" w:hAnsi="宋体" w:cs="仿宋_GB2312"/>
          <w:kern w:val="1"/>
          <w:sz w:val="24"/>
        </w:rPr>
        <w:t>（生产日期距合同签订之日不超过六个月）、未使用的原装产品，且在正常安装、使用和保养条件下，其使用寿命期内各项指标均达到竞争性磋商文件规定或者响应文件承诺的质量要求。</w:t>
      </w:r>
    </w:p>
    <w:p w14:paraId="74476BA7">
      <w:pPr>
        <w:spacing w:line="360" w:lineRule="auto"/>
        <w:ind w:firstLine="482" w:firstLineChars="200"/>
        <w:rPr>
          <w:rFonts w:ascii="宋体" w:hAnsi="宋体" w:cs="仿宋_GB2312"/>
          <w:b/>
          <w:bCs/>
          <w:sz w:val="24"/>
        </w:rPr>
      </w:pPr>
      <w:r>
        <w:rPr>
          <w:rFonts w:hint="eastAsia" w:ascii="宋体" w:hAnsi="宋体" w:cs="仿宋_GB2312"/>
          <w:b/>
          <w:bCs/>
          <w:sz w:val="24"/>
        </w:rPr>
        <w:t>第三条 权利保证</w:t>
      </w:r>
    </w:p>
    <w:p w14:paraId="2383AF1E">
      <w:pPr>
        <w:snapToGrid w:val="0"/>
        <w:spacing w:line="360" w:lineRule="auto"/>
        <w:ind w:firstLine="480" w:firstLineChars="200"/>
        <w:rPr>
          <w:rFonts w:ascii="宋体" w:hAnsi="宋体" w:cs="仿宋_GB2312"/>
          <w:color w:val="000000"/>
          <w:sz w:val="24"/>
        </w:rPr>
      </w:pPr>
      <w:r>
        <w:rPr>
          <w:rFonts w:hint="eastAsia" w:ascii="宋体" w:hAnsi="宋体" w:cs="仿宋_GB2312"/>
          <w:color w:val="000000"/>
          <w:sz w:val="24"/>
        </w:rPr>
        <w:t>1</w:t>
      </w:r>
      <w:r>
        <w:rPr>
          <w:rFonts w:hint="eastAsia" w:ascii="宋体" w:hAnsi="宋体" w:cs="仿宋_GB2312"/>
          <w:color w:val="000000"/>
          <w:kern w:val="1"/>
          <w:sz w:val="24"/>
          <w:lang w:eastAsia="ar-SA"/>
        </w:rPr>
        <w:t>.</w:t>
      </w:r>
      <w:r>
        <w:rPr>
          <w:rFonts w:hint="eastAsia" w:ascii="宋体" w:hAnsi="宋体" w:cs="仿宋_GB2312"/>
          <w:color w:val="000000"/>
          <w:sz w:val="24"/>
        </w:rPr>
        <w:t>乙方应保证所提供货物在使用时不会侵犯任何第三方的专利权、商标权、工业设计权或其他权利。</w:t>
      </w:r>
      <w:r>
        <w:rPr>
          <w:rFonts w:ascii="宋体" w:hAnsi="宋体" w:cs="仿宋_GB2312"/>
          <w:color w:val="000000"/>
          <w:sz w:val="24"/>
        </w:rPr>
        <w:t xml:space="preserve"> </w:t>
      </w:r>
    </w:p>
    <w:p w14:paraId="7724ED99">
      <w:pPr>
        <w:snapToGrid w:val="0"/>
        <w:spacing w:line="360" w:lineRule="auto"/>
        <w:ind w:firstLine="480" w:firstLineChars="200"/>
        <w:rPr>
          <w:rFonts w:ascii="宋体" w:hAnsi="宋体" w:cs="仿宋_GB2312"/>
          <w:color w:val="000000"/>
          <w:sz w:val="24"/>
        </w:rPr>
      </w:pPr>
      <w:r>
        <w:rPr>
          <w:rFonts w:hint="eastAsia" w:ascii="宋体" w:hAnsi="宋体" w:cs="仿宋_GB2312"/>
          <w:color w:val="000000"/>
          <w:sz w:val="24"/>
        </w:rPr>
        <w:t>2</w:t>
      </w:r>
      <w:r>
        <w:rPr>
          <w:rFonts w:hint="eastAsia" w:ascii="宋体" w:hAnsi="宋体" w:cs="仿宋_GB2312"/>
          <w:color w:val="000000"/>
          <w:kern w:val="1"/>
          <w:sz w:val="24"/>
          <w:lang w:eastAsia="ar-SA"/>
        </w:rPr>
        <w:t>.</w:t>
      </w:r>
      <w:r>
        <w:rPr>
          <w:rFonts w:hint="eastAsia" w:ascii="宋体" w:hAnsi="宋体" w:cs="仿宋_GB2312"/>
          <w:color w:val="000000"/>
          <w:sz w:val="24"/>
        </w:rPr>
        <w:t>乙方应按采购文件或投标/响应文件承诺的时间向甲方提供使用货物的有关技术资料。</w:t>
      </w:r>
    </w:p>
    <w:p w14:paraId="7C9FC1BA">
      <w:pPr>
        <w:snapToGrid w:val="0"/>
        <w:spacing w:line="360" w:lineRule="auto"/>
        <w:ind w:firstLine="480" w:firstLineChars="200"/>
        <w:rPr>
          <w:rFonts w:ascii="宋体" w:hAnsi="宋体" w:cs="仿宋_GB2312"/>
          <w:color w:val="000000"/>
          <w:sz w:val="24"/>
        </w:rPr>
      </w:pPr>
      <w:r>
        <w:rPr>
          <w:rFonts w:hint="eastAsia" w:ascii="宋体" w:hAnsi="宋体" w:cs="仿宋_GB2312"/>
          <w:color w:val="000000"/>
          <w:sz w:val="24"/>
        </w:rPr>
        <w:t>3</w:t>
      </w:r>
      <w:r>
        <w:rPr>
          <w:rFonts w:hint="eastAsia" w:ascii="宋体" w:hAnsi="宋体" w:cs="仿宋_GB2312"/>
          <w:color w:val="000000"/>
          <w:kern w:val="1"/>
          <w:sz w:val="24"/>
          <w:lang w:eastAsia="ar-SA"/>
        </w:rPr>
        <w:t>.</w:t>
      </w:r>
      <w:r>
        <w:rPr>
          <w:rFonts w:hint="eastAsia" w:ascii="宋体" w:hAnsi="宋体" w:cs="仿宋_GB2312"/>
          <w:color w:val="000000"/>
          <w:sz w:val="24"/>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即使向履行本合同有关的人员提供，也应注意保密并限于履行合同的必需范围，该保密义务为永久性，不因本合同的解除、撤销、无效、终止而免除。</w:t>
      </w:r>
    </w:p>
    <w:p w14:paraId="3A21FFFB">
      <w:pPr>
        <w:snapToGrid w:val="0"/>
        <w:spacing w:line="360" w:lineRule="auto"/>
        <w:ind w:firstLine="480" w:firstLineChars="200"/>
        <w:rPr>
          <w:rFonts w:ascii="宋体" w:hAnsi="宋体" w:cs="仿宋_GB2312"/>
          <w:color w:val="000000"/>
          <w:sz w:val="24"/>
        </w:rPr>
      </w:pPr>
      <w:r>
        <w:rPr>
          <w:rFonts w:hint="eastAsia" w:ascii="宋体" w:hAnsi="宋体" w:cs="仿宋_GB2312"/>
          <w:color w:val="000000"/>
          <w:sz w:val="24"/>
        </w:rPr>
        <w:t>4</w:t>
      </w:r>
      <w:r>
        <w:rPr>
          <w:rFonts w:hint="eastAsia" w:ascii="宋体" w:hAnsi="宋体" w:cs="仿宋_GB2312"/>
          <w:color w:val="000000"/>
          <w:kern w:val="1"/>
          <w:sz w:val="24"/>
          <w:lang w:eastAsia="ar-SA"/>
        </w:rPr>
        <w:t>.</w:t>
      </w:r>
      <w:r>
        <w:rPr>
          <w:rFonts w:hint="eastAsia" w:ascii="宋体" w:hAnsi="宋体" w:cs="仿宋_GB2312"/>
          <w:color w:val="000000"/>
          <w:sz w:val="24"/>
        </w:rPr>
        <w:t>乙方保证将要交付的货物的所有权完全属于乙方，且无任何抵押、质押、查封、留置等产权瑕疵。</w:t>
      </w:r>
    </w:p>
    <w:p w14:paraId="264630E3">
      <w:pPr>
        <w:spacing w:line="360" w:lineRule="auto"/>
        <w:ind w:firstLine="482" w:firstLineChars="200"/>
        <w:rPr>
          <w:rFonts w:ascii="宋体" w:hAnsi="宋体" w:cs="仿宋_GB2312"/>
          <w:b/>
          <w:bCs/>
          <w:color w:val="000000"/>
          <w:sz w:val="24"/>
        </w:rPr>
      </w:pPr>
      <w:r>
        <w:rPr>
          <w:rFonts w:hint="eastAsia" w:ascii="宋体" w:hAnsi="宋体" w:cs="仿宋_GB2312"/>
          <w:b/>
          <w:bCs/>
          <w:color w:val="000000"/>
          <w:sz w:val="24"/>
        </w:rPr>
        <w:t>第四条 包装和运输</w:t>
      </w:r>
    </w:p>
    <w:p w14:paraId="01EE3AAF">
      <w:pPr>
        <w:snapToGrid w:val="0"/>
        <w:spacing w:line="360" w:lineRule="auto"/>
        <w:ind w:firstLine="480" w:firstLineChars="200"/>
        <w:rPr>
          <w:rFonts w:ascii="宋体" w:hAnsi="宋体" w:cs="仿宋_GB2312"/>
          <w:color w:val="000000"/>
          <w:sz w:val="24"/>
        </w:rPr>
      </w:pPr>
      <w:r>
        <w:rPr>
          <w:rFonts w:hint="eastAsia" w:ascii="宋体" w:hAnsi="宋体" w:cs="仿宋_GB2312"/>
          <w:color w:val="000000"/>
          <w:sz w:val="24"/>
        </w:rPr>
        <w:t>1.乙方提供货物均应按采购文件、响应文件要求的包装材料、包装标准、包装方式、运输距离、防潮、防震、防锈和防破损装卸等要求包装，以保证货物安全运达甲方指定地点，每一包装单元内应附详细的装箱单和质量合格证。使用说明书、质量检验证明书、随配附件和工具以及清单一并附于货物内。</w:t>
      </w:r>
    </w:p>
    <w:p w14:paraId="73A23227">
      <w:pPr>
        <w:spacing w:line="360" w:lineRule="auto"/>
        <w:ind w:firstLine="480" w:firstLineChars="200"/>
        <w:rPr>
          <w:rFonts w:ascii="宋体" w:hAnsi="宋体" w:cs="仿宋_GB2312"/>
          <w:color w:val="000000"/>
          <w:sz w:val="24"/>
        </w:rPr>
      </w:pPr>
      <w:r>
        <w:rPr>
          <w:rFonts w:ascii="宋体" w:hAnsi="宋体" w:cs="仿宋_GB2312"/>
          <w:color w:val="000000"/>
          <w:sz w:val="24"/>
        </w:rPr>
        <w:t>2</w:t>
      </w:r>
      <w:r>
        <w:rPr>
          <w:rFonts w:hint="eastAsia" w:ascii="宋体" w:hAnsi="宋体" w:cs="仿宋_GB2312"/>
          <w:color w:val="000000"/>
          <w:sz w:val="24"/>
        </w:rPr>
        <w:t>.乙方在货物发运手续办理完毕后二十四小时内或货到甲方四十八小时前通知甲方，以准备接货，乙方未按约定提前通知或未按甲方要求发运的，甲方有权拒绝接货。</w:t>
      </w:r>
    </w:p>
    <w:p w14:paraId="47FF417B">
      <w:pPr>
        <w:spacing w:line="360" w:lineRule="auto"/>
        <w:ind w:firstLine="480" w:firstLineChars="200"/>
        <w:rPr>
          <w:rFonts w:ascii="宋体" w:hAnsi="宋体" w:cs="仿宋_GB2312"/>
          <w:color w:val="000000"/>
          <w:sz w:val="24"/>
        </w:rPr>
      </w:pPr>
      <w:r>
        <w:rPr>
          <w:rFonts w:ascii="宋体" w:hAnsi="宋体" w:cs="仿宋_GB2312"/>
          <w:color w:val="000000"/>
          <w:sz w:val="24"/>
        </w:rPr>
        <w:t>3</w:t>
      </w:r>
      <w:r>
        <w:rPr>
          <w:rFonts w:hint="eastAsia" w:ascii="宋体" w:hAnsi="宋体" w:cs="仿宋_GB2312"/>
          <w:color w:val="000000"/>
          <w:sz w:val="24"/>
        </w:rPr>
        <w:t>.货物在规定的交付期限内由乙方送达甲方指定的地点，货物在交付甲方前发生的风险均由乙方负责。</w:t>
      </w:r>
    </w:p>
    <w:p w14:paraId="16E35F74">
      <w:pPr>
        <w:spacing w:line="360" w:lineRule="auto"/>
        <w:ind w:firstLine="480" w:firstLineChars="200"/>
        <w:rPr>
          <w:rFonts w:ascii="宋体" w:hAnsi="宋体" w:cs="仿宋_GB2312"/>
          <w:color w:val="000000"/>
          <w:sz w:val="24"/>
        </w:rPr>
      </w:pPr>
      <w:r>
        <w:rPr>
          <w:rFonts w:ascii="宋体" w:hAnsi="宋体" w:cs="仿宋_GB2312"/>
          <w:color w:val="000000"/>
          <w:sz w:val="24"/>
        </w:rPr>
        <w:t>4</w:t>
      </w:r>
      <w:r>
        <w:rPr>
          <w:rFonts w:hint="eastAsia" w:ascii="宋体" w:hAnsi="宋体" w:cs="仿宋_GB2312"/>
          <w:color w:val="000000"/>
          <w:kern w:val="1"/>
          <w:sz w:val="24"/>
          <w:lang w:eastAsia="ar-SA"/>
        </w:rPr>
        <w:t>.</w:t>
      </w:r>
      <w:r>
        <w:rPr>
          <w:rFonts w:hint="eastAsia" w:ascii="宋体" w:hAnsi="宋体" w:cs="仿宋_GB2312"/>
          <w:color w:val="000000"/>
          <w:sz w:val="24"/>
        </w:rPr>
        <w:t>货物的运输方式：</w:t>
      </w:r>
      <w:r>
        <w:rPr>
          <w:rFonts w:hint="eastAsia" w:ascii="宋体" w:hAnsi="宋体" w:cs="仿宋_GB2312"/>
          <w:color w:val="000000"/>
          <w:sz w:val="24"/>
          <w:u w:val="single"/>
        </w:rPr>
        <w:t xml:space="preserve"> </w:t>
      </w:r>
      <w:r>
        <w:rPr>
          <w:rFonts w:ascii="宋体" w:hAnsi="宋体" w:cs="仿宋_GB2312"/>
          <w:color w:val="000000"/>
          <w:sz w:val="24"/>
          <w:u w:val="single"/>
        </w:rPr>
        <w:t xml:space="preserve">    </w:t>
      </w:r>
      <w:r>
        <w:rPr>
          <w:rFonts w:hint="eastAsia" w:ascii="宋体" w:hAnsi="宋体" w:cs="仿宋_GB2312"/>
          <w:color w:val="000000"/>
          <w:sz w:val="24"/>
          <w:u w:val="single"/>
        </w:rPr>
        <w:t xml:space="preserve"> </w:t>
      </w:r>
      <w:r>
        <w:rPr>
          <w:rFonts w:hint="eastAsia" w:ascii="宋体" w:hAnsi="宋体" w:cs="仿宋_GB2312"/>
          <w:color w:val="000000"/>
          <w:sz w:val="24"/>
        </w:rPr>
        <w:t>。</w:t>
      </w:r>
    </w:p>
    <w:p w14:paraId="3A9F4C73">
      <w:pPr>
        <w:spacing w:line="360" w:lineRule="auto"/>
        <w:ind w:firstLine="480" w:firstLineChars="200"/>
        <w:rPr>
          <w:rFonts w:ascii="宋体" w:hAnsi="宋体" w:cs="仿宋_GB2312"/>
          <w:color w:val="000000"/>
          <w:sz w:val="24"/>
        </w:rPr>
      </w:pPr>
      <w:r>
        <w:rPr>
          <w:rFonts w:ascii="宋体" w:hAnsi="宋体" w:cs="仿宋_GB2312"/>
          <w:color w:val="000000"/>
          <w:sz w:val="24"/>
        </w:rPr>
        <w:t>5</w:t>
      </w:r>
      <w:r>
        <w:rPr>
          <w:rFonts w:hint="eastAsia" w:ascii="宋体" w:hAnsi="宋体" w:cs="仿宋_GB2312"/>
          <w:color w:val="000000"/>
          <w:kern w:val="1"/>
          <w:sz w:val="24"/>
          <w:lang w:eastAsia="ar-SA"/>
        </w:rPr>
        <w:t>.</w:t>
      </w:r>
      <w:r>
        <w:rPr>
          <w:rFonts w:hint="eastAsia" w:ascii="宋体" w:hAnsi="宋体" w:cs="仿宋_GB2312"/>
          <w:color w:val="000000"/>
          <w:sz w:val="24"/>
        </w:rPr>
        <w:t>乙方负责货物运输及相关费用，货物运输合理损耗及计算方法：</w:t>
      </w:r>
      <w:r>
        <w:rPr>
          <w:rFonts w:hint="eastAsia" w:ascii="宋体" w:hAnsi="宋体" w:cs="仿宋_GB2312"/>
          <w:color w:val="000000"/>
          <w:sz w:val="24"/>
          <w:u w:val="single"/>
        </w:rPr>
        <w:t>货物运输保险费已包含在合同总价中，乙方须确保货物安全无损地运抵</w:t>
      </w:r>
      <w:r>
        <w:rPr>
          <w:rFonts w:hint="eastAsia" w:ascii="宋体" w:hAnsi="宋体" w:cs="仿宋_GB2312"/>
          <w:color w:val="000000"/>
          <w:sz w:val="24"/>
        </w:rPr>
        <w:t>并搬卸至</w:t>
      </w:r>
      <w:r>
        <w:rPr>
          <w:rFonts w:hint="eastAsia" w:ascii="宋体" w:hAnsi="宋体" w:cs="仿宋_GB2312"/>
          <w:color w:val="000000"/>
          <w:sz w:val="24"/>
          <w:u w:val="single"/>
        </w:rPr>
        <w:t>安装地点</w:t>
      </w:r>
      <w:r>
        <w:rPr>
          <w:rFonts w:hint="eastAsia" w:ascii="宋体" w:hAnsi="宋体" w:cs="仿宋_GB2312"/>
          <w:color w:val="000000"/>
          <w:sz w:val="24"/>
        </w:rPr>
        <w:t>。</w:t>
      </w:r>
    </w:p>
    <w:p w14:paraId="0B2620BC">
      <w:pPr>
        <w:spacing w:line="360" w:lineRule="auto"/>
        <w:ind w:firstLine="480" w:firstLineChars="200"/>
        <w:rPr>
          <w:rFonts w:ascii="宋体" w:hAnsi="宋体" w:cs="仿宋_GB2312"/>
          <w:color w:val="000000"/>
          <w:sz w:val="24"/>
        </w:rPr>
      </w:pPr>
      <w:bookmarkStart w:id="92" w:name="_Hlk148991367"/>
      <w:r>
        <w:rPr>
          <w:rFonts w:ascii="宋体" w:hAnsi="宋体" w:cs="仿宋_GB2312"/>
          <w:color w:val="000000"/>
          <w:sz w:val="24"/>
        </w:rPr>
        <w:t>6</w:t>
      </w:r>
      <w:r>
        <w:rPr>
          <w:rFonts w:hint="eastAsia" w:ascii="宋体" w:hAnsi="宋体" w:cs="仿宋_GB2312"/>
          <w:color w:val="000000"/>
          <w:sz w:val="24"/>
        </w:rPr>
        <w:t>.全部产品运输到甲方指定地点所发生包括但不限于运费、保险费、装卸费、仓储费及其他一切费用由乙方承担。货物装卸、转运需要装卸、运输工具的由乙方自行负责。乙方提供的货物包装及快递包装应满足财政部等三部门联合印发《商品包装和快递包装政府采购需求标准（试行）》财办库〔2020〕123号文及《医疗器械经营质量管理规范附录：专门提供医疗器械运输贮存服务的企业质量管理》要求和相关规范。</w:t>
      </w:r>
    </w:p>
    <w:bookmarkEnd w:id="92"/>
    <w:p w14:paraId="6C5D98DE">
      <w:pPr>
        <w:spacing w:line="360" w:lineRule="auto"/>
        <w:ind w:firstLine="482" w:firstLineChars="200"/>
        <w:rPr>
          <w:rFonts w:ascii="宋体" w:hAnsi="宋体" w:cs="仿宋_GB2312"/>
          <w:b/>
          <w:color w:val="000000"/>
          <w:sz w:val="24"/>
        </w:rPr>
      </w:pPr>
      <w:r>
        <w:rPr>
          <w:rFonts w:hint="eastAsia" w:ascii="宋体" w:hAnsi="宋体" w:cs="仿宋_GB2312"/>
          <w:b/>
          <w:color w:val="000000"/>
          <w:sz w:val="24"/>
        </w:rPr>
        <w:t>第五条 交付和验收要求</w:t>
      </w:r>
    </w:p>
    <w:p w14:paraId="43BB9FA0">
      <w:pPr>
        <w:spacing w:line="360" w:lineRule="auto"/>
        <w:ind w:firstLine="480" w:firstLineChars="200"/>
        <w:rPr>
          <w:rFonts w:ascii="宋体" w:hAnsi="宋体" w:cs="仿宋_GB2312"/>
          <w:color w:val="000000"/>
          <w:sz w:val="24"/>
        </w:rPr>
      </w:pPr>
      <w:r>
        <w:rPr>
          <w:rFonts w:hint="eastAsia" w:ascii="宋体" w:hAnsi="宋体" w:cs="仿宋_GB2312"/>
          <w:color w:val="000000"/>
          <w:sz w:val="24"/>
        </w:rPr>
        <w:t>1</w:t>
      </w:r>
      <w:r>
        <w:rPr>
          <w:rFonts w:hint="eastAsia" w:ascii="宋体" w:hAnsi="宋体" w:cs="仿宋_GB2312"/>
          <w:color w:val="000000"/>
          <w:kern w:val="1"/>
          <w:sz w:val="24"/>
          <w:lang w:eastAsia="ar-SA"/>
        </w:rPr>
        <w:t>.</w:t>
      </w:r>
      <w:r>
        <w:rPr>
          <w:rFonts w:hint="eastAsia" w:ascii="宋体" w:hAnsi="宋体" w:cs="仿宋_GB2312"/>
          <w:color w:val="000000"/>
          <w:sz w:val="24"/>
        </w:rPr>
        <w:t>交付时间：</w:t>
      </w:r>
      <w:r>
        <w:rPr>
          <w:rFonts w:hint="eastAsia" w:ascii="宋体" w:hAnsi="宋体" w:cs="仿宋_GB2312"/>
          <w:color w:val="000000"/>
          <w:sz w:val="24"/>
          <w:u w:val="single"/>
        </w:rPr>
        <w:t xml:space="preserve">                              </w:t>
      </w:r>
      <w:r>
        <w:rPr>
          <w:rFonts w:hint="eastAsia" w:ascii="宋体" w:hAnsi="宋体" w:cs="仿宋_GB2312"/>
          <w:color w:val="000000"/>
          <w:sz w:val="24"/>
        </w:rPr>
        <w:t>。</w:t>
      </w:r>
    </w:p>
    <w:p w14:paraId="4A83E11E">
      <w:pPr>
        <w:spacing w:line="360" w:lineRule="auto"/>
        <w:ind w:firstLine="720" w:firstLineChars="300"/>
        <w:rPr>
          <w:rFonts w:ascii="宋体" w:hAnsi="宋体" w:cs="仿宋_GB2312"/>
          <w:color w:val="000000"/>
          <w:sz w:val="24"/>
        </w:rPr>
      </w:pPr>
      <w:r>
        <w:rPr>
          <w:rFonts w:hint="eastAsia" w:ascii="宋体" w:hAnsi="宋体" w:cs="仿宋_GB2312"/>
          <w:color w:val="000000"/>
          <w:sz w:val="24"/>
        </w:rPr>
        <w:t>交付地点：</w:t>
      </w:r>
      <w:r>
        <w:rPr>
          <w:rFonts w:hint="eastAsia" w:ascii="宋体" w:hAnsi="宋体" w:cs="仿宋_GB2312"/>
          <w:color w:val="000000"/>
          <w:kern w:val="1"/>
          <w:sz w:val="24"/>
          <w:u w:val="single"/>
        </w:rPr>
        <w:t>甲方指定地点</w:t>
      </w:r>
      <w:r>
        <w:rPr>
          <w:rFonts w:hint="eastAsia" w:ascii="宋体" w:hAnsi="宋体" w:cs="仿宋_GB2312"/>
          <w:color w:val="000000"/>
          <w:sz w:val="24"/>
        </w:rPr>
        <w:t>。甲方可根据实际需要变更、调整乙方交货时间和地点，以最新通知指定时间、地点为准。</w:t>
      </w:r>
    </w:p>
    <w:p w14:paraId="1E100455">
      <w:pPr>
        <w:spacing w:line="360" w:lineRule="auto"/>
        <w:ind w:firstLine="480" w:firstLineChars="200"/>
        <w:rPr>
          <w:rFonts w:ascii="宋体" w:hAnsi="宋体" w:cs="仿宋_GB2312"/>
          <w:bCs/>
          <w:color w:val="000000"/>
          <w:sz w:val="24"/>
        </w:rPr>
      </w:pPr>
      <w:r>
        <w:rPr>
          <w:rFonts w:hint="eastAsia" w:ascii="宋体" w:hAnsi="宋体" w:cs="仿宋_GB2312"/>
          <w:color w:val="000000"/>
          <w:sz w:val="24"/>
        </w:rPr>
        <w:t>2</w:t>
      </w:r>
      <w:r>
        <w:rPr>
          <w:rFonts w:ascii="宋体" w:hAnsi="宋体" w:cs="仿宋_GB2312"/>
          <w:color w:val="000000"/>
          <w:sz w:val="24"/>
        </w:rPr>
        <w:t>.</w:t>
      </w:r>
      <w:r>
        <w:rPr>
          <w:rFonts w:hint="eastAsia" w:ascii="宋体" w:hAnsi="宋体" w:cs="仿宋_GB2312"/>
          <w:color w:val="000000"/>
          <w:sz w:val="24"/>
        </w:rPr>
        <w:t>甲方对乙方提交的货物依据采购文件上的技术规格要求和国家有关质量标准进行现</w:t>
      </w:r>
      <w:r>
        <w:rPr>
          <w:rFonts w:hint="eastAsia" w:ascii="宋体" w:hAnsi="宋体" w:cs="仿宋_GB2312"/>
          <w:bCs/>
          <w:color w:val="000000"/>
          <w:sz w:val="24"/>
        </w:rPr>
        <w:t>场签收，外观、说明书符合采购文件技术要求的，给予签收，不合格的不予签收。该签收仅指外观、说明书符合采购文件技术要求而非认可货物验收合格。</w:t>
      </w:r>
    </w:p>
    <w:p w14:paraId="547EC08B">
      <w:pPr>
        <w:spacing w:line="360" w:lineRule="auto"/>
        <w:ind w:firstLine="480" w:firstLineChars="200"/>
        <w:rPr>
          <w:rFonts w:ascii="宋体" w:hAnsi="宋体" w:cs="仿宋_GB2312"/>
          <w:color w:val="000000"/>
          <w:sz w:val="24"/>
        </w:rPr>
      </w:pPr>
      <w:r>
        <w:rPr>
          <w:rFonts w:hint="eastAsia" w:ascii="宋体" w:hAnsi="宋体" w:cs="仿宋_GB2312"/>
          <w:color w:val="000000"/>
          <w:sz w:val="24"/>
        </w:rPr>
        <w:t>3</w:t>
      </w:r>
      <w:r>
        <w:rPr>
          <w:rFonts w:ascii="宋体" w:hAnsi="宋体" w:cs="仿宋_GB2312"/>
          <w:color w:val="000000"/>
          <w:sz w:val="24"/>
        </w:rPr>
        <w:t>.</w:t>
      </w:r>
      <w:r>
        <w:rPr>
          <w:rFonts w:hint="eastAsia" w:ascii="宋体" w:hAnsi="宋体" w:cs="仿宋_GB2312"/>
          <w:color w:val="000000"/>
          <w:sz w:val="24"/>
        </w:rPr>
        <w:t>甲方应当在到货并安装、调试完后</w:t>
      </w:r>
      <w:bookmarkStart w:id="93" w:name="OLE_LINK12"/>
      <w:r>
        <w:rPr>
          <w:rFonts w:hint="eastAsia" w:ascii="宋体" w:hAnsi="宋体" w:cs="仿宋_GB2312"/>
          <w:color w:val="000000"/>
          <w:sz w:val="24"/>
        </w:rPr>
        <w:t>一个月内进行验收</w:t>
      </w:r>
      <w:bookmarkEnd w:id="93"/>
      <w:r>
        <w:rPr>
          <w:rFonts w:hint="eastAsia" w:ascii="宋体" w:hAnsi="宋体" w:cs="仿宋_GB2312"/>
          <w:color w:val="000000"/>
          <w:sz w:val="24"/>
        </w:rPr>
        <w:t>，逾期不验收的，亦不免除乙方质量保证责任。甲方组织验收，</w:t>
      </w:r>
      <w:r>
        <w:rPr>
          <w:rFonts w:hint="eastAsia" w:ascii="宋体" w:hAnsi="宋体" w:cs="仿宋_GB2312"/>
          <w:bCs/>
          <w:color w:val="000000"/>
          <w:sz w:val="24"/>
        </w:rPr>
        <w:t>乙方必须到场</w:t>
      </w:r>
      <w:r>
        <w:rPr>
          <w:rFonts w:hint="eastAsia" w:ascii="宋体" w:hAnsi="宋体" w:cs="仿宋_GB2312"/>
          <w:color w:val="000000"/>
          <w:sz w:val="24"/>
        </w:rPr>
        <w:t>配合，验收合格后由甲乙双方签署货物验收单并加盖双方公章，甲乙双方各执一份。对技术复杂的货物，甲方可请国家认可的专业检测机构参与验收，费用由乙方承担。</w:t>
      </w:r>
    </w:p>
    <w:p w14:paraId="7455BD99">
      <w:pPr>
        <w:spacing w:line="360" w:lineRule="auto"/>
        <w:ind w:firstLine="480" w:firstLineChars="200"/>
        <w:rPr>
          <w:rFonts w:ascii="宋体" w:hAnsi="宋体" w:cs="仿宋_GB2312"/>
          <w:color w:val="000000"/>
          <w:sz w:val="24"/>
        </w:rPr>
      </w:pPr>
      <w:r>
        <w:rPr>
          <w:rFonts w:ascii="宋体" w:hAnsi="宋体" w:cs="仿宋_GB2312"/>
          <w:color w:val="000000"/>
          <w:sz w:val="24"/>
        </w:rPr>
        <w:t>4</w:t>
      </w:r>
      <w:r>
        <w:rPr>
          <w:rFonts w:hint="eastAsia" w:ascii="宋体" w:hAnsi="宋体" w:cs="仿宋_GB2312"/>
          <w:color w:val="000000"/>
          <w:sz w:val="24"/>
        </w:rPr>
        <w:t>.若甲方委托第三方组织的验收项目，其验收时间以该项目验收方案确定的验收时间为准，验收结果以该项目验收报告结论为准。在验收过程中发现乙方有违约问题，可暂缓资金结算，待违约问题解决后，方可办理资金结算事宜，在此期间，甲方不承担逾期付款责任。</w:t>
      </w:r>
    </w:p>
    <w:p w14:paraId="32A49052">
      <w:pPr>
        <w:spacing w:line="360" w:lineRule="auto"/>
        <w:ind w:firstLine="480" w:firstLineChars="200"/>
        <w:rPr>
          <w:rFonts w:ascii="宋体" w:hAnsi="宋体" w:cs="仿宋_GB2312"/>
          <w:color w:val="000000"/>
          <w:sz w:val="24"/>
        </w:rPr>
      </w:pPr>
      <w:r>
        <w:rPr>
          <w:rFonts w:ascii="宋体" w:hAnsi="宋体" w:cs="仿宋_GB2312"/>
          <w:color w:val="000000"/>
          <w:sz w:val="24"/>
        </w:rPr>
        <w:t>5</w:t>
      </w:r>
      <w:r>
        <w:rPr>
          <w:rFonts w:hint="eastAsia" w:ascii="宋体" w:hAnsi="宋体" w:cs="仿宋_GB2312"/>
          <w:color w:val="000000"/>
          <w:sz w:val="24"/>
        </w:rPr>
        <w:t>.甲方对验收有异议的，在验收后五个工作日内以书面形式向乙方提出，乙方应自收到甲方书面异议后七日内及时予以解决，乙方不予答复或未予以实质解决的，视为认可甲方异议及处置意见。</w:t>
      </w:r>
    </w:p>
    <w:p w14:paraId="3DA6CBF7">
      <w:pPr>
        <w:snapToGrid w:val="0"/>
        <w:spacing w:line="360" w:lineRule="auto"/>
        <w:ind w:firstLine="480" w:firstLineChars="200"/>
        <w:rPr>
          <w:rFonts w:ascii="宋体" w:hAnsi="宋体" w:cs="仿宋_GB2312"/>
          <w:color w:val="000000"/>
          <w:sz w:val="24"/>
        </w:rPr>
      </w:pPr>
      <w:r>
        <w:rPr>
          <w:rFonts w:ascii="宋体" w:hAnsi="宋体" w:cs="仿宋_GB2312"/>
          <w:color w:val="000000"/>
          <w:sz w:val="24"/>
        </w:rPr>
        <w:t>6</w:t>
      </w:r>
      <w:r>
        <w:rPr>
          <w:rFonts w:hint="eastAsia" w:ascii="宋体" w:hAnsi="宋体" w:cs="仿宋_GB2312"/>
          <w:color w:val="000000"/>
          <w:sz w:val="24"/>
        </w:rPr>
        <w:t>.其他未尽事宜应严格参照《关于印发广西壮族自治区政府采购项目履约验收管理办法的通知》[桂财采〔2015〕22号]以及《财政部关于进一步加强政府采购需求和履约验收管理的指导意见》[财库〔2016〕205号]规定执行。</w:t>
      </w:r>
    </w:p>
    <w:p w14:paraId="7F867E37">
      <w:pPr>
        <w:spacing w:line="360" w:lineRule="auto"/>
        <w:ind w:firstLine="482" w:firstLineChars="200"/>
        <w:rPr>
          <w:rFonts w:ascii="宋体" w:hAnsi="宋体" w:cs="仿宋_GB2312"/>
          <w:b/>
          <w:bCs/>
          <w:color w:val="000000"/>
          <w:sz w:val="24"/>
        </w:rPr>
      </w:pPr>
      <w:r>
        <w:rPr>
          <w:rFonts w:hint="eastAsia" w:ascii="宋体" w:hAnsi="宋体" w:cs="仿宋_GB2312"/>
          <w:b/>
          <w:bCs/>
          <w:color w:val="000000"/>
          <w:sz w:val="24"/>
        </w:rPr>
        <w:t>第六条 安装和培训</w:t>
      </w:r>
    </w:p>
    <w:p w14:paraId="71D91D32">
      <w:pPr>
        <w:snapToGrid w:val="0"/>
        <w:spacing w:line="360" w:lineRule="auto"/>
        <w:ind w:firstLine="480" w:firstLineChars="200"/>
        <w:rPr>
          <w:rFonts w:ascii="宋体" w:hAnsi="宋体" w:cs="仿宋_GB2312"/>
          <w:color w:val="000000"/>
          <w:sz w:val="24"/>
        </w:rPr>
      </w:pPr>
      <w:r>
        <w:rPr>
          <w:rFonts w:hint="eastAsia" w:ascii="宋体" w:hAnsi="宋体" w:cs="仿宋_GB2312"/>
          <w:color w:val="000000"/>
          <w:sz w:val="24"/>
        </w:rPr>
        <w:t>1</w:t>
      </w:r>
      <w:r>
        <w:rPr>
          <w:rFonts w:hint="eastAsia" w:ascii="宋体" w:hAnsi="宋体" w:cs="仿宋_GB2312"/>
          <w:color w:val="000000"/>
          <w:kern w:val="1"/>
          <w:sz w:val="24"/>
          <w:lang w:eastAsia="ar-SA"/>
        </w:rPr>
        <w:t>.</w:t>
      </w:r>
      <w:r>
        <w:rPr>
          <w:rFonts w:hint="eastAsia" w:ascii="宋体" w:hAnsi="宋体" w:cs="仿宋_GB2312"/>
          <w:color w:val="000000"/>
          <w:sz w:val="24"/>
        </w:rPr>
        <w:t>甲方应提供必要安装条件（如场地、电源、水源等）。乙方应在到货之日起</w:t>
      </w:r>
      <w:r>
        <w:rPr>
          <w:rFonts w:hint="eastAsia" w:ascii="宋体" w:hAnsi="宋体" w:cs="仿宋_GB2312"/>
          <w:color w:val="000000"/>
          <w:sz w:val="24"/>
          <w:u w:val="single"/>
        </w:rPr>
        <w:t xml:space="preserve"> </w:t>
      </w:r>
      <w:r>
        <w:rPr>
          <w:rFonts w:ascii="宋体" w:hAnsi="宋体" w:cs="仿宋_GB2312"/>
          <w:color w:val="000000"/>
          <w:sz w:val="24"/>
          <w:u w:val="single"/>
        </w:rPr>
        <w:t>10</w:t>
      </w:r>
      <w:r>
        <w:rPr>
          <w:rFonts w:hint="eastAsia" w:ascii="宋体" w:hAnsi="宋体" w:cs="仿宋_GB2312"/>
          <w:color w:val="000000"/>
          <w:sz w:val="24"/>
          <w:u w:val="single"/>
        </w:rPr>
        <w:t xml:space="preserve"> </w:t>
      </w:r>
      <w:r>
        <w:rPr>
          <w:rFonts w:hint="eastAsia" w:ascii="宋体" w:hAnsi="宋体" w:cs="仿宋_GB2312"/>
          <w:color w:val="000000"/>
          <w:sz w:val="24"/>
        </w:rPr>
        <w:t>个工作日内对货物进行安装、调试。</w:t>
      </w:r>
    </w:p>
    <w:p w14:paraId="00483B1E">
      <w:pPr>
        <w:snapToGrid w:val="0"/>
        <w:spacing w:line="360" w:lineRule="auto"/>
        <w:ind w:firstLine="480" w:firstLineChars="200"/>
        <w:rPr>
          <w:rFonts w:ascii="宋体" w:hAnsi="宋体" w:cs="仿宋_GB2312"/>
          <w:color w:val="000000"/>
          <w:sz w:val="24"/>
        </w:rPr>
      </w:pPr>
      <w:r>
        <w:rPr>
          <w:rFonts w:hint="eastAsia" w:ascii="宋体" w:hAnsi="宋体" w:cs="仿宋_GB2312"/>
          <w:color w:val="000000"/>
          <w:sz w:val="24"/>
        </w:rPr>
        <w:t>2</w:t>
      </w:r>
      <w:r>
        <w:rPr>
          <w:rFonts w:hint="eastAsia" w:ascii="宋体" w:hAnsi="宋体" w:cs="仿宋_GB2312"/>
          <w:color w:val="000000"/>
          <w:kern w:val="1"/>
          <w:sz w:val="24"/>
          <w:lang w:eastAsia="ar-SA"/>
        </w:rPr>
        <w:t>.</w:t>
      </w:r>
      <w:r>
        <w:rPr>
          <w:rFonts w:hint="eastAsia" w:ascii="宋体" w:hAnsi="宋体" w:cs="仿宋_GB2312"/>
          <w:color w:val="000000"/>
          <w:sz w:val="24"/>
        </w:rPr>
        <w:t>乙方负责甲方有关人员的培训</w:t>
      </w:r>
      <w:r>
        <w:rPr>
          <w:rFonts w:hint="eastAsia" w:ascii="宋体" w:hAnsi="宋体" w:cs="仿宋_GB2312"/>
          <w:color w:val="000000"/>
          <w:sz w:val="24"/>
          <w:lang w:eastAsia="zh-Hans"/>
        </w:rPr>
        <w:t>，具体培训时间</w:t>
      </w:r>
      <w:bookmarkStart w:id="94" w:name="_Hlk148991472"/>
      <w:r>
        <w:rPr>
          <w:rFonts w:hint="eastAsia" w:ascii="宋体" w:hAnsi="宋体" w:cs="仿宋_GB2312"/>
          <w:color w:val="000000"/>
          <w:sz w:val="24"/>
          <w:lang w:eastAsia="zh-Hans"/>
        </w:rPr>
        <w:t>、地点</w:t>
      </w:r>
      <w:bookmarkEnd w:id="94"/>
      <w:r>
        <w:rPr>
          <w:rFonts w:hint="eastAsia" w:ascii="宋体" w:hAnsi="宋体" w:cs="仿宋_GB2312"/>
          <w:color w:val="000000"/>
          <w:sz w:val="24"/>
          <w:lang w:eastAsia="zh-Hans"/>
        </w:rPr>
        <w:t>由甲方予以确定</w:t>
      </w:r>
      <w:r>
        <w:rPr>
          <w:rFonts w:hint="eastAsia" w:ascii="宋体" w:hAnsi="宋体" w:cs="仿宋_GB2312"/>
          <w:color w:val="000000"/>
          <w:sz w:val="24"/>
        </w:rPr>
        <w:t>。</w:t>
      </w:r>
    </w:p>
    <w:p w14:paraId="7DF9C289">
      <w:pPr>
        <w:snapToGrid w:val="0"/>
        <w:spacing w:line="360" w:lineRule="auto"/>
        <w:ind w:firstLine="480" w:firstLineChars="200"/>
        <w:rPr>
          <w:rFonts w:ascii="宋体" w:hAnsi="宋体" w:cs="仿宋_GB2312"/>
          <w:color w:val="000000"/>
          <w:sz w:val="24"/>
        </w:rPr>
      </w:pPr>
      <w:bookmarkStart w:id="95" w:name="_Hlk148991458"/>
      <w:r>
        <w:rPr>
          <w:rFonts w:hint="eastAsia" w:ascii="宋体" w:hAnsi="宋体" w:cs="仿宋_GB2312"/>
          <w:color w:val="000000"/>
          <w:sz w:val="24"/>
        </w:rPr>
        <w:t>3.产品安装、调试、培训期间乙方应严格做好安全防护措施，设置安全警示标识，及时消除安全隐患，做到安全、文明施工（作业），并承担相关费用。安装、调试、培训期间发生安全事故的，责任由乙方承担，由此造成甲方、乙方人员或者第三方损失的，乙方予以赔偿。</w:t>
      </w:r>
    </w:p>
    <w:bookmarkEnd w:id="95"/>
    <w:p w14:paraId="5C8F7443">
      <w:pPr>
        <w:spacing w:line="360" w:lineRule="auto"/>
        <w:ind w:firstLine="482" w:firstLineChars="200"/>
        <w:rPr>
          <w:rFonts w:ascii="宋体" w:hAnsi="宋体" w:cs="仿宋_GB2312"/>
          <w:b/>
          <w:color w:val="000000"/>
          <w:sz w:val="24"/>
        </w:rPr>
      </w:pPr>
      <w:r>
        <w:rPr>
          <w:rFonts w:hint="eastAsia" w:ascii="宋体" w:hAnsi="宋体" w:cs="仿宋_GB2312"/>
          <w:b/>
          <w:color w:val="000000"/>
          <w:sz w:val="24"/>
        </w:rPr>
        <w:t>第七条 售后服务、质保期</w:t>
      </w:r>
    </w:p>
    <w:p w14:paraId="2EEF9839">
      <w:pPr>
        <w:spacing w:line="360" w:lineRule="auto"/>
        <w:ind w:firstLine="480" w:firstLineChars="200"/>
        <w:rPr>
          <w:rFonts w:ascii="宋体" w:hAnsi="宋体" w:cs="仿宋_GB2312"/>
          <w:b/>
          <w:bCs/>
          <w:color w:val="000000"/>
          <w:sz w:val="24"/>
          <w:u w:val="single"/>
        </w:rPr>
      </w:pPr>
      <w:r>
        <w:rPr>
          <w:rFonts w:hint="eastAsia" w:ascii="宋体" w:hAnsi="宋体" w:cs="仿宋_GB2312"/>
          <w:color w:val="000000"/>
          <w:sz w:val="24"/>
        </w:rPr>
        <w:t>1</w:t>
      </w:r>
      <w:r>
        <w:rPr>
          <w:rFonts w:hint="eastAsia" w:ascii="宋体" w:hAnsi="宋体" w:cs="仿宋_GB2312"/>
          <w:color w:val="000000"/>
          <w:kern w:val="1"/>
          <w:sz w:val="24"/>
          <w:lang w:eastAsia="ar-SA"/>
        </w:rPr>
        <w:t>.</w:t>
      </w:r>
      <w:r>
        <w:rPr>
          <w:rFonts w:hint="eastAsia" w:ascii="宋体" w:hAnsi="宋体" w:cs="仿宋_GB2312"/>
          <w:color w:val="000000"/>
          <w:sz w:val="24"/>
        </w:rPr>
        <w:t>乙方应按照国家有关法律法规和“三包”规定以及采购文件、投标/响应文件和本合同所附的《服务承诺》，为甲方提供售后服务。</w:t>
      </w:r>
      <w:bookmarkStart w:id="96" w:name="_Hlk148991480"/>
      <w:r>
        <w:rPr>
          <w:rFonts w:hint="eastAsia" w:ascii="宋体" w:hAnsi="宋体" w:cs="仿宋_GB2312"/>
          <w:color w:val="000000"/>
          <w:sz w:val="24"/>
        </w:rPr>
        <w:t>以上约定、规范、文件、承诺内容不一致的，以最长期限为准。</w:t>
      </w:r>
    </w:p>
    <w:bookmarkEnd w:id="96"/>
    <w:p w14:paraId="63AE51AA">
      <w:pPr>
        <w:spacing w:line="360" w:lineRule="auto"/>
        <w:ind w:firstLine="480" w:firstLineChars="200"/>
        <w:rPr>
          <w:rFonts w:ascii="宋体" w:hAnsi="宋体" w:cs="仿宋_GB2312"/>
          <w:color w:val="000000"/>
          <w:sz w:val="24"/>
        </w:rPr>
      </w:pPr>
      <w:r>
        <w:rPr>
          <w:rFonts w:hint="eastAsia" w:ascii="宋体" w:hAnsi="宋体" w:cs="仿宋_GB2312"/>
          <w:color w:val="000000"/>
          <w:sz w:val="24"/>
        </w:rPr>
        <w:t>2</w:t>
      </w:r>
      <w:r>
        <w:rPr>
          <w:rFonts w:hint="eastAsia" w:ascii="宋体" w:hAnsi="宋体" w:cs="仿宋_GB2312"/>
          <w:color w:val="000000"/>
          <w:kern w:val="1"/>
          <w:sz w:val="24"/>
          <w:lang w:eastAsia="ar-SA"/>
        </w:rPr>
        <w:t>.</w:t>
      </w:r>
      <w:r>
        <w:rPr>
          <w:rFonts w:hint="eastAsia" w:ascii="宋体" w:hAnsi="宋体" w:cs="仿宋_GB2312"/>
          <w:color w:val="000000"/>
          <w:sz w:val="24"/>
        </w:rPr>
        <w:t>货物质保期：</w:t>
      </w:r>
      <w:r>
        <w:rPr>
          <w:rFonts w:hint="eastAsia" w:ascii="宋体" w:hAnsi="宋体" w:cs="仿宋_GB2312"/>
          <w:color w:val="000000"/>
          <w:sz w:val="24"/>
          <w:u w:val="single"/>
        </w:rPr>
        <w:t xml:space="preserve">                                                         。</w:t>
      </w:r>
    </w:p>
    <w:p w14:paraId="6CADD131">
      <w:pPr>
        <w:spacing w:line="360" w:lineRule="auto"/>
        <w:ind w:firstLine="480" w:firstLineChars="200"/>
        <w:rPr>
          <w:rFonts w:ascii="宋体" w:hAnsi="宋体" w:cs="仿宋_GB2312"/>
          <w:color w:val="000000"/>
          <w:sz w:val="24"/>
        </w:rPr>
      </w:pPr>
      <w:r>
        <w:rPr>
          <w:rFonts w:hint="eastAsia" w:ascii="宋体" w:hAnsi="宋体" w:cs="仿宋_GB2312"/>
          <w:color w:val="000000"/>
          <w:sz w:val="24"/>
        </w:rPr>
        <w:t>3</w:t>
      </w:r>
      <w:r>
        <w:rPr>
          <w:rFonts w:hint="eastAsia" w:ascii="宋体" w:hAnsi="宋体" w:cs="仿宋_GB2312"/>
          <w:color w:val="000000"/>
          <w:kern w:val="1"/>
          <w:sz w:val="24"/>
          <w:lang w:eastAsia="ar-SA"/>
        </w:rPr>
        <w:t>.</w:t>
      </w:r>
      <w:r>
        <w:rPr>
          <w:rFonts w:hint="eastAsia" w:ascii="宋体" w:hAnsi="宋体" w:cs="仿宋_GB2312"/>
          <w:color w:val="000000"/>
          <w:sz w:val="24"/>
        </w:rPr>
        <w:t>乙方提供的服务承诺和售后服务及质保期责任等其他具体约定事项（见合同附件)。</w:t>
      </w:r>
    </w:p>
    <w:p w14:paraId="73426C9E">
      <w:pPr>
        <w:spacing w:line="360" w:lineRule="auto"/>
        <w:ind w:firstLine="482" w:firstLineChars="200"/>
        <w:rPr>
          <w:rFonts w:ascii="宋体" w:hAnsi="宋体" w:cs="仿宋_GB2312"/>
          <w:b/>
          <w:bCs/>
          <w:color w:val="000000"/>
          <w:sz w:val="24"/>
        </w:rPr>
      </w:pPr>
      <w:r>
        <w:rPr>
          <w:rFonts w:hint="eastAsia" w:ascii="宋体" w:hAnsi="宋体" w:cs="仿宋_GB2312"/>
          <w:b/>
          <w:bCs/>
          <w:color w:val="000000"/>
          <w:sz w:val="24"/>
        </w:rPr>
        <w:t>第八条 付款方式</w:t>
      </w:r>
    </w:p>
    <w:p w14:paraId="16689377">
      <w:pPr>
        <w:spacing w:line="360" w:lineRule="auto"/>
        <w:ind w:firstLine="480" w:firstLineChars="200"/>
        <w:rPr>
          <w:rFonts w:ascii="宋体" w:hAnsi="宋体" w:cs="仿宋_GB2312"/>
          <w:color w:val="000000"/>
          <w:sz w:val="24"/>
        </w:rPr>
      </w:pPr>
      <w:r>
        <w:rPr>
          <w:rFonts w:hint="eastAsia" w:ascii="宋体" w:hAnsi="宋体" w:cs="仿宋_GB2312"/>
          <w:color w:val="000000"/>
          <w:sz w:val="24"/>
        </w:rPr>
        <w:t>1</w:t>
      </w:r>
      <w:r>
        <w:rPr>
          <w:rFonts w:hint="eastAsia" w:ascii="宋体" w:hAnsi="宋体" w:cs="仿宋_GB2312"/>
          <w:color w:val="000000"/>
          <w:kern w:val="1"/>
          <w:sz w:val="24"/>
          <w:lang w:eastAsia="ar-SA"/>
        </w:rPr>
        <w:t>.</w:t>
      </w:r>
      <w:r>
        <w:rPr>
          <w:rFonts w:hint="eastAsia" w:ascii="宋体" w:hAnsi="宋体" w:cs="仿宋_GB2312"/>
          <w:color w:val="000000"/>
          <w:sz w:val="24"/>
        </w:rPr>
        <w:t>当采购数量与实际使用数量不一致时，乙方应根据实际使用量供货，合同的最终结算金额按实际使用量乘以中标单价进行计算，但最终结算金额不得超过合同约定价款的10%，否则甲方有权单方解除本合同且不承担违约责任。</w:t>
      </w:r>
    </w:p>
    <w:p w14:paraId="7B9B1899">
      <w:pPr>
        <w:suppressAutoHyphens/>
        <w:spacing w:line="360" w:lineRule="auto"/>
        <w:ind w:firstLine="480" w:firstLineChars="200"/>
        <w:rPr>
          <w:rFonts w:ascii="宋体" w:hAnsi="宋体" w:cs="仿宋_GB2312"/>
          <w:color w:val="000000"/>
          <w:kern w:val="1"/>
          <w:sz w:val="24"/>
        </w:rPr>
      </w:pPr>
      <w:r>
        <w:rPr>
          <w:rFonts w:hint="eastAsia" w:ascii="宋体" w:hAnsi="宋体" w:cs="仿宋_GB2312"/>
          <w:color w:val="000000"/>
          <w:kern w:val="1"/>
          <w:sz w:val="24"/>
        </w:rPr>
        <w:t>2</w:t>
      </w:r>
      <w:r>
        <w:rPr>
          <w:rFonts w:hint="eastAsia" w:ascii="宋体" w:hAnsi="宋体" w:cs="仿宋_GB2312"/>
          <w:color w:val="000000"/>
          <w:kern w:val="1"/>
          <w:sz w:val="24"/>
          <w:lang w:eastAsia="ar-SA"/>
        </w:rPr>
        <w:t>.</w:t>
      </w:r>
      <w:r>
        <w:rPr>
          <w:rFonts w:hint="eastAsia" w:ascii="宋体" w:hAnsi="宋体" w:cs="仿宋_GB2312"/>
          <w:color w:val="000000"/>
          <w:kern w:val="1"/>
          <w:sz w:val="24"/>
        </w:rPr>
        <w:t>付款方式：</w:t>
      </w:r>
      <w:r>
        <w:rPr>
          <w:rFonts w:hint="eastAsia" w:ascii="宋体" w:hAnsi="宋体" w:cs="仿宋_GB2312"/>
          <w:color w:val="000000"/>
          <w:kern w:val="1"/>
          <w:sz w:val="24"/>
          <w:lang w:eastAsia="zh-Hans"/>
        </w:rPr>
        <w:t>甲乙双方签订合同，乙方所有货物交货安装调试完毕并验收合格后，甲方凭乙方开具合法有效的全额发票后，甲方在六十个日历日内向乙方支付合同款的95%；余款5%在项目验收完成并满12个月后六十个日历日内，甲方向乙方一次性付清（无息）。乙方未开具全额发票的，甲方有权不支付合同</w:t>
      </w:r>
      <w:r>
        <w:rPr>
          <w:rFonts w:hint="eastAsia" w:ascii="宋体" w:hAnsi="宋体" w:cs="仿宋_GB2312"/>
          <w:color w:val="000000"/>
          <w:kern w:val="1"/>
          <w:sz w:val="24"/>
        </w:rPr>
        <w:t>款。</w:t>
      </w:r>
    </w:p>
    <w:p w14:paraId="17C89A57">
      <w:pPr>
        <w:spacing w:line="360" w:lineRule="auto"/>
        <w:ind w:firstLine="482" w:firstLineChars="200"/>
        <w:rPr>
          <w:rFonts w:ascii="宋体" w:hAnsi="宋体" w:cs="仿宋_GB2312"/>
          <w:b/>
          <w:bCs/>
          <w:color w:val="000000"/>
          <w:sz w:val="24"/>
        </w:rPr>
      </w:pPr>
      <w:r>
        <w:rPr>
          <w:rFonts w:hint="eastAsia" w:ascii="宋体" w:hAnsi="宋体" w:cs="仿宋_GB2312"/>
          <w:b/>
          <w:bCs/>
          <w:color w:val="000000"/>
          <w:sz w:val="24"/>
        </w:rPr>
        <w:t>第九条 履约保证金</w:t>
      </w:r>
    </w:p>
    <w:p w14:paraId="59B03AB4">
      <w:pPr>
        <w:suppressAutoHyphens/>
        <w:snapToGrid w:val="0"/>
        <w:spacing w:line="360" w:lineRule="auto"/>
        <w:ind w:firstLine="480" w:firstLineChars="200"/>
        <w:rPr>
          <w:rFonts w:ascii="宋体" w:hAnsi="宋体" w:cs="仿宋_GB2312"/>
          <w:color w:val="000000"/>
          <w:kern w:val="1"/>
          <w:sz w:val="24"/>
        </w:rPr>
      </w:pPr>
      <w:r>
        <w:rPr>
          <w:rFonts w:hint="eastAsia" w:ascii="宋体" w:hAnsi="宋体" w:cs="仿宋_GB2312"/>
          <w:color w:val="000000"/>
          <w:kern w:val="1"/>
          <w:sz w:val="24"/>
          <w:u w:val="single"/>
          <w:lang w:eastAsia="ar-SA"/>
        </w:rPr>
        <w:t>履约保证金：</w:t>
      </w:r>
      <w:r>
        <w:rPr>
          <w:rFonts w:hint="eastAsia" w:ascii="宋体" w:hAnsi="宋体" w:cs="仿宋_GB2312"/>
          <w:color w:val="000000"/>
          <w:kern w:val="1"/>
          <w:sz w:val="24"/>
          <w:u w:val="single"/>
        </w:rPr>
        <w:t>本项目不收取履约保证金。</w:t>
      </w:r>
      <w:r>
        <w:rPr>
          <w:rFonts w:hint="eastAsia" w:ascii="宋体" w:hAnsi="宋体" w:cs="仿宋_GB2312"/>
          <w:color w:val="000000"/>
          <w:kern w:val="1"/>
          <w:sz w:val="24"/>
        </w:rPr>
        <w:t xml:space="preserve"> </w:t>
      </w:r>
    </w:p>
    <w:p w14:paraId="11E8C581">
      <w:pPr>
        <w:spacing w:line="360" w:lineRule="auto"/>
        <w:ind w:firstLine="482" w:firstLineChars="200"/>
        <w:rPr>
          <w:rFonts w:ascii="宋体" w:hAnsi="宋体" w:cs="仿宋_GB2312"/>
          <w:b/>
          <w:bCs/>
          <w:color w:val="000000"/>
          <w:sz w:val="24"/>
        </w:rPr>
      </w:pPr>
      <w:r>
        <w:rPr>
          <w:rFonts w:hint="eastAsia" w:ascii="宋体" w:hAnsi="宋体" w:cs="仿宋_GB2312"/>
          <w:b/>
          <w:bCs/>
          <w:color w:val="000000"/>
          <w:sz w:val="24"/>
        </w:rPr>
        <w:t>第十条 税费</w:t>
      </w:r>
    </w:p>
    <w:p w14:paraId="1C4943B7">
      <w:pPr>
        <w:spacing w:line="360" w:lineRule="auto"/>
        <w:ind w:firstLine="480" w:firstLineChars="200"/>
        <w:rPr>
          <w:rFonts w:ascii="宋体" w:hAnsi="宋体" w:cs="仿宋_GB2312"/>
          <w:color w:val="000000"/>
          <w:sz w:val="24"/>
        </w:rPr>
      </w:pPr>
      <w:r>
        <w:rPr>
          <w:rFonts w:hint="eastAsia" w:ascii="宋体" w:hAnsi="宋体" w:cs="仿宋_GB2312"/>
          <w:color w:val="000000"/>
          <w:sz w:val="24"/>
        </w:rPr>
        <w:t>本合同执行中相关的一切税费均由乙方负担。</w:t>
      </w:r>
    </w:p>
    <w:p w14:paraId="0F2FD10A">
      <w:pPr>
        <w:spacing w:line="360" w:lineRule="auto"/>
        <w:ind w:firstLine="482" w:firstLineChars="200"/>
        <w:rPr>
          <w:rFonts w:ascii="宋体" w:hAnsi="宋体" w:cs="仿宋_GB2312"/>
          <w:b/>
          <w:bCs/>
          <w:color w:val="000000"/>
          <w:sz w:val="24"/>
        </w:rPr>
      </w:pPr>
      <w:r>
        <w:rPr>
          <w:rFonts w:hint="eastAsia" w:ascii="宋体" w:hAnsi="宋体" w:cs="仿宋_GB2312"/>
          <w:b/>
          <w:bCs/>
          <w:color w:val="000000"/>
          <w:sz w:val="24"/>
        </w:rPr>
        <w:t>第十一条 质量保证及售后服务</w:t>
      </w:r>
    </w:p>
    <w:p w14:paraId="6D1C7E55">
      <w:pPr>
        <w:suppressAutoHyphens/>
        <w:snapToGrid w:val="0"/>
        <w:spacing w:line="360" w:lineRule="auto"/>
        <w:ind w:firstLine="480" w:firstLineChars="200"/>
        <w:rPr>
          <w:rFonts w:ascii="宋体" w:hAnsi="宋体" w:cs="仿宋_GB2312"/>
          <w:color w:val="000000"/>
          <w:kern w:val="1"/>
          <w:sz w:val="24"/>
          <w:lang w:eastAsia="ar-SA"/>
        </w:rPr>
      </w:pPr>
      <w:r>
        <w:rPr>
          <w:rFonts w:hint="eastAsia" w:ascii="宋体" w:hAnsi="宋体" w:cs="仿宋_GB2312"/>
          <w:color w:val="000000"/>
          <w:kern w:val="1"/>
          <w:sz w:val="24"/>
          <w:lang w:eastAsia="ar-SA"/>
        </w:rPr>
        <w:t>1.乙方应按采购文件规定的货物性能、技术要求、质量标准向甲方提供未经使用的全新产品。乙方提供货物的质量保证期按交货验收合格之日起计（期限见《采购需求》中的要求）。在保证期内因货物本身的质量问题发生故障，乙方应负责免费修理和更换零部件。对达不到技术要求者，根据实际情况，经双方协商，可按以下办法处理：</w:t>
      </w:r>
    </w:p>
    <w:p w14:paraId="17FD3B0C">
      <w:pPr>
        <w:suppressAutoHyphens/>
        <w:snapToGrid w:val="0"/>
        <w:spacing w:line="360" w:lineRule="auto"/>
        <w:ind w:firstLine="480" w:firstLineChars="200"/>
        <w:rPr>
          <w:rFonts w:ascii="宋体" w:hAnsi="宋体" w:cs="仿宋_GB2312"/>
          <w:color w:val="000000"/>
          <w:kern w:val="1"/>
          <w:sz w:val="24"/>
          <w:lang w:eastAsia="ar-SA"/>
        </w:rPr>
      </w:pPr>
      <w:r>
        <w:rPr>
          <w:rFonts w:hint="eastAsia" w:ascii="宋体" w:hAnsi="宋体" w:cs="仿宋_GB2312"/>
          <w:color w:val="000000"/>
          <w:kern w:val="1"/>
          <w:sz w:val="24"/>
          <w:lang w:eastAsia="ar-SA"/>
        </w:rPr>
        <w:t>（1）更换：产品出现质量问题、经乙方</w:t>
      </w:r>
      <w:r>
        <w:rPr>
          <w:rFonts w:hint="eastAsia" w:ascii="宋体" w:hAnsi="宋体" w:cs="仿宋_GB2312"/>
          <w:color w:val="000000"/>
          <w:kern w:val="1"/>
          <w:sz w:val="24"/>
          <w:u w:val="single"/>
          <w:lang w:eastAsia="ar-SA"/>
        </w:rPr>
        <w:t>1</w:t>
      </w:r>
      <w:r>
        <w:rPr>
          <w:rFonts w:hint="eastAsia" w:ascii="宋体" w:hAnsi="宋体" w:cs="仿宋_GB2312"/>
          <w:color w:val="000000"/>
          <w:kern w:val="1"/>
          <w:sz w:val="24"/>
          <w:lang w:eastAsia="ar-SA"/>
        </w:rPr>
        <w:t>次维修仍不能达到合同约定的质量标准的，甲方有权更换，并由乙方承担所发生的全部费用。</w:t>
      </w:r>
    </w:p>
    <w:p w14:paraId="434B19B9">
      <w:pPr>
        <w:suppressAutoHyphens/>
        <w:snapToGrid w:val="0"/>
        <w:spacing w:line="360" w:lineRule="auto"/>
        <w:ind w:firstLine="480" w:firstLineChars="200"/>
        <w:rPr>
          <w:rFonts w:ascii="宋体" w:hAnsi="宋体" w:cs="仿宋_GB2312"/>
          <w:color w:val="000000"/>
          <w:kern w:val="1"/>
          <w:sz w:val="24"/>
          <w:lang w:eastAsia="ar-SA"/>
        </w:rPr>
      </w:pPr>
      <w:r>
        <w:rPr>
          <w:rFonts w:hint="eastAsia" w:ascii="宋体" w:hAnsi="宋体" w:cs="仿宋_GB2312"/>
          <w:color w:val="000000"/>
          <w:kern w:val="1"/>
          <w:sz w:val="24"/>
          <w:lang w:eastAsia="ar-SA"/>
        </w:rPr>
        <w:t>（2）贬值处理：</w:t>
      </w:r>
      <w:r>
        <w:rPr>
          <w:rFonts w:hint="eastAsia" w:ascii="宋体" w:hAnsi="宋体" w:cs="仿宋_GB2312"/>
          <w:color w:val="000000"/>
          <w:kern w:val="1"/>
          <w:sz w:val="24"/>
          <w:lang w:eastAsia="zh-Hans"/>
        </w:rPr>
        <w:t>因乙方</w:t>
      </w:r>
      <w:r>
        <w:rPr>
          <w:rFonts w:hint="eastAsia" w:ascii="宋体" w:hAnsi="宋体" w:cs="仿宋_GB2312"/>
          <w:color w:val="000000"/>
          <w:kern w:val="1"/>
          <w:sz w:val="24"/>
          <w:lang w:eastAsia="ar-SA"/>
        </w:rPr>
        <w:t>产品出现质量问题</w:t>
      </w:r>
      <w:r>
        <w:rPr>
          <w:rFonts w:hint="eastAsia" w:ascii="宋体" w:hAnsi="宋体" w:cs="仿宋_GB2312"/>
          <w:color w:val="000000"/>
          <w:kern w:val="1"/>
          <w:sz w:val="24"/>
          <w:lang w:eastAsia="zh-Hans"/>
        </w:rPr>
        <w:t>造成退换货产生的贬值由乙方自行承担</w:t>
      </w:r>
      <w:r>
        <w:rPr>
          <w:rFonts w:hint="eastAsia" w:ascii="宋体" w:hAnsi="宋体" w:cs="仿宋_GB2312"/>
          <w:color w:val="000000"/>
          <w:kern w:val="1"/>
          <w:sz w:val="24"/>
          <w:lang w:eastAsia="ar-SA"/>
        </w:rPr>
        <w:t>。</w:t>
      </w:r>
    </w:p>
    <w:p w14:paraId="03240020">
      <w:pPr>
        <w:suppressAutoHyphens/>
        <w:snapToGrid w:val="0"/>
        <w:spacing w:line="360" w:lineRule="auto"/>
        <w:ind w:firstLine="480" w:firstLineChars="200"/>
        <w:rPr>
          <w:rFonts w:ascii="宋体" w:hAnsi="宋体" w:cs="仿宋_GB2312"/>
          <w:color w:val="000000"/>
          <w:kern w:val="1"/>
          <w:sz w:val="24"/>
          <w:lang w:eastAsia="ar-SA"/>
        </w:rPr>
      </w:pPr>
      <w:r>
        <w:rPr>
          <w:rFonts w:hint="eastAsia" w:ascii="宋体" w:hAnsi="宋体" w:cs="仿宋_GB2312"/>
          <w:color w:val="000000"/>
          <w:kern w:val="1"/>
          <w:sz w:val="24"/>
          <w:lang w:eastAsia="ar-SA"/>
        </w:rPr>
        <w:t>（3）退货处理：产品出现严重质量问题</w:t>
      </w:r>
      <w:r>
        <w:rPr>
          <w:rFonts w:hint="eastAsia" w:ascii="宋体" w:hAnsi="宋体" w:cs="仿宋_GB2312"/>
          <w:color w:val="000000"/>
          <w:kern w:val="1"/>
          <w:sz w:val="24"/>
        </w:rPr>
        <w:t>（如主部件损坏、反应迟钝、无法满足需求、更换一次后仍出现质量问题）</w:t>
      </w:r>
      <w:r>
        <w:rPr>
          <w:rFonts w:hint="eastAsia" w:ascii="宋体" w:hAnsi="宋体" w:cs="仿宋_GB2312"/>
          <w:color w:val="000000"/>
          <w:kern w:val="1"/>
          <w:sz w:val="24"/>
          <w:lang w:eastAsia="ar-SA"/>
        </w:rPr>
        <w:t>的，甲方有权退货，乙方应退还甲方支付的合同款，同时承担退货所发生的所有费用（运输、保险、检验、货款利息及银行手续费等），并视作乙方不能交付货物而须支付违约赔偿金给甲方，甲方还可依法追究乙方的违约责任，且甲方有权终止合同，由此造成的损失由乙方负责。</w:t>
      </w:r>
    </w:p>
    <w:p w14:paraId="37020ADB">
      <w:pPr>
        <w:snapToGrid w:val="0"/>
        <w:spacing w:line="360" w:lineRule="auto"/>
        <w:ind w:firstLine="480" w:firstLineChars="200"/>
        <w:rPr>
          <w:rFonts w:ascii="宋体" w:hAnsi="宋体" w:cs="仿宋_GB2312"/>
          <w:sz w:val="24"/>
        </w:rPr>
      </w:pPr>
      <w:r>
        <w:rPr>
          <w:rFonts w:hint="eastAsia" w:ascii="宋体" w:hAnsi="宋体" w:cs="仿宋_GB2312"/>
          <w:color w:val="000000"/>
          <w:sz w:val="24"/>
        </w:rPr>
        <w:t>2.如在使用过程中发生质量问题，乙方在接到甲</w:t>
      </w:r>
      <w:r>
        <w:rPr>
          <w:rFonts w:hint="eastAsia" w:ascii="宋体" w:hAnsi="宋体" w:cs="仿宋_GB2312"/>
          <w:sz w:val="24"/>
        </w:rPr>
        <w:t>方通知后到达甲方现场处理的时间（按响应文件承诺的数据填写）小时内。对于质保期内不能修复的产品</w:t>
      </w:r>
      <w:r>
        <w:rPr>
          <w:rFonts w:ascii="宋体" w:hAnsi="宋体" w:cs="仿宋_GB2312"/>
          <w:sz w:val="24"/>
        </w:rPr>
        <w:t>/部件，乙方应在XX个小时内免费更换备品备件（同品牌同型号）或高于原设备技术参数要求的备用产品，以保证甲方的正常工作。</w:t>
      </w:r>
      <w:r>
        <w:rPr>
          <w:rFonts w:hint="eastAsia" w:ascii="宋体" w:hAnsi="宋体" w:cs="仿宋_GB2312"/>
          <w:sz w:val="24"/>
        </w:rPr>
        <w:t>乙方在接到甲方通知后拒不响应或解决故障的，甲方有权聘请第三方进行维修，由此产生的费用由乙方承担。</w:t>
      </w:r>
      <w:bookmarkStart w:id="97" w:name="_Hlk148991573"/>
      <w:bookmarkStart w:id="98" w:name="_Hlk148993138"/>
      <w:r>
        <w:rPr>
          <w:rFonts w:hint="eastAsia" w:ascii="宋体" w:hAnsi="宋体" w:cs="仿宋_GB2312"/>
          <w:sz w:val="24"/>
        </w:rPr>
        <w:t>经过甲方或第三人维修、更换后的产品，乙方继续按本合同约定承担质量保修责任。乙方未及时履行保修义务导致的损失均由乙方承担。乙方完成相应维修后，须提供维护维修报告。维护维修更换零配件的应提供使用原厂、全新零配件并经甲方确认。本条时间、日期的约定不受法定节假日影响。</w:t>
      </w:r>
      <w:bookmarkEnd w:id="97"/>
    </w:p>
    <w:bookmarkEnd w:id="98"/>
    <w:p w14:paraId="4C5B0DFA">
      <w:pPr>
        <w:snapToGrid w:val="0"/>
        <w:spacing w:line="360" w:lineRule="auto"/>
        <w:ind w:firstLine="480" w:firstLineChars="200"/>
        <w:rPr>
          <w:rFonts w:ascii="宋体" w:hAnsi="宋体" w:cs="仿宋_GB2312"/>
          <w:sz w:val="24"/>
        </w:rPr>
      </w:pPr>
      <w:r>
        <w:rPr>
          <w:rFonts w:hint="eastAsia" w:ascii="宋体" w:hAnsi="宋体" w:cs="仿宋_GB2312"/>
          <w:sz w:val="24"/>
        </w:rPr>
        <w:t>3.在质保期内，乙方应对货物出现的质量及安全问题负责处理解决并承担一切费用。如有产品质量争议，则按照国家相关法律法规及行业标准</w:t>
      </w:r>
      <w:r>
        <w:rPr>
          <w:rFonts w:hint="eastAsia" w:ascii="宋体" w:hAnsi="宋体" w:cs="仿宋_GB2312"/>
          <w:sz w:val="24"/>
          <w:lang w:eastAsia="zh-Hans"/>
        </w:rPr>
        <w:t>、地方标准等标准、规范解决（上述标准、规范有出入的，以较严格为准）</w:t>
      </w:r>
      <w:r>
        <w:rPr>
          <w:rFonts w:hint="eastAsia" w:ascii="宋体" w:hAnsi="宋体" w:cs="仿宋_GB2312"/>
          <w:sz w:val="24"/>
        </w:rPr>
        <w:t>，</w:t>
      </w:r>
      <w:r>
        <w:rPr>
          <w:rFonts w:hint="eastAsia" w:ascii="宋体" w:hAnsi="宋体" w:cs="仿宋_GB2312"/>
          <w:sz w:val="24"/>
          <w:lang w:eastAsia="zh-Hans"/>
        </w:rPr>
        <w:t>如采购文件中明确对货物提出更高的技术要求的，乙方还应当确保符合采购文件提出的技术要求</w:t>
      </w:r>
      <w:r>
        <w:rPr>
          <w:rFonts w:hint="eastAsia" w:ascii="宋体" w:hAnsi="宋体" w:cs="仿宋_GB2312"/>
          <w:sz w:val="24"/>
        </w:rPr>
        <w:t>。</w:t>
      </w:r>
    </w:p>
    <w:p w14:paraId="55ED3B54">
      <w:pPr>
        <w:snapToGrid w:val="0"/>
        <w:spacing w:line="360" w:lineRule="auto"/>
        <w:ind w:firstLine="480" w:firstLineChars="200"/>
        <w:rPr>
          <w:rFonts w:ascii="宋体" w:hAnsi="宋体" w:cs="仿宋_GB2312"/>
          <w:sz w:val="24"/>
        </w:rPr>
      </w:pPr>
      <w:r>
        <w:rPr>
          <w:rFonts w:hint="eastAsia" w:ascii="宋体" w:hAnsi="宋体" w:cs="仿宋_GB2312"/>
          <w:sz w:val="24"/>
        </w:rPr>
        <w:t>4.上述的货物因人为因素出现的故障不在免费保修范围内。超过质保期的机器设备，终身维修，维修时只收取部件成本费。</w:t>
      </w:r>
    </w:p>
    <w:p w14:paraId="19567525">
      <w:pPr>
        <w:spacing w:line="360" w:lineRule="auto"/>
        <w:ind w:firstLine="480" w:firstLineChars="200"/>
        <w:rPr>
          <w:rFonts w:ascii="宋体" w:hAnsi="宋体" w:cs="仿宋_GB2312"/>
          <w:sz w:val="24"/>
        </w:rPr>
      </w:pPr>
      <w:bookmarkStart w:id="99" w:name="_Hlk148991585"/>
      <w:r>
        <w:rPr>
          <w:rFonts w:hint="eastAsia" w:ascii="宋体" w:hAnsi="宋体" w:cs="仿宋_GB2312"/>
          <w:sz w:val="24"/>
        </w:rPr>
        <w:t>5.在质量保证期内，如发生重要或核心部件贰次及以上故障，或相同故障经叁次维修不能解决的，甲方有权要求乙方无条件退款退货并赔偿损失。</w:t>
      </w:r>
    </w:p>
    <w:p w14:paraId="5060FE19">
      <w:pPr>
        <w:spacing w:line="360" w:lineRule="auto"/>
        <w:ind w:firstLine="480" w:firstLineChars="200"/>
        <w:rPr>
          <w:rFonts w:ascii="宋体" w:hAnsi="宋体" w:cs="仿宋_GB2312"/>
          <w:sz w:val="24"/>
        </w:rPr>
      </w:pPr>
      <w:r>
        <w:rPr>
          <w:rFonts w:hint="eastAsia" w:ascii="宋体" w:hAnsi="宋体" w:cs="仿宋_GB2312"/>
          <w:sz w:val="24"/>
        </w:rPr>
        <w:t>6.产品重要或核心零部件经过维修后，自维修合格之日起，</w:t>
      </w:r>
      <w:bookmarkStart w:id="100" w:name="_Hlk148991133"/>
      <w:r>
        <w:rPr>
          <w:rFonts w:hint="eastAsia" w:ascii="宋体" w:hAnsi="宋体" w:cs="仿宋_GB2312"/>
          <w:sz w:val="24"/>
        </w:rPr>
        <w:t>质量保证期重新开始计算</w:t>
      </w:r>
      <w:bookmarkEnd w:id="100"/>
      <w:r>
        <w:rPr>
          <w:rFonts w:hint="eastAsia" w:ascii="宋体" w:hAnsi="宋体" w:cs="仿宋_GB2312"/>
          <w:sz w:val="24"/>
        </w:rPr>
        <w:t>。采购文件及乙方在质量保证或售后服务承诺中对质量保修及售后服务有其它约定及有更高要求的以其约定为准。乙方质保、维修后交付的设备以及设备内的各项零件均须符合国家、行业各项法律、法规以及标准规范，如存在多个标准规范的，以最高要求的标准规范为准。</w:t>
      </w:r>
    </w:p>
    <w:bookmarkEnd w:id="99"/>
    <w:p w14:paraId="3DFD9F53">
      <w:pPr>
        <w:snapToGrid w:val="0"/>
        <w:spacing w:line="360" w:lineRule="auto"/>
        <w:ind w:firstLine="482" w:firstLineChars="200"/>
        <w:rPr>
          <w:rFonts w:ascii="宋体" w:hAnsi="宋体" w:cs="仿宋_GB2312"/>
          <w:b/>
          <w:sz w:val="24"/>
        </w:rPr>
      </w:pPr>
      <w:r>
        <w:rPr>
          <w:rFonts w:hint="eastAsia" w:ascii="宋体" w:hAnsi="宋体" w:cs="仿宋_GB2312"/>
          <w:b/>
          <w:sz w:val="24"/>
        </w:rPr>
        <w:t>第十二条 违约责任</w:t>
      </w:r>
    </w:p>
    <w:p w14:paraId="5A49E84D">
      <w:pPr>
        <w:suppressAutoHyphens/>
        <w:snapToGrid w:val="0"/>
        <w:spacing w:line="360" w:lineRule="auto"/>
        <w:ind w:firstLine="480" w:firstLineChars="200"/>
        <w:rPr>
          <w:rFonts w:ascii="宋体" w:hAnsi="宋体" w:cs="仿宋_GB2312"/>
          <w:kern w:val="1"/>
          <w:sz w:val="24"/>
          <w:lang w:eastAsia="ar-SA"/>
        </w:rPr>
      </w:pPr>
      <w:r>
        <w:rPr>
          <w:rFonts w:ascii="宋体" w:hAnsi="宋体" w:cs="仿宋_GB2312"/>
          <w:kern w:val="1"/>
          <w:sz w:val="24"/>
          <w:lang w:eastAsia="ar-SA"/>
        </w:rPr>
        <w:t xml:space="preserve">1.乙方所提供的产品名称、商标品牌、生产厂家、规格型号、技术参数等质量不合格的，应及时更换，更换不及时的按本条第5项逾期交货承担违约责任；因质量问题甲方不同意接收的或者特殊情况甲方同意接收的，乙方应向甲方支付违约货款额5%违约金并赔偿甲方经济损失，甲方不同意接收的，乙方应当退还该部分货款。 </w:t>
      </w:r>
    </w:p>
    <w:p w14:paraId="326D8207">
      <w:pPr>
        <w:suppressAutoHyphens/>
        <w:snapToGrid w:val="0"/>
        <w:spacing w:line="360" w:lineRule="auto"/>
        <w:ind w:firstLine="480" w:firstLineChars="200"/>
        <w:rPr>
          <w:rFonts w:ascii="宋体" w:hAnsi="宋体" w:cs="仿宋_GB2312"/>
          <w:kern w:val="1"/>
          <w:sz w:val="24"/>
          <w:lang w:eastAsia="ar-SA"/>
        </w:rPr>
      </w:pPr>
      <w:r>
        <w:rPr>
          <w:rFonts w:ascii="宋体" w:hAnsi="宋体" w:cs="仿宋_GB2312"/>
          <w:kern w:val="1"/>
          <w:sz w:val="24"/>
          <w:lang w:eastAsia="ar-SA"/>
        </w:rPr>
        <w:t>2.</w:t>
      </w:r>
      <w:r>
        <w:rPr>
          <w:rFonts w:hint="eastAsia" w:ascii="宋体" w:hAnsi="宋体" w:cs="仿宋_GB2312"/>
          <w:kern w:val="1"/>
          <w:sz w:val="24"/>
          <w:lang w:eastAsia="ar-SA"/>
        </w:rPr>
        <w:t>乙方提供的货物如侵犯了第三方合法权益（包括但不限于知识产权、所有权、用益权物、担保物权等）而引发的任何纠纷或诉讼，均由乙方负责交涉并承担全部责任。在处理纠纷或诉讼的过程中，乙方应为甲方取得继续使用该</w:t>
      </w:r>
      <w:r>
        <w:rPr>
          <w:rFonts w:hint="eastAsia" w:ascii="宋体" w:hAnsi="宋体" w:cs="仿宋_GB2312"/>
          <w:kern w:val="1"/>
          <w:sz w:val="24"/>
        </w:rPr>
        <w:t>货物</w:t>
      </w:r>
      <w:r>
        <w:rPr>
          <w:rFonts w:hint="eastAsia" w:ascii="宋体" w:hAnsi="宋体" w:cs="仿宋_GB2312"/>
          <w:kern w:val="1"/>
          <w:sz w:val="24"/>
          <w:lang w:eastAsia="ar-SA"/>
        </w:rPr>
        <w:t>的权利，或者将该</w:t>
      </w:r>
      <w:r>
        <w:rPr>
          <w:rFonts w:hint="eastAsia" w:ascii="宋体" w:hAnsi="宋体" w:cs="仿宋_GB2312"/>
          <w:kern w:val="1"/>
          <w:sz w:val="24"/>
        </w:rPr>
        <w:t>货物</w:t>
      </w:r>
      <w:r>
        <w:rPr>
          <w:rFonts w:hint="eastAsia" w:ascii="宋体" w:hAnsi="宋体" w:cs="仿宋_GB2312"/>
          <w:kern w:val="1"/>
          <w:sz w:val="24"/>
          <w:lang w:eastAsia="ar-SA"/>
        </w:rPr>
        <w:t>替换或修改，以便使用该</w:t>
      </w:r>
      <w:r>
        <w:rPr>
          <w:rFonts w:hint="eastAsia" w:ascii="宋体" w:hAnsi="宋体" w:cs="仿宋_GB2312"/>
          <w:kern w:val="1"/>
          <w:sz w:val="24"/>
        </w:rPr>
        <w:t>货物</w:t>
      </w:r>
      <w:r>
        <w:rPr>
          <w:rFonts w:hint="eastAsia" w:ascii="宋体" w:hAnsi="宋体" w:cs="仿宋_GB2312"/>
          <w:kern w:val="1"/>
          <w:sz w:val="24"/>
          <w:lang w:eastAsia="ar-SA"/>
        </w:rPr>
        <w:t>不再侵权。如果乙方不能合理地完成这些补救措施，并且甲方必须停止使用侵权的</w:t>
      </w:r>
      <w:r>
        <w:rPr>
          <w:rFonts w:hint="eastAsia" w:ascii="宋体" w:hAnsi="宋体" w:cs="仿宋_GB2312"/>
          <w:kern w:val="1"/>
          <w:sz w:val="24"/>
        </w:rPr>
        <w:t>货物</w:t>
      </w:r>
      <w:r>
        <w:rPr>
          <w:rFonts w:hint="eastAsia" w:ascii="宋体" w:hAnsi="宋体" w:cs="仿宋_GB2312"/>
          <w:kern w:val="1"/>
          <w:sz w:val="24"/>
          <w:lang w:eastAsia="ar-SA"/>
        </w:rPr>
        <w:t>，甲方有权解除合同，要求乙方需退还甲方已付价款，并有权要求</w:t>
      </w:r>
      <w:r>
        <w:rPr>
          <w:rFonts w:hint="eastAsia" w:ascii="宋体" w:hAnsi="宋体" w:cs="仿宋_GB2312"/>
          <w:kern w:val="1"/>
          <w:sz w:val="24"/>
        </w:rPr>
        <w:t>乙方</w:t>
      </w:r>
      <w:r>
        <w:rPr>
          <w:rFonts w:hint="eastAsia" w:ascii="宋体" w:hAnsi="宋体" w:cs="仿宋_GB2312"/>
          <w:kern w:val="1"/>
          <w:sz w:val="24"/>
          <w:lang w:eastAsia="ar-SA"/>
        </w:rPr>
        <w:t>按合同合计金额</w:t>
      </w:r>
      <w:r>
        <w:rPr>
          <w:rFonts w:hint="eastAsia" w:ascii="宋体" w:hAnsi="宋体" w:cs="仿宋_GB2312"/>
          <w:kern w:val="1"/>
          <w:sz w:val="24"/>
        </w:rPr>
        <w:t>的3</w:t>
      </w:r>
      <w:r>
        <w:rPr>
          <w:rFonts w:hint="eastAsia" w:ascii="宋体" w:hAnsi="宋体" w:cs="仿宋_GB2312"/>
          <w:kern w:val="1"/>
          <w:sz w:val="24"/>
          <w:lang w:eastAsia="ar-SA"/>
        </w:rPr>
        <w:t xml:space="preserve">0% </w:t>
      </w:r>
      <w:r>
        <w:rPr>
          <w:rFonts w:hint="eastAsia" w:ascii="宋体" w:hAnsi="宋体" w:cs="仿宋_GB2312"/>
          <w:kern w:val="1"/>
          <w:sz w:val="24"/>
        </w:rPr>
        <w:t>支付违约金</w:t>
      </w:r>
      <w:r>
        <w:rPr>
          <w:rFonts w:hint="eastAsia" w:ascii="宋体" w:hAnsi="宋体" w:cs="仿宋_GB2312"/>
          <w:kern w:val="1"/>
          <w:sz w:val="24"/>
          <w:lang w:eastAsia="ar-SA"/>
        </w:rPr>
        <w:t>。</w:t>
      </w:r>
    </w:p>
    <w:p w14:paraId="0CA1DC1A">
      <w:pPr>
        <w:suppressAutoHyphens/>
        <w:snapToGrid w:val="0"/>
        <w:spacing w:line="360" w:lineRule="auto"/>
        <w:ind w:firstLine="480" w:firstLineChars="200"/>
        <w:rPr>
          <w:rFonts w:ascii="宋体" w:hAnsi="宋体" w:cs="仿宋_GB2312"/>
          <w:kern w:val="1"/>
          <w:sz w:val="24"/>
          <w:lang w:eastAsia="ar-SA"/>
        </w:rPr>
      </w:pPr>
      <w:r>
        <w:rPr>
          <w:rFonts w:ascii="宋体" w:hAnsi="宋体" w:cs="仿宋_GB2312"/>
          <w:kern w:val="1"/>
          <w:sz w:val="24"/>
          <w:lang w:eastAsia="ar-SA"/>
        </w:rPr>
        <w:t>3</w:t>
      </w:r>
      <w:r>
        <w:rPr>
          <w:rFonts w:hint="eastAsia" w:ascii="宋体" w:hAnsi="宋体" w:cs="仿宋_GB2312"/>
          <w:kern w:val="1"/>
          <w:sz w:val="24"/>
          <w:lang w:eastAsia="ar-SA"/>
        </w:rPr>
        <w:t>.因包装、运输引起的货物损坏，按本条第</w:t>
      </w:r>
      <w:r>
        <w:rPr>
          <w:rFonts w:ascii="宋体" w:hAnsi="宋体" w:cs="仿宋_GB2312"/>
          <w:kern w:val="1"/>
          <w:sz w:val="24"/>
          <w:lang w:eastAsia="ar-SA"/>
        </w:rPr>
        <w:t>1项质量不合格承担违约责任。</w:t>
      </w:r>
    </w:p>
    <w:p w14:paraId="66645E87">
      <w:pPr>
        <w:suppressAutoHyphens/>
        <w:snapToGrid w:val="0"/>
        <w:spacing w:line="360" w:lineRule="auto"/>
        <w:ind w:firstLine="480" w:firstLineChars="200"/>
        <w:rPr>
          <w:rFonts w:ascii="宋体" w:hAnsi="宋体" w:cs="仿宋_GB2312"/>
          <w:kern w:val="1"/>
          <w:sz w:val="24"/>
          <w:lang w:eastAsia="ar-SA"/>
        </w:rPr>
      </w:pPr>
      <w:r>
        <w:rPr>
          <w:rFonts w:ascii="宋体" w:hAnsi="宋体" w:cs="仿宋_GB2312"/>
          <w:kern w:val="1"/>
          <w:sz w:val="24"/>
          <w:lang w:eastAsia="ar-SA"/>
        </w:rPr>
        <w:t>4</w:t>
      </w:r>
      <w:r>
        <w:rPr>
          <w:rFonts w:hint="eastAsia" w:ascii="宋体" w:hAnsi="宋体" w:cs="仿宋_GB2312"/>
          <w:kern w:val="1"/>
          <w:sz w:val="24"/>
          <w:lang w:eastAsia="ar-SA"/>
        </w:rPr>
        <w:t>.甲方无故延期接收货物、延期付货款的，每天向乙方偿付违约货款额</w:t>
      </w:r>
      <w:r>
        <w:rPr>
          <w:rFonts w:ascii="宋体" w:hAnsi="宋体" w:cs="仿宋_GB2312"/>
          <w:kern w:val="1"/>
          <w:sz w:val="24"/>
          <w:u w:val="single"/>
          <w:lang w:eastAsia="ar-SA"/>
        </w:rPr>
        <w:t xml:space="preserve">5‰ </w:t>
      </w:r>
      <w:r>
        <w:rPr>
          <w:rFonts w:ascii="宋体" w:hAnsi="宋体" w:cs="仿宋_GB2312"/>
          <w:kern w:val="1"/>
          <w:sz w:val="24"/>
          <w:lang w:eastAsia="ar-SA"/>
        </w:rPr>
        <w:t>违约金，但违约金累计不得超过违约货款额</w:t>
      </w:r>
      <w:r>
        <w:rPr>
          <w:rFonts w:ascii="宋体" w:hAnsi="宋体" w:cs="仿宋_GB2312"/>
          <w:kern w:val="1"/>
          <w:sz w:val="24"/>
          <w:u w:val="single"/>
          <w:lang w:eastAsia="ar-SA"/>
        </w:rPr>
        <w:t>5%</w:t>
      </w:r>
      <w:r>
        <w:rPr>
          <w:rFonts w:ascii="宋体" w:hAnsi="宋体" w:cs="仿宋_GB2312"/>
          <w:kern w:val="1"/>
          <w:sz w:val="24"/>
          <w:lang w:eastAsia="ar-SA"/>
        </w:rPr>
        <w:t xml:space="preserve">，超过 </w:t>
      </w:r>
      <w:r>
        <w:rPr>
          <w:rFonts w:ascii="宋体" w:hAnsi="宋体" w:cs="仿宋_GB2312"/>
          <w:kern w:val="1"/>
          <w:sz w:val="24"/>
          <w:u w:val="single"/>
          <w:lang w:eastAsia="ar-SA"/>
        </w:rPr>
        <w:t>30</w:t>
      </w:r>
      <w:r>
        <w:rPr>
          <w:rFonts w:ascii="宋体" w:hAnsi="宋体" w:cs="仿宋_GB2312"/>
          <w:kern w:val="1"/>
          <w:sz w:val="24"/>
          <w:lang w:eastAsia="ar-SA"/>
        </w:rPr>
        <w:t>天乙方有权解除合同，承担因此给乙方造成经济损失。乙方逾期交货的，每天向甲方偿付合同总金额的</w:t>
      </w:r>
      <w:r>
        <w:rPr>
          <w:rFonts w:ascii="宋体" w:hAnsi="宋体" w:cs="仿宋_GB2312"/>
          <w:kern w:val="1"/>
          <w:sz w:val="24"/>
          <w:u w:val="single"/>
          <w:lang w:eastAsia="ar-SA"/>
        </w:rPr>
        <w:t>5</w:t>
      </w:r>
      <w:r>
        <w:rPr>
          <w:rFonts w:hint="eastAsia" w:ascii="宋体" w:hAnsi="宋体" w:cs="MS Gothic"/>
          <w:kern w:val="1"/>
          <w:sz w:val="24"/>
          <w:u w:val="single"/>
          <w:lang w:eastAsia="ar-SA"/>
        </w:rPr>
        <w:t>‰</w:t>
      </w:r>
      <w:r>
        <w:rPr>
          <w:rFonts w:ascii="宋体" w:hAnsi="宋体" w:cs="仿宋_GB2312"/>
          <w:kern w:val="1"/>
          <w:sz w:val="24"/>
          <w:u w:val="single"/>
          <w:lang w:eastAsia="ar-SA"/>
        </w:rPr>
        <w:t xml:space="preserve"> </w:t>
      </w:r>
      <w:r>
        <w:rPr>
          <w:rFonts w:ascii="宋体" w:hAnsi="宋体" w:cs="仿宋_GB2312"/>
          <w:kern w:val="1"/>
          <w:sz w:val="24"/>
          <w:lang w:eastAsia="ar-SA"/>
        </w:rPr>
        <w:t>的违约金，但违约金累计不得超过合同总金额的</w:t>
      </w:r>
      <w:r>
        <w:rPr>
          <w:rFonts w:ascii="宋体" w:hAnsi="宋体" w:cs="仿宋_GB2312"/>
          <w:kern w:val="1"/>
          <w:sz w:val="24"/>
          <w:u w:val="single"/>
          <w:lang w:eastAsia="ar-SA"/>
        </w:rPr>
        <w:t>5%</w:t>
      </w:r>
      <w:r>
        <w:rPr>
          <w:rFonts w:ascii="宋体" w:hAnsi="宋体" w:cs="仿宋_GB2312"/>
          <w:kern w:val="1"/>
          <w:sz w:val="24"/>
          <w:lang w:eastAsia="ar-SA"/>
        </w:rPr>
        <w:t>；逾期交货超过</w:t>
      </w:r>
      <w:r>
        <w:rPr>
          <w:rFonts w:ascii="宋体" w:hAnsi="宋体" w:cs="仿宋_GB2312"/>
          <w:kern w:val="1"/>
          <w:sz w:val="24"/>
          <w:u w:val="single"/>
          <w:lang w:eastAsia="ar-SA"/>
        </w:rPr>
        <w:t>30</w:t>
      </w:r>
      <w:r>
        <w:rPr>
          <w:rFonts w:ascii="宋体" w:hAnsi="宋体" w:cs="仿宋_GB2312"/>
          <w:kern w:val="1"/>
          <w:sz w:val="24"/>
          <w:lang w:eastAsia="ar-SA"/>
        </w:rPr>
        <w:t>天的，甲方有权解除合同，并要求乙方返还已收取的款项，承担因此给甲方造成经济损失。</w:t>
      </w:r>
    </w:p>
    <w:p w14:paraId="71274ECB">
      <w:pPr>
        <w:suppressAutoHyphens/>
        <w:snapToGrid w:val="0"/>
        <w:spacing w:line="360" w:lineRule="auto"/>
        <w:ind w:firstLine="480" w:firstLineChars="200"/>
        <w:rPr>
          <w:rFonts w:ascii="宋体" w:hAnsi="宋体" w:cs="仿宋_GB2312"/>
          <w:kern w:val="1"/>
          <w:sz w:val="24"/>
          <w:lang w:eastAsia="ar-SA"/>
        </w:rPr>
      </w:pPr>
      <w:r>
        <w:rPr>
          <w:rFonts w:hint="eastAsia" w:ascii="宋体" w:hAnsi="宋体" w:cs="仿宋_GB2312"/>
          <w:kern w:val="1"/>
          <w:sz w:val="24"/>
          <w:lang w:eastAsia="ar-SA"/>
        </w:rPr>
        <w:t>5.乙方未按本合同和投标</w:t>
      </w:r>
      <w:r>
        <w:rPr>
          <w:rFonts w:hint="eastAsia" w:ascii="宋体" w:hAnsi="宋体" w:cs="仿宋_GB2312"/>
          <w:kern w:val="1"/>
          <w:sz w:val="24"/>
        </w:rPr>
        <w:t>/响应</w:t>
      </w:r>
      <w:r>
        <w:rPr>
          <w:rFonts w:hint="eastAsia" w:ascii="宋体" w:hAnsi="宋体" w:cs="仿宋_GB2312"/>
          <w:kern w:val="1"/>
          <w:sz w:val="24"/>
          <w:lang w:eastAsia="ar-SA"/>
        </w:rPr>
        <w:t>文件中规定的服务承诺提供售后服务的，</w:t>
      </w:r>
      <w:r>
        <w:rPr>
          <w:rFonts w:hint="eastAsia" w:ascii="宋体" w:hAnsi="宋体" w:cs="仿宋_GB2312"/>
          <w:kern w:val="1"/>
          <w:sz w:val="24"/>
        </w:rPr>
        <w:t>每出现一次，</w:t>
      </w:r>
      <w:r>
        <w:rPr>
          <w:rFonts w:hint="eastAsia" w:ascii="宋体" w:hAnsi="宋体" w:cs="仿宋_GB2312"/>
          <w:kern w:val="1"/>
          <w:sz w:val="24"/>
          <w:lang w:eastAsia="ar-SA"/>
        </w:rPr>
        <w:t>乙方应按本合同合计金额</w:t>
      </w:r>
      <w:r>
        <w:rPr>
          <w:rFonts w:hint="eastAsia" w:ascii="宋体" w:hAnsi="宋体" w:cs="仿宋_GB2312"/>
          <w:kern w:val="1"/>
          <w:sz w:val="24"/>
        </w:rPr>
        <w:t>的</w:t>
      </w:r>
      <w:r>
        <w:rPr>
          <w:rFonts w:hint="eastAsia" w:ascii="宋体" w:hAnsi="宋体" w:cs="仿宋_GB2312"/>
          <w:kern w:val="1"/>
          <w:sz w:val="24"/>
          <w:u w:val="single"/>
          <w:lang w:eastAsia="ar-SA"/>
        </w:rPr>
        <w:t xml:space="preserve"> 5%</w:t>
      </w:r>
      <w:r>
        <w:rPr>
          <w:rFonts w:ascii="宋体" w:hAnsi="宋体" w:cs="仿宋_GB2312"/>
          <w:kern w:val="1"/>
          <w:sz w:val="24"/>
          <w:u w:val="single"/>
          <w:lang w:eastAsia="ar-SA"/>
        </w:rPr>
        <w:t xml:space="preserve"> </w:t>
      </w:r>
      <w:r>
        <w:rPr>
          <w:rFonts w:hint="eastAsia" w:ascii="宋体" w:hAnsi="宋体" w:cs="仿宋_GB2312"/>
          <w:kern w:val="1"/>
          <w:sz w:val="24"/>
          <w:lang w:eastAsia="ar-SA"/>
        </w:rPr>
        <w:t>向甲方支付违约金</w:t>
      </w:r>
      <w:r>
        <w:rPr>
          <w:rFonts w:hint="eastAsia" w:ascii="宋体" w:hAnsi="宋体" w:cs="仿宋_GB2312"/>
          <w:kern w:val="1"/>
          <w:sz w:val="24"/>
        </w:rPr>
        <w:t>，同时甲方有权根据本合同第十一条第2项的约定</w:t>
      </w:r>
      <w:r>
        <w:rPr>
          <w:rFonts w:hint="eastAsia" w:ascii="宋体" w:hAnsi="宋体" w:cs="仿宋_GB2312"/>
          <w:kern w:val="1"/>
          <w:sz w:val="24"/>
          <w:lang w:eastAsia="ar-SA"/>
        </w:rPr>
        <w:t>自行交由第三方提供售后服务，乙方</w:t>
      </w:r>
      <w:r>
        <w:rPr>
          <w:rFonts w:hint="eastAsia" w:ascii="宋体" w:hAnsi="宋体" w:cs="仿宋_GB2312"/>
          <w:kern w:val="1"/>
          <w:sz w:val="24"/>
        </w:rPr>
        <w:t>每次除向甲方支付违约金外，还需</w:t>
      </w:r>
      <w:r>
        <w:rPr>
          <w:rFonts w:hint="eastAsia" w:ascii="宋体" w:hAnsi="宋体" w:cs="仿宋_GB2312"/>
          <w:kern w:val="1"/>
          <w:sz w:val="24"/>
          <w:lang w:eastAsia="ar-SA"/>
        </w:rPr>
        <w:t>承担</w:t>
      </w:r>
      <w:r>
        <w:rPr>
          <w:rFonts w:hint="eastAsia" w:ascii="宋体" w:hAnsi="宋体" w:cs="仿宋_GB2312"/>
          <w:kern w:val="1"/>
          <w:sz w:val="24"/>
        </w:rPr>
        <w:t>甲方为此支出的配件费、工时费等</w:t>
      </w:r>
      <w:r>
        <w:rPr>
          <w:rFonts w:hint="eastAsia" w:ascii="宋体" w:hAnsi="宋体" w:cs="仿宋_GB2312"/>
          <w:kern w:val="1"/>
          <w:sz w:val="24"/>
          <w:lang w:eastAsia="ar-SA"/>
        </w:rPr>
        <w:t>一切</w:t>
      </w:r>
      <w:r>
        <w:rPr>
          <w:rFonts w:hint="eastAsia" w:ascii="宋体" w:hAnsi="宋体" w:cs="仿宋_GB2312"/>
          <w:kern w:val="1"/>
          <w:sz w:val="24"/>
        </w:rPr>
        <w:t>售后服务相关</w:t>
      </w:r>
      <w:r>
        <w:rPr>
          <w:rFonts w:hint="eastAsia" w:ascii="宋体" w:hAnsi="宋体" w:cs="仿宋_GB2312"/>
          <w:kern w:val="1"/>
          <w:sz w:val="24"/>
          <w:lang w:eastAsia="ar-SA"/>
        </w:rPr>
        <w:t>费用。</w:t>
      </w:r>
    </w:p>
    <w:p w14:paraId="44A2CB56">
      <w:pPr>
        <w:suppressAutoHyphens/>
        <w:snapToGrid w:val="0"/>
        <w:spacing w:line="360" w:lineRule="auto"/>
        <w:ind w:firstLine="480" w:firstLineChars="200"/>
        <w:rPr>
          <w:rFonts w:ascii="宋体" w:hAnsi="宋体" w:cs="仿宋_GB2312"/>
          <w:kern w:val="1"/>
          <w:sz w:val="24"/>
          <w:lang w:eastAsia="ar-SA"/>
        </w:rPr>
      </w:pPr>
      <w:r>
        <w:rPr>
          <w:rFonts w:hint="eastAsia" w:ascii="宋体" w:hAnsi="宋体" w:cs="仿宋_GB2312"/>
          <w:kern w:val="1"/>
          <w:sz w:val="24"/>
          <w:lang w:eastAsia="ar-SA"/>
        </w:rPr>
        <w:t>6.乙方提供的货物在质量保证期内，因设计、工艺或材料的缺陷</w:t>
      </w:r>
      <w:r>
        <w:rPr>
          <w:rFonts w:hint="eastAsia" w:ascii="宋体" w:hAnsi="宋体" w:cs="仿宋_GB2312"/>
          <w:kern w:val="1"/>
          <w:sz w:val="24"/>
        </w:rPr>
        <w:t>和其他</w:t>
      </w:r>
      <w:r>
        <w:rPr>
          <w:rFonts w:hint="eastAsia" w:ascii="宋体" w:hAnsi="宋体" w:cs="仿宋_GB2312"/>
          <w:kern w:val="1"/>
          <w:sz w:val="24"/>
          <w:lang w:eastAsia="ar-SA"/>
        </w:rPr>
        <w:t>质量原因造成甲方人员（含经允许进入甲方场地的第三人）、该货物之外的其他物品受到伤害（损坏）的，由乙方负责承担由此产生的一切赔偿责任。赔偿款从</w:t>
      </w:r>
      <w:r>
        <w:rPr>
          <w:rFonts w:hint="eastAsia" w:ascii="宋体" w:hAnsi="宋体" w:cs="仿宋_GB2312"/>
          <w:kern w:val="1"/>
          <w:sz w:val="24"/>
        </w:rPr>
        <w:t>余款</w:t>
      </w:r>
      <w:r>
        <w:rPr>
          <w:rFonts w:hint="eastAsia" w:ascii="宋体" w:hAnsi="宋体" w:cs="仿宋_GB2312"/>
          <w:kern w:val="1"/>
          <w:sz w:val="24"/>
          <w:lang w:eastAsia="ar-SA"/>
        </w:rPr>
        <w:t>中扣除，不足</w:t>
      </w:r>
      <w:r>
        <w:rPr>
          <w:rFonts w:hint="eastAsia" w:ascii="宋体" w:hAnsi="宋体" w:cs="仿宋_GB2312"/>
          <w:kern w:val="1"/>
          <w:sz w:val="24"/>
        </w:rPr>
        <w:t>另补</w:t>
      </w:r>
      <w:r>
        <w:rPr>
          <w:rFonts w:hint="eastAsia" w:ascii="宋体" w:hAnsi="宋体" w:cs="仿宋_GB2312"/>
          <w:kern w:val="1"/>
          <w:sz w:val="24"/>
          <w:lang w:eastAsia="ar-SA"/>
        </w:rPr>
        <w:t>。</w:t>
      </w:r>
    </w:p>
    <w:p w14:paraId="3B01010B">
      <w:pPr>
        <w:suppressAutoHyphens/>
        <w:snapToGrid w:val="0"/>
        <w:spacing w:line="360" w:lineRule="auto"/>
        <w:ind w:firstLine="480" w:firstLineChars="200"/>
        <w:rPr>
          <w:rFonts w:ascii="宋体" w:hAnsi="宋体" w:cs="仿宋_GB2312"/>
          <w:kern w:val="1"/>
          <w:sz w:val="24"/>
          <w:lang w:eastAsia="ar-SA"/>
        </w:rPr>
      </w:pPr>
      <w:r>
        <w:rPr>
          <w:rFonts w:hint="eastAsia" w:ascii="宋体" w:hAnsi="宋体" w:cs="仿宋_GB2312"/>
          <w:kern w:val="1"/>
          <w:sz w:val="24"/>
          <w:lang w:eastAsia="ar-SA"/>
        </w:rPr>
        <w:t>7.未经甲方书面许可，乙方擅自将本合同项下义务交由第三方完成的，视为乙方根本违约，甲方有权解除本合同。</w:t>
      </w:r>
    </w:p>
    <w:p w14:paraId="7E7A6A29">
      <w:pPr>
        <w:snapToGrid w:val="0"/>
        <w:spacing w:line="360" w:lineRule="auto"/>
        <w:ind w:firstLine="480" w:firstLineChars="200"/>
        <w:rPr>
          <w:rFonts w:ascii="宋体" w:hAnsi="宋体" w:cs="仿宋_GB2312"/>
          <w:color w:val="000000"/>
          <w:sz w:val="24"/>
        </w:rPr>
      </w:pPr>
      <w:r>
        <w:rPr>
          <w:rFonts w:ascii="宋体" w:hAnsi="宋体" w:cs="仿宋_GB2312"/>
          <w:color w:val="000000"/>
          <w:kern w:val="1"/>
          <w:sz w:val="24"/>
        </w:rPr>
        <w:t>8</w:t>
      </w:r>
      <w:r>
        <w:rPr>
          <w:rFonts w:hint="eastAsia" w:ascii="宋体" w:hAnsi="宋体" w:cs="仿宋_GB2312"/>
          <w:color w:val="000000"/>
          <w:kern w:val="1"/>
          <w:sz w:val="24"/>
          <w:lang w:eastAsia="ar-SA"/>
        </w:rPr>
        <w:t>.</w:t>
      </w:r>
      <w:r>
        <w:rPr>
          <w:rFonts w:hint="eastAsia" w:ascii="宋体" w:hAnsi="宋体" w:cs="仿宋_GB2312"/>
          <w:color w:val="000000"/>
          <w:sz w:val="24"/>
        </w:rPr>
        <w:t>乙方违反</w:t>
      </w:r>
      <w:r>
        <w:rPr>
          <w:rFonts w:hint="eastAsia" w:ascii="宋体" w:hAnsi="宋体" w:cs="仿宋_GB2312"/>
          <w:color w:val="000000"/>
          <w:kern w:val="1"/>
          <w:sz w:val="24"/>
        </w:rPr>
        <w:t>第三条第3款</w:t>
      </w:r>
      <w:r>
        <w:rPr>
          <w:rFonts w:hint="eastAsia" w:ascii="宋体" w:hAnsi="宋体" w:cs="仿宋_GB2312"/>
          <w:color w:val="000000"/>
          <w:sz w:val="24"/>
        </w:rPr>
        <w:t>约定的，应向甲方一次性支付合同合计金额30%的违约金。</w:t>
      </w:r>
    </w:p>
    <w:p w14:paraId="77770CF8">
      <w:pPr>
        <w:suppressAutoHyphens/>
        <w:snapToGrid w:val="0"/>
        <w:spacing w:line="360" w:lineRule="auto"/>
        <w:ind w:firstLine="480" w:firstLineChars="200"/>
        <w:rPr>
          <w:rFonts w:ascii="宋体" w:hAnsi="宋体" w:cs="仿宋_GB2312"/>
          <w:color w:val="000000"/>
          <w:kern w:val="1"/>
          <w:sz w:val="24"/>
          <w:lang w:eastAsia="ar-SA"/>
        </w:rPr>
      </w:pPr>
      <w:r>
        <w:rPr>
          <w:rFonts w:ascii="宋体" w:hAnsi="宋体" w:cs="仿宋_GB2312"/>
          <w:color w:val="000000"/>
          <w:kern w:val="1"/>
          <w:sz w:val="24"/>
        </w:rPr>
        <w:t>9</w:t>
      </w:r>
      <w:r>
        <w:rPr>
          <w:rFonts w:hint="eastAsia" w:ascii="宋体" w:hAnsi="宋体" w:cs="仿宋_GB2312"/>
          <w:color w:val="000000"/>
          <w:kern w:val="1"/>
          <w:sz w:val="24"/>
        </w:rPr>
        <w:t>.乙方的其他</w:t>
      </w:r>
      <w:r>
        <w:rPr>
          <w:rFonts w:hint="eastAsia" w:ascii="宋体" w:hAnsi="宋体" w:cs="仿宋_GB2312"/>
          <w:color w:val="000000"/>
          <w:kern w:val="1"/>
          <w:sz w:val="24"/>
          <w:lang w:eastAsia="ar-SA"/>
        </w:rPr>
        <w:t>违约行为</w:t>
      </w:r>
      <w:r>
        <w:rPr>
          <w:rFonts w:hint="eastAsia" w:ascii="宋体" w:hAnsi="宋体" w:cs="仿宋_GB2312"/>
          <w:color w:val="000000"/>
          <w:kern w:val="1"/>
          <w:sz w:val="24"/>
        </w:rPr>
        <w:t>，</w:t>
      </w:r>
      <w:r>
        <w:rPr>
          <w:rFonts w:hint="eastAsia" w:ascii="宋体" w:hAnsi="宋体" w:cs="仿宋_GB2312"/>
          <w:color w:val="000000"/>
          <w:kern w:val="1"/>
          <w:sz w:val="24"/>
          <w:lang w:eastAsia="ar-SA"/>
        </w:rPr>
        <w:t>按违约货款额5%收取违约金。</w:t>
      </w:r>
    </w:p>
    <w:p w14:paraId="395B2811">
      <w:pPr>
        <w:suppressAutoHyphens/>
        <w:snapToGrid w:val="0"/>
        <w:spacing w:line="360" w:lineRule="auto"/>
        <w:ind w:firstLine="480" w:firstLineChars="200"/>
        <w:rPr>
          <w:rFonts w:ascii="宋体" w:hAnsi="宋体" w:cs="仿宋_GB2312"/>
          <w:color w:val="000000"/>
          <w:kern w:val="1"/>
          <w:sz w:val="24"/>
        </w:rPr>
      </w:pPr>
      <w:bookmarkStart w:id="101" w:name="_Hlk148991669"/>
      <w:r>
        <w:rPr>
          <w:rFonts w:hint="eastAsia" w:ascii="宋体" w:hAnsi="宋体" w:cs="仿宋_GB2312"/>
          <w:color w:val="000000"/>
          <w:kern w:val="1"/>
          <w:sz w:val="24"/>
        </w:rPr>
        <w:t>1</w:t>
      </w:r>
      <w:r>
        <w:rPr>
          <w:rFonts w:ascii="宋体" w:hAnsi="宋体" w:cs="仿宋_GB2312"/>
          <w:color w:val="000000"/>
          <w:kern w:val="1"/>
          <w:sz w:val="24"/>
        </w:rPr>
        <w:t>0</w:t>
      </w:r>
      <w:r>
        <w:rPr>
          <w:rFonts w:hint="eastAsia" w:ascii="宋体" w:hAnsi="宋体" w:cs="仿宋_GB2312"/>
          <w:color w:val="000000"/>
          <w:kern w:val="1"/>
          <w:sz w:val="24"/>
        </w:rPr>
        <w:t>.按本合同约定或法律规定，甲方主张解除合同的，自甲方解除合同的书面通知送达乙方之日起合同解除，乙方应赔偿由此给甲方造成的全部损失。甲方不支付乙方任何费用，乙方对解除合同有异议的异议期为叁日。乙方应当在合同解除后伍日内退还甲方支付的所有费用（如有），自费运回所交付的货物，付清违约金、赔偿金。</w:t>
      </w:r>
    </w:p>
    <w:bookmarkEnd w:id="101"/>
    <w:p w14:paraId="4B74DC33">
      <w:pPr>
        <w:snapToGrid w:val="0"/>
        <w:spacing w:line="360" w:lineRule="auto"/>
        <w:ind w:firstLine="482" w:firstLineChars="200"/>
        <w:rPr>
          <w:rFonts w:ascii="宋体" w:hAnsi="宋体" w:cs="仿宋_GB2312"/>
          <w:b/>
          <w:color w:val="000000"/>
          <w:sz w:val="24"/>
        </w:rPr>
      </w:pPr>
      <w:r>
        <w:rPr>
          <w:rFonts w:hint="eastAsia" w:ascii="宋体" w:hAnsi="宋体" w:cs="仿宋_GB2312"/>
          <w:b/>
          <w:color w:val="000000"/>
          <w:sz w:val="24"/>
        </w:rPr>
        <w:t>第十三条 不可抗力事件处理</w:t>
      </w:r>
    </w:p>
    <w:p w14:paraId="459059F4">
      <w:pPr>
        <w:suppressAutoHyphens/>
        <w:snapToGrid w:val="0"/>
        <w:spacing w:line="360" w:lineRule="auto"/>
        <w:ind w:firstLine="480" w:firstLineChars="200"/>
        <w:rPr>
          <w:rFonts w:ascii="宋体" w:hAnsi="宋体" w:cs="仿宋_GB2312"/>
          <w:color w:val="000000"/>
          <w:kern w:val="1"/>
          <w:sz w:val="24"/>
          <w:lang w:eastAsia="ar-SA"/>
        </w:rPr>
      </w:pPr>
      <w:r>
        <w:rPr>
          <w:rFonts w:hint="eastAsia" w:ascii="宋体" w:hAnsi="宋体" w:cs="仿宋_GB2312"/>
          <w:color w:val="000000"/>
          <w:kern w:val="1"/>
          <w:sz w:val="24"/>
          <w:lang w:eastAsia="ar-SA"/>
        </w:rPr>
        <w:t>1.在合同有效期内，任何一方因不可抗力事件导致不能履行合同，则合同履行期可延长，其延长期与不可抗力影响期相同。</w:t>
      </w:r>
    </w:p>
    <w:p w14:paraId="7681349C">
      <w:pPr>
        <w:suppressAutoHyphens/>
        <w:snapToGrid w:val="0"/>
        <w:spacing w:line="360" w:lineRule="auto"/>
        <w:ind w:firstLine="480" w:firstLineChars="200"/>
        <w:rPr>
          <w:rFonts w:ascii="宋体" w:hAnsi="宋体" w:cs="仿宋_GB2312"/>
          <w:color w:val="000000"/>
          <w:kern w:val="1"/>
          <w:sz w:val="24"/>
          <w:lang w:eastAsia="ar-SA"/>
        </w:rPr>
      </w:pPr>
      <w:r>
        <w:rPr>
          <w:rFonts w:hint="eastAsia" w:ascii="宋体" w:hAnsi="宋体" w:cs="仿宋_GB2312"/>
          <w:color w:val="000000"/>
          <w:kern w:val="1"/>
          <w:sz w:val="24"/>
          <w:lang w:eastAsia="ar-SA"/>
        </w:rPr>
        <w:t>2.不可抗力事件发生后，应立即通知对方，并寄送有关权威机构出具的证明。</w:t>
      </w:r>
    </w:p>
    <w:p w14:paraId="32E7BC94">
      <w:pPr>
        <w:suppressAutoHyphens/>
        <w:snapToGrid w:val="0"/>
        <w:spacing w:line="360" w:lineRule="auto"/>
        <w:ind w:firstLine="480" w:firstLineChars="200"/>
        <w:rPr>
          <w:rFonts w:ascii="宋体" w:hAnsi="宋体" w:cs="仿宋_GB2312"/>
          <w:color w:val="000000"/>
          <w:kern w:val="1"/>
          <w:sz w:val="24"/>
          <w:lang w:eastAsia="ar-SA"/>
        </w:rPr>
      </w:pPr>
      <w:r>
        <w:rPr>
          <w:rFonts w:hint="eastAsia" w:ascii="宋体" w:hAnsi="宋体" w:cs="仿宋_GB2312"/>
          <w:color w:val="000000"/>
          <w:kern w:val="1"/>
          <w:sz w:val="24"/>
          <w:lang w:eastAsia="ar-SA"/>
        </w:rPr>
        <w:t>3.不可抗力事件延续一百二十天以上，双方应通过友好协商，确定是否继续履行合同。</w:t>
      </w:r>
    </w:p>
    <w:p w14:paraId="1495AD16">
      <w:pPr>
        <w:snapToGrid w:val="0"/>
        <w:spacing w:line="360" w:lineRule="auto"/>
        <w:ind w:firstLine="482" w:firstLineChars="200"/>
        <w:rPr>
          <w:rFonts w:ascii="宋体" w:hAnsi="宋体" w:cs="仿宋_GB2312"/>
          <w:b/>
          <w:color w:val="000000"/>
          <w:sz w:val="24"/>
        </w:rPr>
      </w:pPr>
      <w:r>
        <w:rPr>
          <w:rFonts w:hint="eastAsia" w:ascii="宋体" w:hAnsi="宋体" w:cs="仿宋_GB2312"/>
          <w:b/>
          <w:color w:val="000000"/>
          <w:sz w:val="24"/>
        </w:rPr>
        <w:t>第十四条 合同争议解决</w:t>
      </w:r>
    </w:p>
    <w:p w14:paraId="19D38173">
      <w:pPr>
        <w:suppressAutoHyphens/>
        <w:snapToGrid w:val="0"/>
        <w:spacing w:line="360" w:lineRule="auto"/>
        <w:ind w:firstLine="480" w:firstLineChars="200"/>
        <w:rPr>
          <w:rFonts w:ascii="宋体" w:hAnsi="宋体" w:cs="仿宋_GB2312"/>
          <w:color w:val="000000"/>
          <w:kern w:val="1"/>
          <w:sz w:val="24"/>
          <w:lang w:eastAsia="ar-SA"/>
        </w:rPr>
      </w:pPr>
      <w:r>
        <w:rPr>
          <w:rFonts w:hint="eastAsia" w:ascii="宋体" w:hAnsi="宋体" w:cs="仿宋_GB2312"/>
          <w:color w:val="000000"/>
          <w:kern w:val="1"/>
          <w:sz w:val="24"/>
          <w:lang w:eastAsia="ar-SA"/>
        </w:rPr>
        <w:t>1.因货物质量问题发生争议的，应邀请国家认可的质量检测机构按照国家标准对货物质量进行</w:t>
      </w:r>
      <w:r>
        <w:rPr>
          <w:rFonts w:hint="eastAsia" w:ascii="宋体" w:hAnsi="宋体" w:cs="仿宋_GB2312"/>
          <w:color w:val="000000"/>
          <w:kern w:val="1"/>
          <w:sz w:val="24"/>
          <w:lang w:eastAsia="zh-Hans"/>
        </w:rPr>
        <w:t>鉴定</w:t>
      </w:r>
      <w:r>
        <w:rPr>
          <w:rFonts w:hint="eastAsia" w:ascii="宋体" w:hAnsi="宋体" w:cs="仿宋_GB2312"/>
          <w:color w:val="000000"/>
          <w:kern w:val="1"/>
          <w:sz w:val="24"/>
          <w:lang w:eastAsia="ar-SA"/>
        </w:rPr>
        <w:t>。货物符合国家标准的，鉴定费由甲方承担；货物不符合国家标准的，鉴定费由乙方承担。</w:t>
      </w:r>
    </w:p>
    <w:p w14:paraId="42211E78">
      <w:pPr>
        <w:suppressAutoHyphens/>
        <w:snapToGrid w:val="0"/>
        <w:spacing w:line="360" w:lineRule="auto"/>
        <w:ind w:firstLine="480" w:firstLineChars="200"/>
        <w:rPr>
          <w:rFonts w:ascii="宋体" w:hAnsi="宋体" w:cs="仿宋_GB2312"/>
          <w:color w:val="000000"/>
          <w:kern w:val="1"/>
          <w:sz w:val="24"/>
          <w:lang w:eastAsia="ar-SA"/>
        </w:rPr>
      </w:pPr>
      <w:r>
        <w:rPr>
          <w:rFonts w:hint="eastAsia" w:ascii="宋体" w:hAnsi="宋体" w:cs="仿宋_GB2312"/>
          <w:color w:val="000000"/>
          <w:kern w:val="1"/>
          <w:sz w:val="24"/>
          <w:lang w:eastAsia="ar-SA"/>
        </w:rPr>
        <w:t>2.因履行本合同引起的或与本合同有关的争议，甲乙双方应首先通过友好协商解决，如果协商不能解决，可向甲方所在地人民法院提起诉讼。</w:t>
      </w:r>
    </w:p>
    <w:p w14:paraId="4F668D17">
      <w:pPr>
        <w:snapToGrid w:val="0"/>
        <w:spacing w:line="360" w:lineRule="auto"/>
        <w:ind w:firstLine="480" w:firstLineChars="200"/>
        <w:rPr>
          <w:rFonts w:ascii="宋体" w:hAnsi="宋体" w:cs="仿宋_GB2312"/>
          <w:color w:val="000000"/>
          <w:kern w:val="1"/>
          <w:sz w:val="24"/>
          <w:lang w:eastAsia="ar-SA"/>
        </w:rPr>
      </w:pPr>
      <w:r>
        <w:rPr>
          <w:rFonts w:hint="eastAsia" w:ascii="宋体" w:hAnsi="宋体" w:cs="仿宋_GB2312"/>
          <w:color w:val="000000"/>
          <w:kern w:val="1"/>
          <w:sz w:val="24"/>
          <w:lang w:eastAsia="ar-SA"/>
        </w:rPr>
        <w:t>3.诉讼期间，本合同继续履行。</w:t>
      </w:r>
    </w:p>
    <w:p w14:paraId="0149ED23">
      <w:pPr>
        <w:snapToGrid w:val="0"/>
        <w:spacing w:line="360" w:lineRule="auto"/>
        <w:ind w:firstLine="482" w:firstLineChars="200"/>
        <w:rPr>
          <w:rFonts w:ascii="宋体" w:hAnsi="宋体" w:cs="仿宋_GB2312"/>
          <w:b/>
          <w:color w:val="000000"/>
          <w:sz w:val="24"/>
        </w:rPr>
      </w:pPr>
      <w:r>
        <w:rPr>
          <w:rFonts w:hint="eastAsia" w:ascii="宋体" w:hAnsi="宋体" w:cs="仿宋_GB2312"/>
          <w:b/>
          <w:color w:val="000000"/>
          <w:sz w:val="24"/>
        </w:rPr>
        <w:t>第十五条 合同生效及其他</w:t>
      </w:r>
    </w:p>
    <w:p w14:paraId="2288A110">
      <w:pPr>
        <w:suppressAutoHyphens/>
        <w:snapToGrid w:val="0"/>
        <w:spacing w:line="360" w:lineRule="auto"/>
        <w:ind w:firstLine="480" w:firstLineChars="200"/>
        <w:rPr>
          <w:rFonts w:ascii="宋体" w:hAnsi="宋体" w:cs="仿宋_GB2312"/>
          <w:color w:val="000000"/>
          <w:kern w:val="1"/>
          <w:sz w:val="24"/>
          <w:lang w:eastAsia="ar-SA"/>
        </w:rPr>
      </w:pPr>
      <w:r>
        <w:rPr>
          <w:rFonts w:hint="eastAsia" w:ascii="宋体" w:hAnsi="宋体" w:cs="仿宋_GB2312"/>
          <w:color w:val="000000"/>
          <w:kern w:val="1"/>
          <w:sz w:val="24"/>
          <w:lang w:eastAsia="ar-SA"/>
        </w:rPr>
        <w:t>1.合同履行地点为：</w:t>
      </w:r>
      <w:r>
        <w:rPr>
          <w:rFonts w:hint="eastAsia" w:ascii="宋体" w:hAnsi="宋体" w:cs="仿宋_GB2312"/>
          <w:color w:val="000000"/>
          <w:kern w:val="1"/>
          <w:sz w:val="24"/>
          <w:u w:val="single"/>
        </w:rPr>
        <w:t>采购人指定地点</w:t>
      </w:r>
      <w:r>
        <w:rPr>
          <w:rFonts w:hint="eastAsia" w:ascii="宋体" w:hAnsi="宋体" w:cs="仿宋_GB2312"/>
          <w:color w:val="000000"/>
          <w:kern w:val="1"/>
          <w:sz w:val="24"/>
          <w:lang w:eastAsia="ar-SA"/>
        </w:rPr>
        <w:t>；合同履行的方式：</w:t>
      </w:r>
      <w:r>
        <w:rPr>
          <w:rFonts w:hint="eastAsia" w:ascii="宋体" w:hAnsi="宋体" w:cs="仿宋_GB2312"/>
          <w:color w:val="000000"/>
          <w:kern w:val="1"/>
          <w:sz w:val="24"/>
          <w:u w:val="single"/>
          <w:lang w:eastAsia="ar-SA"/>
        </w:rPr>
        <w:t>按照本合同约定</w:t>
      </w:r>
      <w:r>
        <w:rPr>
          <w:rFonts w:hint="eastAsia" w:ascii="宋体" w:hAnsi="宋体" w:cs="仿宋_GB2312"/>
          <w:color w:val="000000"/>
          <w:kern w:val="1"/>
          <w:sz w:val="24"/>
          <w:lang w:eastAsia="ar-SA"/>
        </w:rPr>
        <w:t>。</w:t>
      </w:r>
    </w:p>
    <w:p w14:paraId="4656CAEA">
      <w:pPr>
        <w:suppressAutoHyphens/>
        <w:snapToGrid w:val="0"/>
        <w:spacing w:line="360" w:lineRule="auto"/>
        <w:ind w:firstLine="480" w:firstLineChars="200"/>
        <w:rPr>
          <w:rFonts w:ascii="宋体" w:hAnsi="宋体" w:cs="仿宋_GB2312"/>
          <w:color w:val="000000"/>
          <w:kern w:val="1"/>
          <w:sz w:val="24"/>
          <w:lang w:eastAsia="ar-SA"/>
        </w:rPr>
      </w:pPr>
      <w:r>
        <w:rPr>
          <w:rFonts w:hint="eastAsia" w:ascii="宋体" w:hAnsi="宋体" w:cs="仿宋_GB2312"/>
          <w:color w:val="000000"/>
          <w:kern w:val="1"/>
          <w:sz w:val="24"/>
          <w:lang w:eastAsia="ar-SA"/>
        </w:rPr>
        <w:t>2.合同经双方</w:t>
      </w:r>
      <w:r>
        <w:rPr>
          <w:rFonts w:hint="eastAsia" w:ascii="宋体" w:hAnsi="宋体" w:cs="仿宋_GB2312"/>
          <w:color w:val="000000"/>
          <w:kern w:val="1"/>
          <w:sz w:val="24"/>
        </w:rPr>
        <w:t>盖</w:t>
      </w:r>
      <w:r>
        <w:rPr>
          <w:rFonts w:hint="eastAsia" w:ascii="宋体" w:hAnsi="宋体" w:cs="仿宋_GB2312"/>
          <w:color w:val="000000"/>
          <w:kern w:val="1"/>
          <w:sz w:val="24"/>
          <w:lang w:eastAsia="ar-SA"/>
        </w:rPr>
        <w:t>章后生效。</w:t>
      </w:r>
    </w:p>
    <w:p w14:paraId="5C45DD96">
      <w:pPr>
        <w:suppressAutoHyphens/>
        <w:snapToGrid w:val="0"/>
        <w:spacing w:line="360" w:lineRule="auto"/>
        <w:ind w:firstLine="480" w:firstLineChars="200"/>
        <w:rPr>
          <w:rFonts w:ascii="宋体" w:hAnsi="宋体" w:cs="仿宋_GB2312"/>
          <w:color w:val="000000"/>
          <w:kern w:val="1"/>
          <w:sz w:val="24"/>
          <w:lang w:eastAsia="ar-SA"/>
        </w:rPr>
      </w:pPr>
      <w:r>
        <w:rPr>
          <w:rFonts w:hint="eastAsia" w:ascii="宋体" w:hAnsi="宋体" w:cs="仿宋_GB2312"/>
          <w:color w:val="000000"/>
          <w:kern w:val="1"/>
          <w:sz w:val="24"/>
          <w:lang w:eastAsia="ar-SA"/>
        </w:rPr>
        <w:t>3.</w:t>
      </w:r>
      <w:r>
        <w:rPr>
          <w:rFonts w:hint="eastAsia" w:ascii="宋体" w:hAnsi="宋体" w:cs="仿宋_GB2312"/>
          <w:color w:val="000000"/>
          <w:sz w:val="24"/>
        </w:rPr>
        <w:t>合同执行中涉及采购内容修改或补充的，按政府采购相关规定要求签订书面补充协议，并作为主合同不可分割的一部分</w:t>
      </w:r>
      <w:r>
        <w:rPr>
          <w:rFonts w:hint="eastAsia" w:ascii="宋体" w:hAnsi="宋体" w:cs="仿宋_GB2312"/>
          <w:color w:val="000000"/>
          <w:kern w:val="1"/>
          <w:sz w:val="24"/>
          <w:lang w:eastAsia="ar-SA"/>
        </w:rPr>
        <w:t>。</w:t>
      </w:r>
    </w:p>
    <w:p w14:paraId="4F0EB392">
      <w:pPr>
        <w:suppressAutoHyphens/>
        <w:snapToGrid w:val="0"/>
        <w:spacing w:line="360" w:lineRule="auto"/>
        <w:ind w:firstLine="480" w:firstLineChars="200"/>
        <w:rPr>
          <w:rFonts w:ascii="宋体" w:hAnsi="宋体" w:cs="仿宋_GB2312"/>
          <w:color w:val="000000"/>
          <w:kern w:val="1"/>
          <w:sz w:val="24"/>
          <w:lang w:eastAsia="ar-SA"/>
        </w:rPr>
      </w:pPr>
      <w:r>
        <w:rPr>
          <w:rFonts w:hint="eastAsia" w:ascii="宋体" w:hAnsi="宋体" w:cs="仿宋_GB2312"/>
          <w:color w:val="000000"/>
          <w:kern w:val="1"/>
          <w:sz w:val="24"/>
          <w:lang w:eastAsia="ar-SA"/>
        </w:rPr>
        <w:t>4.本合同未尽事宜，遵照《</w:t>
      </w:r>
      <w:r>
        <w:rPr>
          <w:rFonts w:hint="eastAsia" w:ascii="宋体" w:hAnsi="宋体" w:cs="仿宋_GB2312"/>
          <w:color w:val="000000"/>
          <w:kern w:val="1"/>
          <w:sz w:val="24"/>
        </w:rPr>
        <w:t>中华人民共和国民法典</w:t>
      </w:r>
      <w:r>
        <w:rPr>
          <w:rFonts w:hint="eastAsia" w:ascii="宋体" w:hAnsi="宋体" w:cs="仿宋_GB2312"/>
          <w:color w:val="000000"/>
          <w:kern w:val="1"/>
          <w:sz w:val="24"/>
          <w:lang w:eastAsia="ar-SA"/>
        </w:rPr>
        <w:t>》有关条文执行。</w:t>
      </w:r>
    </w:p>
    <w:p w14:paraId="0C75105E">
      <w:pPr>
        <w:snapToGrid w:val="0"/>
        <w:spacing w:line="360" w:lineRule="auto"/>
        <w:ind w:firstLine="482" w:firstLineChars="200"/>
        <w:rPr>
          <w:rFonts w:ascii="宋体" w:hAnsi="宋体" w:cs="仿宋_GB2312"/>
          <w:b/>
          <w:color w:val="000000"/>
          <w:sz w:val="24"/>
        </w:rPr>
      </w:pPr>
      <w:r>
        <w:rPr>
          <w:rFonts w:hint="eastAsia" w:ascii="宋体" w:hAnsi="宋体" w:cs="仿宋_GB2312"/>
          <w:b/>
          <w:color w:val="000000"/>
          <w:sz w:val="24"/>
        </w:rPr>
        <w:t>第十六条 合同的变更、终止与转让</w:t>
      </w:r>
    </w:p>
    <w:p w14:paraId="1ED5B353">
      <w:pPr>
        <w:suppressAutoHyphens/>
        <w:snapToGrid w:val="0"/>
        <w:spacing w:line="360" w:lineRule="auto"/>
        <w:ind w:firstLine="480" w:firstLineChars="200"/>
        <w:rPr>
          <w:rFonts w:ascii="宋体" w:hAnsi="宋体" w:cs="仿宋_GB2312"/>
          <w:color w:val="000000"/>
          <w:kern w:val="1"/>
          <w:sz w:val="24"/>
          <w:lang w:eastAsia="ar-SA"/>
        </w:rPr>
      </w:pPr>
      <w:r>
        <w:rPr>
          <w:rFonts w:hint="eastAsia" w:ascii="宋体" w:hAnsi="宋体" w:cs="仿宋_GB2312"/>
          <w:color w:val="000000"/>
          <w:kern w:val="1"/>
          <w:sz w:val="24"/>
          <w:lang w:eastAsia="ar-SA"/>
        </w:rPr>
        <w:t>1.本合同一经签订，甲乙双方不得擅自变更、中止或终止。</w:t>
      </w:r>
    </w:p>
    <w:p w14:paraId="23D1EA29">
      <w:pPr>
        <w:suppressAutoHyphens/>
        <w:snapToGrid w:val="0"/>
        <w:spacing w:line="360" w:lineRule="auto"/>
        <w:ind w:firstLine="480" w:firstLineChars="200"/>
        <w:rPr>
          <w:rFonts w:ascii="宋体" w:hAnsi="宋体" w:cs="仿宋_GB2312"/>
          <w:color w:val="000000"/>
          <w:kern w:val="1"/>
          <w:sz w:val="24"/>
          <w:lang w:eastAsia="ar-SA"/>
        </w:rPr>
      </w:pPr>
      <w:r>
        <w:rPr>
          <w:rFonts w:hint="eastAsia" w:ascii="宋体" w:hAnsi="宋体" w:cs="仿宋_GB2312"/>
          <w:color w:val="000000"/>
          <w:kern w:val="1"/>
          <w:sz w:val="24"/>
          <w:lang w:eastAsia="ar-SA"/>
        </w:rPr>
        <w:t>2.未经甲方书面同意，乙方不得擅自转让</w:t>
      </w:r>
      <w:r>
        <w:rPr>
          <w:rFonts w:hint="eastAsia" w:ascii="宋体" w:hAnsi="宋体" w:cs="仿宋_GB2312"/>
          <w:color w:val="000000"/>
          <w:kern w:val="1"/>
          <w:sz w:val="24"/>
          <w:lang w:eastAsia="zh-Hans"/>
        </w:rPr>
        <w:t>、分包</w:t>
      </w:r>
      <w:r>
        <w:rPr>
          <w:rFonts w:hint="eastAsia" w:ascii="宋体" w:hAnsi="宋体" w:cs="仿宋_GB2312"/>
          <w:color w:val="000000"/>
          <w:kern w:val="1"/>
          <w:sz w:val="24"/>
          <w:lang w:eastAsia="ar-SA"/>
        </w:rPr>
        <w:t>（无进口资格的乙方委托进口货物除外）其应履行的合同义务。</w:t>
      </w:r>
    </w:p>
    <w:p w14:paraId="6E1B58F8">
      <w:pPr>
        <w:snapToGrid w:val="0"/>
        <w:spacing w:line="360" w:lineRule="auto"/>
        <w:ind w:firstLine="482" w:firstLineChars="200"/>
        <w:rPr>
          <w:rFonts w:ascii="宋体" w:hAnsi="宋体" w:cs="仿宋_GB2312"/>
          <w:b/>
          <w:color w:val="000000"/>
          <w:sz w:val="24"/>
        </w:rPr>
      </w:pPr>
      <w:r>
        <w:rPr>
          <w:rFonts w:hint="eastAsia" w:ascii="宋体" w:hAnsi="宋体" w:cs="仿宋_GB2312"/>
          <w:b/>
          <w:color w:val="000000"/>
          <w:sz w:val="24"/>
          <w:lang w:eastAsia="ar-SA"/>
        </w:rPr>
        <w:t>第十</w:t>
      </w:r>
      <w:r>
        <w:rPr>
          <w:rFonts w:hint="eastAsia" w:ascii="宋体" w:hAnsi="宋体" w:cs="仿宋_GB2312"/>
          <w:b/>
          <w:color w:val="000000"/>
          <w:sz w:val="24"/>
        </w:rPr>
        <w:t>七</w:t>
      </w:r>
      <w:r>
        <w:rPr>
          <w:rFonts w:hint="eastAsia" w:ascii="宋体" w:hAnsi="宋体" w:cs="仿宋_GB2312"/>
          <w:b/>
          <w:color w:val="000000"/>
          <w:sz w:val="24"/>
          <w:lang w:eastAsia="ar-SA"/>
        </w:rPr>
        <w:t>条 合同</w:t>
      </w:r>
      <w:r>
        <w:rPr>
          <w:rFonts w:hint="eastAsia" w:ascii="宋体" w:hAnsi="宋体" w:cs="仿宋_GB2312"/>
          <w:b/>
          <w:color w:val="000000"/>
          <w:sz w:val="24"/>
        </w:rPr>
        <w:t>文件的构成</w:t>
      </w:r>
    </w:p>
    <w:p w14:paraId="35F0B88D">
      <w:pPr>
        <w:snapToGrid w:val="0"/>
        <w:spacing w:line="360" w:lineRule="auto"/>
        <w:ind w:firstLine="480" w:firstLineChars="200"/>
        <w:rPr>
          <w:rFonts w:ascii="宋体" w:hAnsi="宋体" w:cs="仿宋_GB2312"/>
          <w:color w:val="000000"/>
          <w:kern w:val="1"/>
          <w:sz w:val="24"/>
          <w:lang w:eastAsia="ar-SA"/>
        </w:rPr>
      </w:pPr>
      <w:r>
        <w:rPr>
          <w:rFonts w:ascii="宋体" w:hAnsi="宋体" w:cs="仿宋_GB2312"/>
          <w:color w:val="000000"/>
          <w:kern w:val="1"/>
          <w:sz w:val="24"/>
          <w:lang w:eastAsia="ar-SA"/>
        </w:rPr>
        <w:t>1</w:t>
      </w:r>
      <w:r>
        <w:rPr>
          <w:rFonts w:hint="cs" w:ascii="宋体" w:hAnsi="宋体" w:cs="仿宋_GB2312"/>
          <w:color w:val="000000"/>
          <w:kern w:val="1"/>
          <w:sz w:val="24"/>
          <w:cs/>
          <w:lang w:eastAsia="ar-SA"/>
        </w:rPr>
        <w:t>.</w:t>
      </w:r>
      <w:r>
        <w:rPr>
          <w:rFonts w:ascii="宋体" w:hAnsi="宋体" w:cs="仿宋_GB2312"/>
          <w:color w:val="000000"/>
          <w:kern w:val="1"/>
          <w:sz w:val="24"/>
          <w:lang w:eastAsia="ar-SA"/>
        </w:rPr>
        <w:t>本合同书；</w:t>
      </w:r>
    </w:p>
    <w:p w14:paraId="341A26A8">
      <w:pPr>
        <w:snapToGrid w:val="0"/>
        <w:spacing w:line="360" w:lineRule="auto"/>
        <w:ind w:firstLine="480" w:firstLineChars="200"/>
        <w:rPr>
          <w:rFonts w:ascii="宋体" w:hAnsi="宋体" w:cs="仿宋_GB2312"/>
          <w:color w:val="000000"/>
          <w:kern w:val="1"/>
          <w:sz w:val="24"/>
          <w:lang w:eastAsia="ar-SA"/>
        </w:rPr>
      </w:pPr>
      <w:r>
        <w:rPr>
          <w:rFonts w:ascii="宋体" w:hAnsi="宋体" w:cs="仿宋_GB2312"/>
          <w:color w:val="000000"/>
          <w:kern w:val="1"/>
          <w:sz w:val="24"/>
          <w:lang w:eastAsia="ar-SA"/>
        </w:rPr>
        <w:t>2</w:t>
      </w:r>
      <w:r>
        <w:rPr>
          <w:rFonts w:hint="cs" w:ascii="宋体" w:hAnsi="宋体" w:cs="仿宋_GB2312"/>
          <w:color w:val="000000"/>
          <w:kern w:val="1"/>
          <w:sz w:val="24"/>
          <w:cs/>
          <w:lang w:eastAsia="ar-SA"/>
        </w:rPr>
        <w:t>.</w:t>
      </w:r>
      <w:r>
        <w:rPr>
          <w:rFonts w:ascii="宋体" w:hAnsi="宋体" w:cs="仿宋_GB2312"/>
          <w:color w:val="000000"/>
          <w:kern w:val="1"/>
          <w:sz w:val="24"/>
          <w:lang w:eastAsia="ar-SA"/>
        </w:rPr>
        <w:t>成交通知书；</w:t>
      </w:r>
    </w:p>
    <w:p w14:paraId="14C11E70">
      <w:pPr>
        <w:snapToGrid w:val="0"/>
        <w:spacing w:line="360" w:lineRule="auto"/>
        <w:ind w:firstLine="480" w:firstLineChars="200"/>
        <w:rPr>
          <w:rFonts w:ascii="宋体" w:hAnsi="宋体" w:cs="仿宋_GB2312"/>
          <w:color w:val="000000"/>
          <w:kern w:val="1"/>
          <w:sz w:val="24"/>
          <w:lang w:eastAsia="ar-SA"/>
        </w:rPr>
      </w:pPr>
      <w:r>
        <w:rPr>
          <w:rFonts w:hint="eastAsia" w:ascii="宋体" w:hAnsi="宋体" w:cs="仿宋_GB2312"/>
          <w:color w:val="000000"/>
          <w:kern w:val="1"/>
          <w:sz w:val="24"/>
        </w:rPr>
        <w:t>3</w:t>
      </w:r>
      <w:r>
        <w:rPr>
          <w:rFonts w:ascii="宋体" w:hAnsi="宋体" w:cs="仿宋_GB2312"/>
          <w:color w:val="000000"/>
          <w:kern w:val="1"/>
          <w:sz w:val="24"/>
          <w:lang w:eastAsia="ar-SA"/>
        </w:rPr>
        <w:t>.</w:t>
      </w:r>
      <w:r>
        <w:rPr>
          <w:rFonts w:hint="eastAsia" w:ascii="宋体" w:hAnsi="宋体" w:cs="仿宋_GB2312"/>
          <w:color w:val="000000"/>
          <w:kern w:val="1"/>
          <w:sz w:val="24"/>
        </w:rPr>
        <w:t>采购需求；</w:t>
      </w:r>
    </w:p>
    <w:p w14:paraId="606D4F0F">
      <w:pPr>
        <w:snapToGrid w:val="0"/>
        <w:spacing w:line="360" w:lineRule="auto"/>
        <w:ind w:firstLine="480" w:firstLineChars="200"/>
        <w:rPr>
          <w:rFonts w:ascii="宋体" w:hAnsi="宋体" w:cs="仿宋_GB2312"/>
          <w:color w:val="000000"/>
          <w:kern w:val="1"/>
          <w:sz w:val="24"/>
          <w:lang w:eastAsia="ar-SA"/>
        </w:rPr>
      </w:pPr>
      <w:r>
        <w:rPr>
          <w:rFonts w:ascii="宋体" w:hAnsi="宋体" w:cs="仿宋_GB2312"/>
          <w:color w:val="000000"/>
          <w:kern w:val="1"/>
          <w:sz w:val="24"/>
          <w:lang w:eastAsia="ar-SA"/>
        </w:rPr>
        <w:t>4</w:t>
      </w:r>
      <w:r>
        <w:rPr>
          <w:rFonts w:hint="cs" w:ascii="宋体" w:hAnsi="宋体" w:cs="仿宋_GB2312"/>
          <w:color w:val="000000"/>
          <w:kern w:val="1"/>
          <w:sz w:val="24"/>
          <w:cs/>
          <w:lang w:eastAsia="ar-SA"/>
        </w:rPr>
        <w:t>.</w:t>
      </w:r>
      <w:r>
        <w:rPr>
          <w:rFonts w:hint="eastAsia" w:ascii="宋体" w:hAnsi="宋体" w:cs="仿宋_GB2312"/>
          <w:color w:val="000000"/>
          <w:kern w:val="1"/>
          <w:sz w:val="24"/>
        </w:rPr>
        <w:t>响应</w:t>
      </w:r>
      <w:r>
        <w:rPr>
          <w:rFonts w:ascii="宋体" w:hAnsi="宋体" w:cs="仿宋_GB2312"/>
          <w:color w:val="000000"/>
          <w:kern w:val="1"/>
          <w:sz w:val="24"/>
          <w:lang w:eastAsia="ar-SA"/>
        </w:rPr>
        <w:t>报价表；</w:t>
      </w:r>
    </w:p>
    <w:p w14:paraId="1A94094D">
      <w:pPr>
        <w:snapToGrid w:val="0"/>
        <w:spacing w:line="360" w:lineRule="auto"/>
        <w:ind w:firstLine="480" w:firstLineChars="200"/>
        <w:rPr>
          <w:rFonts w:ascii="宋体" w:hAnsi="宋体" w:cs="仿宋_GB2312"/>
          <w:color w:val="000000"/>
          <w:kern w:val="1"/>
          <w:sz w:val="24"/>
          <w:lang w:eastAsia="ar-SA"/>
        </w:rPr>
      </w:pPr>
      <w:r>
        <w:rPr>
          <w:rFonts w:ascii="宋体" w:hAnsi="宋体" w:cs="仿宋_GB2312"/>
          <w:color w:val="000000"/>
          <w:kern w:val="1"/>
          <w:sz w:val="24"/>
          <w:lang w:eastAsia="ar-SA"/>
        </w:rPr>
        <w:t>5</w:t>
      </w:r>
      <w:r>
        <w:rPr>
          <w:rFonts w:hint="cs" w:ascii="宋体" w:hAnsi="宋体" w:cs="仿宋_GB2312"/>
          <w:color w:val="000000"/>
          <w:kern w:val="1"/>
          <w:sz w:val="24"/>
          <w:cs/>
          <w:lang w:eastAsia="ar-SA"/>
        </w:rPr>
        <w:t>.</w:t>
      </w:r>
      <w:r>
        <w:rPr>
          <w:rFonts w:ascii="宋体" w:hAnsi="宋体" w:cs="仿宋_GB2312"/>
          <w:color w:val="000000"/>
          <w:kern w:val="1"/>
          <w:sz w:val="24"/>
          <w:lang w:eastAsia="ar-SA"/>
        </w:rPr>
        <w:t>商务要求偏离表和技术要求偏离表；</w:t>
      </w:r>
    </w:p>
    <w:p w14:paraId="0E40F5CA">
      <w:pPr>
        <w:snapToGrid w:val="0"/>
        <w:spacing w:line="360" w:lineRule="auto"/>
        <w:ind w:firstLine="480" w:firstLineChars="200"/>
        <w:rPr>
          <w:rFonts w:ascii="宋体" w:hAnsi="宋体" w:cs="仿宋_GB2312"/>
          <w:color w:val="000000"/>
          <w:kern w:val="1"/>
          <w:sz w:val="24"/>
          <w:lang w:eastAsia="ar-SA"/>
        </w:rPr>
      </w:pPr>
      <w:r>
        <w:rPr>
          <w:rFonts w:ascii="宋体" w:hAnsi="宋体" w:cs="仿宋_GB2312"/>
          <w:color w:val="000000"/>
          <w:kern w:val="1"/>
          <w:sz w:val="24"/>
          <w:lang w:eastAsia="ar-SA"/>
        </w:rPr>
        <w:t>6</w:t>
      </w:r>
      <w:r>
        <w:rPr>
          <w:rFonts w:hint="cs" w:ascii="宋体" w:hAnsi="宋体" w:cs="仿宋_GB2312"/>
          <w:color w:val="000000"/>
          <w:kern w:val="1"/>
          <w:sz w:val="24"/>
          <w:cs/>
          <w:lang w:eastAsia="ar-SA"/>
        </w:rPr>
        <w:t>.</w:t>
      </w:r>
      <w:r>
        <w:rPr>
          <w:rFonts w:ascii="宋体" w:hAnsi="宋体" w:cs="仿宋_GB2312"/>
          <w:color w:val="000000"/>
          <w:kern w:val="1"/>
          <w:sz w:val="24"/>
          <w:lang w:eastAsia="ar-SA"/>
        </w:rPr>
        <w:t>售后服务承诺方案；</w:t>
      </w:r>
    </w:p>
    <w:p w14:paraId="49E9103E">
      <w:pPr>
        <w:snapToGrid w:val="0"/>
        <w:spacing w:line="360" w:lineRule="auto"/>
        <w:ind w:firstLine="480" w:firstLineChars="200"/>
        <w:rPr>
          <w:rFonts w:ascii="宋体" w:hAnsi="宋体" w:cs="仿宋_GB2312"/>
          <w:color w:val="000000"/>
          <w:kern w:val="1"/>
          <w:sz w:val="24"/>
          <w:lang w:eastAsia="ar-SA"/>
        </w:rPr>
      </w:pPr>
      <w:r>
        <w:rPr>
          <w:rFonts w:ascii="宋体" w:hAnsi="宋体" w:cs="仿宋_GB2312"/>
          <w:color w:val="000000"/>
          <w:kern w:val="1"/>
          <w:sz w:val="24"/>
          <w:lang w:eastAsia="ar-SA"/>
        </w:rPr>
        <w:t>7</w:t>
      </w:r>
      <w:r>
        <w:rPr>
          <w:rFonts w:hint="cs" w:ascii="宋体" w:hAnsi="宋体" w:cs="仿宋_GB2312"/>
          <w:color w:val="000000"/>
          <w:kern w:val="1"/>
          <w:sz w:val="24"/>
          <w:cs/>
          <w:lang w:eastAsia="ar-SA"/>
        </w:rPr>
        <w:t>.</w:t>
      </w:r>
      <w:r>
        <w:rPr>
          <w:rFonts w:ascii="宋体" w:hAnsi="宋体" w:cs="仿宋_GB2312"/>
          <w:color w:val="000000"/>
          <w:kern w:val="1"/>
          <w:sz w:val="24"/>
          <w:lang w:eastAsia="ar-SA"/>
        </w:rPr>
        <w:t>响应文件中的其他相关文件。</w:t>
      </w:r>
    </w:p>
    <w:p w14:paraId="5451B65C">
      <w:pPr>
        <w:snapToGrid w:val="0"/>
        <w:spacing w:line="360" w:lineRule="auto"/>
        <w:ind w:firstLine="480" w:firstLineChars="200"/>
        <w:rPr>
          <w:rFonts w:ascii="宋体" w:hAnsi="宋体" w:cs="仿宋_GB2312"/>
          <w:color w:val="000000"/>
          <w:kern w:val="1"/>
          <w:sz w:val="24"/>
          <w:lang w:eastAsia="ar-SA"/>
        </w:rPr>
      </w:pPr>
      <w:r>
        <w:rPr>
          <w:rFonts w:ascii="宋体" w:hAnsi="宋体" w:cs="仿宋_GB2312"/>
          <w:color w:val="000000"/>
          <w:kern w:val="1"/>
          <w:sz w:val="24"/>
          <w:lang w:eastAsia="ar-SA"/>
        </w:rPr>
        <w:t>8</w:t>
      </w:r>
      <w:r>
        <w:rPr>
          <w:rFonts w:hint="cs" w:ascii="宋体" w:hAnsi="宋体" w:cs="仿宋_GB2312"/>
          <w:color w:val="000000"/>
          <w:kern w:val="1"/>
          <w:sz w:val="24"/>
          <w:cs/>
          <w:lang w:eastAsia="ar-SA"/>
        </w:rPr>
        <w:t>.</w:t>
      </w:r>
      <w:r>
        <w:rPr>
          <w:rFonts w:ascii="宋体" w:hAnsi="宋体" w:cs="仿宋_GB2312"/>
          <w:color w:val="000000"/>
          <w:kern w:val="1"/>
          <w:sz w:val="24"/>
          <w:lang w:eastAsia="ar-SA"/>
        </w:rPr>
        <w:t>上述合同文件互相补充和解释。如果合同文件之间存在矛盾或者不一致之处，以上述文件的排列顺序在先者为准。</w:t>
      </w:r>
    </w:p>
    <w:p w14:paraId="190600C1">
      <w:pPr>
        <w:snapToGrid w:val="0"/>
        <w:spacing w:line="360" w:lineRule="auto"/>
        <w:ind w:firstLine="482" w:firstLineChars="200"/>
        <w:rPr>
          <w:rFonts w:ascii="宋体" w:hAnsi="宋体" w:cs="仿宋_GB2312"/>
          <w:b/>
          <w:color w:val="000000"/>
          <w:sz w:val="24"/>
          <w:lang w:eastAsia="ar-SA"/>
        </w:rPr>
      </w:pPr>
      <w:r>
        <w:rPr>
          <w:rFonts w:hint="eastAsia" w:ascii="宋体" w:hAnsi="宋体" w:cs="仿宋_GB2312"/>
          <w:b/>
          <w:color w:val="000000"/>
          <w:sz w:val="24"/>
          <w:lang w:eastAsia="ar-SA"/>
        </w:rPr>
        <w:t>第</w:t>
      </w:r>
      <w:r>
        <w:rPr>
          <w:rFonts w:hint="eastAsia" w:ascii="宋体" w:hAnsi="宋体" w:cs="仿宋_GB2312"/>
          <w:b/>
          <w:color w:val="000000"/>
          <w:sz w:val="24"/>
        </w:rPr>
        <w:t>十八</w:t>
      </w:r>
      <w:r>
        <w:rPr>
          <w:rFonts w:hint="eastAsia" w:ascii="宋体" w:hAnsi="宋体" w:cs="仿宋_GB2312"/>
          <w:b/>
          <w:color w:val="000000"/>
          <w:sz w:val="24"/>
          <w:lang w:eastAsia="ar-SA"/>
        </w:rPr>
        <w:t>条 通知</w:t>
      </w:r>
    </w:p>
    <w:p w14:paraId="38503B24">
      <w:pPr>
        <w:spacing w:line="360" w:lineRule="auto"/>
        <w:ind w:firstLine="480" w:firstLineChars="200"/>
        <w:rPr>
          <w:rFonts w:ascii="宋体" w:hAnsi="宋体" w:cs="仿宋_GB2312"/>
          <w:color w:val="000000"/>
          <w:kern w:val="1"/>
          <w:sz w:val="24"/>
          <w:lang w:eastAsia="ar-SA"/>
        </w:rPr>
      </w:pPr>
      <w:r>
        <w:rPr>
          <w:rFonts w:hint="eastAsia" w:ascii="宋体" w:hAnsi="宋体" w:cs="仿宋_GB2312"/>
          <w:color w:val="000000"/>
          <w:kern w:val="1"/>
          <w:sz w:val="24"/>
          <w:lang w:eastAsia="ar-SA"/>
        </w:rPr>
        <w:t>双方确认本合同落款通讯地址作为文书送达地址，该通讯地址适用于包括双方合同履行过程中的各类通知、协议等文件以及就合同发生争议进入诉讼、仲裁程序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电子邮件、传真送达的，一经发送，即视为送达。</w:t>
      </w:r>
      <w:bookmarkStart w:id="102" w:name="_Hlk148991709"/>
      <w:r>
        <w:rPr>
          <w:rFonts w:hint="eastAsia" w:ascii="宋体" w:hAnsi="宋体" w:cs="仿宋_GB2312"/>
          <w:color w:val="000000"/>
          <w:kern w:val="1"/>
          <w:sz w:val="24"/>
        </w:rPr>
        <w:t>本</w:t>
      </w:r>
      <w:r>
        <w:rPr>
          <w:rFonts w:hint="eastAsia" w:ascii="宋体" w:hAnsi="宋体" w:cs="仿宋_GB2312"/>
          <w:color w:val="000000"/>
          <w:kern w:val="1"/>
          <w:sz w:val="24"/>
          <w:lang w:eastAsia="ar-SA"/>
        </w:rPr>
        <w:t>合同</w:t>
      </w:r>
      <w:r>
        <w:rPr>
          <w:rFonts w:hint="eastAsia" w:ascii="宋体" w:hAnsi="宋体" w:cs="仿宋_GB2312"/>
          <w:color w:val="000000"/>
          <w:kern w:val="1"/>
          <w:sz w:val="24"/>
        </w:rPr>
        <w:t>中的通知、</w:t>
      </w:r>
      <w:r>
        <w:rPr>
          <w:rFonts w:hint="eastAsia" w:ascii="宋体" w:hAnsi="宋体" w:cs="仿宋_GB2312"/>
          <w:color w:val="000000"/>
          <w:kern w:val="1"/>
          <w:sz w:val="24"/>
          <w:lang w:eastAsia="ar-SA"/>
        </w:rPr>
        <w:t>送达条款与信息安全保密条款、争议解决条款均为独立条款，不受合同整体或其他条款的效力的影响</w:t>
      </w:r>
      <w:r>
        <w:rPr>
          <w:rFonts w:hint="eastAsia" w:ascii="宋体" w:hAnsi="宋体" w:cs="仿宋_GB2312"/>
          <w:color w:val="000000"/>
          <w:kern w:val="1"/>
          <w:sz w:val="24"/>
        </w:rPr>
        <w:t>。</w:t>
      </w:r>
      <w:bookmarkEnd w:id="102"/>
    </w:p>
    <w:p w14:paraId="4138D67D">
      <w:pPr>
        <w:spacing w:line="360" w:lineRule="auto"/>
        <w:ind w:firstLine="482" w:firstLineChars="200"/>
        <w:rPr>
          <w:rFonts w:ascii="宋体" w:hAnsi="宋体"/>
          <w:kern w:val="0"/>
          <w:sz w:val="24"/>
          <w:lang w:val="zh-CN"/>
        </w:rPr>
      </w:pPr>
      <w:bookmarkStart w:id="103" w:name="_Hlk148991716"/>
      <w:r>
        <w:rPr>
          <w:rFonts w:hint="eastAsia" w:ascii="宋体" w:hAnsi="宋体"/>
          <w:b/>
          <w:sz w:val="24"/>
        </w:rPr>
        <w:t>第十九条 中小企业政策</w:t>
      </w:r>
    </w:p>
    <w:p w14:paraId="2864DAE8">
      <w:pPr>
        <w:spacing w:line="360" w:lineRule="auto"/>
        <w:ind w:firstLine="480" w:firstLineChars="200"/>
        <w:rPr>
          <w:rFonts w:ascii="宋体" w:hAnsi="宋体"/>
          <w:kern w:val="0"/>
          <w:sz w:val="24"/>
          <w:lang w:val="zh-CN"/>
        </w:rPr>
      </w:pPr>
      <w:r>
        <w:rPr>
          <w:rFonts w:hint="eastAsia" w:ascii="宋体" w:hAnsi="宋体"/>
          <w:kern w:val="0"/>
          <w:sz w:val="24"/>
          <w:lang w:val="zh-CN"/>
        </w:rPr>
        <w:t>1.本合同（□是  □否）为中小企业“政采贷”可融资合同，关于中小企业信用融资事项见采购文件“投标人须知正文”。</w:t>
      </w:r>
    </w:p>
    <w:p w14:paraId="2FBE58D1">
      <w:pPr>
        <w:spacing w:line="360" w:lineRule="auto"/>
        <w:ind w:firstLine="480" w:firstLineChars="200"/>
        <w:rPr>
          <w:rFonts w:ascii="宋体" w:hAnsi="宋体"/>
          <w:kern w:val="0"/>
          <w:sz w:val="24"/>
          <w:lang w:val="zh-CN"/>
        </w:rPr>
      </w:pPr>
      <w:r>
        <w:rPr>
          <w:rFonts w:hint="eastAsia" w:ascii="宋体" w:hAnsi="宋体"/>
          <w:kern w:val="0"/>
          <w:sz w:val="24"/>
          <w:lang w:val="zh-CN"/>
        </w:rPr>
        <w:t>2.本合同（□是  □否）为中小企业预留合同。</w:t>
      </w:r>
    </w:p>
    <w:bookmarkEnd w:id="103"/>
    <w:p w14:paraId="28265483">
      <w:pPr>
        <w:snapToGrid w:val="0"/>
        <w:spacing w:line="360" w:lineRule="auto"/>
        <w:ind w:firstLine="482" w:firstLineChars="200"/>
        <w:rPr>
          <w:rFonts w:ascii="宋体" w:hAnsi="宋体" w:cs="仿宋_GB2312"/>
          <w:b/>
          <w:color w:val="000000"/>
          <w:sz w:val="24"/>
        </w:rPr>
      </w:pPr>
      <w:r>
        <w:rPr>
          <w:rFonts w:hint="eastAsia" w:ascii="宋体" w:hAnsi="宋体" w:cs="仿宋_GB2312"/>
          <w:b/>
          <w:bCs/>
          <w:color w:val="000000"/>
          <w:kern w:val="1"/>
          <w:sz w:val="24"/>
        </w:rPr>
        <w:t>第二十条</w:t>
      </w:r>
      <w:bookmarkStart w:id="104" w:name="_Hlk148991732"/>
      <w:r>
        <w:rPr>
          <w:rFonts w:hint="eastAsia" w:ascii="宋体" w:hAnsi="宋体" w:cs="仿宋_GB2312"/>
          <w:b/>
          <w:color w:val="000000"/>
          <w:sz w:val="24"/>
        </w:rPr>
        <w:t xml:space="preserve"> </w:t>
      </w:r>
      <w:bookmarkStart w:id="105" w:name="_Hlk148992794"/>
      <w:r>
        <w:rPr>
          <w:rFonts w:hint="eastAsia" w:ascii="宋体" w:hAnsi="宋体" w:cs="仿宋_GB2312"/>
          <w:b/>
          <w:color w:val="000000"/>
          <w:sz w:val="24"/>
        </w:rPr>
        <w:t>其他</w:t>
      </w:r>
      <w:bookmarkEnd w:id="104"/>
      <w:bookmarkEnd w:id="105"/>
    </w:p>
    <w:p w14:paraId="62E70299">
      <w:pPr>
        <w:snapToGrid w:val="0"/>
        <w:spacing w:line="360" w:lineRule="auto"/>
        <w:ind w:firstLine="480" w:firstLineChars="200"/>
        <w:rPr>
          <w:rFonts w:ascii="宋体" w:hAnsi="宋体" w:cs="仿宋_GB2312"/>
          <w:color w:val="000000"/>
          <w:kern w:val="1"/>
          <w:sz w:val="24"/>
          <w:lang w:eastAsia="ar-SA"/>
        </w:rPr>
      </w:pPr>
      <w:r>
        <w:rPr>
          <w:rFonts w:hint="eastAsia" w:ascii="宋体" w:hAnsi="宋体" w:cs="仿宋_GB2312"/>
          <w:color w:val="000000"/>
          <w:kern w:val="1"/>
          <w:sz w:val="24"/>
        </w:rPr>
        <w:t>1</w:t>
      </w:r>
      <w:r>
        <w:rPr>
          <w:rFonts w:hint="eastAsia" w:ascii="宋体" w:hAnsi="宋体" w:cs="仿宋_GB2312"/>
          <w:color w:val="000000"/>
          <w:kern w:val="1"/>
          <w:sz w:val="24"/>
          <w:lang w:eastAsia="ar-SA"/>
        </w:rPr>
        <w:t>.本合同</w:t>
      </w:r>
      <w:r>
        <w:rPr>
          <w:rFonts w:hint="eastAsia" w:ascii="宋体" w:hAnsi="宋体" w:cs="仿宋_GB2312"/>
          <w:kern w:val="1"/>
          <w:sz w:val="24"/>
          <w:lang w:eastAsia="ar-SA"/>
        </w:rPr>
        <w:t>一式陆份，甲方肆份，乙方</w:t>
      </w:r>
      <w:r>
        <w:rPr>
          <w:rFonts w:hint="eastAsia" w:ascii="宋体" w:hAnsi="宋体" w:cs="仿宋_GB2312"/>
          <w:kern w:val="1"/>
          <w:sz w:val="24"/>
        </w:rPr>
        <w:t>壹</w:t>
      </w:r>
      <w:r>
        <w:rPr>
          <w:rFonts w:hint="eastAsia" w:ascii="宋体" w:hAnsi="宋体" w:cs="仿宋_GB2312"/>
          <w:kern w:val="1"/>
          <w:sz w:val="24"/>
          <w:lang w:eastAsia="ar-SA"/>
        </w:rPr>
        <w:t>份，采购代理机构</w:t>
      </w:r>
      <w:r>
        <w:rPr>
          <w:rFonts w:hint="eastAsia" w:ascii="宋体" w:hAnsi="宋体" w:cs="仿宋_GB2312"/>
          <w:kern w:val="1"/>
          <w:sz w:val="24"/>
        </w:rPr>
        <w:t>壹</w:t>
      </w:r>
      <w:r>
        <w:rPr>
          <w:rFonts w:hint="eastAsia" w:ascii="宋体" w:hAnsi="宋体" w:cs="仿宋_GB2312"/>
          <w:kern w:val="1"/>
          <w:sz w:val="24"/>
          <w:lang w:eastAsia="ar-SA"/>
        </w:rPr>
        <w:t>份</w:t>
      </w:r>
      <w:r>
        <w:rPr>
          <w:rFonts w:hint="eastAsia" w:ascii="宋体" w:hAnsi="宋体" w:cs="仿宋_GB2312"/>
          <w:kern w:val="1"/>
          <w:sz w:val="24"/>
        </w:rPr>
        <w:t>，</w:t>
      </w:r>
      <w:r>
        <w:rPr>
          <w:rFonts w:hint="eastAsia" w:ascii="宋体" w:hAnsi="宋体" w:cs="仿宋_GB2312"/>
          <w:kern w:val="1"/>
          <w:sz w:val="24"/>
          <w:lang w:eastAsia="ar-SA"/>
        </w:rPr>
        <w:t>合同附件是</w:t>
      </w:r>
      <w:r>
        <w:rPr>
          <w:rFonts w:hint="eastAsia" w:ascii="宋体" w:hAnsi="宋体" w:cs="仿宋_GB2312"/>
          <w:color w:val="000000"/>
          <w:kern w:val="1"/>
          <w:sz w:val="24"/>
          <w:lang w:eastAsia="ar-SA"/>
        </w:rPr>
        <w:t>合同的不可分割的组成部分，与合同</w:t>
      </w:r>
      <w:r>
        <w:rPr>
          <w:rFonts w:hint="eastAsia" w:ascii="宋体" w:hAnsi="宋体" w:cs="仿宋_GB2312"/>
          <w:color w:val="000000"/>
          <w:kern w:val="1"/>
          <w:sz w:val="24"/>
        </w:rPr>
        <w:t>均</w:t>
      </w:r>
      <w:r>
        <w:rPr>
          <w:rFonts w:hint="eastAsia" w:ascii="宋体" w:hAnsi="宋体" w:cs="仿宋_GB2312"/>
          <w:color w:val="000000"/>
          <w:kern w:val="1"/>
          <w:sz w:val="24"/>
          <w:lang w:eastAsia="ar-SA"/>
        </w:rPr>
        <w:t>具有同等法律效力。</w:t>
      </w:r>
    </w:p>
    <w:p w14:paraId="36DD3BFF">
      <w:pPr>
        <w:spacing w:line="360" w:lineRule="auto"/>
        <w:ind w:firstLine="480" w:firstLineChars="200"/>
        <w:rPr>
          <w:rFonts w:ascii="宋体" w:hAnsi="宋体" w:cs="仿宋_GB2312"/>
          <w:color w:val="000000"/>
          <w:kern w:val="1"/>
          <w:sz w:val="24"/>
          <w:lang w:eastAsia="ar-SA"/>
        </w:rPr>
      </w:pPr>
      <w:bookmarkStart w:id="106" w:name="_Hlk148991744"/>
      <w:r>
        <w:rPr>
          <w:rFonts w:hint="eastAsia" w:ascii="宋体" w:hAnsi="宋体" w:cs="仿宋_GB2312"/>
          <w:color w:val="000000"/>
          <w:kern w:val="1"/>
          <w:sz w:val="24"/>
          <w:lang w:eastAsia="ar-SA"/>
        </w:rPr>
        <w:t>2. 本合同约定的“日”如无特殊说明的，均为“日历日”。</w:t>
      </w:r>
    </w:p>
    <w:bookmarkEnd w:id="106"/>
    <w:p w14:paraId="16AC8CB1">
      <w:pPr>
        <w:ind w:firstLine="480" w:firstLineChars="200"/>
        <w:rPr>
          <w:rFonts w:ascii="宋体" w:hAnsi="宋体" w:cs="宋体"/>
          <w:b/>
          <w:sz w:val="24"/>
        </w:rPr>
      </w:pPr>
      <w:r>
        <w:rPr>
          <w:rFonts w:hint="eastAsia" w:ascii="宋体" w:hAnsi="宋体" w:cs="仿宋_GB2312"/>
          <w:color w:val="000000"/>
          <w:kern w:val="1"/>
          <w:sz w:val="24"/>
        </w:rPr>
        <w:t>（以下为签章页，无正文）</w:t>
      </w:r>
    </w:p>
    <w:p w14:paraId="338A1BF2">
      <w:pPr>
        <w:ind w:firstLine="482" w:firstLineChars="200"/>
        <w:rPr>
          <w:rFonts w:ascii="宋体" w:hAnsi="宋体" w:cs="宋体"/>
          <w:b/>
          <w:sz w:val="24"/>
        </w:rPr>
      </w:pPr>
      <w:r>
        <w:rPr>
          <w:rFonts w:hint="eastAsia" w:ascii="宋体" w:hAnsi="宋体" w:cs="仿宋_GB2312"/>
          <w:b/>
          <w:bCs/>
          <w:color w:val="000000"/>
          <w:kern w:val="1"/>
          <w:sz w:val="24"/>
        </w:rPr>
        <w:t>第二十一条</w:t>
      </w:r>
      <w:r>
        <w:rPr>
          <w:rFonts w:hint="eastAsia" w:ascii="宋体" w:hAnsi="宋体" w:cs="宋体"/>
          <w:b/>
          <w:sz w:val="24"/>
        </w:rPr>
        <w:t xml:space="preserve">  本合同一式肆份，具有同等法律效力，甲方执叁份，乙方执壹份。双方签字盖章后生效。</w:t>
      </w:r>
    </w:p>
    <w:p w14:paraId="3EBF5144">
      <w:pPr>
        <w:ind w:left="525"/>
        <w:rPr>
          <w:rFonts w:ascii="宋体" w:hAnsi="宋体" w:cs="宋体"/>
          <w:sz w:val="24"/>
        </w:rPr>
      </w:pPr>
    </w:p>
    <w:tbl>
      <w:tblPr>
        <w:tblStyle w:val="48"/>
        <w:tblW w:w="94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8"/>
        <w:gridCol w:w="5218"/>
      </w:tblGrid>
      <w:tr w14:paraId="035D3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4268" w:type="dxa"/>
            <w:shd w:val="clear" w:color="auto" w:fill="auto"/>
          </w:tcPr>
          <w:p w14:paraId="5250C334">
            <w:pPr>
              <w:spacing w:before="120" w:beforeLines="50"/>
              <w:rPr>
                <w:rFonts w:ascii="宋体" w:hAnsi="宋体" w:cs="宋体"/>
                <w:sz w:val="24"/>
              </w:rPr>
            </w:pPr>
            <w:r>
              <w:rPr>
                <w:rFonts w:hint="eastAsia" w:ascii="宋体" w:hAnsi="宋体" w:cs="宋体"/>
                <w:sz w:val="24"/>
              </w:rPr>
              <w:t>甲方：广西壮族自治区民族医院</w:t>
            </w:r>
          </w:p>
        </w:tc>
        <w:tc>
          <w:tcPr>
            <w:tcW w:w="5218" w:type="dxa"/>
            <w:shd w:val="clear" w:color="auto" w:fill="auto"/>
          </w:tcPr>
          <w:p w14:paraId="6660A7A5">
            <w:pPr>
              <w:spacing w:before="120" w:beforeLines="50"/>
              <w:rPr>
                <w:rFonts w:ascii="宋体" w:hAnsi="宋体" w:cs="宋体"/>
                <w:sz w:val="24"/>
              </w:rPr>
            </w:pPr>
            <w:r>
              <w:rPr>
                <w:rFonts w:hint="eastAsia" w:ascii="宋体" w:hAnsi="宋体" w:cs="宋体"/>
                <w:sz w:val="24"/>
              </w:rPr>
              <w:t>乙方：</w:t>
            </w:r>
          </w:p>
        </w:tc>
      </w:tr>
      <w:tr w14:paraId="4DF6B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4268" w:type="dxa"/>
            <w:shd w:val="clear" w:color="auto" w:fill="auto"/>
          </w:tcPr>
          <w:p w14:paraId="31FB9F58">
            <w:pPr>
              <w:spacing w:before="120" w:beforeLines="50"/>
              <w:rPr>
                <w:rFonts w:ascii="宋体" w:hAnsi="宋体" w:cs="宋体"/>
                <w:sz w:val="24"/>
              </w:rPr>
            </w:pPr>
            <w:r>
              <w:rPr>
                <w:rFonts w:hint="eastAsia" w:ascii="宋体" w:hAnsi="宋体" w:cs="宋体"/>
                <w:sz w:val="24"/>
              </w:rPr>
              <w:t>单位地址：南宁市明秀东路232号</w:t>
            </w:r>
          </w:p>
        </w:tc>
        <w:tc>
          <w:tcPr>
            <w:tcW w:w="5218" w:type="dxa"/>
            <w:shd w:val="clear" w:color="auto" w:fill="auto"/>
          </w:tcPr>
          <w:p w14:paraId="719F4391">
            <w:pPr>
              <w:spacing w:before="120" w:beforeLines="50"/>
              <w:ind w:left="1200" w:hanging="1200" w:hangingChars="500"/>
              <w:rPr>
                <w:rFonts w:ascii="宋体" w:hAnsi="宋体" w:cs="宋体"/>
                <w:sz w:val="24"/>
              </w:rPr>
            </w:pPr>
            <w:r>
              <w:rPr>
                <w:rFonts w:hint="eastAsia" w:ascii="宋体" w:hAnsi="宋体" w:cs="宋体"/>
                <w:sz w:val="24"/>
              </w:rPr>
              <w:t>单位地址：</w:t>
            </w:r>
          </w:p>
        </w:tc>
      </w:tr>
      <w:tr w14:paraId="4CF5F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4268" w:type="dxa"/>
            <w:shd w:val="clear" w:color="auto" w:fill="auto"/>
          </w:tcPr>
          <w:p w14:paraId="322BE477">
            <w:pPr>
              <w:spacing w:before="120" w:beforeLines="50"/>
              <w:rPr>
                <w:rFonts w:ascii="宋体" w:hAnsi="宋体" w:cs="宋体"/>
                <w:sz w:val="24"/>
              </w:rPr>
            </w:pPr>
            <w:r>
              <w:rPr>
                <w:rFonts w:hint="eastAsia" w:ascii="宋体" w:hAnsi="宋体" w:cs="宋体"/>
                <w:sz w:val="24"/>
              </w:rPr>
              <w:t>法定代表人：</w:t>
            </w:r>
          </w:p>
        </w:tc>
        <w:tc>
          <w:tcPr>
            <w:tcW w:w="5218" w:type="dxa"/>
            <w:shd w:val="clear" w:color="auto" w:fill="auto"/>
          </w:tcPr>
          <w:p w14:paraId="6793509F">
            <w:pPr>
              <w:spacing w:before="120" w:beforeLines="50"/>
              <w:rPr>
                <w:rFonts w:ascii="宋体" w:hAnsi="宋体" w:cs="宋体"/>
                <w:sz w:val="24"/>
              </w:rPr>
            </w:pPr>
            <w:r>
              <w:rPr>
                <w:rFonts w:hint="eastAsia" w:ascii="宋体" w:hAnsi="宋体" w:cs="宋体"/>
                <w:sz w:val="24"/>
              </w:rPr>
              <w:t>法定代表人：</w:t>
            </w:r>
          </w:p>
        </w:tc>
      </w:tr>
      <w:tr w14:paraId="496F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4268" w:type="dxa"/>
            <w:shd w:val="clear" w:color="auto" w:fill="auto"/>
          </w:tcPr>
          <w:p w14:paraId="003A4BC2">
            <w:pPr>
              <w:spacing w:before="120" w:beforeLines="50"/>
              <w:rPr>
                <w:rFonts w:ascii="宋体" w:hAnsi="宋体" w:cs="宋体"/>
                <w:sz w:val="24"/>
              </w:rPr>
            </w:pPr>
            <w:r>
              <w:rPr>
                <w:rFonts w:hint="eastAsia" w:ascii="宋体" w:hAnsi="宋体" w:cs="宋体"/>
                <w:sz w:val="24"/>
              </w:rPr>
              <w:t>委托代理人：</w:t>
            </w:r>
          </w:p>
        </w:tc>
        <w:tc>
          <w:tcPr>
            <w:tcW w:w="5218" w:type="dxa"/>
            <w:shd w:val="clear" w:color="auto" w:fill="auto"/>
          </w:tcPr>
          <w:p w14:paraId="2D043770">
            <w:pPr>
              <w:spacing w:before="120" w:beforeLines="50"/>
              <w:rPr>
                <w:rFonts w:ascii="宋体" w:hAnsi="宋体" w:cs="宋体"/>
                <w:sz w:val="24"/>
              </w:rPr>
            </w:pPr>
            <w:r>
              <w:rPr>
                <w:rFonts w:hint="eastAsia" w:ascii="宋体" w:hAnsi="宋体" w:cs="宋体"/>
                <w:sz w:val="24"/>
              </w:rPr>
              <w:t>委托代表人：</w:t>
            </w:r>
          </w:p>
        </w:tc>
      </w:tr>
      <w:tr w14:paraId="28784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4268" w:type="dxa"/>
            <w:shd w:val="clear" w:color="auto" w:fill="auto"/>
          </w:tcPr>
          <w:p w14:paraId="0AE983F0">
            <w:pPr>
              <w:spacing w:before="120" w:beforeLines="50"/>
              <w:rPr>
                <w:rFonts w:ascii="宋体" w:hAnsi="宋体" w:cs="宋体"/>
                <w:sz w:val="24"/>
              </w:rPr>
            </w:pPr>
            <w:r>
              <w:rPr>
                <w:rFonts w:hint="eastAsia" w:ascii="宋体" w:hAnsi="宋体" w:cs="宋体"/>
                <w:sz w:val="24"/>
              </w:rPr>
              <w:t>电话：3112192</w:t>
            </w:r>
          </w:p>
        </w:tc>
        <w:tc>
          <w:tcPr>
            <w:tcW w:w="5218" w:type="dxa"/>
            <w:shd w:val="clear" w:color="auto" w:fill="auto"/>
          </w:tcPr>
          <w:p w14:paraId="0BBF1F69">
            <w:pPr>
              <w:spacing w:before="120" w:beforeLines="50"/>
              <w:rPr>
                <w:rFonts w:ascii="宋体" w:hAnsi="宋体" w:cs="宋体"/>
                <w:sz w:val="24"/>
              </w:rPr>
            </w:pPr>
            <w:r>
              <w:rPr>
                <w:rFonts w:hint="eastAsia" w:ascii="宋体" w:hAnsi="宋体" w:cs="宋体"/>
                <w:sz w:val="24"/>
              </w:rPr>
              <w:t>电话：</w:t>
            </w:r>
          </w:p>
        </w:tc>
      </w:tr>
      <w:tr w14:paraId="56C9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4268" w:type="dxa"/>
            <w:shd w:val="clear" w:color="auto" w:fill="auto"/>
          </w:tcPr>
          <w:p w14:paraId="66E19525">
            <w:pPr>
              <w:spacing w:before="120" w:beforeLines="50"/>
              <w:rPr>
                <w:rFonts w:ascii="宋体" w:hAnsi="宋体" w:cs="宋体"/>
                <w:sz w:val="24"/>
              </w:rPr>
            </w:pPr>
            <w:r>
              <w:rPr>
                <w:rFonts w:hint="eastAsia" w:ascii="宋体" w:hAnsi="宋体" w:cs="宋体"/>
                <w:sz w:val="24"/>
              </w:rPr>
              <w:t>电子邮箱：</w:t>
            </w:r>
          </w:p>
        </w:tc>
        <w:tc>
          <w:tcPr>
            <w:tcW w:w="5218" w:type="dxa"/>
            <w:shd w:val="clear" w:color="auto" w:fill="auto"/>
          </w:tcPr>
          <w:p w14:paraId="7EEB60D2">
            <w:pPr>
              <w:spacing w:before="120" w:beforeLines="50"/>
              <w:rPr>
                <w:rFonts w:ascii="宋体" w:hAnsi="宋体" w:cs="宋体"/>
                <w:sz w:val="24"/>
              </w:rPr>
            </w:pPr>
            <w:r>
              <w:rPr>
                <w:rFonts w:hint="eastAsia" w:ascii="宋体" w:hAnsi="宋体" w:cs="宋体"/>
                <w:sz w:val="24"/>
              </w:rPr>
              <w:t>电子邮箱：</w:t>
            </w:r>
          </w:p>
        </w:tc>
      </w:tr>
      <w:tr w14:paraId="68507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4268" w:type="dxa"/>
            <w:shd w:val="clear" w:color="auto" w:fill="auto"/>
          </w:tcPr>
          <w:p w14:paraId="5A6477CC">
            <w:pPr>
              <w:spacing w:before="120" w:beforeLines="50"/>
              <w:rPr>
                <w:rFonts w:ascii="宋体" w:hAnsi="宋体" w:cs="宋体"/>
                <w:sz w:val="24"/>
              </w:rPr>
            </w:pPr>
            <w:r>
              <w:rPr>
                <w:rFonts w:hint="eastAsia" w:ascii="宋体" w:hAnsi="宋体" w:cs="宋体"/>
                <w:sz w:val="24"/>
              </w:rPr>
              <w:t>开户名称：广西壮族自治区民族医院</w:t>
            </w:r>
          </w:p>
        </w:tc>
        <w:tc>
          <w:tcPr>
            <w:tcW w:w="5218" w:type="dxa"/>
            <w:shd w:val="clear" w:color="auto" w:fill="auto"/>
          </w:tcPr>
          <w:p w14:paraId="15FE2F39">
            <w:pPr>
              <w:spacing w:before="120" w:beforeLines="50"/>
              <w:rPr>
                <w:rFonts w:ascii="宋体" w:hAnsi="宋体" w:cs="宋体"/>
                <w:sz w:val="24"/>
              </w:rPr>
            </w:pPr>
            <w:r>
              <w:rPr>
                <w:rFonts w:hint="eastAsia" w:ascii="宋体" w:hAnsi="宋体" w:cs="宋体"/>
                <w:sz w:val="24"/>
              </w:rPr>
              <w:t>开户名称：</w:t>
            </w:r>
          </w:p>
        </w:tc>
      </w:tr>
      <w:tr w14:paraId="1F006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4268" w:type="dxa"/>
            <w:shd w:val="clear" w:color="auto" w:fill="auto"/>
          </w:tcPr>
          <w:p w14:paraId="2F32C56F">
            <w:pPr>
              <w:spacing w:before="120" w:beforeLines="50"/>
              <w:rPr>
                <w:rFonts w:ascii="宋体" w:hAnsi="宋体" w:cs="宋体"/>
                <w:sz w:val="24"/>
              </w:rPr>
            </w:pPr>
            <w:r>
              <w:rPr>
                <w:rFonts w:hint="eastAsia" w:ascii="宋体" w:hAnsi="宋体" w:cs="宋体"/>
                <w:sz w:val="24"/>
              </w:rPr>
              <w:t>开户银行：中国银行南宁明秀东支行</w:t>
            </w:r>
          </w:p>
        </w:tc>
        <w:tc>
          <w:tcPr>
            <w:tcW w:w="5218" w:type="dxa"/>
            <w:shd w:val="clear" w:color="auto" w:fill="auto"/>
          </w:tcPr>
          <w:p w14:paraId="4E812E6E">
            <w:pPr>
              <w:spacing w:before="120" w:beforeLines="50"/>
              <w:rPr>
                <w:rFonts w:ascii="宋体" w:hAnsi="宋体" w:cs="宋体"/>
                <w:sz w:val="24"/>
              </w:rPr>
            </w:pPr>
            <w:r>
              <w:rPr>
                <w:rFonts w:hint="eastAsia" w:ascii="宋体" w:hAnsi="宋体" w:cs="宋体"/>
                <w:sz w:val="24"/>
              </w:rPr>
              <w:t>开户银行：</w:t>
            </w:r>
          </w:p>
        </w:tc>
      </w:tr>
      <w:tr w14:paraId="2D352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4268" w:type="dxa"/>
            <w:shd w:val="clear" w:color="auto" w:fill="auto"/>
          </w:tcPr>
          <w:p w14:paraId="68FA6A30">
            <w:pPr>
              <w:spacing w:before="120" w:beforeLines="50"/>
              <w:rPr>
                <w:rFonts w:ascii="宋体" w:hAnsi="宋体" w:cs="宋体"/>
                <w:sz w:val="24"/>
              </w:rPr>
            </w:pPr>
            <w:r>
              <w:rPr>
                <w:rFonts w:hint="eastAsia" w:ascii="宋体" w:hAnsi="宋体" w:cs="宋体"/>
                <w:sz w:val="24"/>
              </w:rPr>
              <w:t>账号：619757485990</w:t>
            </w:r>
          </w:p>
        </w:tc>
        <w:tc>
          <w:tcPr>
            <w:tcW w:w="5218" w:type="dxa"/>
            <w:shd w:val="clear" w:color="auto" w:fill="auto"/>
          </w:tcPr>
          <w:p w14:paraId="7CE06137">
            <w:pPr>
              <w:spacing w:before="120" w:beforeLines="50"/>
              <w:rPr>
                <w:rFonts w:ascii="宋体" w:hAnsi="宋体" w:cs="宋体"/>
                <w:sz w:val="24"/>
              </w:rPr>
            </w:pPr>
            <w:r>
              <w:rPr>
                <w:rFonts w:hint="eastAsia" w:ascii="宋体" w:hAnsi="宋体" w:cs="宋体"/>
                <w:sz w:val="24"/>
              </w:rPr>
              <w:t>账号：</w:t>
            </w:r>
          </w:p>
        </w:tc>
      </w:tr>
      <w:tr w14:paraId="0EBE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4" w:hRule="atLeast"/>
        </w:trPr>
        <w:tc>
          <w:tcPr>
            <w:tcW w:w="4268" w:type="dxa"/>
            <w:shd w:val="clear" w:color="auto" w:fill="auto"/>
          </w:tcPr>
          <w:p w14:paraId="29E27954">
            <w:pPr>
              <w:spacing w:before="120" w:beforeLines="50"/>
              <w:rPr>
                <w:rFonts w:ascii="宋体" w:hAnsi="宋体" w:cs="宋体"/>
                <w:sz w:val="24"/>
              </w:rPr>
            </w:pPr>
            <w:r>
              <w:rPr>
                <w:rFonts w:hint="eastAsia" w:ascii="宋体" w:hAnsi="宋体" w:cs="宋体"/>
                <w:sz w:val="24"/>
              </w:rPr>
              <w:t xml:space="preserve">甲方（盖章）                 </w:t>
            </w:r>
          </w:p>
          <w:p w14:paraId="69C36030">
            <w:pPr>
              <w:spacing w:before="120" w:beforeLines="50"/>
              <w:ind w:firstLine="120" w:firstLineChars="50"/>
              <w:rPr>
                <w:rFonts w:ascii="宋体" w:hAnsi="宋体" w:cs="宋体"/>
                <w:sz w:val="24"/>
              </w:rPr>
            </w:pPr>
          </w:p>
          <w:p w14:paraId="1A2B61AD">
            <w:pPr>
              <w:spacing w:before="120" w:beforeLines="50"/>
              <w:rPr>
                <w:rFonts w:ascii="宋体" w:hAnsi="宋体" w:cs="宋体"/>
                <w:sz w:val="24"/>
              </w:rPr>
            </w:pPr>
            <w:r>
              <w:rPr>
                <w:rFonts w:hint="eastAsia" w:ascii="宋体" w:hAnsi="宋体" w:cs="宋体"/>
                <w:sz w:val="24"/>
              </w:rPr>
              <w:t xml:space="preserve">                     年   月   日</w:t>
            </w:r>
          </w:p>
        </w:tc>
        <w:tc>
          <w:tcPr>
            <w:tcW w:w="5218" w:type="dxa"/>
            <w:shd w:val="clear" w:color="auto" w:fill="auto"/>
          </w:tcPr>
          <w:p w14:paraId="607B29AA">
            <w:pPr>
              <w:spacing w:before="120" w:beforeLines="50"/>
              <w:rPr>
                <w:rFonts w:ascii="宋体" w:hAnsi="宋体" w:cs="宋体"/>
                <w:sz w:val="24"/>
              </w:rPr>
            </w:pPr>
            <w:r>
              <w:rPr>
                <w:rFonts w:hint="eastAsia" w:ascii="宋体" w:hAnsi="宋体" w:cs="宋体"/>
                <w:sz w:val="24"/>
              </w:rPr>
              <w:t xml:space="preserve">乙方（盖章）                 </w:t>
            </w:r>
          </w:p>
          <w:p w14:paraId="41A36EF0">
            <w:pPr>
              <w:spacing w:before="120" w:beforeLines="50"/>
              <w:rPr>
                <w:rFonts w:ascii="宋体" w:hAnsi="宋体" w:cs="宋体"/>
                <w:sz w:val="24"/>
              </w:rPr>
            </w:pPr>
          </w:p>
          <w:p w14:paraId="7C154659">
            <w:pPr>
              <w:spacing w:before="120" w:beforeLines="50"/>
              <w:ind w:firstLine="3240" w:firstLineChars="1350"/>
              <w:rPr>
                <w:rFonts w:ascii="宋体" w:hAnsi="宋体" w:cs="宋体"/>
                <w:sz w:val="24"/>
              </w:rPr>
            </w:pPr>
            <w:r>
              <w:rPr>
                <w:rFonts w:hint="eastAsia" w:ascii="宋体" w:hAnsi="宋体" w:cs="宋体"/>
                <w:sz w:val="24"/>
              </w:rPr>
              <w:t xml:space="preserve">  年   月   日</w:t>
            </w:r>
          </w:p>
        </w:tc>
      </w:tr>
    </w:tbl>
    <w:p w14:paraId="4E85AB42">
      <w:pPr>
        <w:ind w:left="525"/>
        <w:rPr>
          <w:rFonts w:ascii="宋体" w:hAnsi="宋体" w:cs="宋体"/>
          <w:sz w:val="24"/>
        </w:rPr>
      </w:pPr>
    </w:p>
    <w:p w14:paraId="4A87A65A">
      <w:pPr>
        <w:ind w:left="525"/>
        <w:rPr>
          <w:rFonts w:ascii="宋体" w:hAnsi="宋体" w:cs="宋体"/>
          <w:sz w:val="24"/>
        </w:rPr>
      </w:pPr>
    </w:p>
    <w:p w14:paraId="29434182">
      <w:pPr>
        <w:ind w:left="525"/>
        <w:rPr>
          <w:rFonts w:ascii="宋体" w:hAnsi="宋体" w:cs="宋体"/>
          <w:sz w:val="24"/>
        </w:rPr>
      </w:pPr>
    </w:p>
    <w:p w14:paraId="3B1B65F6">
      <w:pPr>
        <w:ind w:left="525"/>
        <w:rPr>
          <w:rFonts w:ascii="宋体" w:hAnsi="宋体" w:cs="宋体"/>
          <w:sz w:val="24"/>
        </w:rPr>
      </w:pPr>
    </w:p>
    <w:p w14:paraId="5F0DAC23">
      <w:pPr>
        <w:ind w:left="525"/>
        <w:rPr>
          <w:rFonts w:ascii="宋体" w:hAnsi="宋体" w:cs="宋体"/>
          <w:sz w:val="24"/>
        </w:rPr>
      </w:pPr>
    </w:p>
    <w:p w14:paraId="6FDB270D">
      <w:pPr>
        <w:ind w:left="525"/>
        <w:rPr>
          <w:rFonts w:ascii="宋体" w:hAnsi="宋体" w:cs="宋体"/>
          <w:sz w:val="24"/>
        </w:rPr>
      </w:pPr>
    </w:p>
    <w:p w14:paraId="0BA87262">
      <w:pPr>
        <w:ind w:left="525"/>
        <w:rPr>
          <w:rFonts w:ascii="宋体" w:hAnsi="宋体" w:cs="宋体"/>
          <w:sz w:val="24"/>
        </w:rPr>
      </w:pPr>
    </w:p>
    <w:p w14:paraId="08FC5002">
      <w:pPr>
        <w:ind w:left="525"/>
        <w:rPr>
          <w:rFonts w:ascii="宋体" w:hAnsi="宋体" w:cs="宋体"/>
          <w:sz w:val="24"/>
        </w:rPr>
      </w:pPr>
    </w:p>
    <w:p w14:paraId="5080A548">
      <w:pPr>
        <w:ind w:left="525"/>
        <w:rPr>
          <w:rFonts w:ascii="宋体" w:hAnsi="宋体" w:cs="宋体"/>
          <w:sz w:val="24"/>
        </w:rPr>
      </w:pPr>
    </w:p>
    <w:p w14:paraId="2A9A9DDC">
      <w:pPr>
        <w:ind w:left="525"/>
        <w:rPr>
          <w:rFonts w:ascii="宋体" w:hAnsi="宋体" w:cs="宋体"/>
          <w:sz w:val="24"/>
        </w:rPr>
      </w:pPr>
    </w:p>
    <w:p w14:paraId="3BF78F96">
      <w:pPr>
        <w:ind w:left="525"/>
        <w:rPr>
          <w:rFonts w:ascii="宋体" w:hAnsi="宋体" w:cs="宋体"/>
          <w:sz w:val="24"/>
        </w:rPr>
      </w:pPr>
    </w:p>
    <w:p w14:paraId="04611DB8">
      <w:pPr>
        <w:ind w:left="525"/>
        <w:rPr>
          <w:rFonts w:ascii="宋体" w:hAnsi="宋体" w:cs="宋体"/>
          <w:sz w:val="24"/>
        </w:rPr>
      </w:pPr>
    </w:p>
    <w:p w14:paraId="1CAC8DE6">
      <w:pPr>
        <w:ind w:left="525"/>
        <w:rPr>
          <w:rFonts w:ascii="宋体" w:hAnsi="宋体" w:cs="宋体"/>
          <w:sz w:val="24"/>
        </w:rPr>
      </w:pPr>
    </w:p>
    <w:p w14:paraId="17029EC5">
      <w:pPr>
        <w:ind w:left="525"/>
        <w:rPr>
          <w:rFonts w:ascii="宋体" w:hAnsi="宋体" w:cs="宋体"/>
          <w:sz w:val="24"/>
        </w:rPr>
      </w:pPr>
    </w:p>
    <w:p w14:paraId="640E9DE0">
      <w:pPr>
        <w:ind w:left="525"/>
        <w:rPr>
          <w:rFonts w:ascii="宋体" w:hAnsi="宋体" w:cs="宋体"/>
          <w:sz w:val="24"/>
        </w:rPr>
      </w:pPr>
    </w:p>
    <w:p w14:paraId="3BF68A65">
      <w:pPr>
        <w:ind w:left="525"/>
        <w:rPr>
          <w:rFonts w:ascii="宋体" w:hAnsi="宋体" w:cs="宋体"/>
          <w:sz w:val="24"/>
        </w:rPr>
      </w:pPr>
    </w:p>
    <w:p w14:paraId="4141E81F">
      <w:pPr>
        <w:ind w:left="525"/>
        <w:rPr>
          <w:rFonts w:ascii="宋体" w:hAnsi="宋体" w:cs="宋体"/>
          <w:sz w:val="24"/>
        </w:rPr>
      </w:pPr>
    </w:p>
    <w:p w14:paraId="55F62BA6">
      <w:pPr>
        <w:ind w:left="525"/>
        <w:rPr>
          <w:rFonts w:ascii="宋体" w:hAnsi="宋体" w:cs="宋体"/>
          <w:sz w:val="24"/>
        </w:rPr>
      </w:pPr>
    </w:p>
    <w:p w14:paraId="1157A074">
      <w:pPr>
        <w:ind w:left="525"/>
        <w:rPr>
          <w:rFonts w:ascii="宋体" w:hAnsi="宋体" w:cs="宋体"/>
          <w:sz w:val="24"/>
        </w:rPr>
      </w:pPr>
    </w:p>
    <w:p w14:paraId="2D4362E2">
      <w:pPr>
        <w:ind w:left="525"/>
        <w:rPr>
          <w:rFonts w:ascii="宋体" w:hAnsi="宋体" w:cs="宋体"/>
          <w:sz w:val="24"/>
        </w:rPr>
      </w:pPr>
    </w:p>
    <w:p w14:paraId="4ABF27FB">
      <w:pPr>
        <w:ind w:left="525"/>
        <w:rPr>
          <w:rFonts w:ascii="宋体" w:hAnsi="宋体" w:cs="宋体"/>
          <w:sz w:val="24"/>
        </w:rPr>
      </w:pPr>
    </w:p>
    <w:p w14:paraId="77B7D1A8">
      <w:pPr>
        <w:ind w:left="525"/>
        <w:rPr>
          <w:rFonts w:ascii="宋体" w:hAnsi="宋体" w:cs="宋体"/>
          <w:sz w:val="24"/>
        </w:rPr>
      </w:pPr>
    </w:p>
    <w:p w14:paraId="635B0550">
      <w:pPr>
        <w:snapToGrid w:val="0"/>
        <w:jc w:val="center"/>
        <w:rPr>
          <w:rFonts w:ascii="宋体" w:hAnsi="宋体" w:cs="宋体"/>
          <w:bCs/>
          <w:sz w:val="32"/>
          <w:szCs w:val="32"/>
        </w:rPr>
      </w:pPr>
    </w:p>
    <w:p w14:paraId="36511DA5">
      <w:pPr>
        <w:pStyle w:val="2"/>
        <w:jc w:val="center"/>
        <w:rPr>
          <w:rFonts w:ascii="宋体" w:hAnsi="宋体" w:cs="宋体"/>
        </w:rPr>
      </w:pPr>
      <w:bookmarkStart w:id="107" w:name="_Toc14105"/>
      <w:r>
        <w:rPr>
          <w:rFonts w:hint="eastAsia" w:ascii="宋体" w:hAnsi="宋体" w:cs="宋体"/>
        </w:rPr>
        <w:t>第六章  投标文件格式</w:t>
      </w:r>
      <w:bookmarkEnd w:id="107"/>
    </w:p>
    <w:p w14:paraId="773959EE">
      <w:pPr>
        <w:rPr>
          <w:rFonts w:ascii="宋体" w:hAnsi="宋体" w:cs="宋体"/>
          <w:b/>
          <w:sz w:val="28"/>
          <w:szCs w:val="28"/>
        </w:rPr>
      </w:pPr>
      <w:bookmarkStart w:id="108" w:name="_Toc19686836"/>
      <w:bookmarkStart w:id="109" w:name="_Toc254970698"/>
      <w:bookmarkStart w:id="110" w:name="_Toc254970557"/>
      <w:r>
        <w:rPr>
          <w:rFonts w:hint="eastAsia" w:ascii="宋体" w:hAnsi="宋体" w:cs="宋体"/>
          <w:b/>
          <w:sz w:val="28"/>
          <w:szCs w:val="28"/>
        </w:rPr>
        <w:t>一、报价文件格式</w:t>
      </w:r>
      <w:bookmarkEnd w:id="108"/>
    </w:p>
    <w:p w14:paraId="72482C8C">
      <w:pPr>
        <w:snapToGrid w:val="0"/>
        <w:spacing w:before="120" w:beforeLines="50" w:after="50" w:line="360" w:lineRule="auto"/>
        <w:ind w:left="142"/>
        <w:jc w:val="left"/>
        <w:rPr>
          <w:rFonts w:ascii="宋体" w:hAnsi="宋体" w:cs="宋体"/>
          <w:sz w:val="24"/>
          <w:szCs w:val="20"/>
        </w:rPr>
      </w:pPr>
      <w:r>
        <w:rPr>
          <w:rFonts w:hint="eastAsia" w:ascii="宋体" w:hAnsi="宋体" w:cs="宋体"/>
          <w:b/>
          <w:sz w:val="24"/>
        </w:rPr>
        <w:t>1. 报价文件封面格式：</w:t>
      </w:r>
    </w:p>
    <w:p w14:paraId="3710AC0D">
      <w:pPr>
        <w:snapToGrid w:val="0"/>
        <w:spacing w:before="120" w:beforeLines="50" w:after="50" w:line="400" w:lineRule="exact"/>
        <w:rPr>
          <w:rFonts w:ascii="宋体" w:hAnsi="宋体" w:cs="宋体"/>
          <w:bCs/>
          <w:sz w:val="32"/>
          <w:szCs w:val="20"/>
        </w:rPr>
      </w:pPr>
      <w:r>
        <w:rPr>
          <w:rFonts w:hint="eastAsia" w:ascii="宋体" w:hAnsi="宋体" w:cs="宋体"/>
          <w:sz w:val="24"/>
        </w:rPr>
        <w:t xml:space="preserve">                                                   </w:t>
      </w:r>
    </w:p>
    <w:p w14:paraId="530A515F">
      <w:pPr>
        <w:snapToGrid w:val="0"/>
        <w:spacing w:before="120" w:beforeLines="50" w:after="50" w:line="400" w:lineRule="exact"/>
        <w:jc w:val="center"/>
        <w:rPr>
          <w:rFonts w:ascii="宋体" w:hAnsi="宋体" w:cs="宋体"/>
          <w:bCs/>
          <w:sz w:val="24"/>
          <w:szCs w:val="20"/>
        </w:rPr>
      </w:pPr>
    </w:p>
    <w:p w14:paraId="31ECD1D4">
      <w:pPr>
        <w:snapToGrid w:val="0"/>
        <w:spacing w:before="120" w:beforeLines="50" w:after="50"/>
        <w:jc w:val="center"/>
        <w:rPr>
          <w:rFonts w:ascii="宋体" w:hAnsi="宋体" w:cs="宋体"/>
          <w:sz w:val="84"/>
          <w:szCs w:val="84"/>
        </w:rPr>
      </w:pPr>
      <w:r>
        <w:rPr>
          <w:rFonts w:hint="eastAsia" w:ascii="宋体" w:hAnsi="宋体" w:cs="宋体"/>
          <w:sz w:val="84"/>
          <w:szCs w:val="84"/>
        </w:rPr>
        <w:t>投  标  文  件</w:t>
      </w:r>
    </w:p>
    <w:p w14:paraId="55E03C3D">
      <w:pPr>
        <w:snapToGrid w:val="0"/>
        <w:spacing w:before="120" w:beforeLines="50" w:after="50" w:line="400" w:lineRule="exact"/>
        <w:jc w:val="center"/>
        <w:rPr>
          <w:rFonts w:ascii="宋体" w:hAnsi="宋体" w:cs="宋体"/>
          <w:bCs/>
          <w:sz w:val="32"/>
          <w:szCs w:val="32"/>
        </w:rPr>
      </w:pPr>
    </w:p>
    <w:p w14:paraId="4B569E36">
      <w:pPr>
        <w:snapToGrid w:val="0"/>
        <w:spacing w:before="120" w:beforeLines="50" w:after="50" w:line="400" w:lineRule="exact"/>
        <w:jc w:val="center"/>
        <w:rPr>
          <w:rFonts w:ascii="宋体" w:hAnsi="宋体" w:cs="宋体"/>
          <w:sz w:val="32"/>
          <w:szCs w:val="32"/>
        </w:rPr>
      </w:pPr>
      <w:r>
        <w:rPr>
          <w:rFonts w:hint="eastAsia" w:ascii="宋体" w:hAnsi="宋体" w:cs="宋体"/>
          <w:sz w:val="32"/>
          <w:szCs w:val="32"/>
        </w:rPr>
        <w:t>报  价  文  件</w:t>
      </w:r>
    </w:p>
    <w:p w14:paraId="74F72F11">
      <w:pPr>
        <w:snapToGrid w:val="0"/>
        <w:spacing w:before="120" w:beforeLines="50" w:after="50" w:line="400" w:lineRule="exact"/>
        <w:rPr>
          <w:rFonts w:ascii="宋体" w:hAnsi="宋体" w:cs="宋体"/>
          <w:bCs/>
          <w:sz w:val="24"/>
          <w:szCs w:val="20"/>
        </w:rPr>
      </w:pPr>
    </w:p>
    <w:p w14:paraId="4A4E2AF1">
      <w:pPr>
        <w:snapToGrid w:val="0"/>
        <w:spacing w:before="120" w:beforeLines="50" w:after="50" w:line="400" w:lineRule="exact"/>
        <w:rPr>
          <w:rFonts w:ascii="宋体" w:hAnsi="宋体" w:cs="宋体"/>
          <w:bCs/>
          <w:sz w:val="24"/>
          <w:szCs w:val="20"/>
        </w:rPr>
      </w:pPr>
    </w:p>
    <w:p w14:paraId="448747F7">
      <w:pPr>
        <w:snapToGrid w:val="0"/>
        <w:spacing w:before="120" w:beforeLines="50" w:after="50" w:line="400" w:lineRule="exact"/>
        <w:rPr>
          <w:rFonts w:ascii="宋体" w:hAnsi="宋体" w:cs="宋体"/>
          <w:bCs/>
          <w:sz w:val="24"/>
          <w:szCs w:val="20"/>
        </w:rPr>
      </w:pPr>
    </w:p>
    <w:p w14:paraId="767D4BEC">
      <w:pPr>
        <w:snapToGrid w:val="0"/>
        <w:spacing w:before="120" w:beforeLines="50" w:after="50" w:line="400" w:lineRule="exact"/>
        <w:ind w:firstLine="360" w:firstLineChars="150"/>
        <w:rPr>
          <w:rFonts w:ascii="宋体" w:hAnsi="宋体" w:cs="宋体"/>
          <w:bCs/>
          <w:sz w:val="24"/>
        </w:rPr>
      </w:pPr>
      <w:r>
        <w:rPr>
          <w:rFonts w:hint="eastAsia" w:ascii="宋体" w:hAnsi="宋体" w:cs="宋体"/>
          <w:bCs/>
          <w:sz w:val="24"/>
        </w:rPr>
        <w:t>项目名称：</w:t>
      </w:r>
    </w:p>
    <w:p w14:paraId="62285739">
      <w:pPr>
        <w:snapToGrid w:val="0"/>
        <w:spacing w:before="120" w:beforeLines="50" w:after="50" w:line="400" w:lineRule="exact"/>
        <w:ind w:firstLine="360" w:firstLineChars="150"/>
        <w:rPr>
          <w:rFonts w:ascii="宋体" w:hAnsi="宋体" w:cs="宋体"/>
          <w:bCs/>
          <w:sz w:val="24"/>
        </w:rPr>
      </w:pPr>
    </w:p>
    <w:p w14:paraId="20E9687A">
      <w:pPr>
        <w:snapToGrid w:val="0"/>
        <w:spacing w:before="120" w:beforeLines="50" w:after="50" w:line="400" w:lineRule="exact"/>
        <w:ind w:firstLine="360" w:firstLineChars="150"/>
        <w:rPr>
          <w:rFonts w:ascii="宋体" w:hAnsi="宋体" w:cs="宋体"/>
          <w:bCs/>
          <w:sz w:val="24"/>
        </w:rPr>
      </w:pPr>
      <w:r>
        <w:rPr>
          <w:rFonts w:hint="eastAsia" w:ascii="宋体" w:hAnsi="宋体" w:cs="宋体"/>
          <w:bCs/>
          <w:sz w:val="24"/>
        </w:rPr>
        <w:t>项目编号：</w:t>
      </w:r>
    </w:p>
    <w:p w14:paraId="5D8474AA">
      <w:pPr>
        <w:snapToGrid w:val="0"/>
        <w:spacing w:before="120" w:beforeLines="50" w:after="50" w:line="400" w:lineRule="exact"/>
        <w:ind w:firstLine="360" w:firstLineChars="150"/>
        <w:rPr>
          <w:rFonts w:ascii="宋体" w:hAnsi="宋体" w:cs="宋体"/>
          <w:bCs/>
          <w:sz w:val="24"/>
        </w:rPr>
      </w:pPr>
    </w:p>
    <w:p w14:paraId="35CF7F20">
      <w:pPr>
        <w:snapToGrid w:val="0"/>
        <w:spacing w:before="120" w:beforeLines="50" w:after="50" w:line="400" w:lineRule="exact"/>
        <w:ind w:firstLine="360" w:firstLineChars="150"/>
        <w:rPr>
          <w:rFonts w:ascii="宋体" w:hAnsi="宋体" w:cs="宋体"/>
          <w:bCs/>
          <w:sz w:val="24"/>
        </w:rPr>
      </w:pPr>
      <w:r>
        <w:rPr>
          <w:rFonts w:hint="eastAsia" w:ascii="宋体" w:hAnsi="宋体" w:cs="宋体"/>
          <w:bCs/>
          <w:sz w:val="24"/>
        </w:rPr>
        <w:t>投标人名称：</w:t>
      </w:r>
    </w:p>
    <w:p w14:paraId="77FA8557">
      <w:pPr>
        <w:snapToGrid w:val="0"/>
        <w:spacing w:before="120" w:beforeLines="50" w:after="50" w:line="400" w:lineRule="exact"/>
        <w:ind w:firstLine="360" w:firstLineChars="150"/>
        <w:rPr>
          <w:rFonts w:ascii="宋体" w:hAnsi="宋体" w:cs="宋体"/>
          <w:bCs/>
          <w:sz w:val="24"/>
        </w:rPr>
      </w:pPr>
    </w:p>
    <w:p w14:paraId="5B3E6B30">
      <w:pPr>
        <w:pStyle w:val="8"/>
        <w:snapToGrid w:val="0"/>
        <w:spacing w:before="50" w:after="50" w:line="400" w:lineRule="exact"/>
        <w:ind w:firstLine="960" w:firstLineChars="400"/>
        <w:rPr>
          <w:rFonts w:ascii="宋体" w:hAnsi="宋体" w:cs="宋体"/>
          <w:bCs/>
          <w:sz w:val="24"/>
          <w:szCs w:val="24"/>
        </w:rPr>
      </w:pPr>
    </w:p>
    <w:p w14:paraId="5D4633E3">
      <w:pPr>
        <w:snapToGrid w:val="0"/>
        <w:spacing w:before="120" w:beforeLines="50" w:after="50" w:line="400" w:lineRule="exact"/>
        <w:rPr>
          <w:rFonts w:ascii="宋体" w:hAnsi="宋体" w:cs="宋体"/>
          <w:sz w:val="30"/>
          <w:szCs w:val="20"/>
        </w:rPr>
      </w:pPr>
      <w:r>
        <w:rPr>
          <w:rFonts w:hint="eastAsia" w:ascii="宋体" w:hAnsi="宋体" w:cs="宋体"/>
          <w:sz w:val="24"/>
        </w:rPr>
        <w:t xml:space="preserve">                                   年  月  日</w:t>
      </w:r>
    </w:p>
    <w:p w14:paraId="78669B56">
      <w:pPr>
        <w:snapToGrid w:val="0"/>
        <w:spacing w:before="120" w:beforeLines="50" w:after="50" w:line="360" w:lineRule="auto"/>
        <w:jc w:val="left"/>
        <w:rPr>
          <w:rFonts w:ascii="宋体" w:hAnsi="宋体" w:cs="宋体"/>
          <w:sz w:val="24"/>
          <w:szCs w:val="20"/>
        </w:rPr>
      </w:pPr>
      <w:r>
        <w:rPr>
          <w:rFonts w:hint="eastAsia" w:ascii="宋体" w:hAnsi="宋体" w:cs="宋体"/>
          <w:b/>
          <w:sz w:val="24"/>
        </w:rPr>
        <w:br w:type="page"/>
      </w:r>
      <w:r>
        <w:rPr>
          <w:rFonts w:hint="eastAsia" w:ascii="宋体" w:hAnsi="宋体" w:cs="宋体"/>
          <w:b/>
          <w:sz w:val="24"/>
        </w:rPr>
        <w:t>2.</w:t>
      </w:r>
      <w:r>
        <w:rPr>
          <w:rFonts w:hint="eastAsia" w:ascii="宋体" w:hAnsi="宋体" w:cs="宋体"/>
          <w:b/>
          <w:bCs/>
          <w:sz w:val="24"/>
        </w:rPr>
        <w:t>报价文件目录</w:t>
      </w:r>
    </w:p>
    <w:p w14:paraId="38C36053">
      <w:pPr>
        <w:snapToGrid w:val="0"/>
        <w:spacing w:before="50" w:after="120" w:afterLines="50" w:line="360" w:lineRule="auto"/>
        <w:jc w:val="left"/>
        <w:rPr>
          <w:rFonts w:ascii="宋体" w:hAnsi="宋体" w:cs="宋体"/>
          <w:b/>
          <w:sz w:val="24"/>
        </w:rPr>
      </w:pPr>
      <w:r>
        <w:rPr>
          <w:rFonts w:hint="eastAsia" w:ascii="宋体" w:hAnsi="宋体" w:cs="宋体"/>
          <w:szCs w:val="21"/>
        </w:rPr>
        <w:t>根据招标文件规定及投标人提供的材料自行编写目录（部分格式后附）。</w:t>
      </w:r>
    </w:p>
    <w:p w14:paraId="12C55C33">
      <w:pPr>
        <w:snapToGrid w:val="0"/>
        <w:spacing w:before="120" w:beforeLines="50" w:after="50"/>
        <w:rPr>
          <w:rFonts w:ascii="宋体" w:hAnsi="宋体" w:cs="宋体"/>
          <w:b/>
          <w:sz w:val="24"/>
        </w:rPr>
      </w:pPr>
    </w:p>
    <w:p w14:paraId="60704927">
      <w:pPr>
        <w:snapToGrid w:val="0"/>
        <w:spacing w:before="120" w:beforeLines="50" w:after="50"/>
        <w:rPr>
          <w:rFonts w:ascii="宋体" w:hAnsi="宋体" w:cs="宋体"/>
          <w:b/>
          <w:sz w:val="24"/>
        </w:rPr>
      </w:pPr>
    </w:p>
    <w:p w14:paraId="517E5CDA">
      <w:pPr>
        <w:snapToGrid w:val="0"/>
        <w:spacing w:before="120" w:beforeLines="50" w:after="50"/>
        <w:rPr>
          <w:rFonts w:ascii="宋体" w:hAnsi="宋体" w:cs="宋体"/>
          <w:b/>
          <w:sz w:val="24"/>
        </w:rPr>
      </w:pPr>
    </w:p>
    <w:p w14:paraId="1AB8049A">
      <w:pPr>
        <w:snapToGrid w:val="0"/>
        <w:spacing w:before="120" w:beforeLines="50" w:after="50"/>
        <w:jc w:val="left"/>
        <w:rPr>
          <w:rFonts w:ascii="宋体" w:hAnsi="宋体" w:cs="宋体"/>
          <w:b/>
          <w:sz w:val="24"/>
        </w:rPr>
      </w:pPr>
      <w:r>
        <w:rPr>
          <w:rFonts w:hint="eastAsia" w:ascii="宋体" w:hAnsi="宋体" w:cs="宋体"/>
          <w:b/>
          <w:sz w:val="24"/>
        </w:rPr>
        <w:br w:type="page"/>
      </w:r>
      <w:r>
        <w:rPr>
          <w:rFonts w:hint="eastAsia" w:ascii="宋体" w:hAnsi="宋体" w:cs="宋体"/>
          <w:b/>
          <w:sz w:val="24"/>
        </w:rPr>
        <w:t>投标函格式</w:t>
      </w:r>
    </w:p>
    <w:p w14:paraId="12414AD1">
      <w:pPr>
        <w:snapToGrid w:val="0"/>
        <w:spacing w:before="120" w:beforeLines="50" w:after="50" w:line="360" w:lineRule="auto"/>
        <w:jc w:val="center"/>
        <w:rPr>
          <w:rFonts w:ascii="宋体" w:hAnsi="宋体" w:cs="宋体"/>
          <w:bCs/>
          <w:sz w:val="44"/>
          <w:szCs w:val="44"/>
        </w:rPr>
      </w:pPr>
      <w:r>
        <w:rPr>
          <w:rFonts w:hint="eastAsia" w:ascii="宋体" w:hAnsi="宋体" w:cs="宋体"/>
          <w:b/>
          <w:sz w:val="30"/>
        </w:rPr>
        <w:t>投 标 函</w:t>
      </w:r>
    </w:p>
    <w:p w14:paraId="13C2455D">
      <w:pPr>
        <w:spacing w:line="440" w:lineRule="exact"/>
        <w:contextualSpacing/>
        <w:rPr>
          <w:rFonts w:ascii="宋体" w:hAnsi="宋体" w:cs="宋体"/>
          <w:szCs w:val="21"/>
        </w:rPr>
      </w:pPr>
      <w:r>
        <w:rPr>
          <w:rFonts w:hint="eastAsia" w:ascii="宋体" w:hAnsi="宋体" w:cs="宋体"/>
          <w:szCs w:val="21"/>
        </w:rPr>
        <w:t>致：</w:t>
      </w:r>
      <w:r>
        <w:rPr>
          <w:rFonts w:hint="eastAsia" w:ascii="宋体" w:hAnsi="宋体" w:cs="宋体"/>
          <w:szCs w:val="21"/>
          <w:u w:val="single"/>
        </w:rPr>
        <w:t>采购人名称：</w:t>
      </w:r>
    </w:p>
    <w:p w14:paraId="6265194B">
      <w:pPr>
        <w:spacing w:line="440" w:lineRule="exact"/>
        <w:ind w:firstLine="480"/>
        <w:contextualSpacing/>
        <w:rPr>
          <w:rFonts w:ascii="宋体" w:hAnsi="宋体" w:cs="宋体"/>
          <w:szCs w:val="21"/>
        </w:rPr>
      </w:pPr>
      <w:r>
        <w:rPr>
          <w:rFonts w:hint="eastAsia" w:ascii="宋体" w:hAnsi="宋体" w:cs="宋体"/>
          <w:szCs w:val="21"/>
        </w:rPr>
        <w:t>根据贵方</w:t>
      </w:r>
      <w:r>
        <w:rPr>
          <w:rFonts w:hint="eastAsia" w:ascii="宋体" w:hAnsi="宋体" w:cs="宋体"/>
          <w:szCs w:val="21"/>
          <w:u w:val="single"/>
        </w:rPr>
        <w:t xml:space="preserve"> 项目名称</w:t>
      </w:r>
      <w:r>
        <w:rPr>
          <w:rFonts w:hint="eastAsia" w:ascii="宋体" w:hAnsi="宋体" w:cs="宋体"/>
          <w:szCs w:val="21"/>
        </w:rPr>
        <w:t>（项目编号：</w:t>
      </w:r>
      <w:r>
        <w:rPr>
          <w:rFonts w:hint="eastAsia" w:ascii="宋体" w:hAnsi="宋体" w:cs="宋体"/>
          <w:szCs w:val="21"/>
          <w:u w:val="single"/>
        </w:rPr>
        <w:t xml:space="preserve">      ）</w:t>
      </w:r>
      <w:r>
        <w:rPr>
          <w:rFonts w:hint="eastAsia" w:ascii="宋体" w:hAnsi="宋体" w:cs="宋体"/>
          <w:szCs w:val="21"/>
        </w:rPr>
        <w:t>的招标公告，签字代表</w:t>
      </w:r>
      <w:r>
        <w:rPr>
          <w:rFonts w:hint="eastAsia" w:ascii="宋体" w:hAnsi="宋体" w:cs="宋体"/>
          <w:szCs w:val="21"/>
          <w:u w:val="single"/>
        </w:rPr>
        <w:t xml:space="preserve">           （</w:t>
      </w:r>
      <w:r>
        <w:rPr>
          <w:rFonts w:hint="eastAsia" w:ascii="宋体" w:hAnsi="宋体" w:cs="宋体"/>
          <w:szCs w:val="21"/>
        </w:rPr>
        <w:t>姓名）经正式授权并代表投标人</w:t>
      </w:r>
      <w:r>
        <w:rPr>
          <w:rFonts w:hint="eastAsia" w:ascii="宋体" w:hAnsi="宋体" w:cs="宋体"/>
          <w:szCs w:val="21"/>
          <w:u w:val="single"/>
        </w:rPr>
        <w:t xml:space="preserve">                （</w:t>
      </w:r>
      <w:r>
        <w:rPr>
          <w:rFonts w:hint="eastAsia" w:ascii="宋体" w:hAnsi="宋体" w:cs="宋体"/>
          <w:szCs w:val="21"/>
        </w:rPr>
        <w:t>投标人名称）提交投标文件。</w:t>
      </w:r>
    </w:p>
    <w:p w14:paraId="5ACC4D8F">
      <w:pPr>
        <w:spacing w:line="440" w:lineRule="exact"/>
        <w:ind w:firstLine="420" w:firstLineChars="200"/>
        <w:contextualSpacing/>
        <w:rPr>
          <w:rFonts w:ascii="宋体" w:hAnsi="宋体" w:cs="宋体"/>
          <w:szCs w:val="21"/>
        </w:rPr>
      </w:pPr>
      <w:r>
        <w:rPr>
          <w:rFonts w:hint="eastAsia" w:ascii="宋体" w:hAnsi="宋体" w:cs="宋体"/>
          <w:szCs w:val="21"/>
        </w:rPr>
        <w:t>据此函，我方宣布同意如下：</w:t>
      </w:r>
    </w:p>
    <w:p w14:paraId="7210D709">
      <w:pPr>
        <w:spacing w:line="440" w:lineRule="exact"/>
        <w:ind w:firstLine="420" w:firstLineChars="200"/>
        <w:contextualSpacing/>
        <w:rPr>
          <w:rFonts w:ascii="宋体" w:hAnsi="宋体" w:cs="宋体"/>
          <w:szCs w:val="21"/>
        </w:rPr>
      </w:pPr>
      <w:r>
        <w:rPr>
          <w:rFonts w:hint="eastAsia" w:ascii="宋体" w:hAnsi="宋体" w:cs="宋体"/>
          <w:szCs w:val="21"/>
        </w:rPr>
        <w:t>1.我方已详细审查全部“招标文件”，包括修改文件（如有的话）以及全部参考资料和有关附件，已经了解我方对于招标文件、采购过程、采购结果有依法进行询问、质疑、投诉的权利及相关渠道和要求。</w:t>
      </w:r>
    </w:p>
    <w:p w14:paraId="0492F0B6">
      <w:pPr>
        <w:spacing w:line="440" w:lineRule="exact"/>
        <w:ind w:firstLine="420" w:firstLineChars="200"/>
        <w:contextualSpacing/>
        <w:rPr>
          <w:rFonts w:ascii="宋体" w:hAnsi="宋体" w:cs="宋体"/>
          <w:szCs w:val="21"/>
        </w:rPr>
      </w:pPr>
      <w:r>
        <w:rPr>
          <w:rFonts w:hint="eastAsia" w:ascii="宋体" w:hAnsi="宋体" w:cs="宋体"/>
          <w:szCs w:val="21"/>
        </w:rPr>
        <w:t>2.我方在投标之前已经完全理解并接受招标文件的各项规定和要求，对招标文件的合理性、合法性不再有异议。</w:t>
      </w:r>
    </w:p>
    <w:p w14:paraId="11A33ACF">
      <w:pPr>
        <w:spacing w:line="440" w:lineRule="exact"/>
        <w:ind w:firstLine="420" w:firstLineChars="200"/>
        <w:contextualSpacing/>
        <w:rPr>
          <w:rFonts w:ascii="宋体" w:hAnsi="宋体" w:cs="宋体"/>
          <w:szCs w:val="21"/>
        </w:rPr>
      </w:pPr>
      <w:r>
        <w:rPr>
          <w:rFonts w:hint="eastAsia" w:ascii="宋体" w:hAnsi="宋体" w:cs="宋体"/>
          <w:szCs w:val="21"/>
        </w:rPr>
        <w:t>3.本投标有效期自投标截止之日起</w:t>
      </w:r>
      <w:r>
        <w:rPr>
          <w:rFonts w:hint="eastAsia" w:ascii="宋体" w:hAnsi="宋体" w:cs="宋体"/>
          <w:szCs w:val="21"/>
          <w:u w:val="single"/>
        </w:rPr>
        <w:t xml:space="preserve">    </w:t>
      </w:r>
      <w:r>
        <w:rPr>
          <w:rFonts w:hint="eastAsia" w:ascii="宋体" w:hAnsi="宋体" w:cs="宋体"/>
          <w:szCs w:val="21"/>
        </w:rPr>
        <w:t>日。</w:t>
      </w:r>
    </w:p>
    <w:p w14:paraId="06AB3D71">
      <w:pPr>
        <w:spacing w:line="440" w:lineRule="exact"/>
        <w:ind w:firstLine="420" w:firstLineChars="200"/>
        <w:contextualSpacing/>
        <w:rPr>
          <w:rFonts w:ascii="宋体" w:hAnsi="宋体" w:cs="宋体"/>
          <w:szCs w:val="21"/>
        </w:rPr>
      </w:pPr>
      <w:r>
        <w:rPr>
          <w:rFonts w:hint="eastAsia" w:ascii="宋体" w:hAnsi="宋体" w:cs="宋体"/>
          <w:szCs w:val="21"/>
        </w:rPr>
        <w:t>4.如中标，本投标文件至本项目合同履行完毕止均保持有效，我方将按“招标文件”及政府采购法律、法规的规定履行合同责任和义务。</w:t>
      </w:r>
    </w:p>
    <w:p w14:paraId="4E0EAEE1">
      <w:pPr>
        <w:spacing w:line="440" w:lineRule="exact"/>
        <w:ind w:firstLine="420" w:firstLineChars="200"/>
        <w:contextualSpacing/>
        <w:rPr>
          <w:rFonts w:ascii="宋体" w:hAnsi="宋体" w:cs="宋体"/>
          <w:szCs w:val="21"/>
        </w:rPr>
      </w:pPr>
      <w:r>
        <w:rPr>
          <w:rFonts w:hint="eastAsia" w:ascii="宋体" w:hAnsi="宋体" w:cs="宋体"/>
          <w:szCs w:val="21"/>
        </w:rPr>
        <w:t>5.我方同意按照贵方要求提供与投标有关的一切数据或者资料。</w:t>
      </w:r>
    </w:p>
    <w:p w14:paraId="1D29353D">
      <w:pPr>
        <w:spacing w:line="440" w:lineRule="exact"/>
        <w:ind w:firstLine="420" w:firstLineChars="200"/>
        <w:contextualSpacing/>
        <w:rPr>
          <w:rFonts w:ascii="宋体" w:hAnsi="宋体" w:cs="宋体"/>
          <w:szCs w:val="21"/>
        </w:rPr>
      </w:pPr>
      <w:r>
        <w:rPr>
          <w:rFonts w:hint="eastAsia" w:ascii="宋体" w:hAnsi="宋体" w:cs="宋体"/>
          <w:szCs w:val="21"/>
        </w:rPr>
        <w:t>6.我方向贵方提交的所有投标文件、资料都是准确的和真实的。</w:t>
      </w:r>
    </w:p>
    <w:p w14:paraId="1E93D6CC">
      <w:pPr>
        <w:spacing w:line="440" w:lineRule="exact"/>
        <w:ind w:firstLine="420" w:firstLineChars="200"/>
        <w:contextualSpacing/>
        <w:rPr>
          <w:rFonts w:ascii="宋体" w:hAnsi="宋体" w:cs="宋体"/>
          <w:szCs w:val="21"/>
        </w:rPr>
      </w:pPr>
      <w:r>
        <w:rPr>
          <w:rFonts w:hint="eastAsia" w:ascii="宋体" w:hAnsi="宋体" w:cs="宋体"/>
          <w:szCs w:val="21"/>
        </w:rPr>
        <w:t>7.以上事项如有虚假或者隐瞒，我方愿意承担一切后果，并不再寻求任何旨在减轻或者免除法律责任的辩解。</w:t>
      </w:r>
    </w:p>
    <w:p w14:paraId="15BFAEE4">
      <w:pPr>
        <w:spacing w:line="440" w:lineRule="exact"/>
        <w:ind w:firstLine="420" w:firstLineChars="200"/>
        <w:contextualSpacing/>
        <w:rPr>
          <w:rFonts w:ascii="宋体" w:hAnsi="宋体" w:cs="宋体"/>
          <w:szCs w:val="21"/>
        </w:rPr>
      </w:pPr>
      <w:r>
        <w:rPr>
          <w:rFonts w:hint="eastAsia" w:ascii="宋体" w:hAnsi="宋体" w:cs="宋体"/>
          <w:szCs w:val="21"/>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4063C2E1">
      <w:pPr>
        <w:spacing w:line="440" w:lineRule="exact"/>
        <w:ind w:firstLine="420" w:firstLineChars="200"/>
        <w:contextualSpacing/>
        <w:rPr>
          <w:rFonts w:ascii="宋体" w:hAnsi="宋体" w:cs="宋体"/>
          <w:szCs w:val="21"/>
        </w:rPr>
      </w:pPr>
      <w:r>
        <w:rPr>
          <w:rFonts w:hint="eastAsia" w:ascii="宋体" w:hAnsi="宋体" w:cs="宋体"/>
          <w:szCs w:val="21"/>
        </w:rPr>
        <w:t>□我方本次投标文件</w:t>
      </w:r>
      <w:r>
        <w:rPr>
          <w:rFonts w:hint="eastAsia" w:ascii="宋体" w:hAnsi="宋体" w:cs="宋体"/>
          <w:kern w:val="0"/>
          <w:szCs w:val="21"/>
        </w:rPr>
        <w:t>内容中</w:t>
      </w:r>
      <w:r>
        <w:rPr>
          <w:rFonts w:hint="eastAsia" w:ascii="宋体" w:hAnsi="宋体" w:cs="宋体"/>
          <w:szCs w:val="21"/>
        </w:rPr>
        <w:t>未</w:t>
      </w:r>
      <w:r>
        <w:rPr>
          <w:rFonts w:hint="eastAsia" w:ascii="宋体" w:hAnsi="宋体" w:cs="宋体"/>
          <w:kern w:val="0"/>
          <w:szCs w:val="21"/>
        </w:rPr>
        <w:t>涉及商业秘密；</w:t>
      </w:r>
    </w:p>
    <w:p w14:paraId="139993B7">
      <w:pPr>
        <w:spacing w:line="440" w:lineRule="exact"/>
        <w:ind w:firstLine="420" w:firstLineChars="200"/>
        <w:contextualSpacing/>
        <w:rPr>
          <w:rFonts w:ascii="宋体" w:hAnsi="宋体" w:cs="宋体"/>
          <w:szCs w:val="21"/>
        </w:rPr>
      </w:pPr>
      <w:r>
        <w:rPr>
          <w:rFonts w:hint="eastAsia" w:ascii="宋体" w:hAnsi="宋体" w:cs="宋体"/>
          <w:szCs w:val="21"/>
        </w:rPr>
        <w:t>□我方本次投标文件</w:t>
      </w:r>
      <w:r>
        <w:rPr>
          <w:rFonts w:hint="eastAsia" w:ascii="宋体" w:hAnsi="宋体" w:cs="宋体"/>
          <w:kern w:val="0"/>
          <w:szCs w:val="21"/>
        </w:rPr>
        <w:t>涉及商业秘密的内容有：</w:t>
      </w:r>
      <w:r>
        <w:rPr>
          <w:rFonts w:hint="eastAsia" w:ascii="宋体" w:hAnsi="宋体" w:cs="宋体"/>
          <w:kern w:val="0"/>
          <w:szCs w:val="21"/>
          <w:u w:val="single"/>
        </w:rPr>
        <w:t xml:space="preserve">                       ；</w:t>
      </w:r>
    </w:p>
    <w:p w14:paraId="7013C1C9">
      <w:pPr>
        <w:spacing w:line="440" w:lineRule="exact"/>
        <w:ind w:firstLine="420" w:firstLineChars="200"/>
        <w:contextualSpacing/>
        <w:rPr>
          <w:rFonts w:ascii="宋体" w:hAnsi="宋体" w:cs="宋体"/>
          <w:szCs w:val="21"/>
        </w:rPr>
      </w:pPr>
      <w:r>
        <w:rPr>
          <w:rFonts w:hint="eastAsia" w:ascii="宋体" w:hAnsi="宋体" w:cs="宋体"/>
          <w:szCs w:val="21"/>
        </w:rPr>
        <w:t>9.与本投标有关的一切正式往来信函请寄：</w:t>
      </w:r>
    </w:p>
    <w:p w14:paraId="57A9AF51">
      <w:pPr>
        <w:spacing w:line="440" w:lineRule="exact"/>
        <w:ind w:firstLine="420" w:firstLineChars="200"/>
        <w:contextualSpacing/>
        <w:rPr>
          <w:rFonts w:ascii="宋体" w:hAnsi="宋体" w:cs="宋体"/>
          <w:szCs w:val="21"/>
          <w:u w:val="single"/>
        </w:rPr>
      </w:pPr>
      <w:r>
        <w:rPr>
          <w:rFonts w:hint="eastAsia" w:ascii="宋体" w:hAnsi="宋体" w:cs="宋体"/>
          <w:szCs w:val="21"/>
        </w:rPr>
        <w:t>地址：</w:t>
      </w:r>
      <w:r>
        <w:rPr>
          <w:rFonts w:hint="eastAsia" w:ascii="宋体" w:hAnsi="宋体" w:cs="宋体"/>
          <w:szCs w:val="21"/>
          <w:u w:val="single"/>
        </w:rPr>
        <w:t xml:space="preserve">         </w:t>
      </w:r>
      <w:r>
        <w:rPr>
          <w:rFonts w:hint="eastAsia" w:ascii="宋体" w:hAnsi="宋体" w:cs="宋体"/>
          <w:szCs w:val="21"/>
        </w:rPr>
        <w:t>邮编：</w:t>
      </w:r>
      <w:r>
        <w:rPr>
          <w:rFonts w:hint="eastAsia" w:ascii="宋体" w:hAnsi="宋体" w:cs="宋体"/>
          <w:szCs w:val="21"/>
          <w:u w:val="single"/>
        </w:rPr>
        <w:t xml:space="preserve">           </w:t>
      </w:r>
    </w:p>
    <w:p w14:paraId="12F879FF">
      <w:pPr>
        <w:spacing w:line="440" w:lineRule="exact"/>
        <w:ind w:firstLine="420" w:firstLineChars="200"/>
        <w:contextualSpacing/>
        <w:rPr>
          <w:rFonts w:ascii="宋体" w:hAnsi="宋体" w:cs="宋体"/>
          <w:szCs w:val="21"/>
        </w:rPr>
      </w:pPr>
      <w:r>
        <w:rPr>
          <w:rFonts w:hint="eastAsia" w:ascii="宋体" w:hAnsi="宋体" w:cs="宋体"/>
          <w:szCs w:val="21"/>
        </w:rPr>
        <w:t>电话：</w:t>
      </w:r>
      <w:r>
        <w:rPr>
          <w:rFonts w:hint="eastAsia" w:ascii="宋体" w:hAnsi="宋体" w:cs="宋体"/>
          <w:szCs w:val="21"/>
          <w:u w:val="single"/>
        </w:rPr>
        <w:t xml:space="preserve">       </w:t>
      </w:r>
      <w:r>
        <w:rPr>
          <w:rFonts w:hint="eastAsia" w:ascii="宋体" w:hAnsi="宋体" w:cs="宋体"/>
          <w:szCs w:val="21"/>
        </w:rPr>
        <w:t>传真：</w:t>
      </w:r>
      <w:r>
        <w:rPr>
          <w:rFonts w:hint="eastAsia" w:ascii="宋体" w:hAnsi="宋体" w:cs="宋体"/>
          <w:szCs w:val="21"/>
          <w:u w:val="single"/>
        </w:rPr>
        <w:t xml:space="preserve">         </w:t>
      </w:r>
    </w:p>
    <w:p w14:paraId="066B746A">
      <w:pPr>
        <w:spacing w:line="440" w:lineRule="exact"/>
        <w:ind w:firstLine="420" w:firstLineChars="200"/>
        <w:contextualSpacing/>
        <w:rPr>
          <w:rFonts w:ascii="宋体" w:hAnsi="宋体" w:cs="宋体"/>
          <w:szCs w:val="21"/>
        </w:rPr>
      </w:pPr>
      <w:r>
        <w:rPr>
          <w:rFonts w:hint="eastAsia" w:ascii="宋体" w:hAnsi="宋体" w:cs="宋体"/>
          <w:szCs w:val="21"/>
        </w:rPr>
        <w:t>投标人名称：</w:t>
      </w:r>
      <w:r>
        <w:rPr>
          <w:rFonts w:hint="eastAsia" w:ascii="宋体" w:hAnsi="宋体" w:cs="宋体"/>
          <w:szCs w:val="21"/>
          <w:u w:val="single"/>
        </w:rPr>
        <w:t xml:space="preserve">               </w:t>
      </w:r>
    </w:p>
    <w:p w14:paraId="5616926E">
      <w:pPr>
        <w:spacing w:line="440" w:lineRule="exact"/>
        <w:ind w:firstLine="420" w:firstLineChars="200"/>
        <w:contextualSpacing/>
        <w:jc w:val="left"/>
        <w:rPr>
          <w:rFonts w:ascii="宋体" w:hAnsi="宋体" w:cs="宋体"/>
          <w:szCs w:val="21"/>
        </w:rPr>
      </w:pPr>
      <w:r>
        <w:rPr>
          <w:rFonts w:hint="eastAsia" w:ascii="宋体" w:hAnsi="宋体" w:cs="宋体"/>
          <w:szCs w:val="21"/>
        </w:rPr>
        <w:t>开户银行：</w:t>
      </w:r>
      <w:r>
        <w:rPr>
          <w:rFonts w:hint="eastAsia" w:ascii="宋体" w:hAnsi="宋体" w:cs="宋体"/>
          <w:szCs w:val="21"/>
          <w:u w:val="single"/>
        </w:rPr>
        <w:t xml:space="preserve">                     </w:t>
      </w:r>
      <w:r>
        <w:rPr>
          <w:rFonts w:hint="eastAsia" w:ascii="宋体" w:hAnsi="宋体" w:cs="宋体"/>
          <w:szCs w:val="21"/>
        </w:rPr>
        <w:t xml:space="preserve">   银行帐号：</w:t>
      </w:r>
      <w:r>
        <w:rPr>
          <w:rFonts w:hint="eastAsia" w:ascii="宋体" w:hAnsi="宋体" w:cs="宋体"/>
          <w:szCs w:val="21"/>
          <w:u w:val="single"/>
        </w:rPr>
        <w:t xml:space="preserve">                   </w:t>
      </w:r>
      <w:r>
        <w:rPr>
          <w:rFonts w:hint="eastAsia" w:ascii="宋体" w:hAnsi="宋体" w:cs="宋体"/>
          <w:szCs w:val="21"/>
        </w:rPr>
        <w:t xml:space="preserve"> </w:t>
      </w:r>
    </w:p>
    <w:p w14:paraId="0286A911">
      <w:pPr>
        <w:spacing w:line="440" w:lineRule="exact"/>
        <w:ind w:firstLine="420" w:firstLineChars="200"/>
        <w:contextualSpacing/>
        <w:jc w:val="left"/>
        <w:rPr>
          <w:rFonts w:ascii="宋体" w:hAnsi="宋体" w:cs="宋体"/>
          <w:szCs w:val="21"/>
        </w:rPr>
      </w:pPr>
      <w:r>
        <w:rPr>
          <w:rFonts w:hint="eastAsia" w:ascii="宋体" w:hAnsi="宋体" w:cs="宋体"/>
          <w:szCs w:val="21"/>
        </w:rPr>
        <w:t xml:space="preserve">法定代表人或者委托代理人签字：___________ </w:t>
      </w:r>
    </w:p>
    <w:p w14:paraId="798AB641">
      <w:pPr>
        <w:pStyle w:val="25"/>
        <w:spacing w:line="440" w:lineRule="exact"/>
        <w:contextualSpacing/>
        <w:jc w:val="center"/>
        <w:rPr>
          <w:rFonts w:hAnsi="宋体" w:cs="宋体"/>
          <w:sz w:val="21"/>
        </w:rPr>
      </w:pPr>
      <w:r>
        <w:rPr>
          <w:rFonts w:hint="eastAsia" w:hAnsi="宋体" w:cs="宋体"/>
          <w:sz w:val="21"/>
        </w:rPr>
        <w:t xml:space="preserve">                                   </w:t>
      </w:r>
    </w:p>
    <w:p w14:paraId="753C4EA9">
      <w:pPr>
        <w:pStyle w:val="25"/>
        <w:spacing w:line="440" w:lineRule="exact"/>
        <w:contextualSpacing/>
        <w:jc w:val="center"/>
        <w:rPr>
          <w:rFonts w:hAnsi="宋体" w:cs="宋体"/>
          <w:sz w:val="21"/>
          <w:u w:val="single"/>
        </w:rPr>
      </w:pPr>
      <w:r>
        <w:rPr>
          <w:rFonts w:hint="eastAsia" w:hAnsi="宋体" w:cs="宋体"/>
          <w:sz w:val="21"/>
        </w:rPr>
        <w:t xml:space="preserve">                投标人（电子签章）：</w:t>
      </w:r>
      <w:r>
        <w:rPr>
          <w:rFonts w:hint="eastAsia" w:hAnsi="宋体" w:cs="宋体"/>
          <w:sz w:val="21"/>
          <w:u w:val="single"/>
        </w:rPr>
        <w:t xml:space="preserve">     </w:t>
      </w:r>
    </w:p>
    <w:p w14:paraId="4854FD5F">
      <w:pPr>
        <w:pStyle w:val="25"/>
        <w:spacing w:line="440" w:lineRule="exact"/>
        <w:contextualSpacing/>
        <w:rPr>
          <w:rFonts w:hAnsi="宋体" w:cs="宋体"/>
          <w:sz w:val="21"/>
        </w:rPr>
      </w:pPr>
      <w:r>
        <w:rPr>
          <w:rFonts w:hint="eastAsia" w:hAnsi="宋体" w:cs="宋体"/>
          <w:sz w:val="21"/>
        </w:rPr>
        <w:t xml:space="preserve">                                                </w:t>
      </w:r>
      <w:r>
        <w:rPr>
          <w:rFonts w:hint="eastAsia" w:hAnsi="宋体" w:cs="宋体"/>
          <w:sz w:val="21"/>
          <w:u w:val="single"/>
        </w:rPr>
        <w:t xml:space="preserve">      </w:t>
      </w:r>
      <w:r>
        <w:rPr>
          <w:rFonts w:hint="eastAsia" w:hAnsi="宋体" w:cs="宋体"/>
          <w:sz w:val="21"/>
        </w:rPr>
        <w:t>年</w:t>
      </w:r>
      <w:r>
        <w:rPr>
          <w:rFonts w:hint="eastAsia" w:hAnsi="宋体" w:cs="宋体"/>
          <w:sz w:val="21"/>
          <w:u w:val="single"/>
        </w:rPr>
        <w:t xml:space="preserve">    </w:t>
      </w:r>
      <w:r>
        <w:rPr>
          <w:rFonts w:hint="eastAsia" w:hAnsi="宋体" w:cs="宋体"/>
          <w:sz w:val="21"/>
        </w:rPr>
        <w:t>月</w:t>
      </w:r>
      <w:r>
        <w:rPr>
          <w:rFonts w:hint="eastAsia" w:hAnsi="宋体" w:cs="宋体"/>
          <w:sz w:val="21"/>
          <w:u w:val="single"/>
        </w:rPr>
        <w:t xml:space="preserve">     </w:t>
      </w:r>
      <w:r>
        <w:rPr>
          <w:rFonts w:hint="eastAsia" w:hAnsi="宋体" w:cs="宋体"/>
          <w:sz w:val="21"/>
        </w:rPr>
        <w:t>日</w:t>
      </w:r>
    </w:p>
    <w:p w14:paraId="4082322B">
      <w:pPr>
        <w:snapToGrid w:val="0"/>
        <w:spacing w:before="120" w:beforeLines="50" w:after="50" w:line="440" w:lineRule="exact"/>
        <w:jc w:val="center"/>
        <w:rPr>
          <w:rFonts w:ascii="宋体" w:hAnsi="宋体" w:cs="宋体"/>
          <w:b/>
          <w:sz w:val="30"/>
        </w:rPr>
      </w:pPr>
      <w:r>
        <w:rPr>
          <w:rFonts w:hint="eastAsia" w:ascii="宋体" w:hAnsi="宋体" w:cs="宋体"/>
          <w:szCs w:val="21"/>
          <w:u w:val="single"/>
        </w:rPr>
        <w:br w:type="page"/>
      </w:r>
      <w:r>
        <w:rPr>
          <w:rFonts w:hint="eastAsia" w:ascii="宋体" w:hAnsi="宋体" w:cs="宋体"/>
          <w:b/>
          <w:sz w:val="30"/>
        </w:rPr>
        <w:t>开标一览表（格式）</w:t>
      </w:r>
    </w:p>
    <w:p w14:paraId="135D3822">
      <w:pPr>
        <w:snapToGrid w:val="0"/>
        <w:spacing w:before="50" w:after="50"/>
        <w:jc w:val="center"/>
        <w:rPr>
          <w:rFonts w:ascii="宋体" w:hAnsi="宋体" w:cs="宋体"/>
          <w:b/>
          <w:sz w:val="30"/>
          <w:szCs w:val="20"/>
        </w:rPr>
      </w:pPr>
    </w:p>
    <w:p w14:paraId="722AA419">
      <w:pPr>
        <w:snapToGrid w:val="0"/>
        <w:spacing w:before="50" w:after="50" w:line="360" w:lineRule="auto"/>
        <w:rPr>
          <w:rFonts w:ascii="宋体" w:hAnsi="宋体" w:cs="宋体"/>
          <w:sz w:val="24"/>
          <w:u w:val="single"/>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rPr>
        <w:t xml:space="preserve">         项目编号：</w:t>
      </w:r>
      <w:r>
        <w:rPr>
          <w:rFonts w:hint="eastAsia" w:ascii="宋体" w:hAnsi="宋体" w:cs="宋体"/>
          <w:sz w:val="24"/>
          <w:u w:val="single"/>
        </w:rPr>
        <w:t xml:space="preserve">           </w:t>
      </w:r>
      <w:r>
        <w:rPr>
          <w:rFonts w:hint="eastAsia" w:ascii="宋体" w:hAnsi="宋体" w:cs="宋体"/>
          <w:sz w:val="24"/>
        </w:rPr>
        <w:t xml:space="preserve">        </w:t>
      </w:r>
    </w:p>
    <w:p w14:paraId="49980FE1">
      <w:pPr>
        <w:snapToGrid w:val="0"/>
        <w:spacing w:before="50" w:after="50" w:line="360" w:lineRule="auto"/>
        <w:rPr>
          <w:rFonts w:ascii="宋体" w:hAnsi="宋体" w:cs="宋体"/>
          <w:sz w:val="24"/>
        </w:rPr>
      </w:pPr>
      <w:r>
        <w:rPr>
          <w:rFonts w:hint="eastAsia" w:ascii="宋体" w:hAnsi="宋体" w:cs="宋体"/>
          <w:sz w:val="24"/>
        </w:rPr>
        <w:t>投标人名称：</w:t>
      </w:r>
      <w:r>
        <w:rPr>
          <w:rFonts w:hint="eastAsia" w:ascii="宋体" w:hAnsi="宋体" w:cs="宋体"/>
          <w:sz w:val="24"/>
          <w:u w:val="single"/>
        </w:rPr>
        <w:t xml:space="preserve">                    </w:t>
      </w:r>
      <w:r>
        <w:rPr>
          <w:rFonts w:hint="eastAsia" w:ascii="宋体" w:hAnsi="宋体" w:cs="宋体"/>
          <w:sz w:val="24"/>
        </w:rPr>
        <w:t xml:space="preserve">                       单位：元</w:t>
      </w:r>
    </w:p>
    <w:tbl>
      <w:tblPr>
        <w:tblStyle w:val="48"/>
        <w:tblW w:w="1077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260"/>
        <w:gridCol w:w="1260"/>
        <w:gridCol w:w="1080"/>
        <w:gridCol w:w="1080"/>
        <w:gridCol w:w="941"/>
        <w:gridCol w:w="1418"/>
        <w:gridCol w:w="1134"/>
        <w:gridCol w:w="1701"/>
      </w:tblGrid>
      <w:tr w14:paraId="346E9D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34314DD7">
            <w:pPr>
              <w:jc w:val="center"/>
            </w:pPr>
            <w:r>
              <w:rPr>
                <w:rFonts w:hint="eastAsia"/>
              </w:rPr>
              <w:t>序号</w:t>
            </w:r>
          </w:p>
        </w:tc>
        <w:tc>
          <w:tcPr>
            <w:tcW w:w="1260" w:type="dxa"/>
            <w:tcBorders>
              <w:top w:val="single" w:color="auto" w:sz="4" w:space="0"/>
              <w:left w:val="single" w:color="auto" w:sz="4" w:space="0"/>
              <w:bottom w:val="single" w:color="auto" w:sz="4" w:space="0"/>
              <w:right w:val="single" w:color="auto" w:sz="4" w:space="0"/>
            </w:tcBorders>
            <w:vAlign w:val="center"/>
          </w:tcPr>
          <w:p w14:paraId="0C94FEEE">
            <w:pPr>
              <w:jc w:val="center"/>
            </w:pPr>
            <w:r>
              <w:rPr>
                <w:rFonts w:hint="eastAsia"/>
              </w:rPr>
              <w:t>设备名称</w:t>
            </w:r>
          </w:p>
        </w:tc>
        <w:tc>
          <w:tcPr>
            <w:tcW w:w="1260" w:type="dxa"/>
            <w:tcBorders>
              <w:top w:val="single" w:color="auto" w:sz="4" w:space="0"/>
              <w:left w:val="single" w:color="auto" w:sz="4" w:space="0"/>
              <w:bottom w:val="single" w:color="auto" w:sz="4" w:space="0"/>
              <w:right w:val="single" w:color="auto" w:sz="4" w:space="0"/>
            </w:tcBorders>
            <w:vAlign w:val="center"/>
          </w:tcPr>
          <w:p w14:paraId="3DA2734C">
            <w:pPr>
              <w:jc w:val="center"/>
            </w:pPr>
            <w:r>
              <w:rPr>
                <w:rFonts w:hint="eastAsia"/>
              </w:rPr>
              <w:t>品牌</w:t>
            </w:r>
          </w:p>
        </w:tc>
        <w:tc>
          <w:tcPr>
            <w:tcW w:w="1080" w:type="dxa"/>
            <w:tcBorders>
              <w:top w:val="single" w:color="auto" w:sz="4" w:space="0"/>
              <w:left w:val="single" w:color="auto" w:sz="4" w:space="0"/>
              <w:bottom w:val="single" w:color="auto" w:sz="4" w:space="0"/>
              <w:right w:val="single" w:color="auto" w:sz="4" w:space="0"/>
            </w:tcBorders>
            <w:vAlign w:val="center"/>
          </w:tcPr>
          <w:p w14:paraId="56EC2421">
            <w:pPr>
              <w:jc w:val="center"/>
            </w:pPr>
            <w:r>
              <w:rPr>
                <w:rFonts w:hint="eastAsia"/>
              </w:rPr>
              <w:t>规格型号</w:t>
            </w:r>
          </w:p>
        </w:tc>
        <w:tc>
          <w:tcPr>
            <w:tcW w:w="1080" w:type="dxa"/>
            <w:tcBorders>
              <w:top w:val="single" w:color="auto" w:sz="4" w:space="0"/>
              <w:left w:val="single" w:color="auto" w:sz="4" w:space="0"/>
              <w:bottom w:val="single" w:color="auto" w:sz="4" w:space="0"/>
              <w:right w:val="single" w:color="auto" w:sz="4" w:space="0"/>
            </w:tcBorders>
            <w:vAlign w:val="center"/>
          </w:tcPr>
          <w:p w14:paraId="1A0314D7">
            <w:pPr>
              <w:jc w:val="center"/>
            </w:pPr>
            <w:r>
              <w:rPr>
                <w:rFonts w:hint="eastAsia"/>
              </w:rPr>
              <w:t>生产厂家</w:t>
            </w:r>
          </w:p>
        </w:tc>
        <w:tc>
          <w:tcPr>
            <w:tcW w:w="941" w:type="dxa"/>
            <w:tcBorders>
              <w:top w:val="single" w:color="auto" w:sz="4" w:space="0"/>
              <w:left w:val="single" w:color="auto" w:sz="4" w:space="0"/>
              <w:bottom w:val="single" w:color="auto" w:sz="4" w:space="0"/>
              <w:right w:val="single" w:color="auto" w:sz="4" w:space="0"/>
            </w:tcBorders>
            <w:vAlign w:val="center"/>
          </w:tcPr>
          <w:p w14:paraId="3AD585AE">
            <w:pPr>
              <w:jc w:val="center"/>
            </w:pPr>
            <w:r>
              <w:rPr>
                <w:rFonts w:hint="eastAsia"/>
              </w:rPr>
              <w:t>产地</w:t>
            </w:r>
          </w:p>
        </w:tc>
        <w:tc>
          <w:tcPr>
            <w:tcW w:w="1418" w:type="dxa"/>
            <w:tcBorders>
              <w:top w:val="single" w:color="auto" w:sz="4" w:space="0"/>
              <w:left w:val="single" w:color="auto" w:sz="4" w:space="0"/>
              <w:bottom w:val="single" w:color="auto" w:sz="4" w:space="0"/>
              <w:right w:val="single" w:color="auto" w:sz="4" w:space="0"/>
            </w:tcBorders>
            <w:vAlign w:val="center"/>
          </w:tcPr>
          <w:p w14:paraId="2C460E84">
            <w:pPr>
              <w:jc w:val="center"/>
            </w:pPr>
            <w:r>
              <w:rPr>
                <w:rFonts w:hint="eastAsia"/>
              </w:rPr>
              <w:t>单位及数量</w:t>
            </w:r>
          </w:p>
        </w:tc>
        <w:tc>
          <w:tcPr>
            <w:tcW w:w="1134" w:type="dxa"/>
            <w:tcBorders>
              <w:top w:val="single" w:color="auto" w:sz="4" w:space="0"/>
              <w:left w:val="single" w:color="auto" w:sz="4" w:space="0"/>
              <w:bottom w:val="single" w:color="auto" w:sz="4" w:space="0"/>
              <w:right w:val="single" w:color="auto" w:sz="4" w:space="0"/>
            </w:tcBorders>
            <w:vAlign w:val="center"/>
          </w:tcPr>
          <w:p w14:paraId="230C6EB7">
            <w:pPr>
              <w:jc w:val="center"/>
            </w:pPr>
            <w:r>
              <w:rPr>
                <w:rFonts w:hint="eastAsia"/>
              </w:rPr>
              <w:t>单价</w:t>
            </w:r>
          </w:p>
        </w:tc>
        <w:tc>
          <w:tcPr>
            <w:tcW w:w="1701" w:type="dxa"/>
            <w:tcBorders>
              <w:top w:val="single" w:color="auto" w:sz="4" w:space="0"/>
              <w:left w:val="single" w:color="auto" w:sz="4" w:space="0"/>
              <w:bottom w:val="single" w:color="auto" w:sz="4" w:space="0"/>
              <w:right w:val="single" w:color="auto" w:sz="4" w:space="0"/>
            </w:tcBorders>
            <w:vAlign w:val="center"/>
          </w:tcPr>
          <w:p w14:paraId="66AF7422">
            <w:pPr>
              <w:jc w:val="center"/>
            </w:pPr>
            <w:r>
              <w:rPr>
                <w:rFonts w:hint="eastAsia"/>
              </w:rPr>
              <w:t>金额</w:t>
            </w:r>
          </w:p>
        </w:tc>
      </w:tr>
      <w:tr w14:paraId="41813C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900" w:type="dxa"/>
            <w:tcBorders>
              <w:top w:val="single" w:color="auto" w:sz="4" w:space="0"/>
              <w:left w:val="single" w:color="auto" w:sz="4" w:space="0"/>
              <w:bottom w:val="single" w:color="auto" w:sz="4" w:space="0"/>
              <w:right w:val="single" w:color="auto" w:sz="4" w:space="0"/>
            </w:tcBorders>
          </w:tcPr>
          <w:p w14:paraId="2993D26B">
            <w:pPr>
              <w:tabs>
                <w:tab w:val="left" w:pos="1418"/>
              </w:tabs>
              <w:snapToGrid w:val="0"/>
              <w:spacing w:before="50" w:after="50" w:line="360" w:lineRule="exact"/>
              <w:jc w:val="center"/>
              <w:rPr>
                <w:rFonts w:ascii="宋体"/>
                <w:spacing w:val="20"/>
                <w:szCs w:val="21"/>
              </w:rPr>
            </w:pPr>
          </w:p>
        </w:tc>
        <w:tc>
          <w:tcPr>
            <w:tcW w:w="1260" w:type="dxa"/>
            <w:tcBorders>
              <w:top w:val="single" w:color="auto" w:sz="4" w:space="0"/>
              <w:left w:val="single" w:color="auto" w:sz="4" w:space="0"/>
              <w:bottom w:val="single" w:color="auto" w:sz="4" w:space="0"/>
              <w:right w:val="single" w:color="auto" w:sz="4" w:space="0"/>
            </w:tcBorders>
          </w:tcPr>
          <w:p w14:paraId="3414C7E7">
            <w:pPr>
              <w:tabs>
                <w:tab w:val="left" w:pos="1418"/>
              </w:tabs>
              <w:snapToGrid w:val="0"/>
              <w:spacing w:before="50" w:after="50" w:line="360" w:lineRule="exact"/>
              <w:jc w:val="center"/>
              <w:rPr>
                <w:rFonts w:ascii="宋体"/>
                <w:spacing w:val="20"/>
                <w:szCs w:val="21"/>
              </w:rPr>
            </w:pPr>
          </w:p>
        </w:tc>
        <w:tc>
          <w:tcPr>
            <w:tcW w:w="1260" w:type="dxa"/>
            <w:tcBorders>
              <w:top w:val="single" w:color="auto" w:sz="4" w:space="0"/>
              <w:left w:val="single" w:color="auto" w:sz="4" w:space="0"/>
              <w:bottom w:val="single" w:color="auto" w:sz="4" w:space="0"/>
              <w:right w:val="single" w:color="auto" w:sz="4" w:space="0"/>
            </w:tcBorders>
          </w:tcPr>
          <w:p w14:paraId="0EC92568">
            <w:pPr>
              <w:tabs>
                <w:tab w:val="left" w:pos="1418"/>
              </w:tabs>
              <w:snapToGrid w:val="0"/>
              <w:spacing w:before="50" w:after="50" w:line="360" w:lineRule="exact"/>
              <w:jc w:val="center"/>
              <w:rPr>
                <w:rFonts w:asci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14:paraId="18C9F8DA">
            <w:pPr>
              <w:tabs>
                <w:tab w:val="left" w:pos="1418"/>
              </w:tabs>
              <w:snapToGrid w:val="0"/>
              <w:spacing w:before="50" w:after="50" w:line="360" w:lineRule="exact"/>
              <w:jc w:val="center"/>
              <w:rPr>
                <w:rFonts w:asci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14:paraId="32D36C58">
            <w:pPr>
              <w:tabs>
                <w:tab w:val="left" w:pos="1418"/>
              </w:tabs>
              <w:snapToGrid w:val="0"/>
              <w:spacing w:before="50" w:after="50" w:line="360" w:lineRule="exact"/>
              <w:jc w:val="center"/>
              <w:rPr>
                <w:rFonts w:ascii="宋体"/>
                <w:spacing w:val="20"/>
                <w:szCs w:val="21"/>
              </w:rPr>
            </w:pPr>
          </w:p>
        </w:tc>
        <w:tc>
          <w:tcPr>
            <w:tcW w:w="941" w:type="dxa"/>
            <w:tcBorders>
              <w:top w:val="single" w:color="auto" w:sz="4" w:space="0"/>
              <w:left w:val="single" w:color="auto" w:sz="4" w:space="0"/>
              <w:bottom w:val="single" w:color="auto" w:sz="4" w:space="0"/>
              <w:right w:val="single" w:color="auto" w:sz="4" w:space="0"/>
            </w:tcBorders>
            <w:vAlign w:val="center"/>
          </w:tcPr>
          <w:p w14:paraId="555A892D">
            <w:pPr>
              <w:tabs>
                <w:tab w:val="left" w:pos="1418"/>
              </w:tabs>
              <w:snapToGrid w:val="0"/>
              <w:spacing w:before="50" w:after="50" w:line="360" w:lineRule="exact"/>
              <w:jc w:val="center"/>
              <w:rPr>
                <w:rFonts w:ascii="宋体"/>
                <w:spacing w:val="20"/>
                <w:szCs w:val="21"/>
              </w:rPr>
            </w:pPr>
          </w:p>
        </w:tc>
        <w:tc>
          <w:tcPr>
            <w:tcW w:w="1418" w:type="dxa"/>
            <w:tcBorders>
              <w:top w:val="single" w:color="auto" w:sz="4" w:space="0"/>
              <w:left w:val="single" w:color="auto" w:sz="4" w:space="0"/>
              <w:bottom w:val="single" w:color="auto" w:sz="4" w:space="0"/>
              <w:right w:val="single" w:color="auto" w:sz="4" w:space="0"/>
            </w:tcBorders>
          </w:tcPr>
          <w:p w14:paraId="42FAB4D2">
            <w:pPr>
              <w:tabs>
                <w:tab w:val="left" w:pos="1418"/>
              </w:tabs>
              <w:snapToGrid w:val="0"/>
              <w:spacing w:before="50" w:after="50" w:line="360" w:lineRule="exact"/>
              <w:jc w:val="center"/>
              <w:rPr>
                <w:rFonts w:ascii="宋体"/>
                <w:spacing w:val="20"/>
                <w:szCs w:val="21"/>
              </w:rPr>
            </w:pPr>
          </w:p>
        </w:tc>
        <w:tc>
          <w:tcPr>
            <w:tcW w:w="1134" w:type="dxa"/>
            <w:tcBorders>
              <w:top w:val="single" w:color="auto" w:sz="4" w:space="0"/>
              <w:left w:val="single" w:color="auto" w:sz="4" w:space="0"/>
              <w:bottom w:val="single" w:color="auto" w:sz="4" w:space="0"/>
              <w:right w:val="single" w:color="auto" w:sz="4" w:space="0"/>
            </w:tcBorders>
          </w:tcPr>
          <w:p w14:paraId="1E9D5CEB">
            <w:pPr>
              <w:tabs>
                <w:tab w:val="left" w:pos="1418"/>
              </w:tabs>
              <w:snapToGrid w:val="0"/>
              <w:spacing w:before="50" w:after="50" w:line="360" w:lineRule="exact"/>
              <w:jc w:val="center"/>
              <w:rPr>
                <w:rFonts w:ascii="宋体"/>
                <w:spacing w:val="20"/>
                <w:szCs w:val="21"/>
              </w:rPr>
            </w:pPr>
          </w:p>
        </w:tc>
        <w:tc>
          <w:tcPr>
            <w:tcW w:w="1701" w:type="dxa"/>
            <w:tcBorders>
              <w:top w:val="single" w:color="auto" w:sz="4" w:space="0"/>
              <w:left w:val="single" w:color="auto" w:sz="4" w:space="0"/>
              <w:bottom w:val="single" w:color="auto" w:sz="4" w:space="0"/>
              <w:right w:val="single" w:color="auto" w:sz="4" w:space="0"/>
            </w:tcBorders>
          </w:tcPr>
          <w:p w14:paraId="1BE89B56">
            <w:pPr>
              <w:tabs>
                <w:tab w:val="left" w:pos="1418"/>
              </w:tabs>
              <w:snapToGrid w:val="0"/>
              <w:spacing w:before="50" w:after="50" w:line="360" w:lineRule="exact"/>
              <w:jc w:val="center"/>
              <w:rPr>
                <w:rFonts w:ascii="宋体"/>
                <w:spacing w:val="20"/>
                <w:szCs w:val="21"/>
              </w:rPr>
            </w:pPr>
          </w:p>
        </w:tc>
      </w:tr>
      <w:tr w14:paraId="649016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900" w:type="dxa"/>
            <w:tcBorders>
              <w:top w:val="single" w:color="auto" w:sz="4" w:space="0"/>
              <w:left w:val="single" w:color="auto" w:sz="4" w:space="0"/>
              <w:bottom w:val="single" w:color="auto" w:sz="4" w:space="0"/>
              <w:right w:val="single" w:color="auto" w:sz="4" w:space="0"/>
            </w:tcBorders>
          </w:tcPr>
          <w:p w14:paraId="1522D4DE">
            <w:pPr>
              <w:tabs>
                <w:tab w:val="left" w:pos="1418"/>
              </w:tabs>
              <w:snapToGrid w:val="0"/>
              <w:spacing w:before="50" w:after="50" w:line="360" w:lineRule="exact"/>
              <w:jc w:val="center"/>
              <w:rPr>
                <w:rFonts w:ascii="宋体"/>
                <w:spacing w:val="20"/>
                <w:szCs w:val="21"/>
              </w:rPr>
            </w:pPr>
          </w:p>
        </w:tc>
        <w:tc>
          <w:tcPr>
            <w:tcW w:w="1260" w:type="dxa"/>
            <w:tcBorders>
              <w:top w:val="single" w:color="auto" w:sz="4" w:space="0"/>
              <w:left w:val="single" w:color="auto" w:sz="4" w:space="0"/>
              <w:bottom w:val="single" w:color="auto" w:sz="4" w:space="0"/>
              <w:right w:val="single" w:color="auto" w:sz="4" w:space="0"/>
            </w:tcBorders>
          </w:tcPr>
          <w:p w14:paraId="4802677F">
            <w:pPr>
              <w:tabs>
                <w:tab w:val="left" w:pos="1418"/>
              </w:tabs>
              <w:snapToGrid w:val="0"/>
              <w:spacing w:before="50" w:after="50" w:line="360" w:lineRule="exact"/>
              <w:jc w:val="center"/>
              <w:rPr>
                <w:rFonts w:ascii="宋体"/>
                <w:spacing w:val="20"/>
                <w:szCs w:val="21"/>
              </w:rPr>
            </w:pPr>
          </w:p>
        </w:tc>
        <w:tc>
          <w:tcPr>
            <w:tcW w:w="1260" w:type="dxa"/>
            <w:tcBorders>
              <w:top w:val="single" w:color="auto" w:sz="4" w:space="0"/>
              <w:left w:val="single" w:color="auto" w:sz="4" w:space="0"/>
              <w:bottom w:val="single" w:color="auto" w:sz="4" w:space="0"/>
              <w:right w:val="single" w:color="auto" w:sz="4" w:space="0"/>
            </w:tcBorders>
          </w:tcPr>
          <w:p w14:paraId="3ECF9065">
            <w:pPr>
              <w:tabs>
                <w:tab w:val="left" w:pos="1418"/>
              </w:tabs>
              <w:snapToGrid w:val="0"/>
              <w:spacing w:before="50" w:after="50" w:line="360" w:lineRule="exact"/>
              <w:jc w:val="center"/>
              <w:rPr>
                <w:rFonts w:asci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14:paraId="222A03CB">
            <w:pPr>
              <w:tabs>
                <w:tab w:val="left" w:pos="1418"/>
              </w:tabs>
              <w:snapToGrid w:val="0"/>
              <w:spacing w:before="50" w:after="50" w:line="360" w:lineRule="exact"/>
              <w:jc w:val="center"/>
              <w:rPr>
                <w:rFonts w:asci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14:paraId="2847F361">
            <w:pPr>
              <w:tabs>
                <w:tab w:val="left" w:pos="1418"/>
              </w:tabs>
              <w:snapToGrid w:val="0"/>
              <w:spacing w:before="50" w:after="50" w:line="360" w:lineRule="exact"/>
              <w:jc w:val="center"/>
              <w:rPr>
                <w:rFonts w:ascii="宋体"/>
                <w:spacing w:val="20"/>
                <w:szCs w:val="21"/>
              </w:rPr>
            </w:pPr>
          </w:p>
        </w:tc>
        <w:tc>
          <w:tcPr>
            <w:tcW w:w="941" w:type="dxa"/>
            <w:tcBorders>
              <w:top w:val="single" w:color="auto" w:sz="4" w:space="0"/>
              <w:left w:val="single" w:color="auto" w:sz="4" w:space="0"/>
              <w:bottom w:val="single" w:color="auto" w:sz="4" w:space="0"/>
              <w:right w:val="single" w:color="auto" w:sz="4" w:space="0"/>
            </w:tcBorders>
            <w:vAlign w:val="center"/>
          </w:tcPr>
          <w:p w14:paraId="1B5EA050">
            <w:pPr>
              <w:tabs>
                <w:tab w:val="left" w:pos="1418"/>
              </w:tabs>
              <w:snapToGrid w:val="0"/>
              <w:spacing w:before="50" w:after="50" w:line="360" w:lineRule="exact"/>
              <w:jc w:val="center"/>
              <w:rPr>
                <w:rFonts w:ascii="宋体"/>
                <w:spacing w:val="20"/>
                <w:szCs w:val="21"/>
              </w:rPr>
            </w:pPr>
          </w:p>
        </w:tc>
        <w:tc>
          <w:tcPr>
            <w:tcW w:w="1418" w:type="dxa"/>
            <w:tcBorders>
              <w:top w:val="single" w:color="auto" w:sz="4" w:space="0"/>
              <w:left w:val="single" w:color="auto" w:sz="4" w:space="0"/>
              <w:bottom w:val="single" w:color="auto" w:sz="4" w:space="0"/>
              <w:right w:val="single" w:color="auto" w:sz="4" w:space="0"/>
            </w:tcBorders>
          </w:tcPr>
          <w:p w14:paraId="54F0C0BC">
            <w:pPr>
              <w:tabs>
                <w:tab w:val="left" w:pos="1418"/>
              </w:tabs>
              <w:snapToGrid w:val="0"/>
              <w:spacing w:before="50" w:after="50" w:line="360" w:lineRule="exact"/>
              <w:jc w:val="center"/>
              <w:rPr>
                <w:rFonts w:ascii="宋体"/>
                <w:spacing w:val="20"/>
                <w:szCs w:val="21"/>
              </w:rPr>
            </w:pPr>
          </w:p>
        </w:tc>
        <w:tc>
          <w:tcPr>
            <w:tcW w:w="1134" w:type="dxa"/>
            <w:tcBorders>
              <w:top w:val="single" w:color="auto" w:sz="4" w:space="0"/>
              <w:left w:val="single" w:color="auto" w:sz="4" w:space="0"/>
              <w:bottom w:val="single" w:color="auto" w:sz="4" w:space="0"/>
              <w:right w:val="single" w:color="auto" w:sz="4" w:space="0"/>
            </w:tcBorders>
          </w:tcPr>
          <w:p w14:paraId="27F4A3B2">
            <w:pPr>
              <w:tabs>
                <w:tab w:val="left" w:pos="1418"/>
              </w:tabs>
              <w:snapToGrid w:val="0"/>
              <w:spacing w:before="50" w:after="50" w:line="360" w:lineRule="exact"/>
              <w:jc w:val="center"/>
              <w:rPr>
                <w:rFonts w:ascii="宋体"/>
                <w:spacing w:val="20"/>
                <w:szCs w:val="21"/>
              </w:rPr>
            </w:pPr>
          </w:p>
        </w:tc>
        <w:tc>
          <w:tcPr>
            <w:tcW w:w="1701" w:type="dxa"/>
            <w:tcBorders>
              <w:top w:val="single" w:color="auto" w:sz="4" w:space="0"/>
              <w:left w:val="single" w:color="auto" w:sz="4" w:space="0"/>
              <w:bottom w:val="single" w:color="auto" w:sz="4" w:space="0"/>
              <w:right w:val="single" w:color="auto" w:sz="4" w:space="0"/>
            </w:tcBorders>
          </w:tcPr>
          <w:p w14:paraId="1DD891E0">
            <w:pPr>
              <w:tabs>
                <w:tab w:val="left" w:pos="1418"/>
              </w:tabs>
              <w:snapToGrid w:val="0"/>
              <w:spacing w:before="50" w:after="50" w:line="360" w:lineRule="exact"/>
              <w:jc w:val="center"/>
              <w:rPr>
                <w:rFonts w:ascii="宋体"/>
                <w:spacing w:val="20"/>
                <w:szCs w:val="21"/>
              </w:rPr>
            </w:pPr>
          </w:p>
        </w:tc>
      </w:tr>
      <w:tr w14:paraId="20D413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00" w:type="dxa"/>
            <w:tcBorders>
              <w:top w:val="single" w:color="auto" w:sz="4" w:space="0"/>
              <w:left w:val="single" w:color="auto" w:sz="4" w:space="0"/>
              <w:bottom w:val="single" w:color="auto" w:sz="4" w:space="0"/>
              <w:right w:val="single" w:color="auto" w:sz="4" w:space="0"/>
            </w:tcBorders>
          </w:tcPr>
          <w:p w14:paraId="1AB38103">
            <w:pPr>
              <w:tabs>
                <w:tab w:val="left" w:pos="1418"/>
              </w:tabs>
              <w:snapToGrid w:val="0"/>
              <w:spacing w:before="50" w:after="50" w:line="360" w:lineRule="exact"/>
              <w:jc w:val="center"/>
              <w:rPr>
                <w:rFonts w:ascii="宋体"/>
                <w:spacing w:val="20"/>
                <w:szCs w:val="21"/>
              </w:rPr>
            </w:pPr>
          </w:p>
        </w:tc>
        <w:tc>
          <w:tcPr>
            <w:tcW w:w="1260" w:type="dxa"/>
            <w:tcBorders>
              <w:top w:val="single" w:color="auto" w:sz="4" w:space="0"/>
              <w:left w:val="single" w:color="auto" w:sz="4" w:space="0"/>
              <w:bottom w:val="single" w:color="auto" w:sz="4" w:space="0"/>
              <w:right w:val="single" w:color="auto" w:sz="4" w:space="0"/>
            </w:tcBorders>
          </w:tcPr>
          <w:p w14:paraId="1C061E7C">
            <w:pPr>
              <w:tabs>
                <w:tab w:val="left" w:pos="1418"/>
              </w:tabs>
              <w:snapToGrid w:val="0"/>
              <w:spacing w:before="50" w:after="50" w:line="360" w:lineRule="exact"/>
              <w:jc w:val="center"/>
              <w:rPr>
                <w:rFonts w:ascii="宋体"/>
                <w:spacing w:val="20"/>
                <w:szCs w:val="21"/>
              </w:rPr>
            </w:pPr>
            <w:r>
              <w:rPr>
                <w:rFonts w:hint="eastAsia" w:ascii="宋体"/>
                <w:spacing w:val="20"/>
                <w:szCs w:val="21"/>
              </w:rPr>
              <w:t>……</w:t>
            </w:r>
          </w:p>
        </w:tc>
        <w:tc>
          <w:tcPr>
            <w:tcW w:w="1260" w:type="dxa"/>
            <w:tcBorders>
              <w:top w:val="single" w:color="auto" w:sz="4" w:space="0"/>
              <w:left w:val="single" w:color="auto" w:sz="4" w:space="0"/>
              <w:bottom w:val="single" w:color="auto" w:sz="4" w:space="0"/>
              <w:right w:val="single" w:color="auto" w:sz="4" w:space="0"/>
            </w:tcBorders>
          </w:tcPr>
          <w:p w14:paraId="0B868259">
            <w:pPr>
              <w:tabs>
                <w:tab w:val="left" w:pos="1418"/>
              </w:tabs>
              <w:snapToGrid w:val="0"/>
              <w:spacing w:before="50" w:after="50" w:line="360" w:lineRule="exact"/>
              <w:jc w:val="center"/>
              <w:rPr>
                <w:rFonts w:asci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14:paraId="0FABE41B">
            <w:pPr>
              <w:tabs>
                <w:tab w:val="left" w:pos="1418"/>
              </w:tabs>
              <w:snapToGrid w:val="0"/>
              <w:spacing w:before="50" w:after="50" w:line="360" w:lineRule="exact"/>
              <w:jc w:val="center"/>
              <w:rPr>
                <w:rFonts w:asci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14:paraId="5B7F4311">
            <w:pPr>
              <w:tabs>
                <w:tab w:val="left" w:pos="1418"/>
              </w:tabs>
              <w:snapToGrid w:val="0"/>
              <w:spacing w:before="50" w:after="50" w:line="360" w:lineRule="exact"/>
              <w:jc w:val="center"/>
              <w:rPr>
                <w:rFonts w:ascii="宋体"/>
                <w:spacing w:val="20"/>
                <w:szCs w:val="21"/>
              </w:rPr>
            </w:pPr>
          </w:p>
        </w:tc>
        <w:tc>
          <w:tcPr>
            <w:tcW w:w="941" w:type="dxa"/>
            <w:tcBorders>
              <w:top w:val="single" w:color="auto" w:sz="4" w:space="0"/>
              <w:left w:val="single" w:color="auto" w:sz="4" w:space="0"/>
              <w:bottom w:val="single" w:color="auto" w:sz="4" w:space="0"/>
              <w:right w:val="single" w:color="auto" w:sz="4" w:space="0"/>
            </w:tcBorders>
            <w:vAlign w:val="center"/>
          </w:tcPr>
          <w:p w14:paraId="256854D8">
            <w:pPr>
              <w:tabs>
                <w:tab w:val="left" w:pos="1418"/>
              </w:tabs>
              <w:snapToGrid w:val="0"/>
              <w:spacing w:before="50" w:after="50" w:line="360" w:lineRule="exact"/>
              <w:jc w:val="center"/>
              <w:rPr>
                <w:rFonts w:ascii="宋体"/>
                <w:spacing w:val="20"/>
                <w:szCs w:val="21"/>
              </w:rPr>
            </w:pPr>
          </w:p>
        </w:tc>
        <w:tc>
          <w:tcPr>
            <w:tcW w:w="1418" w:type="dxa"/>
            <w:tcBorders>
              <w:top w:val="single" w:color="auto" w:sz="4" w:space="0"/>
              <w:left w:val="single" w:color="auto" w:sz="4" w:space="0"/>
              <w:bottom w:val="single" w:color="auto" w:sz="4" w:space="0"/>
              <w:right w:val="single" w:color="auto" w:sz="4" w:space="0"/>
            </w:tcBorders>
          </w:tcPr>
          <w:p w14:paraId="741E2CD3">
            <w:pPr>
              <w:tabs>
                <w:tab w:val="left" w:pos="1418"/>
              </w:tabs>
              <w:snapToGrid w:val="0"/>
              <w:spacing w:before="50" w:after="50" w:line="360" w:lineRule="exact"/>
              <w:jc w:val="center"/>
              <w:rPr>
                <w:rFonts w:ascii="宋体"/>
                <w:spacing w:val="20"/>
                <w:szCs w:val="21"/>
              </w:rPr>
            </w:pPr>
          </w:p>
        </w:tc>
        <w:tc>
          <w:tcPr>
            <w:tcW w:w="1134" w:type="dxa"/>
            <w:tcBorders>
              <w:top w:val="single" w:color="auto" w:sz="4" w:space="0"/>
              <w:left w:val="single" w:color="auto" w:sz="4" w:space="0"/>
              <w:bottom w:val="single" w:color="auto" w:sz="4" w:space="0"/>
              <w:right w:val="single" w:color="auto" w:sz="4" w:space="0"/>
            </w:tcBorders>
          </w:tcPr>
          <w:p w14:paraId="3B7A316C">
            <w:pPr>
              <w:tabs>
                <w:tab w:val="left" w:pos="1418"/>
              </w:tabs>
              <w:snapToGrid w:val="0"/>
              <w:spacing w:before="50" w:after="50" w:line="360" w:lineRule="exact"/>
              <w:jc w:val="center"/>
              <w:rPr>
                <w:rFonts w:ascii="宋体"/>
                <w:spacing w:val="20"/>
                <w:szCs w:val="21"/>
              </w:rPr>
            </w:pPr>
          </w:p>
        </w:tc>
        <w:tc>
          <w:tcPr>
            <w:tcW w:w="1701" w:type="dxa"/>
            <w:tcBorders>
              <w:top w:val="single" w:color="auto" w:sz="4" w:space="0"/>
              <w:left w:val="single" w:color="auto" w:sz="4" w:space="0"/>
              <w:bottom w:val="single" w:color="auto" w:sz="4" w:space="0"/>
              <w:right w:val="single" w:color="auto" w:sz="4" w:space="0"/>
            </w:tcBorders>
          </w:tcPr>
          <w:p w14:paraId="528894A2">
            <w:pPr>
              <w:tabs>
                <w:tab w:val="left" w:pos="1418"/>
              </w:tabs>
              <w:snapToGrid w:val="0"/>
              <w:spacing w:before="50" w:after="50" w:line="360" w:lineRule="exact"/>
              <w:jc w:val="center"/>
              <w:rPr>
                <w:rFonts w:ascii="宋体"/>
                <w:spacing w:val="20"/>
                <w:szCs w:val="21"/>
              </w:rPr>
            </w:pPr>
          </w:p>
        </w:tc>
      </w:tr>
      <w:tr w14:paraId="10E464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073" w:type="dxa"/>
            <w:gridSpan w:val="8"/>
            <w:tcBorders>
              <w:top w:val="single" w:color="auto" w:sz="4" w:space="0"/>
              <w:left w:val="single" w:color="auto" w:sz="4" w:space="0"/>
              <w:bottom w:val="single" w:color="auto" w:sz="4" w:space="0"/>
              <w:right w:val="single" w:color="auto" w:sz="4" w:space="0"/>
            </w:tcBorders>
          </w:tcPr>
          <w:p w14:paraId="02BFC0F6">
            <w:pPr>
              <w:wordWrap w:val="0"/>
              <w:snapToGrid w:val="0"/>
              <w:spacing w:line="360" w:lineRule="exact"/>
              <w:jc w:val="left"/>
              <w:rPr>
                <w:rFonts w:ascii="宋体"/>
                <w:spacing w:val="20"/>
                <w:szCs w:val="21"/>
              </w:rPr>
            </w:pPr>
            <w:r>
              <w:rPr>
                <w:rFonts w:hint="eastAsia" w:ascii="宋体"/>
                <w:szCs w:val="21"/>
              </w:rPr>
              <w:t>标项</w:t>
            </w:r>
            <w:r>
              <w:rPr>
                <w:rFonts w:hint="eastAsia" w:ascii="宋体"/>
                <w:szCs w:val="21"/>
                <w:u w:val="single"/>
              </w:rPr>
              <w:t xml:space="preserve"> </w:t>
            </w:r>
            <w:r>
              <w:rPr>
                <w:rFonts w:ascii="宋体"/>
                <w:szCs w:val="21"/>
                <w:u w:val="single"/>
              </w:rPr>
              <w:t xml:space="preserve">     </w:t>
            </w:r>
            <w:r>
              <w:rPr>
                <w:rFonts w:hint="eastAsia"/>
              </w:rPr>
              <w:t>投标总价（</w:t>
            </w:r>
            <w:r>
              <w:rPr>
                <w:rFonts w:hint="eastAsia" w:ascii="宋体"/>
                <w:szCs w:val="21"/>
              </w:rPr>
              <w:t xml:space="preserve">合计金额大写）：                                        </w:t>
            </w:r>
          </w:p>
        </w:tc>
        <w:tc>
          <w:tcPr>
            <w:tcW w:w="1701" w:type="dxa"/>
            <w:tcBorders>
              <w:top w:val="single" w:color="auto" w:sz="4" w:space="0"/>
              <w:left w:val="single" w:color="auto" w:sz="4" w:space="0"/>
              <w:bottom w:val="single" w:color="auto" w:sz="4" w:space="0"/>
              <w:right w:val="single" w:color="auto" w:sz="4" w:space="0"/>
            </w:tcBorders>
          </w:tcPr>
          <w:p w14:paraId="2A2A2B6A">
            <w:pPr>
              <w:tabs>
                <w:tab w:val="left" w:pos="1418"/>
              </w:tabs>
              <w:snapToGrid w:val="0"/>
              <w:spacing w:before="50" w:after="50" w:line="360" w:lineRule="exact"/>
              <w:rPr>
                <w:rFonts w:ascii="宋体"/>
                <w:spacing w:val="20"/>
                <w:szCs w:val="21"/>
              </w:rPr>
            </w:pPr>
            <w:r>
              <w:rPr>
                <w:rFonts w:hint="eastAsia" w:ascii="宋体"/>
                <w:szCs w:val="21"/>
              </w:rPr>
              <w:t>¥</w:t>
            </w:r>
            <w:r>
              <w:rPr>
                <w:rFonts w:hint="eastAsia" w:ascii="宋体"/>
                <w:szCs w:val="21"/>
                <w:u w:val="single"/>
              </w:rPr>
              <w:t xml:space="preserve">            </w:t>
            </w:r>
          </w:p>
        </w:tc>
      </w:tr>
    </w:tbl>
    <w:p w14:paraId="47756982">
      <w:pPr>
        <w:snapToGrid w:val="0"/>
        <w:spacing w:before="50" w:after="50" w:line="360" w:lineRule="auto"/>
        <w:jc w:val="left"/>
        <w:rPr>
          <w:rFonts w:ascii="宋体" w:hAnsi="宋体" w:cs="宋体"/>
          <w:sz w:val="24"/>
        </w:rPr>
      </w:pPr>
      <w:r>
        <w:rPr>
          <w:rFonts w:hint="eastAsia" w:ascii="宋体" w:hAnsi="宋体" w:cs="宋体"/>
          <w:sz w:val="24"/>
        </w:rPr>
        <w:t>注：</w:t>
      </w:r>
    </w:p>
    <w:p w14:paraId="4E608293">
      <w:pPr>
        <w:snapToGrid w:val="0"/>
        <w:spacing w:before="50" w:after="50" w:line="360" w:lineRule="auto"/>
        <w:ind w:firstLine="480" w:firstLineChars="200"/>
        <w:jc w:val="left"/>
        <w:rPr>
          <w:rFonts w:ascii="宋体" w:hAnsi="宋体" w:cs="宋体"/>
          <w:sz w:val="24"/>
        </w:rPr>
      </w:pPr>
      <w:r>
        <w:rPr>
          <w:rFonts w:hint="eastAsia" w:ascii="宋体" w:hAnsi="宋体" w:cs="宋体"/>
          <w:sz w:val="24"/>
        </w:rPr>
        <w:t>1.投标人的开标一览表必须加盖投标人公章并由法定代表人或者委托代理人签字，</w:t>
      </w:r>
      <w:r>
        <w:rPr>
          <w:rFonts w:hint="eastAsia" w:ascii="宋体" w:hAnsi="宋体" w:cs="宋体"/>
          <w:b/>
          <w:sz w:val="24"/>
        </w:rPr>
        <w:t>否则其投标作无效标处理</w:t>
      </w:r>
      <w:r>
        <w:rPr>
          <w:rFonts w:hint="eastAsia" w:ascii="宋体" w:hAnsi="宋体" w:cs="宋体"/>
          <w:sz w:val="24"/>
        </w:rPr>
        <w:t>。</w:t>
      </w:r>
    </w:p>
    <w:p w14:paraId="621314D1">
      <w:pPr>
        <w:snapToGrid w:val="0"/>
        <w:spacing w:before="50" w:after="50" w:line="360" w:lineRule="auto"/>
        <w:ind w:firstLine="480" w:firstLineChars="200"/>
        <w:jc w:val="left"/>
        <w:rPr>
          <w:rFonts w:ascii="宋体" w:hAnsi="宋体" w:cs="宋体"/>
          <w:b/>
          <w:sz w:val="24"/>
        </w:rPr>
      </w:pPr>
      <w:r>
        <w:rPr>
          <w:rFonts w:hint="eastAsia" w:ascii="宋体" w:hAnsi="宋体" w:cs="宋体"/>
          <w:bCs/>
          <w:sz w:val="24"/>
        </w:rPr>
        <w:t>2.</w:t>
      </w:r>
      <w:r>
        <w:rPr>
          <w:rFonts w:hint="eastAsia" w:ascii="宋体" w:hAnsi="宋体" w:cs="宋体"/>
          <w:sz w:val="24"/>
        </w:rPr>
        <w:t>报价一经涂改，应在涂改处加盖投标人公章或者由法定代表人或者委托代理人签字或者盖章</w:t>
      </w:r>
      <w:r>
        <w:rPr>
          <w:rFonts w:hint="eastAsia" w:ascii="宋体" w:hAnsi="宋体" w:cs="宋体"/>
          <w:b/>
          <w:sz w:val="24"/>
        </w:rPr>
        <w:t>，否则其投标作无效标处理。</w:t>
      </w:r>
    </w:p>
    <w:p w14:paraId="7B119F2B">
      <w:pPr>
        <w:snapToGrid w:val="0"/>
        <w:spacing w:before="50" w:after="50" w:line="360" w:lineRule="auto"/>
        <w:ind w:firstLine="480" w:firstLineChars="200"/>
        <w:jc w:val="left"/>
        <w:rPr>
          <w:rFonts w:ascii="宋体" w:hAnsi="宋体" w:cs="宋体"/>
          <w:b/>
          <w:sz w:val="24"/>
        </w:rPr>
      </w:pPr>
      <w:r>
        <w:rPr>
          <w:rFonts w:hint="eastAsia" w:ascii="宋体" w:hAnsi="宋体" w:cs="宋体"/>
          <w:sz w:val="24"/>
        </w:rPr>
        <w:t>3.如有多分标，按分标分别提供开标一览表，</w:t>
      </w:r>
      <w:r>
        <w:rPr>
          <w:rFonts w:hint="eastAsia" w:ascii="宋体" w:hAnsi="宋体" w:cs="宋体"/>
          <w:b/>
          <w:sz w:val="24"/>
        </w:rPr>
        <w:t>否则投标无效。</w:t>
      </w:r>
    </w:p>
    <w:p w14:paraId="6E822514">
      <w:pPr>
        <w:snapToGrid w:val="0"/>
        <w:spacing w:before="50" w:after="50" w:line="360" w:lineRule="auto"/>
        <w:ind w:firstLine="482" w:firstLineChars="200"/>
        <w:jc w:val="left"/>
        <w:rPr>
          <w:rFonts w:ascii="宋体" w:hAnsi="宋体" w:cs="宋体"/>
          <w:b/>
          <w:sz w:val="24"/>
        </w:rPr>
      </w:pPr>
    </w:p>
    <w:p w14:paraId="656DDE4B">
      <w:pPr>
        <w:snapToGrid w:val="0"/>
        <w:spacing w:before="50" w:after="50" w:line="360" w:lineRule="auto"/>
        <w:ind w:left="-2" w:leftChars="-1" w:right="-817" w:rightChars="-389"/>
        <w:rPr>
          <w:rFonts w:ascii="宋体" w:hAnsi="宋体" w:cs="宋体"/>
          <w:sz w:val="24"/>
        </w:rPr>
      </w:pPr>
      <w:r>
        <w:rPr>
          <w:rFonts w:hint="eastAsia" w:ascii="宋体" w:hAnsi="宋体" w:cs="宋体"/>
          <w:sz w:val="24"/>
        </w:rPr>
        <w:t xml:space="preserve">法定代表人或者委托代理人（签字或电子盖章）：                   </w:t>
      </w:r>
    </w:p>
    <w:p w14:paraId="7218BF92">
      <w:pPr>
        <w:snapToGrid w:val="0"/>
        <w:spacing w:before="50" w:after="50" w:line="360" w:lineRule="auto"/>
        <w:ind w:left="-3" w:leftChars="-15" w:right="-817" w:rightChars="-389" w:hanging="28" w:hangingChars="12"/>
        <w:rPr>
          <w:rFonts w:ascii="宋体" w:hAnsi="宋体" w:cs="宋体"/>
          <w:sz w:val="24"/>
        </w:rPr>
      </w:pPr>
      <w:r>
        <w:rPr>
          <w:rFonts w:hint="eastAsia" w:ascii="宋体" w:hAnsi="宋体" w:cs="宋体"/>
          <w:sz w:val="24"/>
        </w:rPr>
        <w:t xml:space="preserve">投标人（电子签章）：                                </w:t>
      </w:r>
    </w:p>
    <w:p w14:paraId="2E4DF0CB">
      <w:pPr>
        <w:snapToGrid w:val="0"/>
        <w:spacing w:before="50" w:after="50" w:line="360" w:lineRule="auto"/>
        <w:ind w:left="-3" w:leftChars="-15" w:right="-817" w:rightChars="-389" w:hanging="28" w:hangingChars="12"/>
        <w:jc w:val="left"/>
        <w:rPr>
          <w:rFonts w:ascii="宋体" w:hAnsi="宋体" w:cs="宋体"/>
          <w:szCs w:val="21"/>
        </w:rPr>
      </w:pPr>
      <w:r>
        <w:rPr>
          <w:rFonts w:hint="eastAsia" w:ascii="宋体" w:hAnsi="宋体" w:cs="宋体"/>
          <w:sz w:val="24"/>
        </w:rPr>
        <w:t>日期：   年   月   日</w:t>
      </w:r>
    </w:p>
    <w:p w14:paraId="04032C65">
      <w:pPr>
        <w:rPr>
          <w:rFonts w:ascii="宋体" w:hAnsi="宋体" w:cs="宋体"/>
          <w:b/>
          <w:sz w:val="28"/>
          <w:szCs w:val="28"/>
        </w:rPr>
      </w:pPr>
      <w:r>
        <w:rPr>
          <w:rFonts w:hint="eastAsia" w:ascii="宋体" w:hAnsi="宋体" w:cs="宋体"/>
          <w:b/>
          <w:bCs/>
          <w:sz w:val="24"/>
        </w:rPr>
        <w:br w:type="page"/>
      </w:r>
      <w:bookmarkStart w:id="111" w:name="_Toc19686837"/>
      <w:r>
        <w:rPr>
          <w:rFonts w:hint="eastAsia" w:ascii="宋体" w:hAnsi="宋体" w:cs="宋体"/>
          <w:b/>
          <w:sz w:val="28"/>
          <w:szCs w:val="28"/>
        </w:rPr>
        <w:t>二、资格证明文件格式</w:t>
      </w:r>
      <w:bookmarkEnd w:id="109"/>
      <w:bookmarkEnd w:id="110"/>
      <w:bookmarkEnd w:id="111"/>
    </w:p>
    <w:p w14:paraId="5B39E53A">
      <w:pPr>
        <w:numPr>
          <w:ilvl w:val="2"/>
          <w:numId w:val="5"/>
        </w:numPr>
        <w:snapToGrid w:val="0"/>
        <w:spacing w:before="120" w:beforeLines="50" w:after="50" w:line="360" w:lineRule="auto"/>
        <w:ind w:left="0" w:firstLine="0"/>
        <w:jc w:val="left"/>
        <w:rPr>
          <w:rFonts w:ascii="宋体" w:hAnsi="宋体" w:cs="宋体"/>
          <w:b/>
          <w:sz w:val="24"/>
        </w:rPr>
      </w:pPr>
      <w:r>
        <w:rPr>
          <w:rFonts w:hint="eastAsia" w:ascii="宋体" w:hAnsi="宋体" w:cs="宋体"/>
          <w:b/>
          <w:sz w:val="24"/>
        </w:rPr>
        <w:t>资格证明文件封面格式：</w:t>
      </w:r>
    </w:p>
    <w:p w14:paraId="7585347D">
      <w:pPr>
        <w:snapToGrid w:val="0"/>
        <w:spacing w:before="120" w:beforeLines="50" w:after="50"/>
        <w:rPr>
          <w:rFonts w:ascii="宋体" w:hAnsi="宋体" w:cs="宋体"/>
          <w:bCs/>
          <w:sz w:val="32"/>
          <w:szCs w:val="20"/>
        </w:rPr>
      </w:pPr>
      <w:r>
        <w:rPr>
          <w:rFonts w:hint="eastAsia" w:ascii="宋体" w:hAnsi="宋体" w:cs="宋体"/>
          <w:sz w:val="24"/>
        </w:rPr>
        <w:t xml:space="preserve">                                                   </w:t>
      </w:r>
    </w:p>
    <w:p w14:paraId="67F8B192">
      <w:pPr>
        <w:snapToGrid w:val="0"/>
        <w:spacing w:before="120" w:beforeLines="50" w:after="50"/>
        <w:rPr>
          <w:rFonts w:ascii="宋体" w:hAnsi="宋体" w:cs="宋体"/>
          <w:sz w:val="24"/>
          <w:szCs w:val="20"/>
        </w:rPr>
      </w:pPr>
    </w:p>
    <w:p w14:paraId="2D3730B6">
      <w:pPr>
        <w:snapToGrid w:val="0"/>
        <w:spacing w:before="120" w:beforeLines="50" w:after="50"/>
        <w:rPr>
          <w:rFonts w:ascii="宋体" w:hAnsi="宋体" w:cs="宋体"/>
          <w:sz w:val="24"/>
          <w:szCs w:val="20"/>
        </w:rPr>
      </w:pPr>
    </w:p>
    <w:p w14:paraId="01719437">
      <w:pPr>
        <w:snapToGrid w:val="0"/>
        <w:spacing w:before="120" w:beforeLines="50" w:after="50"/>
        <w:jc w:val="center"/>
        <w:rPr>
          <w:rFonts w:ascii="宋体" w:hAnsi="宋体" w:cs="宋体"/>
          <w:sz w:val="84"/>
          <w:szCs w:val="84"/>
        </w:rPr>
      </w:pPr>
      <w:r>
        <w:rPr>
          <w:rFonts w:hint="eastAsia" w:ascii="宋体" w:hAnsi="宋体" w:cs="宋体"/>
          <w:sz w:val="84"/>
          <w:szCs w:val="84"/>
        </w:rPr>
        <w:t>投  标  文  件</w:t>
      </w:r>
    </w:p>
    <w:p w14:paraId="4ED83F3A">
      <w:pPr>
        <w:snapToGrid w:val="0"/>
        <w:spacing w:before="120" w:beforeLines="50" w:after="50"/>
        <w:rPr>
          <w:rFonts w:ascii="宋体" w:hAnsi="宋体" w:cs="宋体"/>
          <w:sz w:val="24"/>
          <w:szCs w:val="20"/>
        </w:rPr>
      </w:pPr>
    </w:p>
    <w:p w14:paraId="573CE9B2">
      <w:pPr>
        <w:snapToGrid w:val="0"/>
        <w:spacing w:before="120" w:beforeLines="50" w:after="50"/>
        <w:rPr>
          <w:rFonts w:ascii="宋体" w:hAnsi="宋体" w:cs="宋体"/>
          <w:sz w:val="24"/>
          <w:szCs w:val="20"/>
        </w:rPr>
      </w:pPr>
    </w:p>
    <w:p w14:paraId="1E499802">
      <w:pPr>
        <w:snapToGrid w:val="0"/>
        <w:spacing w:before="120" w:beforeLines="50" w:after="50"/>
        <w:jc w:val="center"/>
        <w:rPr>
          <w:rFonts w:ascii="宋体" w:hAnsi="宋体" w:cs="宋体"/>
          <w:b/>
          <w:sz w:val="24"/>
          <w:szCs w:val="20"/>
        </w:rPr>
      </w:pPr>
      <w:r>
        <w:rPr>
          <w:rFonts w:hint="eastAsia" w:ascii="宋体" w:hAnsi="宋体" w:cs="宋体"/>
          <w:b/>
          <w:sz w:val="32"/>
          <w:szCs w:val="32"/>
        </w:rPr>
        <w:t>资 格 证 明 文 件</w:t>
      </w:r>
    </w:p>
    <w:p w14:paraId="38FC307E">
      <w:pPr>
        <w:snapToGrid w:val="0"/>
        <w:spacing w:before="120" w:beforeLines="50" w:after="50"/>
        <w:rPr>
          <w:rFonts w:ascii="宋体" w:hAnsi="宋体" w:cs="宋体"/>
          <w:bCs/>
          <w:sz w:val="24"/>
          <w:szCs w:val="20"/>
        </w:rPr>
      </w:pPr>
    </w:p>
    <w:p w14:paraId="718B747A">
      <w:pPr>
        <w:snapToGrid w:val="0"/>
        <w:spacing w:before="120" w:beforeLines="50" w:after="50"/>
        <w:rPr>
          <w:rFonts w:ascii="宋体" w:hAnsi="宋体" w:cs="宋体"/>
          <w:bCs/>
          <w:sz w:val="24"/>
          <w:szCs w:val="20"/>
        </w:rPr>
      </w:pPr>
    </w:p>
    <w:p w14:paraId="5F4F17F8">
      <w:pPr>
        <w:snapToGrid w:val="0"/>
        <w:spacing w:before="120" w:beforeLines="50" w:after="50"/>
        <w:rPr>
          <w:rFonts w:ascii="宋体" w:hAnsi="宋体" w:cs="宋体"/>
          <w:bCs/>
          <w:sz w:val="24"/>
          <w:szCs w:val="20"/>
        </w:rPr>
      </w:pPr>
    </w:p>
    <w:p w14:paraId="52033998">
      <w:pPr>
        <w:snapToGrid w:val="0"/>
        <w:spacing w:before="120" w:beforeLines="50" w:after="50"/>
        <w:rPr>
          <w:rFonts w:ascii="宋体" w:hAnsi="宋体" w:cs="宋体"/>
          <w:bCs/>
          <w:sz w:val="24"/>
          <w:szCs w:val="20"/>
        </w:rPr>
      </w:pPr>
    </w:p>
    <w:p w14:paraId="7860D43D">
      <w:pPr>
        <w:snapToGrid w:val="0"/>
        <w:spacing w:before="120" w:beforeLines="50" w:after="50"/>
        <w:rPr>
          <w:rFonts w:ascii="宋体" w:hAnsi="宋体" w:cs="宋体"/>
          <w:bCs/>
          <w:sz w:val="24"/>
          <w:szCs w:val="20"/>
        </w:rPr>
      </w:pPr>
    </w:p>
    <w:p w14:paraId="3C9402C7">
      <w:pPr>
        <w:snapToGrid w:val="0"/>
        <w:spacing w:before="120" w:beforeLines="50" w:after="50"/>
        <w:ind w:firstLine="540" w:firstLineChars="225"/>
        <w:rPr>
          <w:rFonts w:ascii="宋体" w:hAnsi="宋体" w:cs="宋体"/>
          <w:bCs/>
          <w:sz w:val="24"/>
        </w:rPr>
      </w:pPr>
      <w:r>
        <w:rPr>
          <w:rFonts w:hint="eastAsia" w:ascii="宋体" w:hAnsi="宋体" w:cs="宋体"/>
          <w:bCs/>
          <w:sz w:val="24"/>
        </w:rPr>
        <w:t>项目名称：</w:t>
      </w:r>
    </w:p>
    <w:p w14:paraId="7EBB5D19">
      <w:pPr>
        <w:snapToGrid w:val="0"/>
        <w:spacing w:before="120" w:beforeLines="50" w:after="50"/>
        <w:ind w:firstLine="540" w:firstLineChars="225"/>
        <w:rPr>
          <w:rFonts w:ascii="宋体" w:hAnsi="宋体" w:cs="宋体"/>
          <w:bCs/>
          <w:sz w:val="24"/>
          <w:szCs w:val="20"/>
        </w:rPr>
      </w:pPr>
    </w:p>
    <w:p w14:paraId="1BC2A443">
      <w:pPr>
        <w:snapToGrid w:val="0"/>
        <w:spacing w:before="120" w:beforeLines="50" w:after="50"/>
        <w:ind w:firstLine="540" w:firstLineChars="225"/>
        <w:rPr>
          <w:rFonts w:ascii="宋体" w:hAnsi="宋体" w:cs="宋体"/>
          <w:bCs/>
          <w:sz w:val="24"/>
        </w:rPr>
      </w:pPr>
      <w:r>
        <w:rPr>
          <w:rFonts w:hint="eastAsia" w:ascii="宋体" w:hAnsi="宋体" w:cs="宋体"/>
          <w:bCs/>
          <w:sz w:val="24"/>
        </w:rPr>
        <w:t>项目编号：</w:t>
      </w:r>
    </w:p>
    <w:p w14:paraId="49F414AB">
      <w:pPr>
        <w:snapToGrid w:val="0"/>
        <w:spacing w:before="120" w:beforeLines="50" w:after="50"/>
        <w:ind w:firstLine="540" w:firstLineChars="225"/>
        <w:rPr>
          <w:rFonts w:ascii="宋体" w:hAnsi="宋体" w:cs="宋体"/>
          <w:bCs/>
          <w:sz w:val="24"/>
        </w:rPr>
      </w:pPr>
    </w:p>
    <w:p w14:paraId="4FC240FB">
      <w:pPr>
        <w:pStyle w:val="8"/>
        <w:snapToGrid w:val="0"/>
        <w:spacing w:before="50" w:after="50"/>
        <w:ind w:firstLine="540" w:firstLineChars="225"/>
        <w:rPr>
          <w:rFonts w:ascii="宋体" w:hAnsi="宋体" w:cs="宋体"/>
          <w:bCs/>
          <w:sz w:val="24"/>
          <w:szCs w:val="24"/>
        </w:rPr>
      </w:pPr>
      <w:r>
        <w:rPr>
          <w:rFonts w:hint="eastAsia" w:ascii="宋体" w:hAnsi="宋体" w:cs="宋体"/>
          <w:bCs/>
          <w:sz w:val="24"/>
          <w:szCs w:val="24"/>
        </w:rPr>
        <w:t>投标人名称：</w:t>
      </w:r>
    </w:p>
    <w:p w14:paraId="2B265F08">
      <w:pPr>
        <w:pStyle w:val="8"/>
        <w:snapToGrid w:val="0"/>
        <w:spacing w:before="50" w:after="50"/>
        <w:ind w:firstLine="540" w:firstLineChars="225"/>
        <w:rPr>
          <w:rFonts w:ascii="宋体" w:hAnsi="宋体" w:cs="宋体"/>
          <w:bCs/>
          <w:sz w:val="24"/>
          <w:szCs w:val="24"/>
        </w:rPr>
      </w:pPr>
    </w:p>
    <w:p w14:paraId="5D32777B">
      <w:pPr>
        <w:pStyle w:val="8"/>
        <w:snapToGrid w:val="0"/>
        <w:spacing w:before="50" w:after="50"/>
        <w:ind w:firstLine="960" w:firstLineChars="400"/>
        <w:rPr>
          <w:rFonts w:ascii="宋体" w:hAnsi="宋体" w:cs="宋体"/>
          <w:bCs/>
          <w:sz w:val="24"/>
          <w:szCs w:val="24"/>
        </w:rPr>
      </w:pPr>
    </w:p>
    <w:p w14:paraId="22592422">
      <w:pPr>
        <w:snapToGrid w:val="0"/>
        <w:spacing w:before="120" w:beforeLines="50" w:after="50"/>
        <w:ind w:firstLine="645"/>
        <w:jc w:val="center"/>
        <w:rPr>
          <w:rFonts w:ascii="宋体" w:hAnsi="宋体" w:cs="宋体"/>
          <w:sz w:val="24"/>
        </w:rPr>
      </w:pPr>
      <w:r>
        <w:rPr>
          <w:rFonts w:hint="eastAsia" w:ascii="宋体" w:hAnsi="宋体" w:cs="宋体"/>
          <w:sz w:val="24"/>
        </w:rPr>
        <w:t>年  月  日</w:t>
      </w:r>
    </w:p>
    <w:p w14:paraId="1B4EA9C0">
      <w:pPr>
        <w:snapToGrid w:val="0"/>
        <w:spacing w:before="120" w:beforeLines="50" w:after="50"/>
        <w:rPr>
          <w:rFonts w:ascii="宋体" w:hAnsi="宋体" w:cs="宋体"/>
          <w:sz w:val="24"/>
          <w:szCs w:val="20"/>
        </w:rPr>
      </w:pPr>
      <w:r>
        <w:rPr>
          <w:rFonts w:hint="eastAsia" w:ascii="宋体" w:hAnsi="宋体" w:cs="宋体"/>
          <w:sz w:val="24"/>
          <w:szCs w:val="20"/>
        </w:rPr>
        <w:t xml:space="preserve"> </w:t>
      </w:r>
    </w:p>
    <w:p w14:paraId="60C87BC4">
      <w:pPr>
        <w:snapToGrid w:val="0"/>
        <w:spacing w:before="120" w:beforeLines="50" w:after="50"/>
        <w:rPr>
          <w:rFonts w:ascii="宋体" w:hAnsi="宋体" w:cs="宋体"/>
          <w:sz w:val="24"/>
          <w:szCs w:val="20"/>
        </w:rPr>
      </w:pPr>
    </w:p>
    <w:p w14:paraId="724B0E84">
      <w:pPr>
        <w:numPr>
          <w:ilvl w:val="2"/>
          <w:numId w:val="5"/>
        </w:numPr>
        <w:snapToGrid w:val="0"/>
        <w:spacing w:before="120" w:beforeLines="50" w:after="50" w:line="360" w:lineRule="auto"/>
        <w:ind w:left="0" w:firstLine="0"/>
        <w:jc w:val="left"/>
        <w:rPr>
          <w:rFonts w:ascii="宋体" w:hAnsi="宋体" w:cs="宋体"/>
          <w:sz w:val="24"/>
          <w:szCs w:val="20"/>
        </w:rPr>
      </w:pPr>
      <w:r>
        <w:rPr>
          <w:rFonts w:hint="eastAsia" w:ascii="宋体" w:hAnsi="宋体" w:cs="宋体"/>
          <w:b/>
          <w:bCs/>
          <w:sz w:val="24"/>
        </w:rPr>
        <w:br w:type="page"/>
      </w:r>
      <w:r>
        <w:rPr>
          <w:rFonts w:hint="eastAsia" w:ascii="宋体" w:hAnsi="宋体" w:cs="宋体"/>
          <w:b/>
          <w:bCs/>
          <w:sz w:val="24"/>
        </w:rPr>
        <w:t>资格证明文件目录</w:t>
      </w:r>
    </w:p>
    <w:p w14:paraId="18CF9F52">
      <w:pPr>
        <w:snapToGrid w:val="0"/>
        <w:spacing w:line="360" w:lineRule="auto"/>
        <w:ind w:firstLine="420" w:firstLineChars="200"/>
        <w:jc w:val="left"/>
        <w:rPr>
          <w:rFonts w:ascii="宋体" w:hAnsi="宋体" w:cs="宋体"/>
          <w:szCs w:val="21"/>
        </w:rPr>
      </w:pPr>
      <w:r>
        <w:rPr>
          <w:rFonts w:hint="eastAsia" w:ascii="宋体" w:hAnsi="宋体" w:cs="宋体"/>
          <w:szCs w:val="21"/>
        </w:rPr>
        <w:t>根据招标文件规定及投标人提供的材料自行编写目录（部分格式后附）。</w:t>
      </w:r>
    </w:p>
    <w:p w14:paraId="2B0515D1">
      <w:pPr>
        <w:snapToGrid w:val="0"/>
        <w:spacing w:before="50" w:after="120" w:afterLines="50"/>
        <w:jc w:val="left"/>
        <w:rPr>
          <w:rFonts w:ascii="宋体" w:hAnsi="宋体" w:cs="宋体"/>
          <w:sz w:val="24"/>
        </w:rPr>
      </w:pPr>
    </w:p>
    <w:p w14:paraId="45852F7D">
      <w:pPr>
        <w:snapToGrid w:val="0"/>
        <w:spacing w:before="50" w:after="120" w:afterLines="50"/>
        <w:jc w:val="left"/>
        <w:rPr>
          <w:rFonts w:ascii="宋体" w:hAnsi="宋体" w:cs="宋体"/>
          <w:sz w:val="24"/>
        </w:rPr>
      </w:pPr>
    </w:p>
    <w:p w14:paraId="2F571475">
      <w:pPr>
        <w:jc w:val="left"/>
        <w:rPr>
          <w:rFonts w:ascii="宋体" w:hAnsi="宋体" w:cs="宋体"/>
          <w:szCs w:val="21"/>
        </w:rPr>
      </w:pPr>
      <w:r>
        <w:rPr>
          <w:rFonts w:hint="eastAsia" w:ascii="宋体" w:hAnsi="宋体" w:cs="宋体"/>
          <w:b/>
          <w:sz w:val="24"/>
        </w:rPr>
        <w:br w:type="page"/>
      </w:r>
    </w:p>
    <w:p w14:paraId="7FBD8382">
      <w:pPr>
        <w:jc w:val="center"/>
        <w:rPr>
          <w:rFonts w:ascii="宋体" w:hAnsi="宋体" w:cs="宋体"/>
          <w:sz w:val="28"/>
          <w:szCs w:val="28"/>
        </w:rPr>
      </w:pPr>
      <w:r>
        <w:rPr>
          <w:rFonts w:hint="eastAsia" w:ascii="宋体" w:hAnsi="宋体" w:cs="宋体"/>
          <w:b/>
          <w:sz w:val="32"/>
          <w:szCs w:val="32"/>
        </w:rPr>
        <w:t>崇左市政府采购供应商信用承诺函</w:t>
      </w:r>
    </w:p>
    <w:p w14:paraId="5EED1A12">
      <w:pPr>
        <w:widowControl/>
        <w:spacing w:line="440" w:lineRule="exact"/>
        <w:jc w:val="left"/>
        <w:rPr>
          <w:rFonts w:ascii="宋体" w:hAnsi="宋体" w:cs="宋体"/>
          <w:kern w:val="0"/>
          <w:sz w:val="28"/>
          <w:szCs w:val="28"/>
          <w:lang w:bidi="ar"/>
        </w:rPr>
      </w:pPr>
    </w:p>
    <w:p w14:paraId="242002EF">
      <w:pPr>
        <w:widowControl/>
        <w:spacing w:line="360" w:lineRule="auto"/>
        <w:rPr>
          <w:rFonts w:ascii="宋体" w:hAnsi="宋体" w:cs="宋体"/>
          <w:szCs w:val="21"/>
          <w:u w:val="single"/>
        </w:rPr>
      </w:pPr>
      <w:r>
        <w:rPr>
          <w:rFonts w:hint="eastAsia" w:ascii="宋体" w:hAnsi="宋体" w:cs="宋体"/>
          <w:kern w:val="0"/>
          <w:szCs w:val="21"/>
          <w:lang w:bidi="ar"/>
        </w:rPr>
        <w:t>致</w:t>
      </w:r>
      <w:r>
        <w:rPr>
          <w:rFonts w:hint="eastAsia" w:ascii="宋体" w:hAnsi="宋体" w:cs="宋体"/>
          <w:kern w:val="0"/>
          <w:szCs w:val="21"/>
          <w:u w:val="single"/>
          <w:lang w:bidi="ar"/>
        </w:rPr>
        <w:t>（采购代理机构名称）</w:t>
      </w:r>
      <w:r>
        <w:rPr>
          <w:rFonts w:hint="eastAsia" w:ascii="宋体" w:hAnsi="宋体" w:cs="宋体"/>
          <w:kern w:val="0"/>
          <w:szCs w:val="21"/>
          <w:lang w:bidi="ar"/>
        </w:rPr>
        <w:t>：</w:t>
      </w:r>
    </w:p>
    <w:p w14:paraId="60D6FC66">
      <w:pPr>
        <w:widowControl/>
        <w:spacing w:line="360" w:lineRule="auto"/>
        <w:ind w:firstLine="420" w:firstLineChars="200"/>
        <w:rPr>
          <w:rFonts w:ascii="宋体" w:hAnsi="宋体" w:cs="宋体"/>
          <w:spacing w:val="-6"/>
          <w:szCs w:val="21"/>
        </w:rPr>
      </w:pPr>
      <w:r>
        <w:rPr>
          <w:rFonts w:hint="eastAsia" w:ascii="宋体" w:hAnsi="宋体" w:cs="宋体"/>
          <w:kern w:val="0"/>
          <w:szCs w:val="21"/>
          <w:lang w:bidi="ar"/>
        </w:rPr>
        <w:t>我方自愿参加</w:t>
      </w:r>
      <w:r>
        <w:rPr>
          <w:rFonts w:hint="eastAsia" w:ascii="宋体" w:hAnsi="宋体" w:cs="宋体"/>
          <w:kern w:val="0"/>
          <w:szCs w:val="21"/>
          <w:u w:val="single"/>
          <w:lang w:bidi="ar"/>
        </w:rPr>
        <w:t>（项目名称）</w:t>
      </w:r>
      <w:r>
        <w:rPr>
          <w:rFonts w:hint="eastAsia" w:ascii="宋体" w:hAnsi="宋体" w:cs="宋体"/>
          <w:kern w:val="0"/>
          <w:szCs w:val="21"/>
          <w:lang w:bidi="ar"/>
        </w:rPr>
        <w:t>项目</w:t>
      </w:r>
      <w:r>
        <w:rPr>
          <w:rFonts w:hint="eastAsia" w:ascii="宋体" w:hAnsi="宋体" w:cs="宋体"/>
          <w:spacing w:val="6"/>
          <w:szCs w:val="21"/>
        </w:rPr>
        <w:t>（项目编号：</w:t>
      </w:r>
      <w:r>
        <w:rPr>
          <w:rFonts w:hint="eastAsia" w:ascii="宋体" w:hAnsi="宋体" w:cs="宋体"/>
          <w:spacing w:val="6"/>
          <w:szCs w:val="21"/>
          <w:u w:val="single"/>
        </w:rPr>
        <w:t xml:space="preserve">       ）</w:t>
      </w:r>
      <w:r>
        <w:rPr>
          <w:rFonts w:hint="eastAsia" w:ascii="宋体" w:hAnsi="宋体" w:cs="宋体"/>
          <w:kern w:val="0"/>
          <w:szCs w:val="21"/>
          <w:lang w:bidi="ar"/>
        </w:rPr>
        <w:t>的政府采购活动，严格遵守《中华人民共和国政府采购法》及相关法律法规，依法诚信经营，无条件遵守本次政府采购活动的各项规定，并郑重承诺</w:t>
      </w:r>
      <w:r>
        <w:rPr>
          <w:rFonts w:hint="eastAsia" w:ascii="宋体" w:hAnsi="宋体" w:cs="宋体"/>
          <w:spacing w:val="-6"/>
          <w:kern w:val="0"/>
          <w:szCs w:val="21"/>
          <w:lang w:bidi="ar"/>
        </w:rPr>
        <w:t>：</w:t>
      </w:r>
    </w:p>
    <w:p w14:paraId="68322012">
      <w:pPr>
        <w:widowControl/>
        <w:spacing w:line="360" w:lineRule="auto"/>
        <w:ind w:firstLine="420" w:firstLineChars="200"/>
        <w:rPr>
          <w:rFonts w:ascii="宋体" w:hAnsi="宋体" w:cs="宋体"/>
          <w:kern w:val="0"/>
          <w:szCs w:val="21"/>
          <w:lang w:bidi="ar"/>
        </w:rPr>
      </w:pPr>
      <w:r>
        <w:rPr>
          <w:rFonts w:hint="eastAsia" w:ascii="宋体" w:hAnsi="宋体" w:cs="宋体"/>
          <w:kern w:val="0"/>
          <w:szCs w:val="21"/>
          <w:lang w:bidi="ar"/>
        </w:rPr>
        <w:t>1.我方</w:t>
      </w:r>
      <w:r>
        <w:rPr>
          <w:rFonts w:hint="eastAsia" w:ascii="宋体" w:hAnsi="宋体" w:cs="宋体"/>
          <w:spacing w:val="6"/>
          <w:szCs w:val="21"/>
        </w:rPr>
        <w:t>具有独立承担民事责任的能力或我方属于银行、保险、石油石化、电力、电信等有行业特殊情况的法人的分支机构在参加本次政府采购活动前已取得总公司的授权。</w:t>
      </w:r>
    </w:p>
    <w:p w14:paraId="1A506420">
      <w:pPr>
        <w:widowControl/>
        <w:spacing w:line="360" w:lineRule="auto"/>
        <w:ind w:firstLine="420" w:firstLineChars="200"/>
        <w:rPr>
          <w:rFonts w:ascii="宋体" w:hAnsi="宋体" w:cs="宋体"/>
          <w:szCs w:val="21"/>
        </w:rPr>
      </w:pPr>
      <w:r>
        <w:rPr>
          <w:rFonts w:hint="eastAsia" w:ascii="宋体" w:hAnsi="宋体" w:cs="宋体"/>
          <w:kern w:val="0"/>
          <w:szCs w:val="21"/>
          <w:lang w:bidi="ar"/>
        </w:rPr>
        <w:t xml:space="preserve">2.我方具有符合采购文件资格要求的财务状况报告。 </w:t>
      </w:r>
    </w:p>
    <w:p w14:paraId="70C5C957">
      <w:pPr>
        <w:widowControl/>
        <w:spacing w:line="360" w:lineRule="auto"/>
        <w:ind w:firstLine="396" w:firstLineChars="200"/>
        <w:rPr>
          <w:rFonts w:ascii="宋体" w:hAnsi="宋体" w:cs="宋体"/>
          <w:spacing w:val="-17"/>
          <w:szCs w:val="21"/>
        </w:rPr>
      </w:pPr>
      <w:r>
        <w:rPr>
          <w:rFonts w:hint="eastAsia" w:ascii="宋体" w:hAnsi="宋体" w:cs="宋体"/>
          <w:spacing w:val="-6"/>
          <w:kern w:val="0"/>
          <w:szCs w:val="21"/>
          <w:lang w:bidi="ar"/>
        </w:rPr>
        <w:t>3.我方具有符合采购文件资格要求的依法缴纳税收和社会保障资金的良好记录。</w:t>
      </w:r>
      <w:r>
        <w:rPr>
          <w:rFonts w:hint="eastAsia" w:ascii="宋体" w:hAnsi="宋体" w:cs="宋体"/>
          <w:spacing w:val="-17"/>
          <w:kern w:val="0"/>
          <w:szCs w:val="21"/>
          <w:lang w:bidi="ar"/>
        </w:rPr>
        <w:t xml:space="preserve"> </w:t>
      </w:r>
    </w:p>
    <w:p w14:paraId="3811C4ED">
      <w:pPr>
        <w:widowControl/>
        <w:spacing w:line="360" w:lineRule="auto"/>
        <w:ind w:firstLine="420" w:firstLineChars="200"/>
        <w:rPr>
          <w:rFonts w:ascii="宋体" w:hAnsi="宋体" w:cs="宋体"/>
          <w:szCs w:val="21"/>
        </w:rPr>
      </w:pPr>
      <w:r>
        <w:rPr>
          <w:rFonts w:hint="eastAsia" w:ascii="宋体" w:hAnsi="宋体" w:cs="宋体"/>
          <w:kern w:val="0"/>
          <w:szCs w:val="21"/>
          <w:lang w:bidi="ar"/>
        </w:rPr>
        <w:t xml:space="preserve">4.我方具有符合采购文件资格要求履行合同所必需的设备和专业技术能力。 </w:t>
      </w:r>
    </w:p>
    <w:p w14:paraId="3747A1B5">
      <w:pPr>
        <w:widowControl/>
        <w:spacing w:line="360" w:lineRule="auto"/>
        <w:ind w:firstLine="420" w:firstLineChars="200"/>
        <w:rPr>
          <w:rFonts w:ascii="宋体" w:hAnsi="宋体" w:cs="宋体"/>
          <w:szCs w:val="21"/>
        </w:rPr>
      </w:pPr>
      <w:r>
        <w:rPr>
          <w:rFonts w:hint="eastAsia" w:ascii="宋体" w:hAnsi="宋体" w:cs="宋体"/>
          <w:kern w:val="0"/>
          <w:szCs w:val="21"/>
          <w:lang w:bidi="ar"/>
        </w:rPr>
        <w:t xml:space="preserve">5.我方参加政府采购活动前3年内在经营活动中没有重大违法记录。 </w:t>
      </w:r>
    </w:p>
    <w:p w14:paraId="4EE16309">
      <w:pPr>
        <w:widowControl/>
        <w:spacing w:line="360" w:lineRule="auto"/>
        <w:ind w:firstLine="420" w:firstLineChars="200"/>
        <w:rPr>
          <w:rFonts w:ascii="宋体" w:hAnsi="宋体" w:cs="宋体"/>
          <w:kern w:val="0"/>
          <w:szCs w:val="21"/>
          <w:lang w:bidi="ar"/>
        </w:rPr>
      </w:pPr>
      <w:r>
        <w:rPr>
          <w:rFonts w:hint="eastAsia" w:ascii="宋体" w:hAnsi="宋体" w:cs="宋体"/>
          <w:kern w:val="0"/>
          <w:szCs w:val="21"/>
          <w:lang w:bidi="ar"/>
        </w:rPr>
        <w:t>我方对以上承诺内容的真实性负责。如有虚假，将依法承担相应责任。</w:t>
      </w:r>
    </w:p>
    <w:p w14:paraId="7F5361DD">
      <w:pPr>
        <w:widowControl/>
        <w:spacing w:line="360" w:lineRule="auto"/>
        <w:ind w:firstLine="420" w:firstLineChars="200"/>
        <w:rPr>
          <w:rFonts w:ascii="宋体" w:hAnsi="宋体" w:cs="宋体"/>
          <w:kern w:val="0"/>
          <w:szCs w:val="21"/>
          <w:lang w:bidi="ar"/>
        </w:rPr>
      </w:pPr>
    </w:p>
    <w:p w14:paraId="79A3A4BE">
      <w:pPr>
        <w:widowControl/>
        <w:spacing w:line="360" w:lineRule="auto"/>
        <w:ind w:firstLine="420" w:firstLineChars="200"/>
        <w:rPr>
          <w:rFonts w:ascii="宋体" w:hAnsi="宋体" w:cs="宋体"/>
          <w:kern w:val="0"/>
          <w:szCs w:val="21"/>
          <w:lang w:bidi="ar"/>
        </w:rPr>
      </w:pPr>
    </w:p>
    <w:p w14:paraId="4B335467">
      <w:pPr>
        <w:widowControl/>
        <w:spacing w:line="360" w:lineRule="auto"/>
        <w:ind w:firstLine="3150" w:firstLineChars="1500"/>
        <w:jc w:val="left"/>
        <w:rPr>
          <w:rFonts w:ascii="宋体" w:hAnsi="宋体" w:cs="宋体"/>
          <w:szCs w:val="21"/>
        </w:rPr>
      </w:pPr>
      <w:r>
        <w:rPr>
          <w:rFonts w:hint="eastAsia" w:ascii="宋体" w:hAnsi="宋体" w:cs="宋体"/>
          <w:kern w:val="0"/>
          <w:szCs w:val="21"/>
          <w:lang w:bidi="ar"/>
        </w:rPr>
        <w:t>供应商名称（电子签章）：</w:t>
      </w:r>
    </w:p>
    <w:p w14:paraId="44F32546">
      <w:pPr>
        <w:tabs>
          <w:tab w:val="left" w:pos="7560"/>
        </w:tabs>
        <w:spacing w:line="360" w:lineRule="auto"/>
        <w:ind w:firstLine="3150" w:firstLineChars="1500"/>
        <w:jc w:val="left"/>
        <w:rPr>
          <w:rFonts w:ascii="宋体" w:hAnsi="宋体" w:cs="宋体"/>
          <w:kern w:val="0"/>
          <w:szCs w:val="21"/>
          <w:lang w:bidi="ar"/>
        </w:rPr>
      </w:pPr>
      <w:r>
        <w:rPr>
          <w:rFonts w:hint="eastAsia" w:ascii="宋体" w:hAnsi="宋体" w:cs="宋体"/>
          <w:kern w:val="0"/>
          <w:szCs w:val="21"/>
          <w:lang w:bidi="ar"/>
        </w:rPr>
        <w:t>日期：</w:t>
      </w:r>
    </w:p>
    <w:p w14:paraId="7D65FAA3">
      <w:pPr>
        <w:widowControl/>
        <w:wordWrap w:val="0"/>
        <w:spacing w:line="360" w:lineRule="auto"/>
        <w:rPr>
          <w:rFonts w:ascii="宋体" w:hAnsi="宋体" w:cs="宋体"/>
          <w:kern w:val="0"/>
          <w:szCs w:val="21"/>
          <w:lang w:bidi="ar"/>
        </w:rPr>
      </w:pPr>
    </w:p>
    <w:p w14:paraId="20FB1CA7">
      <w:pPr>
        <w:widowControl/>
        <w:wordWrap w:val="0"/>
        <w:spacing w:line="360" w:lineRule="auto"/>
        <w:rPr>
          <w:rFonts w:ascii="宋体" w:hAnsi="宋体" w:cs="宋体"/>
          <w:kern w:val="0"/>
          <w:sz w:val="24"/>
          <w:lang w:val="zh-CN"/>
        </w:rPr>
      </w:pPr>
      <w:r>
        <w:rPr>
          <w:rFonts w:hint="eastAsia" w:ascii="宋体" w:hAnsi="宋体" w:cs="宋体"/>
          <w:kern w:val="0"/>
          <w:szCs w:val="21"/>
          <w:lang w:bidi="ar"/>
        </w:rPr>
        <w:t>注：1.</w:t>
      </w:r>
      <w:r>
        <w:rPr>
          <w:rFonts w:hint="eastAsia" w:ascii="宋体" w:hAnsi="宋体" w:cs="宋体"/>
          <w:kern w:val="0"/>
          <w:szCs w:val="21"/>
        </w:rPr>
        <w:t>参与政府采购活动的供应商可按第1点的内容：“</w:t>
      </w:r>
      <w:r>
        <w:rPr>
          <w:rFonts w:hint="eastAsia" w:ascii="宋体" w:hAnsi="宋体" w:cs="宋体"/>
          <w:kern w:val="0"/>
          <w:szCs w:val="21"/>
          <w:lang w:bidi="ar"/>
        </w:rPr>
        <w:t>我方</w:t>
      </w:r>
      <w:r>
        <w:rPr>
          <w:rFonts w:hint="eastAsia" w:ascii="宋体" w:hAnsi="宋体" w:cs="宋体"/>
          <w:spacing w:val="6"/>
          <w:kern w:val="0"/>
          <w:szCs w:val="21"/>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宋体" w:hAnsi="宋体" w:cs="宋体"/>
          <w:kern w:val="0"/>
          <w:szCs w:val="21"/>
          <w:lang w:bidi="ar"/>
        </w:rPr>
        <w:t>我方</w:t>
      </w:r>
      <w:r>
        <w:rPr>
          <w:rFonts w:hint="eastAsia" w:ascii="宋体" w:hAnsi="宋体" w:cs="宋体"/>
          <w:spacing w:val="6"/>
          <w:kern w:val="0"/>
          <w:szCs w:val="21"/>
        </w:rPr>
        <w:t>具有独立承担民事责任的能力”进行承诺；二是“我方属于银行、保险、石油石化、电力、电信等有行业特殊情况的法人的分支机构在参加本次政府采购活动前已取得总公司的授权”进行承诺。参加政府采购活动的供应商只要第1点承诺的内容包含有：具有独立承担民事责任的能力、在参加本次政府采购活动前已取得总公司的授权等内容的即为有效的承诺。2.第1点所指的行业特殊情况使用了“等”字表示列举未尽，即行业特殊情况包含但不限于银行、保险、石油石化、电力、电信。</w:t>
      </w:r>
    </w:p>
    <w:p w14:paraId="7802EBE9">
      <w:pPr>
        <w:spacing w:after="120"/>
        <w:rPr>
          <w:rFonts w:ascii="宋体" w:hAnsi="宋体" w:cs="宋体"/>
        </w:rPr>
      </w:pPr>
    </w:p>
    <w:p w14:paraId="3FE9AD43">
      <w:pPr>
        <w:spacing w:line="300" w:lineRule="auto"/>
        <w:rPr>
          <w:rFonts w:ascii="宋体" w:hAnsi="宋体" w:cs="宋体"/>
          <w:szCs w:val="21"/>
        </w:rPr>
      </w:pPr>
    </w:p>
    <w:p w14:paraId="5D70CE82">
      <w:pPr>
        <w:spacing w:line="300" w:lineRule="auto"/>
        <w:rPr>
          <w:rFonts w:ascii="宋体" w:hAnsi="宋体" w:cs="宋体"/>
          <w:szCs w:val="21"/>
        </w:rPr>
      </w:pPr>
    </w:p>
    <w:p w14:paraId="1AB91114">
      <w:pPr>
        <w:snapToGrid w:val="0"/>
        <w:spacing w:before="120" w:beforeLines="50" w:after="50"/>
        <w:jc w:val="left"/>
        <w:rPr>
          <w:rFonts w:ascii="宋体" w:hAnsi="宋体" w:cs="宋体"/>
          <w:b/>
          <w:sz w:val="24"/>
        </w:rPr>
      </w:pPr>
      <w:r>
        <w:rPr>
          <w:rFonts w:hint="eastAsia" w:ascii="宋体" w:hAnsi="宋体" w:cs="宋体"/>
          <w:b/>
          <w:sz w:val="24"/>
        </w:rPr>
        <w:br w:type="page"/>
      </w:r>
      <w:r>
        <w:rPr>
          <w:rFonts w:hint="eastAsia" w:ascii="宋体" w:hAnsi="宋体" w:cs="宋体"/>
          <w:b/>
          <w:sz w:val="24"/>
        </w:rPr>
        <w:t>投标人直接控股、管理关系信息表格式</w:t>
      </w:r>
    </w:p>
    <w:p w14:paraId="6A2F7AD6">
      <w:pPr>
        <w:snapToGrid w:val="0"/>
        <w:spacing w:before="50" w:after="120" w:afterLines="50"/>
        <w:jc w:val="center"/>
        <w:rPr>
          <w:rFonts w:ascii="宋体" w:hAnsi="宋体" w:cs="宋体"/>
          <w:b/>
          <w:sz w:val="28"/>
          <w:szCs w:val="28"/>
        </w:rPr>
      </w:pPr>
    </w:p>
    <w:p w14:paraId="0B9AD24C">
      <w:pPr>
        <w:snapToGrid w:val="0"/>
        <w:spacing w:before="50" w:after="120" w:afterLines="50" w:line="360" w:lineRule="auto"/>
        <w:jc w:val="center"/>
        <w:rPr>
          <w:rFonts w:ascii="宋体" w:hAnsi="宋体" w:cs="宋体"/>
          <w:b/>
          <w:sz w:val="32"/>
          <w:szCs w:val="32"/>
        </w:rPr>
      </w:pPr>
      <w:r>
        <w:rPr>
          <w:rFonts w:hint="eastAsia" w:ascii="宋体" w:hAnsi="宋体" w:cs="宋体"/>
          <w:b/>
          <w:sz w:val="32"/>
          <w:szCs w:val="32"/>
        </w:rPr>
        <w:t>投标人直接控股股东信息表</w:t>
      </w:r>
    </w:p>
    <w:tbl>
      <w:tblPr>
        <w:tblStyle w:val="48"/>
        <w:tblW w:w="94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8"/>
        <w:gridCol w:w="2269"/>
        <w:gridCol w:w="1239"/>
        <w:gridCol w:w="3890"/>
        <w:gridCol w:w="1250"/>
      </w:tblGrid>
      <w:tr w14:paraId="0745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828" w:type="dxa"/>
            <w:tcMar>
              <w:top w:w="120" w:type="dxa"/>
              <w:left w:w="120" w:type="dxa"/>
              <w:bottom w:w="120" w:type="dxa"/>
              <w:right w:w="120" w:type="dxa"/>
            </w:tcMar>
            <w:vAlign w:val="center"/>
          </w:tcPr>
          <w:p w14:paraId="7031333B">
            <w:pPr>
              <w:spacing w:line="360" w:lineRule="auto"/>
              <w:jc w:val="center"/>
              <w:rPr>
                <w:rFonts w:ascii="宋体" w:hAnsi="宋体" w:cs="宋体"/>
                <w:b/>
                <w:bCs/>
                <w:kern w:val="0"/>
                <w:sz w:val="24"/>
              </w:rPr>
            </w:pPr>
            <w:r>
              <w:rPr>
                <w:rFonts w:hint="eastAsia" w:ascii="宋体" w:hAnsi="宋体" w:cs="宋体"/>
                <w:b/>
                <w:bCs/>
                <w:kern w:val="0"/>
                <w:sz w:val="24"/>
              </w:rPr>
              <w:t>序号</w:t>
            </w:r>
          </w:p>
        </w:tc>
        <w:tc>
          <w:tcPr>
            <w:tcW w:w="2269" w:type="dxa"/>
            <w:tcMar>
              <w:top w:w="120" w:type="dxa"/>
              <w:left w:w="120" w:type="dxa"/>
              <w:bottom w:w="120" w:type="dxa"/>
              <w:right w:w="120" w:type="dxa"/>
            </w:tcMar>
            <w:vAlign w:val="center"/>
          </w:tcPr>
          <w:p w14:paraId="6BD50497">
            <w:pPr>
              <w:spacing w:line="360" w:lineRule="auto"/>
              <w:jc w:val="center"/>
              <w:rPr>
                <w:rFonts w:ascii="宋体" w:hAnsi="宋体" w:cs="宋体"/>
                <w:b/>
                <w:bCs/>
                <w:kern w:val="0"/>
                <w:sz w:val="24"/>
              </w:rPr>
            </w:pPr>
            <w:r>
              <w:rPr>
                <w:rFonts w:hint="eastAsia" w:ascii="宋体" w:hAnsi="宋体" w:cs="宋体"/>
                <w:b/>
                <w:bCs/>
                <w:kern w:val="0"/>
                <w:sz w:val="24"/>
              </w:rPr>
              <w:t>直接控股股东名称</w:t>
            </w:r>
          </w:p>
        </w:tc>
        <w:tc>
          <w:tcPr>
            <w:tcW w:w="1239" w:type="dxa"/>
            <w:tcMar>
              <w:top w:w="120" w:type="dxa"/>
              <w:left w:w="120" w:type="dxa"/>
              <w:bottom w:w="120" w:type="dxa"/>
              <w:right w:w="120" w:type="dxa"/>
            </w:tcMar>
            <w:vAlign w:val="center"/>
          </w:tcPr>
          <w:p w14:paraId="2F07DCD4">
            <w:pPr>
              <w:spacing w:line="360" w:lineRule="auto"/>
              <w:jc w:val="center"/>
              <w:rPr>
                <w:rFonts w:ascii="宋体" w:hAnsi="宋体" w:cs="宋体"/>
                <w:b/>
                <w:bCs/>
                <w:kern w:val="0"/>
                <w:sz w:val="24"/>
              </w:rPr>
            </w:pPr>
            <w:r>
              <w:rPr>
                <w:rFonts w:hint="eastAsia" w:ascii="宋体" w:hAnsi="宋体" w:cs="宋体"/>
                <w:b/>
                <w:bCs/>
                <w:kern w:val="0"/>
                <w:sz w:val="24"/>
              </w:rPr>
              <w:t>出资比例</w:t>
            </w:r>
          </w:p>
        </w:tc>
        <w:tc>
          <w:tcPr>
            <w:tcW w:w="3890" w:type="dxa"/>
            <w:tcMar>
              <w:top w:w="120" w:type="dxa"/>
              <w:left w:w="120" w:type="dxa"/>
              <w:bottom w:w="120" w:type="dxa"/>
              <w:right w:w="120" w:type="dxa"/>
            </w:tcMar>
            <w:vAlign w:val="center"/>
          </w:tcPr>
          <w:p w14:paraId="0346DBB7">
            <w:pPr>
              <w:spacing w:line="360" w:lineRule="auto"/>
              <w:jc w:val="center"/>
              <w:rPr>
                <w:rFonts w:ascii="宋体" w:hAnsi="宋体" w:cs="宋体"/>
                <w:b/>
                <w:bCs/>
                <w:kern w:val="0"/>
                <w:sz w:val="24"/>
              </w:rPr>
            </w:pPr>
            <w:r>
              <w:rPr>
                <w:rFonts w:hint="eastAsia" w:ascii="宋体" w:hAnsi="宋体" w:cs="宋体"/>
                <w:b/>
                <w:bCs/>
                <w:kern w:val="0"/>
                <w:sz w:val="24"/>
              </w:rPr>
              <w:t>身份证号码或者统一社会信用代码</w:t>
            </w:r>
          </w:p>
        </w:tc>
        <w:tc>
          <w:tcPr>
            <w:tcW w:w="1250" w:type="dxa"/>
            <w:tcMar>
              <w:top w:w="120" w:type="dxa"/>
              <w:left w:w="120" w:type="dxa"/>
              <w:bottom w:w="120" w:type="dxa"/>
              <w:right w:w="120" w:type="dxa"/>
            </w:tcMar>
            <w:vAlign w:val="center"/>
          </w:tcPr>
          <w:p w14:paraId="2832D203">
            <w:pPr>
              <w:spacing w:line="360" w:lineRule="auto"/>
              <w:jc w:val="center"/>
              <w:rPr>
                <w:rFonts w:ascii="宋体" w:hAnsi="宋体" w:cs="宋体"/>
                <w:b/>
                <w:bCs/>
                <w:kern w:val="0"/>
                <w:sz w:val="24"/>
              </w:rPr>
            </w:pPr>
            <w:r>
              <w:rPr>
                <w:rFonts w:hint="eastAsia" w:ascii="宋体" w:hAnsi="宋体" w:cs="宋体"/>
                <w:b/>
                <w:bCs/>
                <w:kern w:val="0"/>
                <w:sz w:val="24"/>
              </w:rPr>
              <w:t>备注</w:t>
            </w:r>
          </w:p>
        </w:tc>
      </w:tr>
      <w:tr w14:paraId="4A741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28" w:type="dxa"/>
            <w:tcMar>
              <w:top w:w="120" w:type="dxa"/>
              <w:left w:w="120" w:type="dxa"/>
              <w:bottom w:w="120" w:type="dxa"/>
              <w:right w:w="120" w:type="dxa"/>
            </w:tcMar>
            <w:vAlign w:val="center"/>
          </w:tcPr>
          <w:p w14:paraId="12D66BE6">
            <w:pPr>
              <w:spacing w:line="360" w:lineRule="auto"/>
              <w:jc w:val="center"/>
              <w:rPr>
                <w:rFonts w:ascii="宋体" w:hAnsi="宋体" w:cs="宋体"/>
                <w:kern w:val="0"/>
                <w:sz w:val="24"/>
              </w:rPr>
            </w:pPr>
            <w:r>
              <w:rPr>
                <w:rFonts w:hint="eastAsia" w:ascii="宋体" w:hAnsi="宋体" w:cs="宋体"/>
                <w:kern w:val="0"/>
                <w:sz w:val="24"/>
              </w:rPr>
              <w:t>1</w:t>
            </w:r>
          </w:p>
        </w:tc>
        <w:tc>
          <w:tcPr>
            <w:tcW w:w="2269" w:type="dxa"/>
            <w:tcMar>
              <w:top w:w="120" w:type="dxa"/>
              <w:left w:w="120" w:type="dxa"/>
              <w:bottom w:w="120" w:type="dxa"/>
              <w:right w:w="120" w:type="dxa"/>
            </w:tcMar>
            <w:vAlign w:val="center"/>
          </w:tcPr>
          <w:p w14:paraId="51764E83">
            <w:pPr>
              <w:spacing w:line="360" w:lineRule="auto"/>
              <w:jc w:val="center"/>
              <w:rPr>
                <w:rFonts w:ascii="宋体" w:hAnsi="宋体" w:cs="宋体"/>
                <w:kern w:val="0"/>
                <w:sz w:val="24"/>
              </w:rPr>
            </w:pPr>
          </w:p>
        </w:tc>
        <w:tc>
          <w:tcPr>
            <w:tcW w:w="1239" w:type="dxa"/>
            <w:tcMar>
              <w:top w:w="120" w:type="dxa"/>
              <w:left w:w="120" w:type="dxa"/>
              <w:bottom w:w="120" w:type="dxa"/>
              <w:right w:w="120" w:type="dxa"/>
            </w:tcMar>
            <w:vAlign w:val="center"/>
          </w:tcPr>
          <w:p w14:paraId="2602779A">
            <w:pPr>
              <w:spacing w:line="360" w:lineRule="auto"/>
              <w:jc w:val="center"/>
              <w:rPr>
                <w:rFonts w:ascii="宋体" w:hAnsi="宋体" w:cs="宋体"/>
                <w:kern w:val="0"/>
                <w:sz w:val="24"/>
              </w:rPr>
            </w:pPr>
          </w:p>
        </w:tc>
        <w:tc>
          <w:tcPr>
            <w:tcW w:w="3890" w:type="dxa"/>
            <w:tcMar>
              <w:top w:w="120" w:type="dxa"/>
              <w:left w:w="120" w:type="dxa"/>
              <w:bottom w:w="120" w:type="dxa"/>
              <w:right w:w="120" w:type="dxa"/>
            </w:tcMar>
            <w:vAlign w:val="center"/>
          </w:tcPr>
          <w:p w14:paraId="716D3934">
            <w:pPr>
              <w:spacing w:line="360" w:lineRule="auto"/>
              <w:jc w:val="center"/>
              <w:rPr>
                <w:rFonts w:ascii="宋体" w:hAnsi="宋体" w:cs="宋体"/>
                <w:kern w:val="0"/>
                <w:sz w:val="24"/>
              </w:rPr>
            </w:pPr>
          </w:p>
        </w:tc>
        <w:tc>
          <w:tcPr>
            <w:tcW w:w="1250" w:type="dxa"/>
            <w:tcMar>
              <w:top w:w="120" w:type="dxa"/>
              <w:left w:w="120" w:type="dxa"/>
              <w:bottom w:w="120" w:type="dxa"/>
              <w:right w:w="120" w:type="dxa"/>
            </w:tcMar>
            <w:vAlign w:val="center"/>
          </w:tcPr>
          <w:p w14:paraId="2F123A5E">
            <w:pPr>
              <w:spacing w:line="360" w:lineRule="auto"/>
              <w:jc w:val="center"/>
              <w:rPr>
                <w:rFonts w:ascii="宋体" w:hAnsi="宋体" w:cs="宋体"/>
                <w:kern w:val="0"/>
                <w:sz w:val="24"/>
              </w:rPr>
            </w:pPr>
          </w:p>
        </w:tc>
      </w:tr>
      <w:tr w14:paraId="2D2E6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28" w:type="dxa"/>
            <w:tcMar>
              <w:top w:w="120" w:type="dxa"/>
              <w:left w:w="120" w:type="dxa"/>
              <w:bottom w:w="120" w:type="dxa"/>
              <w:right w:w="120" w:type="dxa"/>
            </w:tcMar>
            <w:vAlign w:val="center"/>
          </w:tcPr>
          <w:p w14:paraId="58717C43">
            <w:pPr>
              <w:spacing w:line="360" w:lineRule="auto"/>
              <w:jc w:val="center"/>
              <w:rPr>
                <w:rFonts w:ascii="宋体" w:hAnsi="宋体" w:cs="宋体"/>
                <w:kern w:val="0"/>
                <w:sz w:val="24"/>
              </w:rPr>
            </w:pPr>
            <w:r>
              <w:rPr>
                <w:rFonts w:hint="eastAsia" w:ascii="宋体" w:hAnsi="宋体" w:cs="宋体"/>
                <w:kern w:val="0"/>
                <w:sz w:val="24"/>
              </w:rPr>
              <w:t>2</w:t>
            </w:r>
          </w:p>
        </w:tc>
        <w:tc>
          <w:tcPr>
            <w:tcW w:w="2269" w:type="dxa"/>
            <w:tcMar>
              <w:top w:w="120" w:type="dxa"/>
              <w:left w:w="120" w:type="dxa"/>
              <w:bottom w:w="120" w:type="dxa"/>
              <w:right w:w="120" w:type="dxa"/>
            </w:tcMar>
            <w:vAlign w:val="center"/>
          </w:tcPr>
          <w:p w14:paraId="63F67C30">
            <w:pPr>
              <w:spacing w:line="360" w:lineRule="auto"/>
              <w:jc w:val="center"/>
              <w:rPr>
                <w:rFonts w:ascii="宋体" w:hAnsi="宋体" w:cs="宋体"/>
                <w:kern w:val="0"/>
                <w:sz w:val="24"/>
              </w:rPr>
            </w:pPr>
          </w:p>
        </w:tc>
        <w:tc>
          <w:tcPr>
            <w:tcW w:w="1239" w:type="dxa"/>
            <w:tcMar>
              <w:top w:w="120" w:type="dxa"/>
              <w:left w:w="120" w:type="dxa"/>
              <w:bottom w:w="120" w:type="dxa"/>
              <w:right w:w="120" w:type="dxa"/>
            </w:tcMar>
            <w:vAlign w:val="center"/>
          </w:tcPr>
          <w:p w14:paraId="36758AD6">
            <w:pPr>
              <w:spacing w:line="360" w:lineRule="auto"/>
              <w:jc w:val="center"/>
              <w:rPr>
                <w:rFonts w:ascii="宋体" w:hAnsi="宋体" w:cs="宋体"/>
                <w:kern w:val="0"/>
                <w:sz w:val="24"/>
              </w:rPr>
            </w:pPr>
          </w:p>
        </w:tc>
        <w:tc>
          <w:tcPr>
            <w:tcW w:w="3890" w:type="dxa"/>
            <w:tcMar>
              <w:top w:w="120" w:type="dxa"/>
              <w:left w:w="120" w:type="dxa"/>
              <w:bottom w:w="120" w:type="dxa"/>
              <w:right w:w="120" w:type="dxa"/>
            </w:tcMar>
            <w:vAlign w:val="center"/>
          </w:tcPr>
          <w:p w14:paraId="13242186">
            <w:pPr>
              <w:spacing w:line="360" w:lineRule="auto"/>
              <w:jc w:val="center"/>
              <w:rPr>
                <w:rFonts w:ascii="宋体" w:hAnsi="宋体" w:cs="宋体"/>
                <w:kern w:val="0"/>
                <w:sz w:val="24"/>
              </w:rPr>
            </w:pPr>
          </w:p>
        </w:tc>
        <w:tc>
          <w:tcPr>
            <w:tcW w:w="1250" w:type="dxa"/>
            <w:tcMar>
              <w:top w:w="120" w:type="dxa"/>
              <w:left w:w="120" w:type="dxa"/>
              <w:bottom w:w="120" w:type="dxa"/>
              <w:right w:w="120" w:type="dxa"/>
            </w:tcMar>
            <w:vAlign w:val="center"/>
          </w:tcPr>
          <w:p w14:paraId="7510C781">
            <w:pPr>
              <w:spacing w:line="360" w:lineRule="auto"/>
              <w:jc w:val="center"/>
              <w:rPr>
                <w:rFonts w:ascii="宋体" w:hAnsi="宋体" w:cs="宋体"/>
                <w:kern w:val="0"/>
                <w:sz w:val="24"/>
              </w:rPr>
            </w:pPr>
          </w:p>
        </w:tc>
      </w:tr>
      <w:tr w14:paraId="133B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28" w:type="dxa"/>
            <w:tcMar>
              <w:top w:w="120" w:type="dxa"/>
              <w:left w:w="120" w:type="dxa"/>
              <w:bottom w:w="120" w:type="dxa"/>
              <w:right w:w="120" w:type="dxa"/>
            </w:tcMar>
            <w:vAlign w:val="center"/>
          </w:tcPr>
          <w:p w14:paraId="4FB1C832">
            <w:pPr>
              <w:spacing w:line="360" w:lineRule="auto"/>
              <w:jc w:val="center"/>
              <w:rPr>
                <w:rFonts w:ascii="宋体" w:hAnsi="宋体" w:cs="宋体"/>
                <w:kern w:val="0"/>
                <w:sz w:val="24"/>
              </w:rPr>
            </w:pPr>
            <w:r>
              <w:rPr>
                <w:rFonts w:hint="eastAsia" w:ascii="宋体" w:hAnsi="宋体" w:cs="宋体"/>
                <w:kern w:val="0"/>
                <w:sz w:val="24"/>
              </w:rPr>
              <w:t>3</w:t>
            </w:r>
          </w:p>
        </w:tc>
        <w:tc>
          <w:tcPr>
            <w:tcW w:w="2269" w:type="dxa"/>
            <w:tcMar>
              <w:top w:w="120" w:type="dxa"/>
              <w:left w:w="120" w:type="dxa"/>
              <w:bottom w:w="120" w:type="dxa"/>
              <w:right w:w="120" w:type="dxa"/>
            </w:tcMar>
            <w:vAlign w:val="center"/>
          </w:tcPr>
          <w:p w14:paraId="7F7819F9">
            <w:pPr>
              <w:spacing w:line="360" w:lineRule="auto"/>
              <w:jc w:val="center"/>
              <w:rPr>
                <w:rFonts w:ascii="宋体" w:hAnsi="宋体" w:cs="宋体"/>
                <w:kern w:val="0"/>
                <w:sz w:val="24"/>
              </w:rPr>
            </w:pPr>
          </w:p>
        </w:tc>
        <w:tc>
          <w:tcPr>
            <w:tcW w:w="1239" w:type="dxa"/>
            <w:tcMar>
              <w:top w:w="120" w:type="dxa"/>
              <w:left w:w="120" w:type="dxa"/>
              <w:bottom w:w="120" w:type="dxa"/>
              <w:right w:w="120" w:type="dxa"/>
            </w:tcMar>
            <w:vAlign w:val="center"/>
          </w:tcPr>
          <w:p w14:paraId="2D3DC89A">
            <w:pPr>
              <w:spacing w:line="360" w:lineRule="auto"/>
              <w:jc w:val="center"/>
              <w:rPr>
                <w:rFonts w:ascii="宋体" w:hAnsi="宋体" w:cs="宋体"/>
                <w:kern w:val="0"/>
                <w:sz w:val="24"/>
              </w:rPr>
            </w:pPr>
          </w:p>
        </w:tc>
        <w:tc>
          <w:tcPr>
            <w:tcW w:w="3890" w:type="dxa"/>
            <w:tcMar>
              <w:top w:w="120" w:type="dxa"/>
              <w:left w:w="120" w:type="dxa"/>
              <w:bottom w:w="120" w:type="dxa"/>
              <w:right w:w="120" w:type="dxa"/>
            </w:tcMar>
            <w:vAlign w:val="center"/>
          </w:tcPr>
          <w:p w14:paraId="6586C32E">
            <w:pPr>
              <w:spacing w:line="360" w:lineRule="auto"/>
              <w:jc w:val="center"/>
              <w:rPr>
                <w:rFonts w:ascii="宋体" w:hAnsi="宋体" w:cs="宋体"/>
                <w:kern w:val="0"/>
                <w:sz w:val="24"/>
              </w:rPr>
            </w:pPr>
          </w:p>
        </w:tc>
        <w:tc>
          <w:tcPr>
            <w:tcW w:w="1250" w:type="dxa"/>
            <w:tcMar>
              <w:top w:w="120" w:type="dxa"/>
              <w:left w:w="120" w:type="dxa"/>
              <w:bottom w:w="120" w:type="dxa"/>
              <w:right w:w="120" w:type="dxa"/>
            </w:tcMar>
            <w:vAlign w:val="center"/>
          </w:tcPr>
          <w:p w14:paraId="1B2AEA20">
            <w:pPr>
              <w:spacing w:line="360" w:lineRule="auto"/>
              <w:jc w:val="center"/>
              <w:rPr>
                <w:rFonts w:ascii="宋体" w:hAnsi="宋体" w:cs="宋体"/>
                <w:kern w:val="0"/>
                <w:sz w:val="24"/>
              </w:rPr>
            </w:pPr>
          </w:p>
        </w:tc>
      </w:tr>
      <w:tr w14:paraId="3D121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28" w:type="dxa"/>
            <w:tcMar>
              <w:top w:w="120" w:type="dxa"/>
              <w:left w:w="120" w:type="dxa"/>
              <w:bottom w:w="120" w:type="dxa"/>
              <w:right w:w="120" w:type="dxa"/>
            </w:tcMar>
            <w:vAlign w:val="center"/>
          </w:tcPr>
          <w:p w14:paraId="2CC53E4B">
            <w:pPr>
              <w:spacing w:line="360" w:lineRule="auto"/>
              <w:jc w:val="center"/>
              <w:rPr>
                <w:rFonts w:ascii="宋体" w:hAnsi="宋体" w:cs="宋体"/>
                <w:kern w:val="0"/>
                <w:sz w:val="24"/>
              </w:rPr>
            </w:pPr>
            <w:r>
              <w:rPr>
                <w:rFonts w:hint="eastAsia" w:ascii="宋体" w:hAnsi="宋体" w:cs="宋体"/>
                <w:kern w:val="0"/>
                <w:sz w:val="24"/>
              </w:rPr>
              <w:t>……</w:t>
            </w:r>
          </w:p>
        </w:tc>
        <w:tc>
          <w:tcPr>
            <w:tcW w:w="2269" w:type="dxa"/>
            <w:tcMar>
              <w:top w:w="120" w:type="dxa"/>
              <w:left w:w="120" w:type="dxa"/>
              <w:bottom w:w="120" w:type="dxa"/>
              <w:right w:w="120" w:type="dxa"/>
            </w:tcMar>
            <w:vAlign w:val="center"/>
          </w:tcPr>
          <w:p w14:paraId="2A3923E6">
            <w:pPr>
              <w:spacing w:line="360" w:lineRule="auto"/>
              <w:jc w:val="center"/>
              <w:rPr>
                <w:rFonts w:ascii="宋体" w:hAnsi="宋体" w:cs="宋体"/>
                <w:kern w:val="0"/>
                <w:sz w:val="24"/>
              </w:rPr>
            </w:pPr>
          </w:p>
        </w:tc>
        <w:tc>
          <w:tcPr>
            <w:tcW w:w="1239" w:type="dxa"/>
            <w:tcMar>
              <w:top w:w="120" w:type="dxa"/>
              <w:left w:w="120" w:type="dxa"/>
              <w:bottom w:w="120" w:type="dxa"/>
              <w:right w:w="120" w:type="dxa"/>
            </w:tcMar>
            <w:vAlign w:val="center"/>
          </w:tcPr>
          <w:p w14:paraId="107C13E8">
            <w:pPr>
              <w:spacing w:line="360" w:lineRule="auto"/>
              <w:jc w:val="center"/>
              <w:rPr>
                <w:rFonts w:ascii="宋体" w:hAnsi="宋体" w:cs="宋体"/>
                <w:kern w:val="0"/>
                <w:sz w:val="24"/>
              </w:rPr>
            </w:pPr>
          </w:p>
        </w:tc>
        <w:tc>
          <w:tcPr>
            <w:tcW w:w="3890" w:type="dxa"/>
            <w:tcMar>
              <w:top w:w="120" w:type="dxa"/>
              <w:left w:w="120" w:type="dxa"/>
              <w:bottom w:w="120" w:type="dxa"/>
              <w:right w:w="120" w:type="dxa"/>
            </w:tcMar>
            <w:vAlign w:val="center"/>
          </w:tcPr>
          <w:p w14:paraId="7E5B5F05">
            <w:pPr>
              <w:spacing w:line="360" w:lineRule="auto"/>
              <w:jc w:val="center"/>
              <w:rPr>
                <w:rFonts w:ascii="宋体" w:hAnsi="宋体" w:cs="宋体"/>
                <w:kern w:val="0"/>
                <w:sz w:val="24"/>
              </w:rPr>
            </w:pPr>
          </w:p>
        </w:tc>
        <w:tc>
          <w:tcPr>
            <w:tcW w:w="1250" w:type="dxa"/>
            <w:tcMar>
              <w:top w:w="120" w:type="dxa"/>
              <w:left w:w="120" w:type="dxa"/>
              <w:bottom w:w="120" w:type="dxa"/>
              <w:right w:w="120" w:type="dxa"/>
            </w:tcMar>
            <w:vAlign w:val="center"/>
          </w:tcPr>
          <w:p w14:paraId="6058C733">
            <w:pPr>
              <w:spacing w:line="360" w:lineRule="auto"/>
              <w:jc w:val="center"/>
              <w:rPr>
                <w:rFonts w:ascii="宋体" w:hAnsi="宋体" w:cs="宋体"/>
                <w:kern w:val="0"/>
                <w:sz w:val="24"/>
              </w:rPr>
            </w:pPr>
          </w:p>
        </w:tc>
      </w:tr>
    </w:tbl>
    <w:p w14:paraId="34218E62">
      <w:pPr>
        <w:snapToGrid w:val="0"/>
        <w:spacing w:line="360" w:lineRule="auto"/>
        <w:jc w:val="left"/>
        <w:rPr>
          <w:rFonts w:ascii="宋体" w:hAnsi="宋体" w:cs="宋体"/>
          <w:sz w:val="24"/>
        </w:rPr>
      </w:pPr>
      <w:r>
        <w:rPr>
          <w:rFonts w:hint="eastAsia" w:ascii="宋体" w:hAnsi="宋体" w:cs="宋体"/>
          <w:sz w:val="24"/>
        </w:rPr>
        <w:t>注：</w:t>
      </w:r>
    </w:p>
    <w:p w14:paraId="4BB81C3B">
      <w:pPr>
        <w:snapToGrid w:val="0"/>
        <w:spacing w:line="360" w:lineRule="auto"/>
        <w:jc w:val="left"/>
        <w:rPr>
          <w:rFonts w:ascii="宋体" w:hAnsi="宋体" w:cs="宋体"/>
          <w:sz w:val="24"/>
        </w:rPr>
      </w:pPr>
      <w:r>
        <w:rPr>
          <w:rFonts w:hint="eastAsia" w:ascii="宋体" w:hAnsi="宋体" w:cs="宋体"/>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329B84C">
      <w:pPr>
        <w:snapToGrid w:val="0"/>
        <w:spacing w:line="360" w:lineRule="auto"/>
        <w:jc w:val="left"/>
        <w:rPr>
          <w:rFonts w:ascii="宋体" w:hAnsi="宋体" w:cs="宋体"/>
          <w:sz w:val="24"/>
        </w:rPr>
      </w:pPr>
      <w:r>
        <w:rPr>
          <w:rFonts w:hint="eastAsia" w:ascii="宋体" w:hAnsi="宋体" w:cs="宋体"/>
          <w:sz w:val="24"/>
        </w:rPr>
        <w:t>2.本表所指的控股关系仅限于直接控股关系，不包括间接的控股关系。公司实际控制人与公司之间的关系不属于本表所指的直接控股关系。</w:t>
      </w:r>
    </w:p>
    <w:p w14:paraId="665222CB">
      <w:pPr>
        <w:snapToGrid w:val="0"/>
        <w:spacing w:line="360" w:lineRule="auto"/>
        <w:jc w:val="left"/>
        <w:rPr>
          <w:rFonts w:ascii="宋体" w:hAnsi="宋体" w:cs="宋体"/>
          <w:sz w:val="24"/>
        </w:rPr>
      </w:pPr>
      <w:r>
        <w:rPr>
          <w:rFonts w:hint="eastAsia" w:ascii="宋体" w:hAnsi="宋体" w:cs="宋体"/>
          <w:sz w:val="24"/>
        </w:rPr>
        <w:t>3.供应商不存在直接控股股东的，则填“无”。</w:t>
      </w:r>
    </w:p>
    <w:p w14:paraId="2C3BFD6C">
      <w:pPr>
        <w:snapToGrid w:val="0"/>
        <w:spacing w:line="360" w:lineRule="auto"/>
        <w:jc w:val="left"/>
        <w:rPr>
          <w:rFonts w:ascii="宋体" w:hAnsi="宋体" w:cs="宋体"/>
          <w:sz w:val="24"/>
        </w:rPr>
      </w:pPr>
    </w:p>
    <w:p w14:paraId="1F525C2B">
      <w:pPr>
        <w:snapToGrid w:val="0"/>
        <w:spacing w:line="360" w:lineRule="auto"/>
        <w:jc w:val="left"/>
        <w:rPr>
          <w:rFonts w:ascii="宋体" w:hAnsi="宋体" w:cs="宋体"/>
          <w:sz w:val="24"/>
        </w:rPr>
      </w:pPr>
    </w:p>
    <w:p w14:paraId="03B4DE5F">
      <w:pPr>
        <w:snapToGrid w:val="0"/>
        <w:spacing w:line="360" w:lineRule="auto"/>
        <w:jc w:val="left"/>
        <w:rPr>
          <w:rFonts w:ascii="宋体" w:hAnsi="宋体" w:cs="宋体"/>
          <w:sz w:val="24"/>
        </w:rPr>
      </w:pPr>
    </w:p>
    <w:p w14:paraId="379F4CB5">
      <w:pPr>
        <w:snapToGrid w:val="0"/>
        <w:spacing w:line="360" w:lineRule="auto"/>
        <w:jc w:val="left"/>
        <w:rPr>
          <w:rFonts w:ascii="宋体" w:hAnsi="宋体" w:cs="宋体"/>
          <w:sz w:val="24"/>
        </w:rPr>
      </w:pPr>
    </w:p>
    <w:p w14:paraId="6C4306B7">
      <w:pPr>
        <w:snapToGrid w:val="0"/>
        <w:spacing w:line="360" w:lineRule="auto"/>
        <w:jc w:val="left"/>
        <w:rPr>
          <w:rFonts w:ascii="宋体" w:hAnsi="宋体" w:cs="宋体"/>
          <w:sz w:val="24"/>
        </w:rPr>
      </w:pPr>
    </w:p>
    <w:p w14:paraId="688BCD35">
      <w:pPr>
        <w:snapToGrid w:val="0"/>
        <w:spacing w:before="120" w:beforeLines="50" w:line="360" w:lineRule="auto"/>
        <w:ind w:right="480" w:firstLine="2880" w:firstLineChars="1200"/>
        <w:rPr>
          <w:rFonts w:ascii="宋体" w:hAnsi="宋体" w:cs="宋体"/>
          <w:sz w:val="24"/>
          <w:u w:val="single"/>
        </w:rPr>
      </w:pPr>
      <w:r>
        <w:rPr>
          <w:rFonts w:hint="eastAsia" w:ascii="宋体" w:hAnsi="宋体" w:cs="宋体"/>
          <w:sz w:val="24"/>
        </w:rPr>
        <w:t>法定代表人或者委托代理人（签字或电子盖章）：</w:t>
      </w:r>
      <w:r>
        <w:rPr>
          <w:rFonts w:hint="eastAsia" w:ascii="宋体" w:hAnsi="宋体" w:cs="宋体"/>
          <w:sz w:val="24"/>
          <w:u w:val="single"/>
        </w:rPr>
        <w:t xml:space="preserve">            </w:t>
      </w:r>
    </w:p>
    <w:p w14:paraId="04CF7F7C">
      <w:pPr>
        <w:snapToGrid w:val="0"/>
        <w:spacing w:before="120" w:beforeLines="50" w:after="50" w:line="360" w:lineRule="auto"/>
        <w:ind w:right="480" w:firstLine="5520" w:firstLineChars="2300"/>
        <w:rPr>
          <w:rFonts w:ascii="宋体" w:hAnsi="宋体" w:cs="宋体"/>
          <w:sz w:val="24"/>
          <w:u w:val="single"/>
        </w:rPr>
      </w:pPr>
      <w:r>
        <w:rPr>
          <w:rFonts w:hint="eastAsia" w:ascii="宋体" w:hAnsi="宋体" w:cs="宋体"/>
          <w:sz w:val="24"/>
        </w:rPr>
        <w:t>投标人（电子签章）：</w:t>
      </w:r>
      <w:r>
        <w:rPr>
          <w:rFonts w:hint="eastAsia" w:ascii="宋体" w:hAnsi="宋体" w:cs="宋体"/>
          <w:sz w:val="24"/>
          <w:u w:val="single"/>
        </w:rPr>
        <w:t xml:space="preserve">                </w:t>
      </w:r>
    </w:p>
    <w:p w14:paraId="718533E1">
      <w:pPr>
        <w:snapToGrid w:val="0"/>
        <w:spacing w:before="120" w:beforeLines="50" w:after="50" w:line="360" w:lineRule="auto"/>
        <w:ind w:right="480" w:firstLine="5520" w:firstLineChars="2300"/>
        <w:rPr>
          <w:rFonts w:ascii="宋体" w:hAnsi="宋体" w:cs="宋体"/>
          <w:szCs w:val="21"/>
        </w:rPr>
      </w:pPr>
      <w:r>
        <w:rPr>
          <w:rFonts w:hint="eastAsia" w:ascii="宋体" w:hAnsi="宋体" w:cs="宋体"/>
          <w:sz w:val="24"/>
        </w:rPr>
        <w:t>年    月    日</w:t>
      </w:r>
    </w:p>
    <w:p w14:paraId="1DD6B3F6">
      <w:pPr>
        <w:snapToGrid w:val="0"/>
        <w:jc w:val="center"/>
        <w:rPr>
          <w:rFonts w:ascii="宋体" w:hAnsi="宋体" w:cs="宋体"/>
          <w:b/>
          <w:sz w:val="28"/>
          <w:szCs w:val="28"/>
        </w:rPr>
      </w:pPr>
    </w:p>
    <w:p w14:paraId="651552E0">
      <w:pPr>
        <w:snapToGrid w:val="0"/>
        <w:spacing w:line="360" w:lineRule="auto"/>
        <w:jc w:val="center"/>
        <w:rPr>
          <w:rFonts w:ascii="宋体" w:hAnsi="宋体" w:cs="宋体"/>
          <w:sz w:val="32"/>
          <w:szCs w:val="32"/>
        </w:rPr>
      </w:pPr>
      <w:r>
        <w:rPr>
          <w:rFonts w:hint="eastAsia" w:ascii="宋体" w:hAnsi="宋体" w:cs="宋体"/>
          <w:b/>
          <w:sz w:val="32"/>
          <w:szCs w:val="32"/>
        </w:rPr>
        <w:br w:type="page"/>
      </w:r>
      <w:r>
        <w:rPr>
          <w:rFonts w:hint="eastAsia" w:ascii="宋体" w:hAnsi="宋体" w:cs="宋体"/>
          <w:b/>
          <w:sz w:val="32"/>
          <w:szCs w:val="32"/>
        </w:rPr>
        <w:t>投标人直接管理关系信息表</w:t>
      </w:r>
    </w:p>
    <w:tbl>
      <w:tblPr>
        <w:tblStyle w:val="48"/>
        <w:tblW w:w="0" w:type="auto"/>
        <w:jc w:val="center"/>
        <w:tblLayout w:type="fixed"/>
        <w:tblCellMar>
          <w:top w:w="0" w:type="dxa"/>
          <w:left w:w="0" w:type="dxa"/>
          <w:bottom w:w="0" w:type="dxa"/>
          <w:right w:w="0" w:type="dxa"/>
        </w:tblCellMar>
      </w:tblPr>
      <w:tblGrid>
        <w:gridCol w:w="1005"/>
        <w:gridCol w:w="2659"/>
        <w:gridCol w:w="3924"/>
        <w:gridCol w:w="2064"/>
      </w:tblGrid>
      <w:tr w14:paraId="2D9D9F6C">
        <w:tblPrEx>
          <w:tblCellMar>
            <w:top w:w="0" w:type="dxa"/>
            <w:left w:w="0" w:type="dxa"/>
            <w:bottom w:w="0" w:type="dxa"/>
            <w:right w:w="0" w:type="dxa"/>
          </w:tblCellMar>
        </w:tblPrEx>
        <w:trPr>
          <w:tblHeader/>
          <w:jc w:val="center"/>
        </w:trPr>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BE4139B">
            <w:pPr>
              <w:spacing w:line="360" w:lineRule="auto"/>
              <w:jc w:val="center"/>
              <w:rPr>
                <w:rFonts w:ascii="宋体" w:hAnsi="宋体" w:cs="宋体"/>
                <w:b/>
                <w:bCs/>
                <w:kern w:val="0"/>
                <w:sz w:val="24"/>
              </w:rPr>
            </w:pPr>
            <w:r>
              <w:rPr>
                <w:rFonts w:hint="eastAsia" w:ascii="宋体" w:hAnsi="宋体" w:cs="宋体"/>
                <w:b/>
                <w:bCs/>
                <w:kern w:val="0"/>
                <w:sz w:val="24"/>
              </w:rPr>
              <w:t>序号</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4C66686">
            <w:pPr>
              <w:spacing w:line="360" w:lineRule="auto"/>
              <w:jc w:val="center"/>
              <w:rPr>
                <w:rFonts w:ascii="宋体" w:hAnsi="宋体" w:cs="宋体"/>
                <w:b/>
                <w:bCs/>
                <w:kern w:val="0"/>
                <w:sz w:val="24"/>
              </w:rPr>
            </w:pPr>
            <w:r>
              <w:rPr>
                <w:rFonts w:hint="eastAsia" w:ascii="宋体" w:hAnsi="宋体" w:cs="宋体"/>
                <w:b/>
                <w:bCs/>
                <w:kern w:val="0"/>
                <w:sz w:val="24"/>
              </w:rPr>
              <w:t>直接管理关系单位名称</w:t>
            </w: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B501217">
            <w:pPr>
              <w:spacing w:line="360" w:lineRule="auto"/>
              <w:jc w:val="center"/>
              <w:rPr>
                <w:rFonts w:ascii="宋体" w:hAnsi="宋体" w:cs="宋体"/>
                <w:b/>
                <w:bCs/>
                <w:kern w:val="0"/>
                <w:sz w:val="24"/>
              </w:rPr>
            </w:pPr>
            <w:r>
              <w:rPr>
                <w:rFonts w:hint="eastAsia" w:ascii="宋体" w:hAnsi="宋体" w:cs="宋体"/>
                <w:b/>
                <w:bCs/>
                <w:kern w:val="0"/>
                <w:sz w:val="24"/>
              </w:rPr>
              <w:t>统一社会信用代码</w:t>
            </w: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E2122DD">
            <w:pPr>
              <w:spacing w:line="360" w:lineRule="auto"/>
              <w:jc w:val="center"/>
              <w:rPr>
                <w:rFonts w:ascii="宋体" w:hAnsi="宋体" w:cs="宋体"/>
                <w:b/>
                <w:bCs/>
                <w:kern w:val="0"/>
                <w:sz w:val="24"/>
              </w:rPr>
            </w:pPr>
            <w:r>
              <w:rPr>
                <w:rFonts w:hint="eastAsia" w:ascii="宋体" w:hAnsi="宋体" w:cs="宋体"/>
                <w:b/>
                <w:bCs/>
                <w:kern w:val="0"/>
                <w:sz w:val="24"/>
              </w:rPr>
              <w:t>备注</w:t>
            </w:r>
          </w:p>
        </w:tc>
      </w:tr>
      <w:tr w14:paraId="43865804">
        <w:tblPrEx>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D168C2C">
            <w:pPr>
              <w:spacing w:line="360" w:lineRule="auto"/>
              <w:jc w:val="center"/>
              <w:rPr>
                <w:rFonts w:ascii="宋体" w:hAnsi="宋体" w:cs="宋体"/>
                <w:kern w:val="0"/>
                <w:sz w:val="24"/>
              </w:rPr>
            </w:pPr>
            <w:r>
              <w:rPr>
                <w:rFonts w:hint="eastAsia" w:ascii="宋体" w:hAnsi="宋体" w:cs="宋体"/>
                <w:kern w:val="0"/>
                <w:sz w:val="24"/>
              </w:rPr>
              <w:t>1</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E0BC3EA">
            <w:pPr>
              <w:spacing w:line="360" w:lineRule="auto"/>
              <w:jc w:val="center"/>
              <w:rPr>
                <w:rFonts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2CC6B31">
            <w:pPr>
              <w:spacing w:line="360" w:lineRule="auto"/>
              <w:jc w:val="center"/>
              <w:rPr>
                <w:rFonts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FABAD8E">
            <w:pPr>
              <w:spacing w:line="360" w:lineRule="auto"/>
              <w:jc w:val="center"/>
              <w:rPr>
                <w:rFonts w:ascii="宋体" w:hAnsi="宋体" w:cs="宋体"/>
                <w:kern w:val="0"/>
                <w:sz w:val="24"/>
              </w:rPr>
            </w:pPr>
          </w:p>
        </w:tc>
      </w:tr>
      <w:tr w14:paraId="507D05D8">
        <w:tblPrEx>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3F676AF">
            <w:pPr>
              <w:spacing w:line="360" w:lineRule="auto"/>
              <w:jc w:val="center"/>
              <w:rPr>
                <w:rFonts w:ascii="宋体" w:hAnsi="宋体" w:cs="宋体"/>
                <w:kern w:val="0"/>
                <w:sz w:val="24"/>
              </w:rPr>
            </w:pPr>
            <w:r>
              <w:rPr>
                <w:rFonts w:hint="eastAsia" w:ascii="宋体" w:hAnsi="宋体" w:cs="宋体"/>
                <w:kern w:val="0"/>
                <w:sz w:val="24"/>
              </w:rPr>
              <w:t>2</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DB26461">
            <w:pPr>
              <w:spacing w:line="360" w:lineRule="auto"/>
              <w:jc w:val="center"/>
              <w:rPr>
                <w:rFonts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7ABBCED">
            <w:pPr>
              <w:spacing w:line="360" w:lineRule="auto"/>
              <w:jc w:val="center"/>
              <w:rPr>
                <w:rFonts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CD14086">
            <w:pPr>
              <w:spacing w:line="360" w:lineRule="auto"/>
              <w:jc w:val="center"/>
              <w:rPr>
                <w:rFonts w:ascii="宋体" w:hAnsi="宋体" w:cs="宋体"/>
                <w:kern w:val="0"/>
                <w:sz w:val="24"/>
              </w:rPr>
            </w:pPr>
          </w:p>
        </w:tc>
      </w:tr>
      <w:tr w14:paraId="482D5BA5">
        <w:tblPrEx>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37863EF">
            <w:pPr>
              <w:spacing w:line="360" w:lineRule="auto"/>
              <w:jc w:val="center"/>
              <w:rPr>
                <w:rFonts w:ascii="宋体" w:hAnsi="宋体" w:cs="宋体"/>
                <w:kern w:val="0"/>
                <w:sz w:val="24"/>
              </w:rPr>
            </w:pPr>
            <w:r>
              <w:rPr>
                <w:rFonts w:hint="eastAsia" w:ascii="宋体" w:hAnsi="宋体" w:cs="宋体"/>
                <w:kern w:val="0"/>
                <w:sz w:val="24"/>
              </w:rPr>
              <w:t>3</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69EEBB2">
            <w:pPr>
              <w:spacing w:line="360" w:lineRule="auto"/>
              <w:jc w:val="center"/>
              <w:rPr>
                <w:rFonts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BD86DC3">
            <w:pPr>
              <w:spacing w:line="360" w:lineRule="auto"/>
              <w:jc w:val="center"/>
              <w:rPr>
                <w:rFonts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469C809">
            <w:pPr>
              <w:spacing w:line="360" w:lineRule="auto"/>
              <w:jc w:val="center"/>
              <w:rPr>
                <w:rFonts w:ascii="宋体" w:hAnsi="宋体" w:cs="宋体"/>
                <w:kern w:val="0"/>
                <w:sz w:val="24"/>
              </w:rPr>
            </w:pPr>
          </w:p>
        </w:tc>
      </w:tr>
      <w:tr w14:paraId="2EC0DB45">
        <w:tblPrEx>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88D9D2D">
            <w:pPr>
              <w:spacing w:line="360" w:lineRule="auto"/>
              <w:jc w:val="center"/>
              <w:rPr>
                <w:rFonts w:ascii="宋体" w:hAnsi="宋体" w:cs="宋体"/>
                <w:kern w:val="0"/>
                <w:sz w:val="24"/>
              </w:rPr>
            </w:pPr>
            <w:r>
              <w:rPr>
                <w:rFonts w:hint="eastAsia" w:ascii="宋体" w:hAnsi="宋体" w:cs="宋体"/>
                <w:kern w:val="0"/>
                <w:sz w:val="24"/>
              </w:rPr>
              <w:t>……</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D99C182">
            <w:pPr>
              <w:spacing w:line="360" w:lineRule="auto"/>
              <w:jc w:val="center"/>
              <w:rPr>
                <w:rFonts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7907325">
            <w:pPr>
              <w:spacing w:line="360" w:lineRule="auto"/>
              <w:jc w:val="center"/>
              <w:rPr>
                <w:rFonts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5BD406E">
            <w:pPr>
              <w:spacing w:line="360" w:lineRule="auto"/>
              <w:jc w:val="center"/>
              <w:rPr>
                <w:rFonts w:ascii="宋体" w:hAnsi="宋体" w:cs="宋体"/>
                <w:kern w:val="0"/>
                <w:sz w:val="24"/>
              </w:rPr>
            </w:pPr>
          </w:p>
        </w:tc>
      </w:tr>
    </w:tbl>
    <w:p w14:paraId="65DB76F5">
      <w:pPr>
        <w:snapToGrid w:val="0"/>
        <w:spacing w:line="360" w:lineRule="auto"/>
        <w:jc w:val="left"/>
        <w:rPr>
          <w:rFonts w:ascii="宋体" w:hAnsi="宋体" w:cs="宋体"/>
          <w:sz w:val="24"/>
        </w:rPr>
      </w:pPr>
      <w:r>
        <w:rPr>
          <w:rFonts w:hint="eastAsia" w:ascii="宋体" w:hAnsi="宋体" w:cs="宋体"/>
          <w:sz w:val="24"/>
        </w:rPr>
        <w:t>注：</w:t>
      </w:r>
    </w:p>
    <w:p w14:paraId="5ED157A9">
      <w:pPr>
        <w:snapToGrid w:val="0"/>
        <w:spacing w:line="360" w:lineRule="auto"/>
        <w:ind w:firstLine="480" w:firstLineChars="200"/>
        <w:jc w:val="left"/>
        <w:rPr>
          <w:rFonts w:ascii="宋体" w:hAnsi="宋体" w:cs="宋体"/>
          <w:sz w:val="24"/>
        </w:rPr>
      </w:pPr>
      <w:r>
        <w:rPr>
          <w:rFonts w:hint="eastAsia" w:ascii="宋体" w:hAnsi="宋体" w:cs="宋体"/>
          <w:sz w:val="24"/>
        </w:rPr>
        <w:t>1.管理关系：是指不具有出资持股关系的其他单位之间存在的管理与被管理关系，如一些上下级关系的事业单位和团体组织。</w:t>
      </w:r>
    </w:p>
    <w:p w14:paraId="715B9E3B">
      <w:pPr>
        <w:snapToGrid w:val="0"/>
        <w:spacing w:line="360" w:lineRule="auto"/>
        <w:ind w:firstLine="480" w:firstLineChars="200"/>
        <w:jc w:val="left"/>
        <w:rPr>
          <w:rFonts w:ascii="宋体" w:hAnsi="宋体" w:cs="宋体"/>
          <w:sz w:val="24"/>
        </w:rPr>
      </w:pPr>
      <w:r>
        <w:rPr>
          <w:rFonts w:hint="eastAsia" w:ascii="宋体" w:hAnsi="宋体" w:cs="宋体"/>
          <w:sz w:val="24"/>
        </w:rPr>
        <w:t>2.</w:t>
      </w:r>
      <w:r>
        <w:rPr>
          <w:rFonts w:hint="eastAsia" w:ascii="宋体" w:hAnsi="宋体" w:cs="宋体"/>
          <w:spacing w:val="-6"/>
          <w:sz w:val="24"/>
        </w:rPr>
        <w:t>本表所指的管理关系仅限于直接管理关系，不包括间接的管理关系。</w:t>
      </w:r>
    </w:p>
    <w:p w14:paraId="4993AA8E">
      <w:pPr>
        <w:snapToGrid w:val="0"/>
        <w:spacing w:line="360" w:lineRule="auto"/>
        <w:ind w:firstLine="480" w:firstLineChars="200"/>
        <w:jc w:val="left"/>
        <w:rPr>
          <w:rFonts w:ascii="宋体" w:hAnsi="宋体" w:cs="宋体"/>
          <w:sz w:val="24"/>
        </w:rPr>
      </w:pPr>
      <w:r>
        <w:rPr>
          <w:rFonts w:hint="eastAsia" w:ascii="宋体" w:hAnsi="宋体" w:cs="宋体"/>
          <w:sz w:val="24"/>
        </w:rPr>
        <w:t>3.供应商不存在直接管理关系的，则填“无”。</w:t>
      </w:r>
    </w:p>
    <w:p w14:paraId="0873F51D">
      <w:pPr>
        <w:snapToGrid w:val="0"/>
        <w:spacing w:line="360" w:lineRule="auto"/>
        <w:jc w:val="left"/>
        <w:rPr>
          <w:rFonts w:ascii="宋体" w:hAnsi="宋体" w:cs="宋体"/>
          <w:sz w:val="24"/>
        </w:rPr>
      </w:pPr>
    </w:p>
    <w:p w14:paraId="2A2C894B">
      <w:pPr>
        <w:snapToGrid w:val="0"/>
        <w:spacing w:line="360" w:lineRule="auto"/>
        <w:jc w:val="left"/>
        <w:rPr>
          <w:rFonts w:ascii="宋体" w:hAnsi="宋体" w:cs="宋体"/>
          <w:sz w:val="24"/>
        </w:rPr>
      </w:pPr>
    </w:p>
    <w:p w14:paraId="47E2F5B1">
      <w:pPr>
        <w:snapToGrid w:val="0"/>
        <w:spacing w:line="360" w:lineRule="auto"/>
        <w:jc w:val="left"/>
        <w:rPr>
          <w:rFonts w:ascii="宋体" w:hAnsi="宋体" w:cs="宋体"/>
          <w:sz w:val="24"/>
        </w:rPr>
      </w:pPr>
    </w:p>
    <w:p w14:paraId="24A4071B">
      <w:pPr>
        <w:snapToGrid w:val="0"/>
        <w:spacing w:line="360" w:lineRule="auto"/>
        <w:jc w:val="left"/>
        <w:rPr>
          <w:rFonts w:ascii="宋体" w:hAnsi="宋体" w:cs="宋体"/>
          <w:sz w:val="24"/>
        </w:rPr>
      </w:pPr>
    </w:p>
    <w:p w14:paraId="6F85F2C1">
      <w:pPr>
        <w:snapToGrid w:val="0"/>
        <w:spacing w:line="360" w:lineRule="auto"/>
        <w:jc w:val="left"/>
        <w:rPr>
          <w:rFonts w:ascii="宋体" w:hAnsi="宋体" w:cs="宋体"/>
          <w:sz w:val="24"/>
        </w:rPr>
      </w:pPr>
    </w:p>
    <w:p w14:paraId="72CF8B02">
      <w:pPr>
        <w:snapToGrid w:val="0"/>
        <w:spacing w:line="360" w:lineRule="auto"/>
        <w:jc w:val="left"/>
        <w:rPr>
          <w:rFonts w:ascii="宋体" w:hAnsi="宋体" w:cs="宋体"/>
          <w:sz w:val="24"/>
        </w:rPr>
      </w:pPr>
    </w:p>
    <w:p w14:paraId="1194502B">
      <w:pPr>
        <w:snapToGrid w:val="0"/>
        <w:spacing w:line="360" w:lineRule="auto"/>
        <w:jc w:val="left"/>
        <w:rPr>
          <w:rFonts w:ascii="宋体" w:hAnsi="宋体" w:cs="宋体"/>
          <w:sz w:val="24"/>
        </w:rPr>
      </w:pPr>
    </w:p>
    <w:p w14:paraId="6AC43B0C">
      <w:pPr>
        <w:snapToGrid w:val="0"/>
        <w:spacing w:before="120" w:beforeLines="50" w:line="360" w:lineRule="auto"/>
        <w:ind w:right="480" w:firstLine="2640" w:firstLineChars="1100"/>
        <w:rPr>
          <w:rFonts w:ascii="宋体" w:hAnsi="宋体" w:cs="宋体"/>
          <w:sz w:val="24"/>
          <w:u w:val="single"/>
        </w:rPr>
      </w:pPr>
      <w:r>
        <w:rPr>
          <w:rFonts w:hint="eastAsia" w:ascii="宋体" w:hAnsi="宋体" w:cs="宋体"/>
          <w:sz w:val="24"/>
        </w:rPr>
        <w:t>法定代表人或者委托代理人（签字或电子盖章）：</w:t>
      </w:r>
      <w:r>
        <w:rPr>
          <w:rFonts w:hint="eastAsia" w:ascii="宋体" w:hAnsi="宋体" w:cs="宋体"/>
          <w:sz w:val="24"/>
          <w:u w:val="single"/>
        </w:rPr>
        <w:t xml:space="preserve">            </w:t>
      </w:r>
    </w:p>
    <w:p w14:paraId="75FB79C5">
      <w:pPr>
        <w:snapToGrid w:val="0"/>
        <w:spacing w:before="120" w:beforeLines="50" w:after="50" w:line="360" w:lineRule="auto"/>
        <w:ind w:right="480" w:firstLine="5520" w:firstLineChars="2300"/>
        <w:rPr>
          <w:rFonts w:ascii="宋体" w:hAnsi="宋体" w:cs="宋体"/>
          <w:sz w:val="24"/>
        </w:rPr>
      </w:pPr>
      <w:r>
        <w:rPr>
          <w:rFonts w:hint="eastAsia" w:ascii="宋体" w:hAnsi="宋体" w:cs="宋体"/>
          <w:sz w:val="24"/>
        </w:rPr>
        <w:t>投标人（</w:t>
      </w:r>
      <w:r>
        <w:rPr>
          <w:rFonts w:hint="eastAsia" w:hAnsi="宋体" w:cs="宋体"/>
          <w:sz w:val="24"/>
        </w:rPr>
        <w:t>电子签章</w:t>
      </w:r>
      <w:r>
        <w:rPr>
          <w:rFonts w:hint="eastAsia" w:ascii="宋体" w:hAnsi="宋体" w:cs="宋体"/>
          <w:sz w:val="24"/>
        </w:rPr>
        <w:t>）：</w:t>
      </w:r>
      <w:r>
        <w:rPr>
          <w:rFonts w:hint="eastAsia" w:ascii="宋体" w:hAnsi="宋体" w:cs="宋体"/>
          <w:sz w:val="24"/>
          <w:u w:val="single"/>
        </w:rPr>
        <w:t xml:space="preserve">                </w:t>
      </w:r>
    </w:p>
    <w:p w14:paraId="4595598D">
      <w:pPr>
        <w:snapToGrid w:val="0"/>
        <w:spacing w:before="120" w:beforeLines="50" w:after="50" w:line="360" w:lineRule="auto"/>
        <w:ind w:right="480" w:firstLine="240" w:firstLineChars="100"/>
        <w:jc w:val="right"/>
        <w:rPr>
          <w:rFonts w:ascii="宋体" w:hAnsi="宋体" w:cs="宋体"/>
          <w:sz w:val="24"/>
        </w:rPr>
      </w:pPr>
      <w:r>
        <w:rPr>
          <w:rFonts w:hint="eastAsia" w:ascii="宋体" w:hAnsi="宋体" w:cs="宋体"/>
          <w:sz w:val="24"/>
        </w:rPr>
        <w:t xml:space="preserve"> 年    月    日</w:t>
      </w:r>
    </w:p>
    <w:p w14:paraId="26475DCF">
      <w:pPr>
        <w:snapToGrid w:val="0"/>
        <w:spacing w:before="50" w:after="120" w:afterLines="50"/>
        <w:jc w:val="left"/>
        <w:rPr>
          <w:rFonts w:ascii="宋体" w:hAnsi="宋体" w:cs="宋体"/>
          <w:szCs w:val="21"/>
        </w:rPr>
      </w:pPr>
    </w:p>
    <w:p w14:paraId="45505DAF">
      <w:pPr>
        <w:snapToGrid w:val="0"/>
        <w:spacing w:before="120" w:beforeLines="50" w:after="50"/>
        <w:jc w:val="left"/>
        <w:rPr>
          <w:rFonts w:ascii="宋体" w:hAnsi="宋体" w:cs="宋体"/>
          <w:b/>
          <w:sz w:val="24"/>
          <w:szCs w:val="20"/>
        </w:rPr>
      </w:pPr>
    </w:p>
    <w:p w14:paraId="0F56B195">
      <w:pPr>
        <w:snapToGrid w:val="0"/>
        <w:spacing w:before="120" w:beforeLines="50" w:after="50"/>
        <w:jc w:val="left"/>
        <w:rPr>
          <w:rFonts w:ascii="宋体" w:hAnsi="宋体" w:cs="宋体"/>
          <w:b/>
          <w:sz w:val="24"/>
          <w:szCs w:val="20"/>
        </w:rPr>
      </w:pPr>
      <w:r>
        <w:rPr>
          <w:rFonts w:hint="eastAsia" w:ascii="宋体" w:hAnsi="宋体" w:cs="宋体"/>
          <w:b/>
          <w:sz w:val="24"/>
        </w:rPr>
        <w:br w:type="page"/>
      </w:r>
      <w:r>
        <w:rPr>
          <w:rFonts w:hint="eastAsia" w:ascii="宋体" w:hAnsi="宋体" w:cs="宋体"/>
          <w:b/>
          <w:sz w:val="24"/>
        </w:rPr>
        <w:t>投标声明格式</w:t>
      </w:r>
    </w:p>
    <w:p w14:paraId="57AFB5C4">
      <w:pPr>
        <w:snapToGrid w:val="0"/>
        <w:spacing w:before="50" w:after="120" w:afterLines="50"/>
        <w:jc w:val="left"/>
        <w:rPr>
          <w:rFonts w:ascii="宋体" w:hAnsi="宋体" w:cs="宋体"/>
        </w:rPr>
      </w:pPr>
    </w:p>
    <w:p w14:paraId="1BE4B10B">
      <w:pPr>
        <w:snapToGrid w:val="0"/>
        <w:spacing w:before="50" w:after="120" w:afterLines="50"/>
        <w:jc w:val="center"/>
        <w:rPr>
          <w:rFonts w:ascii="宋体" w:hAnsi="宋体" w:cs="宋体"/>
          <w:b/>
          <w:bCs/>
          <w:sz w:val="28"/>
          <w:szCs w:val="28"/>
        </w:rPr>
      </w:pPr>
      <w:r>
        <w:rPr>
          <w:rFonts w:hint="eastAsia" w:ascii="宋体" w:hAnsi="宋体" w:cs="宋体"/>
          <w:b/>
          <w:bCs/>
          <w:sz w:val="28"/>
          <w:szCs w:val="28"/>
        </w:rPr>
        <w:t>投标声明</w:t>
      </w:r>
    </w:p>
    <w:p w14:paraId="28CD547E">
      <w:pPr>
        <w:snapToGrid w:val="0"/>
        <w:spacing w:before="50" w:after="120" w:afterLines="50"/>
        <w:jc w:val="center"/>
        <w:rPr>
          <w:rFonts w:ascii="宋体" w:hAnsi="宋体" w:cs="宋体"/>
          <w:bCs/>
          <w:sz w:val="28"/>
          <w:szCs w:val="28"/>
        </w:rPr>
      </w:pPr>
    </w:p>
    <w:p w14:paraId="649FA538">
      <w:pPr>
        <w:spacing w:line="400" w:lineRule="exact"/>
        <w:contextualSpacing/>
        <w:jc w:val="left"/>
        <w:rPr>
          <w:rFonts w:ascii="宋体" w:hAnsi="宋体" w:cs="宋体"/>
          <w:sz w:val="24"/>
        </w:rPr>
      </w:pPr>
      <w:r>
        <w:rPr>
          <w:rFonts w:hint="eastAsia" w:ascii="宋体" w:hAnsi="宋体" w:cs="宋体"/>
          <w:sz w:val="24"/>
        </w:rPr>
        <w:t>（采购人名称）：</w:t>
      </w:r>
    </w:p>
    <w:p w14:paraId="62AF7776">
      <w:pPr>
        <w:spacing w:line="400" w:lineRule="exact"/>
        <w:ind w:firstLine="523" w:firstLineChars="218"/>
        <w:contextualSpacing/>
        <w:jc w:val="left"/>
        <w:rPr>
          <w:rFonts w:ascii="宋体" w:hAnsi="宋体" w:cs="宋体"/>
          <w:sz w:val="24"/>
        </w:rPr>
      </w:pPr>
      <w:r>
        <w:rPr>
          <w:rFonts w:hint="eastAsia" w:ascii="宋体" w:hAnsi="宋体" w:cs="宋体"/>
          <w:sz w:val="24"/>
        </w:rPr>
        <w:t>我方参加贵单位组织</w:t>
      </w:r>
      <w:r>
        <w:rPr>
          <w:rFonts w:hint="eastAsia" w:ascii="宋体" w:hAnsi="宋体" w:cs="宋体"/>
          <w:sz w:val="24"/>
          <w:u w:val="single"/>
        </w:rPr>
        <w:t xml:space="preserve">             </w:t>
      </w:r>
      <w:r>
        <w:rPr>
          <w:rFonts w:hint="eastAsia" w:ascii="宋体" w:hAnsi="宋体" w:cs="宋体"/>
          <w:sz w:val="24"/>
        </w:rPr>
        <w:t>项目（项目编号：</w:t>
      </w:r>
      <w:r>
        <w:rPr>
          <w:rFonts w:hint="eastAsia" w:ascii="宋体" w:hAnsi="宋体" w:cs="宋体"/>
          <w:sz w:val="24"/>
          <w:u w:val="single"/>
        </w:rPr>
        <w:t xml:space="preserve">     ）</w:t>
      </w:r>
      <w:r>
        <w:rPr>
          <w:rFonts w:hint="eastAsia" w:ascii="宋体" w:hAnsi="宋体" w:cs="宋体"/>
          <w:sz w:val="24"/>
        </w:rPr>
        <w:t>的政府采购活动。我方在此郑重声明：</w:t>
      </w:r>
    </w:p>
    <w:p w14:paraId="7F5BA332">
      <w:pPr>
        <w:spacing w:line="400" w:lineRule="exact"/>
        <w:ind w:firstLine="480" w:firstLineChars="200"/>
        <w:contextualSpacing/>
        <w:jc w:val="left"/>
        <w:rPr>
          <w:rFonts w:ascii="宋体" w:hAnsi="宋体" w:cs="宋体"/>
          <w:sz w:val="24"/>
        </w:rPr>
      </w:pPr>
      <w:r>
        <w:rPr>
          <w:rFonts w:hint="eastAsia" w:ascii="宋体" w:hAnsi="宋体" w:cs="宋体"/>
          <w:sz w:val="24"/>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6A6AF610">
      <w:pPr>
        <w:spacing w:line="400" w:lineRule="exact"/>
        <w:ind w:firstLine="480" w:firstLineChars="200"/>
        <w:contextualSpacing/>
        <w:jc w:val="left"/>
        <w:rPr>
          <w:rFonts w:ascii="宋体" w:hAnsi="宋体" w:cs="宋体"/>
          <w:sz w:val="24"/>
        </w:rPr>
      </w:pPr>
      <w:r>
        <w:rPr>
          <w:rFonts w:hint="eastAsia" w:ascii="宋体" w:hAnsi="宋体" w:cs="宋体"/>
          <w:sz w:val="24"/>
        </w:rPr>
        <w:t>2.我方不是为本次采购项目提供整体设计、规范编制或者项目管理、监理、检测等服务的供应商。</w:t>
      </w:r>
    </w:p>
    <w:p w14:paraId="068A2A6E">
      <w:pPr>
        <w:spacing w:line="400" w:lineRule="exact"/>
        <w:ind w:firstLine="480" w:firstLineChars="200"/>
        <w:contextualSpacing/>
        <w:jc w:val="left"/>
        <w:rPr>
          <w:rFonts w:ascii="宋体" w:hAnsi="宋体" w:cs="宋体"/>
          <w:sz w:val="24"/>
        </w:rPr>
      </w:pPr>
      <w:r>
        <w:rPr>
          <w:rFonts w:hint="eastAsia" w:ascii="宋体" w:hAnsi="宋体" w:cs="宋体"/>
          <w:sz w:val="24"/>
        </w:rPr>
        <w:t>3. 我方承诺符合《中华人民共和国政府采购法》第二十二条规定：</w:t>
      </w:r>
    </w:p>
    <w:p w14:paraId="0B0644E3">
      <w:pPr>
        <w:spacing w:line="400" w:lineRule="exact"/>
        <w:ind w:firstLine="480" w:firstLineChars="200"/>
        <w:contextualSpacing/>
        <w:jc w:val="left"/>
        <w:rPr>
          <w:rFonts w:ascii="宋体" w:hAnsi="宋体" w:cs="宋体"/>
          <w:sz w:val="24"/>
        </w:rPr>
      </w:pPr>
      <w:r>
        <w:rPr>
          <w:rFonts w:hint="eastAsia" w:ascii="宋体" w:hAnsi="宋体" w:cs="宋体"/>
          <w:sz w:val="24"/>
        </w:rPr>
        <w:t>（一）具有独立承担民事责任的能力；</w:t>
      </w:r>
    </w:p>
    <w:p w14:paraId="2E5D968E">
      <w:pPr>
        <w:spacing w:line="400" w:lineRule="exact"/>
        <w:ind w:firstLine="480" w:firstLineChars="200"/>
        <w:contextualSpacing/>
        <w:jc w:val="left"/>
        <w:rPr>
          <w:rFonts w:ascii="宋体" w:hAnsi="宋体" w:cs="宋体"/>
          <w:sz w:val="24"/>
        </w:rPr>
      </w:pPr>
      <w:r>
        <w:rPr>
          <w:rFonts w:hint="eastAsia" w:ascii="宋体" w:hAnsi="宋体" w:cs="宋体"/>
          <w:sz w:val="24"/>
        </w:rPr>
        <w:t>（二）具有良好的商业信誉和健全的财务会计制度；</w:t>
      </w:r>
    </w:p>
    <w:p w14:paraId="2CC1A1A5">
      <w:pPr>
        <w:spacing w:line="400" w:lineRule="exact"/>
        <w:ind w:firstLine="480" w:firstLineChars="200"/>
        <w:contextualSpacing/>
        <w:jc w:val="left"/>
        <w:rPr>
          <w:rFonts w:ascii="宋体" w:hAnsi="宋体" w:cs="宋体"/>
          <w:sz w:val="24"/>
        </w:rPr>
      </w:pPr>
      <w:r>
        <w:rPr>
          <w:rFonts w:hint="eastAsia" w:ascii="宋体" w:hAnsi="宋体" w:cs="宋体"/>
          <w:sz w:val="24"/>
        </w:rPr>
        <w:t>（三）具有履行合同所必需的设备和专业技术能力；</w:t>
      </w:r>
    </w:p>
    <w:p w14:paraId="73BDF0DC">
      <w:pPr>
        <w:spacing w:line="400" w:lineRule="exact"/>
        <w:ind w:firstLine="480" w:firstLineChars="200"/>
        <w:contextualSpacing/>
        <w:jc w:val="left"/>
        <w:rPr>
          <w:rFonts w:ascii="宋体" w:hAnsi="宋体" w:cs="宋体"/>
          <w:sz w:val="24"/>
        </w:rPr>
      </w:pPr>
      <w:r>
        <w:rPr>
          <w:rFonts w:hint="eastAsia" w:ascii="宋体" w:hAnsi="宋体" w:cs="宋体"/>
          <w:sz w:val="24"/>
        </w:rPr>
        <w:t>（四）有依法缴纳税收和社会保障资金的良好记录；</w:t>
      </w:r>
    </w:p>
    <w:p w14:paraId="24384819">
      <w:pPr>
        <w:spacing w:line="400" w:lineRule="exact"/>
        <w:ind w:firstLine="480" w:firstLineChars="200"/>
        <w:contextualSpacing/>
        <w:jc w:val="left"/>
        <w:rPr>
          <w:rFonts w:ascii="宋体" w:hAnsi="宋体" w:cs="宋体"/>
          <w:sz w:val="24"/>
        </w:rPr>
      </w:pPr>
      <w:r>
        <w:rPr>
          <w:rFonts w:hint="eastAsia" w:ascii="宋体" w:hAnsi="宋体" w:cs="宋体"/>
          <w:sz w:val="24"/>
        </w:rPr>
        <w:t>（五）参加政府采购活动前三年内，在经营活动中没有重大违法记录；</w:t>
      </w:r>
    </w:p>
    <w:p w14:paraId="6792CEAC">
      <w:pPr>
        <w:spacing w:line="400" w:lineRule="exact"/>
        <w:ind w:firstLine="480" w:firstLineChars="200"/>
        <w:contextualSpacing/>
        <w:jc w:val="left"/>
        <w:rPr>
          <w:rFonts w:ascii="宋体" w:hAnsi="宋体" w:cs="宋体"/>
          <w:sz w:val="24"/>
        </w:rPr>
      </w:pPr>
      <w:r>
        <w:rPr>
          <w:rFonts w:hint="eastAsia" w:ascii="宋体" w:hAnsi="宋体" w:cs="宋体"/>
          <w:sz w:val="24"/>
        </w:rPr>
        <w:t>（六）法律、行政法规规定的其他条件。</w:t>
      </w:r>
    </w:p>
    <w:p w14:paraId="7098E153">
      <w:pPr>
        <w:spacing w:line="400" w:lineRule="exact"/>
        <w:ind w:firstLine="480" w:firstLineChars="200"/>
        <w:contextualSpacing/>
        <w:jc w:val="left"/>
        <w:rPr>
          <w:rFonts w:ascii="宋体" w:hAnsi="宋体" w:cs="宋体"/>
          <w:sz w:val="24"/>
        </w:rPr>
      </w:pPr>
      <w:r>
        <w:rPr>
          <w:rFonts w:hint="eastAsia" w:ascii="宋体" w:hAnsi="宋体" w:cs="宋体"/>
          <w:sz w:val="24"/>
        </w:rPr>
        <w:t>4.以上事项如有虚假或者隐瞒，我方愿意承担一切后果，并不再寻求任何旨在减轻或者免除法律责任的辩解。</w:t>
      </w:r>
    </w:p>
    <w:p w14:paraId="15FA59E8">
      <w:pPr>
        <w:spacing w:line="400" w:lineRule="exact"/>
        <w:contextualSpacing/>
        <w:jc w:val="left"/>
        <w:rPr>
          <w:rFonts w:ascii="宋体" w:hAnsi="宋体" w:cs="宋体"/>
          <w:sz w:val="24"/>
        </w:rPr>
      </w:pPr>
      <w:r>
        <w:rPr>
          <w:rFonts w:hint="eastAsia" w:ascii="宋体" w:hAnsi="宋体" w:cs="宋体"/>
          <w:sz w:val="24"/>
        </w:rPr>
        <w:t xml:space="preserve">    特此承诺。</w:t>
      </w:r>
    </w:p>
    <w:p w14:paraId="31957271">
      <w:pPr>
        <w:spacing w:line="400" w:lineRule="exact"/>
        <w:contextualSpacing/>
        <w:jc w:val="left"/>
        <w:rPr>
          <w:rFonts w:ascii="宋体" w:hAnsi="宋体" w:cs="宋体"/>
          <w:b/>
          <w:sz w:val="24"/>
        </w:rPr>
      </w:pPr>
      <w:r>
        <w:rPr>
          <w:rFonts w:hint="eastAsia" w:ascii="宋体" w:hAnsi="宋体" w:cs="宋体"/>
          <w:b/>
          <w:sz w:val="24"/>
        </w:rPr>
        <w:t xml:space="preserve">  </w:t>
      </w:r>
    </w:p>
    <w:p w14:paraId="3B89F144">
      <w:pPr>
        <w:widowControl/>
        <w:jc w:val="left"/>
        <w:rPr>
          <w:rFonts w:ascii="宋体" w:hAnsi="宋体" w:cs="宋体"/>
          <w:sz w:val="24"/>
        </w:rPr>
      </w:pPr>
      <w:r>
        <w:rPr>
          <w:rFonts w:hint="eastAsia" w:ascii="宋体" w:hAnsi="宋体" w:cs="宋体"/>
          <w:sz w:val="24"/>
        </w:rPr>
        <w:t xml:space="preserve">                                  法定代表人（</w:t>
      </w:r>
      <w:r>
        <w:rPr>
          <w:rFonts w:hint="eastAsia" w:ascii="宋体" w:hAnsi="宋体" w:cs="宋体"/>
          <w:color w:val="000000"/>
          <w:kern w:val="0"/>
          <w:sz w:val="24"/>
          <w:lang w:bidi="ar"/>
        </w:rPr>
        <w:t>签字</w:t>
      </w:r>
      <w:r>
        <w:rPr>
          <w:rFonts w:hint="eastAsia" w:ascii="宋体" w:hAnsi="宋体" w:cs="宋体"/>
          <w:sz w:val="24"/>
        </w:rPr>
        <w:t>或电子盖章）：</w:t>
      </w:r>
      <w:r>
        <w:rPr>
          <w:rFonts w:hint="eastAsia" w:ascii="宋体" w:hAnsi="宋体" w:cs="宋体"/>
          <w:sz w:val="24"/>
          <w:u w:val="single"/>
        </w:rPr>
        <w:t xml:space="preserve">            </w:t>
      </w:r>
    </w:p>
    <w:p w14:paraId="22779A2A">
      <w:pPr>
        <w:spacing w:line="400" w:lineRule="exact"/>
        <w:contextualSpacing/>
        <w:jc w:val="left"/>
        <w:rPr>
          <w:rFonts w:ascii="宋体" w:hAnsi="宋体" w:cs="宋体"/>
          <w:sz w:val="24"/>
        </w:rPr>
      </w:pPr>
      <w:r>
        <w:rPr>
          <w:rFonts w:hint="eastAsia" w:ascii="宋体" w:hAnsi="宋体" w:cs="宋体"/>
          <w:sz w:val="24"/>
        </w:rPr>
        <w:t xml:space="preserve">                                          投标人（电子签章）：</w:t>
      </w:r>
      <w:r>
        <w:rPr>
          <w:rFonts w:hint="eastAsia" w:ascii="宋体" w:hAnsi="宋体" w:cs="宋体"/>
          <w:sz w:val="24"/>
          <w:u w:val="single"/>
        </w:rPr>
        <w:t xml:space="preserve">                </w:t>
      </w:r>
    </w:p>
    <w:p w14:paraId="017BBBDD">
      <w:pPr>
        <w:spacing w:line="400" w:lineRule="exact"/>
        <w:contextualSpacing/>
        <w:jc w:val="left"/>
        <w:rPr>
          <w:rFonts w:ascii="宋体" w:hAnsi="宋体" w:cs="宋体"/>
        </w:rPr>
      </w:pPr>
      <w:r>
        <w:rPr>
          <w:rFonts w:hint="eastAsia" w:ascii="宋体" w:hAnsi="宋体" w:cs="宋体"/>
          <w:sz w:val="24"/>
        </w:rPr>
        <w:t xml:space="preserve">                                                  年    月    日</w:t>
      </w:r>
    </w:p>
    <w:p w14:paraId="6B39A05F">
      <w:pPr>
        <w:rPr>
          <w:rFonts w:ascii="宋体" w:hAnsi="宋体" w:cs="宋体"/>
          <w:b/>
          <w:sz w:val="28"/>
          <w:szCs w:val="28"/>
        </w:rPr>
      </w:pPr>
      <w:bookmarkStart w:id="112" w:name="_Toc19686838"/>
      <w:r>
        <w:rPr>
          <w:rFonts w:hint="eastAsia" w:ascii="宋体" w:hAnsi="宋体" w:cs="宋体"/>
          <w:b/>
          <w:sz w:val="28"/>
          <w:szCs w:val="28"/>
        </w:rPr>
        <w:br w:type="page"/>
      </w:r>
      <w:bookmarkEnd w:id="112"/>
      <w:r>
        <w:rPr>
          <w:rFonts w:hint="eastAsia" w:ascii="宋体" w:hAnsi="宋体" w:cs="宋体"/>
          <w:b/>
          <w:sz w:val="28"/>
          <w:szCs w:val="28"/>
        </w:rPr>
        <w:t>三、商务文件格式</w:t>
      </w:r>
    </w:p>
    <w:p w14:paraId="7FEAE8FA">
      <w:pPr>
        <w:snapToGrid w:val="0"/>
        <w:spacing w:before="120" w:beforeLines="50" w:after="50" w:line="360" w:lineRule="auto"/>
        <w:jc w:val="left"/>
        <w:rPr>
          <w:rFonts w:ascii="宋体" w:hAnsi="宋体" w:cs="宋体"/>
          <w:b/>
          <w:sz w:val="24"/>
        </w:rPr>
      </w:pPr>
      <w:r>
        <w:rPr>
          <w:rFonts w:hint="eastAsia" w:ascii="宋体" w:hAnsi="宋体" w:cs="宋体"/>
          <w:b/>
          <w:sz w:val="24"/>
        </w:rPr>
        <w:t>1.商务文件封面格式：</w:t>
      </w:r>
    </w:p>
    <w:p w14:paraId="415815D0">
      <w:pPr>
        <w:snapToGrid w:val="0"/>
        <w:spacing w:before="120" w:beforeLines="50" w:after="50"/>
        <w:jc w:val="center"/>
        <w:rPr>
          <w:rFonts w:ascii="宋体" w:hAnsi="宋体" w:cs="宋体"/>
          <w:bCs/>
          <w:sz w:val="48"/>
          <w:szCs w:val="48"/>
        </w:rPr>
      </w:pPr>
    </w:p>
    <w:p w14:paraId="027997DC">
      <w:pPr>
        <w:snapToGrid w:val="0"/>
        <w:spacing w:before="120" w:beforeLines="50" w:after="50"/>
        <w:jc w:val="center"/>
        <w:rPr>
          <w:rFonts w:ascii="宋体" w:hAnsi="宋体" w:cs="宋体"/>
          <w:sz w:val="24"/>
        </w:rPr>
      </w:pPr>
      <w:r>
        <w:rPr>
          <w:rFonts w:hint="eastAsia" w:ascii="宋体" w:hAnsi="宋体" w:cs="宋体"/>
          <w:bCs/>
          <w:sz w:val="48"/>
          <w:szCs w:val="48"/>
        </w:rPr>
        <w:t>电子投标文件</w:t>
      </w:r>
    </w:p>
    <w:p w14:paraId="72005C28">
      <w:pPr>
        <w:snapToGrid w:val="0"/>
        <w:spacing w:before="120" w:beforeLines="50" w:after="50"/>
        <w:jc w:val="center"/>
        <w:rPr>
          <w:rFonts w:ascii="宋体" w:hAnsi="宋体" w:cs="宋体"/>
          <w:bCs/>
          <w:sz w:val="44"/>
          <w:szCs w:val="44"/>
        </w:rPr>
      </w:pPr>
    </w:p>
    <w:p w14:paraId="56CA480B">
      <w:pPr>
        <w:snapToGrid w:val="0"/>
        <w:spacing w:before="120" w:beforeLines="50" w:after="50"/>
        <w:jc w:val="center"/>
        <w:rPr>
          <w:rFonts w:ascii="宋体" w:hAnsi="宋体" w:cs="宋体"/>
          <w:bCs/>
          <w:sz w:val="44"/>
          <w:szCs w:val="44"/>
        </w:rPr>
      </w:pPr>
      <w:r>
        <w:rPr>
          <w:rFonts w:hint="eastAsia" w:ascii="宋体" w:hAnsi="宋体" w:cs="宋体"/>
          <w:bCs/>
          <w:sz w:val="44"/>
          <w:szCs w:val="44"/>
        </w:rPr>
        <w:t>商  务  文  件</w:t>
      </w:r>
    </w:p>
    <w:p w14:paraId="1D3892B8">
      <w:pPr>
        <w:snapToGrid w:val="0"/>
        <w:spacing w:before="120" w:beforeLines="50" w:after="50"/>
        <w:rPr>
          <w:rFonts w:ascii="宋体" w:hAnsi="宋体" w:cs="宋体"/>
          <w:bCs/>
          <w:sz w:val="24"/>
          <w:szCs w:val="20"/>
        </w:rPr>
      </w:pPr>
    </w:p>
    <w:p w14:paraId="43A40300">
      <w:pPr>
        <w:snapToGrid w:val="0"/>
        <w:spacing w:before="120" w:beforeLines="50" w:after="50"/>
        <w:ind w:firstLine="540" w:firstLineChars="225"/>
        <w:rPr>
          <w:rFonts w:ascii="宋体" w:hAnsi="宋体" w:cs="宋体"/>
          <w:bCs/>
          <w:sz w:val="24"/>
        </w:rPr>
      </w:pPr>
      <w:r>
        <w:rPr>
          <w:rFonts w:hint="eastAsia" w:ascii="宋体" w:hAnsi="宋体" w:cs="宋体"/>
          <w:bCs/>
          <w:sz w:val="24"/>
        </w:rPr>
        <w:t>项目名称：</w:t>
      </w:r>
    </w:p>
    <w:p w14:paraId="50F2E9A9">
      <w:pPr>
        <w:snapToGrid w:val="0"/>
        <w:spacing w:before="120" w:beforeLines="50" w:after="50"/>
        <w:ind w:firstLine="540" w:firstLineChars="225"/>
        <w:rPr>
          <w:rFonts w:ascii="宋体" w:hAnsi="宋体" w:cs="宋体"/>
          <w:bCs/>
          <w:sz w:val="24"/>
          <w:szCs w:val="20"/>
        </w:rPr>
      </w:pPr>
    </w:p>
    <w:p w14:paraId="442CA619">
      <w:pPr>
        <w:snapToGrid w:val="0"/>
        <w:spacing w:before="120" w:beforeLines="50" w:after="50"/>
        <w:ind w:firstLine="540" w:firstLineChars="225"/>
        <w:rPr>
          <w:rFonts w:ascii="宋体" w:hAnsi="宋体" w:cs="宋体"/>
          <w:bCs/>
          <w:sz w:val="24"/>
        </w:rPr>
      </w:pPr>
      <w:r>
        <w:rPr>
          <w:rFonts w:hint="eastAsia" w:ascii="宋体" w:hAnsi="宋体" w:cs="宋体"/>
          <w:bCs/>
          <w:sz w:val="24"/>
        </w:rPr>
        <w:t>项目编号：</w:t>
      </w:r>
    </w:p>
    <w:p w14:paraId="0CC5837E">
      <w:pPr>
        <w:snapToGrid w:val="0"/>
        <w:spacing w:before="120" w:beforeLines="50" w:after="50"/>
        <w:ind w:firstLine="540" w:firstLineChars="225"/>
        <w:rPr>
          <w:rFonts w:ascii="宋体" w:hAnsi="宋体" w:cs="宋体"/>
          <w:bCs/>
          <w:sz w:val="24"/>
          <w:szCs w:val="20"/>
        </w:rPr>
      </w:pPr>
      <w:r>
        <w:rPr>
          <w:rFonts w:hint="eastAsia" w:ascii="宋体" w:hAnsi="宋体" w:cs="宋体"/>
          <w:bCs/>
          <w:sz w:val="24"/>
        </w:rPr>
        <w:t xml:space="preserve"> </w:t>
      </w:r>
    </w:p>
    <w:p w14:paraId="20EBE994">
      <w:pPr>
        <w:snapToGrid w:val="0"/>
        <w:spacing w:before="120" w:beforeLines="50" w:after="50"/>
        <w:ind w:firstLine="540" w:firstLineChars="225"/>
        <w:rPr>
          <w:rFonts w:ascii="宋体" w:hAnsi="宋体" w:cs="宋体"/>
          <w:bCs/>
          <w:sz w:val="24"/>
        </w:rPr>
      </w:pPr>
      <w:r>
        <w:rPr>
          <w:rFonts w:hint="eastAsia" w:ascii="宋体" w:hAnsi="宋体" w:cs="宋体"/>
          <w:bCs/>
          <w:sz w:val="24"/>
        </w:rPr>
        <w:t>所投分标：</w:t>
      </w:r>
    </w:p>
    <w:p w14:paraId="09A43391">
      <w:pPr>
        <w:snapToGrid w:val="0"/>
        <w:spacing w:before="120" w:beforeLines="50" w:after="50"/>
        <w:ind w:firstLine="540" w:firstLineChars="225"/>
        <w:rPr>
          <w:rFonts w:ascii="宋体" w:hAnsi="宋体" w:cs="宋体"/>
          <w:bCs/>
          <w:sz w:val="24"/>
          <w:szCs w:val="20"/>
        </w:rPr>
      </w:pPr>
    </w:p>
    <w:p w14:paraId="1255B32C">
      <w:pPr>
        <w:pStyle w:val="8"/>
        <w:snapToGrid w:val="0"/>
        <w:spacing w:before="50" w:after="50"/>
        <w:ind w:firstLine="540" w:firstLineChars="225"/>
        <w:rPr>
          <w:rFonts w:ascii="宋体" w:hAnsi="宋体" w:cs="宋体"/>
          <w:bCs/>
          <w:sz w:val="24"/>
          <w:szCs w:val="24"/>
        </w:rPr>
      </w:pPr>
      <w:r>
        <w:rPr>
          <w:rFonts w:hint="eastAsia" w:ascii="宋体" w:hAnsi="宋体" w:cs="宋体"/>
          <w:bCs/>
          <w:sz w:val="24"/>
          <w:szCs w:val="24"/>
        </w:rPr>
        <w:t>投标人名称：</w:t>
      </w:r>
    </w:p>
    <w:p w14:paraId="4CF4CD45">
      <w:pPr>
        <w:pStyle w:val="8"/>
        <w:snapToGrid w:val="0"/>
        <w:spacing w:before="50" w:after="50"/>
        <w:ind w:firstLine="540" w:firstLineChars="225"/>
        <w:rPr>
          <w:rFonts w:ascii="宋体" w:hAnsi="宋体" w:cs="宋体"/>
          <w:bCs/>
          <w:sz w:val="24"/>
          <w:szCs w:val="24"/>
        </w:rPr>
      </w:pPr>
    </w:p>
    <w:p w14:paraId="6FADA16D">
      <w:pPr>
        <w:pStyle w:val="8"/>
        <w:snapToGrid w:val="0"/>
        <w:spacing w:before="50" w:after="50"/>
        <w:ind w:firstLine="540" w:firstLineChars="225"/>
        <w:rPr>
          <w:rFonts w:ascii="宋体" w:hAnsi="宋体" w:cs="宋体"/>
          <w:bCs/>
          <w:sz w:val="24"/>
          <w:szCs w:val="24"/>
        </w:rPr>
      </w:pPr>
      <w:r>
        <w:rPr>
          <w:rFonts w:hint="eastAsia" w:ascii="宋体" w:hAnsi="宋体" w:cs="宋体"/>
          <w:bCs/>
          <w:sz w:val="24"/>
          <w:szCs w:val="24"/>
        </w:rPr>
        <w:t>投标人地址：</w:t>
      </w:r>
    </w:p>
    <w:p w14:paraId="0A7E1219">
      <w:pPr>
        <w:pStyle w:val="8"/>
        <w:snapToGrid w:val="0"/>
        <w:spacing w:before="50" w:after="50"/>
        <w:ind w:firstLine="960" w:firstLineChars="400"/>
        <w:rPr>
          <w:rFonts w:ascii="宋体" w:hAnsi="宋体" w:cs="宋体"/>
          <w:bCs/>
          <w:sz w:val="24"/>
          <w:szCs w:val="24"/>
        </w:rPr>
      </w:pPr>
    </w:p>
    <w:p w14:paraId="3666A049">
      <w:pPr>
        <w:snapToGrid w:val="0"/>
        <w:spacing w:before="120" w:beforeLines="50" w:after="50"/>
        <w:ind w:firstLine="645"/>
        <w:rPr>
          <w:rFonts w:ascii="宋体" w:hAnsi="宋体" w:cs="宋体"/>
          <w:sz w:val="24"/>
        </w:rPr>
      </w:pPr>
      <w:r>
        <w:rPr>
          <w:rFonts w:hint="eastAsia" w:ascii="宋体" w:hAnsi="宋体" w:cs="宋体"/>
          <w:sz w:val="24"/>
        </w:rPr>
        <w:t xml:space="preserve">                        年  月  日</w:t>
      </w:r>
    </w:p>
    <w:p w14:paraId="742449F3">
      <w:pPr>
        <w:snapToGrid w:val="0"/>
        <w:spacing w:before="120" w:beforeLines="50" w:after="50"/>
        <w:rPr>
          <w:rFonts w:ascii="宋体" w:hAnsi="宋体" w:cs="宋体"/>
          <w:sz w:val="24"/>
          <w:szCs w:val="20"/>
        </w:rPr>
      </w:pPr>
      <w:r>
        <w:rPr>
          <w:rFonts w:hint="eastAsia" w:ascii="宋体" w:hAnsi="宋体" w:cs="宋体"/>
          <w:sz w:val="24"/>
          <w:szCs w:val="20"/>
        </w:rPr>
        <w:t xml:space="preserve"> </w:t>
      </w:r>
    </w:p>
    <w:p w14:paraId="56E18274">
      <w:pPr>
        <w:snapToGrid w:val="0"/>
        <w:spacing w:line="360" w:lineRule="auto"/>
        <w:jc w:val="left"/>
        <w:rPr>
          <w:rFonts w:ascii="宋体" w:hAnsi="宋体" w:cs="宋体"/>
          <w:b/>
          <w:sz w:val="24"/>
        </w:rPr>
      </w:pPr>
      <w:r>
        <w:rPr>
          <w:rFonts w:hint="eastAsia" w:ascii="宋体" w:hAnsi="宋体" w:cs="宋体"/>
          <w:sz w:val="24"/>
          <w:szCs w:val="20"/>
        </w:rPr>
        <w:br w:type="page"/>
      </w:r>
      <w:r>
        <w:rPr>
          <w:rFonts w:hint="eastAsia" w:ascii="宋体" w:hAnsi="宋体" w:cs="宋体"/>
          <w:b/>
          <w:sz w:val="24"/>
        </w:rPr>
        <w:t>2.商务文件目录</w:t>
      </w:r>
    </w:p>
    <w:p w14:paraId="36B165EF">
      <w:pPr>
        <w:snapToGrid w:val="0"/>
        <w:spacing w:before="50" w:after="120" w:afterLines="50" w:line="360" w:lineRule="auto"/>
        <w:ind w:firstLine="560" w:firstLineChars="200"/>
        <w:jc w:val="left"/>
        <w:rPr>
          <w:rFonts w:ascii="宋体" w:hAnsi="宋体" w:cs="宋体"/>
          <w:b/>
          <w:bCs/>
          <w:sz w:val="32"/>
          <w:szCs w:val="32"/>
        </w:rPr>
      </w:pPr>
      <w:r>
        <w:rPr>
          <w:rFonts w:hint="eastAsia" w:ascii="宋体" w:hAnsi="宋体" w:cs="宋体"/>
          <w:sz w:val="28"/>
          <w:szCs w:val="28"/>
        </w:rPr>
        <w:t>根据招标文件规定及投标人提供的材料自行编写目录。</w:t>
      </w:r>
    </w:p>
    <w:p w14:paraId="68B00A48">
      <w:pPr>
        <w:snapToGrid w:val="0"/>
        <w:spacing w:before="50" w:after="120" w:afterLines="50"/>
        <w:jc w:val="left"/>
        <w:rPr>
          <w:rFonts w:ascii="宋体" w:hAnsi="宋体" w:cs="宋体"/>
        </w:rPr>
      </w:pPr>
    </w:p>
    <w:p w14:paraId="1C5C8ABC">
      <w:pPr>
        <w:snapToGrid w:val="0"/>
        <w:spacing w:before="120" w:beforeLines="50" w:after="50"/>
        <w:jc w:val="left"/>
        <w:rPr>
          <w:rFonts w:ascii="宋体" w:hAnsi="宋体" w:cs="宋体"/>
          <w:b/>
          <w:sz w:val="24"/>
        </w:rPr>
      </w:pPr>
      <w:r>
        <w:rPr>
          <w:rFonts w:hint="eastAsia" w:ascii="宋体" w:hAnsi="宋体" w:cs="宋体"/>
          <w:b/>
          <w:sz w:val="24"/>
        </w:rPr>
        <w:br w:type="page"/>
      </w:r>
      <w:r>
        <w:rPr>
          <w:rFonts w:hint="eastAsia" w:ascii="宋体" w:hAnsi="宋体" w:cs="宋体"/>
          <w:b/>
          <w:sz w:val="24"/>
        </w:rPr>
        <w:t>3.投标人参加本项目无围标串标行为的承诺</w:t>
      </w:r>
    </w:p>
    <w:p w14:paraId="3E19F92D">
      <w:pPr>
        <w:snapToGrid w:val="0"/>
        <w:spacing w:before="120" w:beforeLines="50" w:after="50"/>
        <w:jc w:val="left"/>
        <w:rPr>
          <w:rFonts w:ascii="宋体" w:hAnsi="宋体" w:cs="宋体"/>
          <w:b/>
          <w:sz w:val="24"/>
        </w:rPr>
      </w:pPr>
    </w:p>
    <w:p w14:paraId="6674595F">
      <w:pPr>
        <w:spacing w:line="360" w:lineRule="auto"/>
        <w:ind w:left="420"/>
        <w:contextualSpacing/>
        <w:jc w:val="center"/>
        <w:rPr>
          <w:rFonts w:ascii="宋体" w:hAnsi="宋体" w:cs="宋体"/>
          <w:b/>
          <w:sz w:val="24"/>
        </w:rPr>
      </w:pPr>
      <w:r>
        <w:rPr>
          <w:rFonts w:hint="eastAsia" w:ascii="宋体" w:hAnsi="宋体" w:cs="宋体"/>
          <w:bCs/>
          <w:spacing w:val="-11"/>
          <w:sz w:val="44"/>
          <w:szCs w:val="44"/>
        </w:rPr>
        <w:t>投标人参加本项目无围标串标行为的承诺函</w:t>
      </w:r>
    </w:p>
    <w:p w14:paraId="59A5752C">
      <w:pPr>
        <w:spacing w:line="440" w:lineRule="exact"/>
        <w:contextualSpacing/>
        <w:jc w:val="left"/>
        <w:rPr>
          <w:rFonts w:ascii="宋体" w:hAnsi="宋体" w:cs="宋体"/>
          <w:b/>
          <w:sz w:val="24"/>
        </w:rPr>
      </w:pPr>
      <w:r>
        <w:rPr>
          <w:rFonts w:hint="eastAsia" w:ascii="宋体" w:hAnsi="宋体" w:cs="宋体"/>
          <w:b/>
          <w:sz w:val="24"/>
        </w:rPr>
        <w:t>一、我方承诺无下列相互串通投标的情形：</w:t>
      </w:r>
    </w:p>
    <w:p w14:paraId="406A3B22">
      <w:pPr>
        <w:spacing w:line="440" w:lineRule="exact"/>
        <w:ind w:firstLine="470" w:firstLineChars="196"/>
        <w:contextualSpacing/>
        <w:jc w:val="left"/>
        <w:rPr>
          <w:rFonts w:ascii="宋体" w:hAnsi="宋体" w:cs="宋体"/>
          <w:sz w:val="24"/>
        </w:rPr>
      </w:pPr>
      <w:r>
        <w:rPr>
          <w:rFonts w:hint="eastAsia" w:ascii="宋体" w:hAnsi="宋体" w:cs="宋体"/>
          <w:sz w:val="24"/>
        </w:rPr>
        <w:t>1.不同投标人的投标文件由同一单位或者个人编制；</w:t>
      </w:r>
    </w:p>
    <w:p w14:paraId="7DF36446">
      <w:pPr>
        <w:spacing w:line="440" w:lineRule="exact"/>
        <w:ind w:firstLine="470" w:firstLineChars="196"/>
        <w:contextualSpacing/>
        <w:jc w:val="left"/>
        <w:rPr>
          <w:rFonts w:ascii="宋体" w:hAnsi="宋体" w:cs="宋体"/>
          <w:sz w:val="24"/>
        </w:rPr>
      </w:pPr>
      <w:r>
        <w:rPr>
          <w:rFonts w:hint="eastAsia" w:ascii="宋体" w:hAnsi="宋体" w:cs="宋体"/>
          <w:sz w:val="24"/>
        </w:rPr>
        <w:t>2.不同投标人委托同一单位或者个人办理投标事宜；</w:t>
      </w:r>
    </w:p>
    <w:p w14:paraId="03156276">
      <w:pPr>
        <w:spacing w:line="440" w:lineRule="exact"/>
        <w:ind w:firstLine="470" w:firstLineChars="196"/>
        <w:contextualSpacing/>
        <w:jc w:val="left"/>
        <w:rPr>
          <w:rFonts w:ascii="宋体" w:hAnsi="宋体" w:cs="宋体"/>
          <w:sz w:val="24"/>
        </w:rPr>
      </w:pPr>
      <w:r>
        <w:rPr>
          <w:rFonts w:hint="eastAsia" w:ascii="宋体" w:hAnsi="宋体" w:cs="宋体"/>
          <w:sz w:val="24"/>
        </w:rPr>
        <w:t>3.不同的投标人的投标文件载明的项目管理员为同一个人；</w:t>
      </w:r>
    </w:p>
    <w:p w14:paraId="68318FD9">
      <w:pPr>
        <w:spacing w:line="440" w:lineRule="exact"/>
        <w:ind w:firstLine="470" w:firstLineChars="196"/>
        <w:contextualSpacing/>
        <w:jc w:val="left"/>
        <w:rPr>
          <w:rFonts w:ascii="宋体" w:hAnsi="宋体" w:cs="宋体"/>
          <w:sz w:val="24"/>
        </w:rPr>
      </w:pPr>
      <w:r>
        <w:rPr>
          <w:rFonts w:hint="eastAsia" w:ascii="宋体" w:hAnsi="宋体" w:cs="宋体"/>
          <w:sz w:val="24"/>
        </w:rPr>
        <w:t>4.不同投标人的投标文件异常一致或者投标报价呈规律性差异；</w:t>
      </w:r>
    </w:p>
    <w:p w14:paraId="62545381">
      <w:pPr>
        <w:spacing w:line="440" w:lineRule="exact"/>
        <w:ind w:firstLine="470" w:firstLineChars="196"/>
        <w:contextualSpacing/>
        <w:jc w:val="left"/>
        <w:rPr>
          <w:rFonts w:ascii="宋体" w:hAnsi="宋体" w:cs="宋体"/>
          <w:sz w:val="24"/>
        </w:rPr>
      </w:pPr>
      <w:r>
        <w:rPr>
          <w:rFonts w:hint="eastAsia" w:ascii="宋体" w:hAnsi="宋体" w:cs="宋体"/>
          <w:sz w:val="24"/>
        </w:rPr>
        <w:t>5.不同投标人的投标文件相互混装；</w:t>
      </w:r>
    </w:p>
    <w:p w14:paraId="46073208">
      <w:pPr>
        <w:spacing w:line="440" w:lineRule="exact"/>
        <w:ind w:firstLine="470" w:firstLineChars="196"/>
        <w:contextualSpacing/>
        <w:jc w:val="left"/>
        <w:rPr>
          <w:rFonts w:ascii="宋体" w:hAnsi="宋体" w:cs="宋体"/>
          <w:sz w:val="24"/>
        </w:rPr>
      </w:pPr>
      <w:r>
        <w:rPr>
          <w:rFonts w:hint="eastAsia" w:ascii="宋体" w:hAnsi="宋体" w:cs="宋体"/>
          <w:sz w:val="24"/>
        </w:rPr>
        <w:t>6.不同投标人的投标保证金从同一单位或者个人账户转出。</w:t>
      </w:r>
    </w:p>
    <w:p w14:paraId="0EB7E41A">
      <w:pPr>
        <w:spacing w:line="440" w:lineRule="exact"/>
        <w:contextualSpacing/>
        <w:jc w:val="left"/>
        <w:rPr>
          <w:rFonts w:ascii="宋体" w:hAnsi="宋体" w:cs="宋体"/>
          <w:sz w:val="24"/>
        </w:rPr>
      </w:pPr>
      <w:r>
        <w:rPr>
          <w:rFonts w:hint="eastAsia" w:ascii="宋体" w:hAnsi="宋体" w:cs="宋体"/>
          <w:b/>
          <w:sz w:val="24"/>
        </w:rPr>
        <w:t>二、我方承诺无下列恶意串通的情形：</w:t>
      </w:r>
    </w:p>
    <w:p w14:paraId="560D698E">
      <w:pPr>
        <w:spacing w:line="440" w:lineRule="exact"/>
        <w:ind w:firstLine="470" w:firstLineChars="196"/>
        <w:contextualSpacing/>
        <w:jc w:val="left"/>
        <w:rPr>
          <w:rFonts w:ascii="宋体" w:hAnsi="宋体" w:cs="宋体"/>
          <w:sz w:val="24"/>
        </w:rPr>
      </w:pPr>
      <w:r>
        <w:rPr>
          <w:rFonts w:hint="eastAsia" w:ascii="宋体" w:hAnsi="宋体" w:cs="宋体"/>
          <w:sz w:val="24"/>
        </w:rPr>
        <w:t>1.投标人直接或者间接从采购人或者采购代理机构处获得其他投标人的相关信息并修改其投标文件或者响应文件；</w:t>
      </w:r>
    </w:p>
    <w:p w14:paraId="523BAA40">
      <w:pPr>
        <w:spacing w:line="440" w:lineRule="exact"/>
        <w:ind w:firstLine="470" w:firstLineChars="196"/>
        <w:contextualSpacing/>
        <w:jc w:val="left"/>
        <w:rPr>
          <w:rFonts w:ascii="宋体" w:hAnsi="宋体" w:cs="宋体"/>
          <w:sz w:val="24"/>
        </w:rPr>
      </w:pPr>
      <w:r>
        <w:rPr>
          <w:rFonts w:hint="eastAsia" w:ascii="宋体" w:hAnsi="宋体" w:cs="宋体"/>
          <w:sz w:val="24"/>
        </w:rPr>
        <w:t>2.投标人按照采购人或者采购代理机构的授意撤换、修改投标文件或者响应文件；</w:t>
      </w:r>
    </w:p>
    <w:p w14:paraId="2E21CDE9">
      <w:pPr>
        <w:spacing w:line="440" w:lineRule="exact"/>
        <w:ind w:firstLine="470" w:firstLineChars="196"/>
        <w:contextualSpacing/>
        <w:jc w:val="left"/>
        <w:rPr>
          <w:rFonts w:ascii="宋体" w:hAnsi="宋体" w:cs="宋体"/>
          <w:sz w:val="24"/>
        </w:rPr>
      </w:pPr>
      <w:r>
        <w:rPr>
          <w:rFonts w:hint="eastAsia" w:ascii="宋体" w:hAnsi="宋体" w:cs="宋体"/>
          <w:sz w:val="24"/>
        </w:rPr>
        <w:t>3.投标人之间协商报价、技术方案等投标文件或者响应文件的实质性内容；</w:t>
      </w:r>
    </w:p>
    <w:p w14:paraId="67806CB6">
      <w:pPr>
        <w:spacing w:line="440" w:lineRule="exact"/>
        <w:ind w:firstLine="470" w:firstLineChars="196"/>
        <w:contextualSpacing/>
        <w:jc w:val="left"/>
        <w:rPr>
          <w:rFonts w:ascii="宋体" w:hAnsi="宋体" w:cs="宋体"/>
          <w:sz w:val="24"/>
        </w:rPr>
      </w:pPr>
      <w:r>
        <w:rPr>
          <w:rFonts w:hint="eastAsia" w:ascii="宋体" w:hAnsi="宋体" w:cs="宋体"/>
          <w:sz w:val="24"/>
        </w:rPr>
        <w:t>4.属于同一集团、协会、商会等组织成员的投标人按照该组织要求协同参加政府采购活动；</w:t>
      </w:r>
    </w:p>
    <w:p w14:paraId="389175FA">
      <w:pPr>
        <w:spacing w:line="440" w:lineRule="exact"/>
        <w:ind w:firstLine="470" w:firstLineChars="196"/>
        <w:contextualSpacing/>
        <w:jc w:val="left"/>
        <w:rPr>
          <w:rFonts w:ascii="宋体" w:hAnsi="宋体" w:cs="宋体"/>
          <w:sz w:val="24"/>
        </w:rPr>
      </w:pPr>
      <w:r>
        <w:rPr>
          <w:rFonts w:hint="eastAsia" w:ascii="宋体" w:hAnsi="宋体" w:cs="宋体"/>
          <w:sz w:val="24"/>
        </w:rPr>
        <w:t>5.投标人之间事先约定一致抬高或者压低投标报价，或者在招标项目中事先约定轮流以高价位或者低价位中标，或者事先约定由某一特定投标人中标，然后再参加投标；</w:t>
      </w:r>
    </w:p>
    <w:p w14:paraId="6CE4C605">
      <w:pPr>
        <w:spacing w:line="440" w:lineRule="exact"/>
        <w:ind w:firstLine="470" w:firstLineChars="196"/>
        <w:contextualSpacing/>
        <w:jc w:val="left"/>
        <w:rPr>
          <w:rFonts w:ascii="宋体" w:hAnsi="宋体" w:cs="宋体"/>
          <w:sz w:val="24"/>
        </w:rPr>
      </w:pPr>
      <w:r>
        <w:rPr>
          <w:rFonts w:hint="eastAsia" w:ascii="宋体" w:hAnsi="宋体" w:cs="宋体"/>
          <w:sz w:val="24"/>
        </w:rPr>
        <w:t>6.投标人之间商定部分投标人放弃参加政府采购活动或者放弃中标；</w:t>
      </w:r>
    </w:p>
    <w:p w14:paraId="3B1D7A81">
      <w:pPr>
        <w:spacing w:line="440" w:lineRule="exact"/>
        <w:ind w:firstLine="470" w:firstLineChars="196"/>
        <w:contextualSpacing/>
        <w:jc w:val="left"/>
        <w:rPr>
          <w:rFonts w:ascii="宋体" w:hAnsi="宋体" w:cs="宋体"/>
          <w:sz w:val="24"/>
        </w:rPr>
      </w:pPr>
      <w:r>
        <w:rPr>
          <w:rFonts w:hint="eastAsia" w:ascii="宋体" w:hAnsi="宋体" w:cs="宋体"/>
          <w:sz w:val="24"/>
        </w:rPr>
        <w:t>7.投标人与采购人或者采购代理机构之间、投标人相互之间，为谋求特定投标人中标或者排斥其他投标人的其他串通行为。</w:t>
      </w:r>
    </w:p>
    <w:p w14:paraId="0442A776">
      <w:pPr>
        <w:spacing w:line="440" w:lineRule="exact"/>
        <w:ind w:firstLine="472" w:firstLineChars="196"/>
        <w:contextualSpacing/>
        <w:jc w:val="left"/>
        <w:rPr>
          <w:rFonts w:ascii="宋体" w:hAnsi="宋体" w:cs="宋体"/>
          <w:b/>
          <w:sz w:val="24"/>
        </w:rPr>
      </w:pPr>
      <w:r>
        <w:rPr>
          <w:rFonts w:hint="eastAsia" w:ascii="宋体" w:hAnsi="宋体" w:cs="宋体"/>
          <w:b/>
          <w:sz w:val="24"/>
        </w:rPr>
        <w:t>以上情形一经核查属实，我方愿意承担一切后果，并不再寻求任何旨在减轻或者免除法律责任的辩解。</w:t>
      </w:r>
    </w:p>
    <w:p w14:paraId="6BF2EEEF">
      <w:pPr>
        <w:pStyle w:val="25"/>
        <w:spacing w:line="440" w:lineRule="exact"/>
        <w:ind w:firstLine="6840" w:firstLineChars="2850"/>
        <w:contextualSpacing/>
        <w:rPr>
          <w:rFonts w:hAnsi="宋体" w:cs="宋体"/>
          <w:sz w:val="24"/>
          <w:szCs w:val="24"/>
        </w:rPr>
      </w:pPr>
    </w:p>
    <w:p w14:paraId="536DBA48">
      <w:pPr>
        <w:pStyle w:val="25"/>
        <w:spacing w:line="440" w:lineRule="exact"/>
        <w:contextualSpacing/>
        <w:jc w:val="center"/>
        <w:rPr>
          <w:rFonts w:hAnsi="宋体" w:cs="宋体"/>
          <w:sz w:val="24"/>
          <w:szCs w:val="24"/>
        </w:rPr>
      </w:pPr>
      <w:r>
        <w:rPr>
          <w:rFonts w:hint="eastAsia" w:hAnsi="宋体" w:cs="宋体"/>
          <w:sz w:val="24"/>
          <w:szCs w:val="24"/>
        </w:rPr>
        <w:t xml:space="preserve">                                    投标人名称（电子签章）</w:t>
      </w:r>
    </w:p>
    <w:p w14:paraId="74F6DFF0">
      <w:pPr>
        <w:pStyle w:val="25"/>
        <w:spacing w:line="440" w:lineRule="exact"/>
        <w:contextualSpacing/>
        <w:rPr>
          <w:rFonts w:hAnsi="宋体" w:cs="宋体"/>
          <w:sz w:val="24"/>
        </w:rPr>
      </w:pPr>
      <w:r>
        <w:rPr>
          <w:rFonts w:hint="eastAsia" w:hAnsi="宋体" w:cs="宋体"/>
          <w:sz w:val="24"/>
        </w:rPr>
        <w:t xml:space="preserve">                                                </w:t>
      </w:r>
      <w:r>
        <w:rPr>
          <w:rFonts w:hint="eastAsia" w:hAnsi="宋体" w:cs="宋体"/>
          <w:sz w:val="24"/>
          <w:u w:val="single"/>
        </w:rPr>
        <w:t xml:space="preserve">      </w:t>
      </w:r>
      <w:r>
        <w:rPr>
          <w:rFonts w:hint="eastAsia" w:hAnsi="宋体" w:cs="宋体"/>
          <w:sz w:val="24"/>
        </w:rPr>
        <w:t>年</w:t>
      </w:r>
      <w:r>
        <w:rPr>
          <w:rFonts w:hint="eastAsia" w:hAnsi="宋体" w:cs="宋体"/>
          <w:sz w:val="24"/>
          <w:u w:val="single"/>
        </w:rPr>
        <w:t xml:space="preserve">    </w:t>
      </w:r>
      <w:r>
        <w:rPr>
          <w:rFonts w:hint="eastAsia" w:hAnsi="宋体" w:cs="宋体"/>
          <w:sz w:val="24"/>
        </w:rPr>
        <w:t>月</w:t>
      </w:r>
      <w:r>
        <w:rPr>
          <w:rFonts w:hint="eastAsia" w:hAnsi="宋体" w:cs="宋体"/>
          <w:sz w:val="24"/>
          <w:u w:val="single"/>
        </w:rPr>
        <w:t xml:space="preserve">     </w:t>
      </w:r>
      <w:r>
        <w:rPr>
          <w:rFonts w:hint="eastAsia" w:hAnsi="宋体" w:cs="宋体"/>
          <w:sz w:val="24"/>
        </w:rPr>
        <w:t>日</w:t>
      </w:r>
    </w:p>
    <w:p w14:paraId="64E3E144">
      <w:pPr>
        <w:snapToGrid w:val="0"/>
        <w:spacing w:before="120" w:beforeLines="50" w:after="50"/>
        <w:jc w:val="left"/>
        <w:rPr>
          <w:rFonts w:ascii="宋体" w:hAnsi="宋体" w:cs="宋体"/>
          <w:b/>
          <w:sz w:val="24"/>
          <w:szCs w:val="20"/>
        </w:rPr>
      </w:pPr>
      <w:r>
        <w:rPr>
          <w:rFonts w:hint="eastAsia" w:ascii="宋体" w:hAnsi="宋体" w:cs="宋体"/>
          <w:b/>
          <w:sz w:val="24"/>
        </w:rPr>
        <w:br w:type="page"/>
      </w:r>
      <w:r>
        <w:rPr>
          <w:rFonts w:hint="eastAsia" w:ascii="宋体" w:hAnsi="宋体" w:cs="宋体"/>
          <w:b/>
          <w:sz w:val="24"/>
        </w:rPr>
        <w:t>4.法定代表人身份证明</w:t>
      </w:r>
    </w:p>
    <w:p w14:paraId="7B0252E1">
      <w:pPr>
        <w:spacing w:before="240" w:beforeLines="100" w:after="120" w:afterLines="50"/>
        <w:ind w:left="540"/>
        <w:jc w:val="center"/>
        <w:rPr>
          <w:rFonts w:ascii="宋体" w:hAnsi="宋体" w:cs="宋体"/>
          <w:b/>
          <w:sz w:val="32"/>
          <w:szCs w:val="32"/>
        </w:rPr>
      </w:pPr>
    </w:p>
    <w:p w14:paraId="005C4736">
      <w:pPr>
        <w:spacing w:before="240" w:beforeLines="100" w:after="120" w:afterLines="50"/>
        <w:ind w:left="540"/>
        <w:jc w:val="center"/>
        <w:rPr>
          <w:rFonts w:ascii="宋体" w:hAnsi="宋体" w:cs="宋体"/>
          <w:bCs/>
          <w:sz w:val="44"/>
          <w:szCs w:val="44"/>
        </w:rPr>
      </w:pPr>
      <w:r>
        <w:rPr>
          <w:rFonts w:hint="eastAsia" w:ascii="宋体" w:hAnsi="宋体" w:cs="宋体"/>
          <w:bCs/>
          <w:sz w:val="44"/>
          <w:szCs w:val="44"/>
        </w:rPr>
        <w:t>法定代表人身份证明</w:t>
      </w:r>
    </w:p>
    <w:p w14:paraId="49EF70D2">
      <w:pPr>
        <w:spacing w:line="500" w:lineRule="exact"/>
        <w:ind w:left="540"/>
        <w:rPr>
          <w:rFonts w:ascii="宋体" w:hAnsi="宋体" w:cs="宋体"/>
          <w:sz w:val="24"/>
        </w:rPr>
      </w:pPr>
      <w:r>
        <w:rPr>
          <w:rFonts w:hint="eastAsia" w:ascii="宋体" w:hAnsi="宋体" w:cs="宋体"/>
          <w:sz w:val="24"/>
        </w:rPr>
        <w:t>投 标 人：</w:t>
      </w:r>
      <w:r>
        <w:rPr>
          <w:rFonts w:hint="eastAsia" w:ascii="宋体" w:hAnsi="宋体" w:cs="宋体"/>
          <w:sz w:val="24"/>
          <w:u w:val="single"/>
        </w:rPr>
        <w:t xml:space="preserve">                                                       </w:t>
      </w:r>
    </w:p>
    <w:p w14:paraId="630E3A26">
      <w:pPr>
        <w:spacing w:line="500" w:lineRule="exact"/>
        <w:ind w:left="540"/>
        <w:rPr>
          <w:rFonts w:ascii="宋体" w:hAnsi="宋体" w:cs="宋体"/>
          <w:sz w:val="24"/>
        </w:rPr>
      </w:pPr>
      <w:r>
        <w:rPr>
          <w:rFonts w:hint="eastAsia" w:ascii="宋体" w:hAnsi="宋体" w:cs="宋体"/>
          <w:sz w:val="24"/>
        </w:rPr>
        <w:t>地    址：</w:t>
      </w:r>
      <w:r>
        <w:rPr>
          <w:rFonts w:hint="eastAsia" w:ascii="宋体" w:hAnsi="宋体" w:cs="宋体"/>
          <w:sz w:val="24"/>
          <w:u w:val="single"/>
        </w:rPr>
        <w:t xml:space="preserve">                                                       </w:t>
      </w:r>
    </w:p>
    <w:p w14:paraId="70A63549">
      <w:pPr>
        <w:spacing w:line="500" w:lineRule="exact"/>
        <w:ind w:left="540"/>
        <w:rPr>
          <w:rFonts w:ascii="宋体" w:hAnsi="宋体" w:cs="宋体"/>
          <w:sz w:val="24"/>
        </w:rPr>
      </w:pPr>
      <w:r>
        <w:rPr>
          <w:rFonts w:hint="eastAsia" w:ascii="宋体" w:hAnsi="宋体" w:cs="宋体"/>
          <w:sz w:val="24"/>
        </w:rPr>
        <w:t>姓    名：</w:t>
      </w:r>
      <w:r>
        <w:rPr>
          <w:rFonts w:hint="eastAsia" w:ascii="宋体" w:hAnsi="宋体" w:cs="宋体"/>
          <w:sz w:val="24"/>
          <w:u w:val="single"/>
        </w:rPr>
        <w:t xml:space="preserve">                         </w:t>
      </w:r>
      <w:r>
        <w:rPr>
          <w:rFonts w:hint="eastAsia" w:ascii="宋体" w:hAnsi="宋体" w:cs="宋体"/>
          <w:sz w:val="24"/>
        </w:rPr>
        <w:t>性      别：</w:t>
      </w:r>
      <w:r>
        <w:rPr>
          <w:rFonts w:hint="eastAsia" w:ascii="宋体" w:hAnsi="宋体" w:cs="宋体"/>
          <w:sz w:val="24"/>
          <w:u w:val="single"/>
        </w:rPr>
        <w:t xml:space="preserve">               </w:t>
      </w:r>
    </w:p>
    <w:p w14:paraId="4517006F">
      <w:pPr>
        <w:spacing w:line="500" w:lineRule="exact"/>
        <w:ind w:left="540"/>
        <w:rPr>
          <w:rFonts w:ascii="宋体" w:hAnsi="宋体" w:cs="宋体"/>
          <w:sz w:val="24"/>
          <w:u w:val="single"/>
        </w:rPr>
      </w:pPr>
      <w:r>
        <w:rPr>
          <w:rFonts w:hint="eastAsia" w:ascii="宋体" w:hAnsi="宋体" w:cs="宋体"/>
          <w:sz w:val="24"/>
        </w:rPr>
        <w:t>年    龄：</w:t>
      </w:r>
      <w:r>
        <w:rPr>
          <w:rFonts w:hint="eastAsia" w:ascii="宋体" w:hAnsi="宋体" w:cs="宋体"/>
          <w:sz w:val="24"/>
          <w:u w:val="single"/>
        </w:rPr>
        <w:t xml:space="preserve">                         </w:t>
      </w:r>
      <w:r>
        <w:rPr>
          <w:rFonts w:hint="eastAsia" w:ascii="宋体" w:hAnsi="宋体" w:cs="宋体"/>
          <w:sz w:val="24"/>
        </w:rPr>
        <w:t>职      务：</w:t>
      </w:r>
      <w:r>
        <w:rPr>
          <w:rFonts w:hint="eastAsia" w:ascii="宋体" w:hAnsi="宋体" w:cs="宋体"/>
          <w:sz w:val="24"/>
          <w:u w:val="single"/>
        </w:rPr>
        <w:t xml:space="preserve">               </w:t>
      </w:r>
    </w:p>
    <w:p w14:paraId="1138E8B2">
      <w:pPr>
        <w:spacing w:line="500" w:lineRule="exact"/>
        <w:ind w:left="540"/>
        <w:rPr>
          <w:rFonts w:ascii="宋体" w:hAnsi="宋体" w:cs="宋体"/>
          <w:sz w:val="24"/>
        </w:rPr>
      </w:pPr>
      <w:r>
        <w:rPr>
          <w:rFonts w:hint="eastAsia" w:ascii="宋体" w:hAnsi="宋体" w:cs="宋体"/>
          <w:sz w:val="24"/>
        </w:rPr>
        <w:t>身份证号码：</w:t>
      </w:r>
      <w:r>
        <w:rPr>
          <w:rFonts w:hint="eastAsia" w:ascii="宋体" w:hAnsi="宋体" w:cs="宋体"/>
          <w:sz w:val="24"/>
          <w:u w:val="single"/>
        </w:rPr>
        <w:t xml:space="preserve">                                </w:t>
      </w:r>
    </w:p>
    <w:p w14:paraId="4B2DB0B4">
      <w:pPr>
        <w:spacing w:line="500" w:lineRule="exact"/>
        <w:ind w:left="540"/>
        <w:rPr>
          <w:rFonts w:ascii="宋体" w:hAnsi="宋体" w:cs="宋体"/>
          <w:sz w:val="24"/>
        </w:rPr>
      </w:pPr>
      <w:r>
        <w:rPr>
          <w:rFonts w:hint="eastAsia" w:ascii="宋体" w:hAnsi="宋体" w:cs="宋体"/>
          <w:sz w:val="24"/>
        </w:rPr>
        <w:t>系</w:t>
      </w:r>
      <w:r>
        <w:rPr>
          <w:rFonts w:hint="eastAsia" w:ascii="宋体" w:hAnsi="宋体" w:cs="宋体"/>
          <w:sz w:val="24"/>
          <w:u w:val="single"/>
        </w:rPr>
        <w:t xml:space="preserve">           （投标人名称）             </w:t>
      </w:r>
      <w:r>
        <w:rPr>
          <w:rFonts w:hint="eastAsia" w:ascii="宋体" w:hAnsi="宋体" w:cs="宋体"/>
          <w:sz w:val="24"/>
        </w:rPr>
        <w:t>的法定代表人。</w:t>
      </w:r>
    </w:p>
    <w:p w14:paraId="15F22B7C">
      <w:pPr>
        <w:spacing w:line="500" w:lineRule="exact"/>
        <w:ind w:left="540"/>
        <w:rPr>
          <w:rFonts w:ascii="宋体" w:hAnsi="宋体" w:cs="宋体"/>
          <w:sz w:val="24"/>
        </w:rPr>
      </w:pPr>
      <w:r>
        <w:rPr>
          <w:rFonts w:hint="eastAsia" w:ascii="宋体" w:hAnsi="宋体" w:cs="宋体"/>
          <w:sz w:val="24"/>
        </w:rPr>
        <w:t>特此证明。</w:t>
      </w:r>
    </w:p>
    <w:p w14:paraId="4B4A1867">
      <w:pPr>
        <w:spacing w:line="500" w:lineRule="exact"/>
        <w:ind w:left="540"/>
        <w:rPr>
          <w:rFonts w:ascii="宋体" w:hAnsi="宋体" w:cs="宋体"/>
          <w:sz w:val="24"/>
        </w:rPr>
      </w:pPr>
    </w:p>
    <w:p w14:paraId="41F51E4A">
      <w:pPr>
        <w:spacing w:line="500" w:lineRule="exact"/>
        <w:ind w:left="540"/>
        <w:rPr>
          <w:rFonts w:ascii="宋体" w:hAnsi="宋体" w:cs="宋体"/>
          <w:sz w:val="24"/>
        </w:rPr>
      </w:pPr>
    </w:p>
    <w:p w14:paraId="313669C1">
      <w:pPr>
        <w:spacing w:line="500" w:lineRule="exact"/>
        <w:ind w:left="540"/>
        <w:rPr>
          <w:rFonts w:ascii="宋体" w:hAnsi="宋体" w:cs="宋体"/>
          <w:sz w:val="24"/>
        </w:rPr>
      </w:pPr>
      <w:r>
        <w:rPr>
          <w:rFonts w:hint="eastAsia" w:ascii="宋体" w:hAnsi="宋体" w:cs="宋体"/>
          <w:sz w:val="24"/>
        </w:rPr>
        <w:t>附件：法定代表人有效身份证正反面复印件</w:t>
      </w:r>
    </w:p>
    <w:p w14:paraId="5DBFFF84">
      <w:pPr>
        <w:spacing w:line="500" w:lineRule="exact"/>
        <w:ind w:left="540"/>
        <w:rPr>
          <w:rFonts w:ascii="宋体" w:hAnsi="宋体" w:cs="宋体"/>
          <w:sz w:val="24"/>
        </w:rPr>
      </w:pPr>
    </w:p>
    <w:p w14:paraId="5B275E28">
      <w:pPr>
        <w:spacing w:line="500" w:lineRule="exact"/>
        <w:ind w:left="540"/>
        <w:jc w:val="center"/>
        <w:rPr>
          <w:rFonts w:ascii="宋体" w:hAnsi="宋体" w:cs="宋体"/>
          <w:sz w:val="24"/>
        </w:rPr>
      </w:pPr>
      <w:r>
        <w:rPr>
          <w:rFonts w:hint="eastAsia" w:ascii="宋体" w:hAnsi="宋体" w:cs="宋体"/>
          <w:sz w:val="24"/>
        </w:rPr>
        <w:t>投标人名称（电子签章）</w:t>
      </w:r>
    </w:p>
    <w:p w14:paraId="3F570161">
      <w:pPr>
        <w:spacing w:line="500" w:lineRule="exact"/>
        <w:ind w:left="540"/>
        <w:jc w:val="right"/>
        <w:rPr>
          <w:rFonts w:ascii="宋体" w:hAnsi="宋体" w:cs="宋体"/>
          <w:sz w:val="24"/>
        </w:rPr>
      </w:pPr>
    </w:p>
    <w:p w14:paraId="03E58555">
      <w:pPr>
        <w:snapToGrid w:val="0"/>
        <w:spacing w:before="120" w:beforeLines="50" w:after="50"/>
        <w:ind w:left="540"/>
        <w:jc w:val="right"/>
        <w:rPr>
          <w:rFonts w:ascii="宋体" w:hAnsi="宋体" w:cs="宋体"/>
          <w:sz w:val="24"/>
        </w:rPr>
      </w:pP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3347EA8D">
      <w:pPr>
        <w:snapToGrid w:val="0"/>
        <w:spacing w:before="120" w:beforeLines="50" w:after="50"/>
        <w:jc w:val="center"/>
        <w:rPr>
          <w:rFonts w:ascii="宋体" w:hAnsi="宋体" w:cs="宋体"/>
          <w:b/>
          <w:sz w:val="24"/>
        </w:rPr>
      </w:pPr>
    </w:p>
    <w:p w14:paraId="448B7D86">
      <w:pPr>
        <w:snapToGrid w:val="0"/>
        <w:spacing w:before="120" w:beforeLines="50" w:after="50"/>
        <w:jc w:val="left"/>
        <w:rPr>
          <w:rFonts w:ascii="宋体" w:hAnsi="宋体" w:cs="宋体"/>
          <w:b/>
          <w:sz w:val="24"/>
          <w:szCs w:val="20"/>
        </w:rPr>
      </w:pPr>
      <w:r>
        <w:rPr>
          <w:rFonts w:hint="eastAsia" w:ascii="宋体" w:hAnsi="宋体" w:cs="宋体"/>
          <w:sz w:val="24"/>
        </w:rPr>
        <w:t>注：自然人投标的无需提供</w:t>
      </w:r>
    </w:p>
    <w:p w14:paraId="002F6771">
      <w:pPr>
        <w:snapToGrid w:val="0"/>
        <w:spacing w:before="120" w:beforeLines="50" w:after="50"/>
        <w:jc w:val="left"/>
        <w:rPr>
          <w:rFonts w:ascii="宋体" w:hAnsi="宋体" w:cs="宋体"/>
          <w:b/>
          <w:sz w:val="24"/>
          <w:szCs w:val="20"/>
        </w:rPr>
      </w:pPr>
      <w:r>
        <w:rPr>
          <w:rFonts w:hint="eastAsia" w:ascii="宋体" w:hAnsi="宋体" w:cs="宋体"/>
          <w:b/>
          <w:sz w:val="24"/>
        </w:rPr>
        <w:br w:type="page"/>
      </w:r>
      <w:r>
        <w:rPr>
          <w:rFonts w:hint="eastAsia" w:ascii="宋体" w:hAnsi="宋体" w:cs="宋体"/>
          <w:b/>
          <w:sz w:val="24"/>
        </w:rPr>
        <w:t>5.授权委托书格式</w:t>
      </w:r>
    </w:p>
    <w:p w14:paraId="06E1ED22">
      <w:pPr>
        <w:spacing w:line="360" w:lineRule="auto"/>
        <w:contextualSpacing/>
        <w:jc w:val="center"/>
        <w:rPr>
          <w:rFonts w:ascii="宋体" w:hAnsi="宋体" w:cs="宋体"/>
          <w:bCs/>
          <w:sz w:val="44"/>
          <w:szCs w:val="44"/>
        </w:rPr>
      </w:pPr>
      <w:r>
        <w:rPr>
          <w:rFonts w:hint="eastAsia" w:ascii="宋体" w:hAnsi="宋体" w:cs="宋体"/>
          <w:bCs/>
          <w:sz w:val="44"/>
          <w:szCs w:val="44"/>
        </w:rPr>
        <w:t>授权委托书</w:t>
      </w:r>
    </w:p>
    <w:p w14:paraId="7A661538">
      <w:pPr>
        <w:spacing w:line="360" w:lineRule="auto"/>
        <w:contextualSpacing/>
        <w:jc w:val="center"/>
        <w:rPr>
          <w:rFonts w:ascii="宋体" w:hAnsi="宋体" w:cs="宋体"/>
          <w:bCs/>
          <w:sz w:val="32"/>
          <w:szCs w:val="32"/>
        </w:rPr>
      </w:pPr>
      <w:r>
        <w:rPr>
          <w:rFonts w:hint="eastAsia" w:ascii="宋体" w:hAnsi="宋体" w:cs="宋体"/>
          <w:bCs/>
          <w:sz w:val="32"/>
          <w:szCs w:val="32"/>
        </w:rPr>
        <w:t>（非联合体投标格式）</w:t>
      </w:r>
    </w:p>
    <w:p w14:paraId="07483E3E">
      <w:pPr>
        <w:spacing w:line="360" w:lineRule="auto"/>
        <w:contextualSpacing/>
        <w:jc w:val="center"/>
        <w:rPr>
          <w:rFonts w:ascii="宋体" w:hAnsi="宋体" w:cs="宋体"/>
          <w:bCs/>
          <w:sz w:val="24"/>
        </w:rPr>
      </w:pPr>
      <w:r>
        <w:rPr>
          <w:rFonts w:hint="eastAsia" w:ascii="宋体" w:hAnsi="宋体" w:cs="宋体"/>
          <w:bCs/>
          <w:sz w:val="32"/>
          <w:szCs w:val="32"/>
        </w:rPr>
        <w:t>（如有委托时）</w:t>
      </w:r>
    </w:p>
    <w:p w14:paraId="086E4B9B">
      <w:pPr>
        <w:spacing w:line="440" w:lineRule="exact"/>
        <w:contextualSpacing/>
        <w:rPr>
          <w:rFonts w:ascii="宋体" w:hAnsi="宋体" w:cs="宋体"/>
          <w:b/>
          <w:bCs/>
          <w:sz w:val="24"/>
        </w:rPr>
      </w:pPr>
      <w:r>
        <w:rPr>
          <w:rFonts w:hint="eastAsia" w:ascii="宋体" w:hAnsi="宋体" w:cs="宋体"/>
          <w:bCs/>
          <w:sz w:val="24"/>
        </w:rPr>
        <w:t>致：</w:t>
      </w:r>
      <w:r>
        <w:rPr>
          <w:rFonts w:hint="eastAsia" w:ascii="宋体" w:hAnsi="宋体" w:cs="宋体"/>
          <w:sz w:val="24"/>
          <w:u w:val="single"/>
        </w:rPr>
        <w:t>采购人名称</w:t>
      </w:r>
      <w:r>
        <w:rPr>
          <w:rFonts w:hint="eastAsia" w:ascii="宋体" w:hAnsi="宋体" w:cs="宋体"/>
          <w:sz w:val="24"/>
        </w:rPr>
        <w:t>：</w:t>
      </w:r>
    </w:p>
    <w:p w14:paraId="44AB51F7">
      <w:pPr>
        <w:spacing w:line="440" w:lineRule="exact"/>
        <w:ind w:firstLine="566" w:firstLineChars="236"/>
        <w:contextualSpacing/>
        <w:rPr>
          <w:rFonts w:ascii="宋体" w:hAnsi="宋体" w:cs="宋体"/>
          <w:sz w:val="24"/>
        </w:rPr>
      </w:pPr>
      <w:r>
        <w:rPr>
          <w:rFonts w:hint="eastAsia" w:ascii="宋体" w:hAnsi="宋体" w:cs="宋体"/>
          <w:sz w:val="24"/>
        </w:rPr>
        <w:t>我</w:t>
      </w:r>
      <w:r>
        <w:rPr>
          <w:rFonts w:hint="eastAsia" w:ascii="宋体" w:hAnsi="宋体" w:cs="宋体"/>
          <w:sz w:val="24"/>
          <w:u w:val="single"/>
        </w:rPr>
        <w:t xml:space="preserve">      （</w:t>
      </w:r>
      <w:r>
        <w:rPr>
          <w:rFonts w:hint="eastAsia" w:ascii="宋体" w:hAnsi="宋体" w:cs="宋体"/>
          <w:sz w:val="24"/>
        </w:rPr>
        <w:t>姓名）系</w:t>
      </w:r>
      <w:r>
        <w:rPr>
          <w:rFonts w:hint="eastAsia" w:ascii="宋体" w:hAnsi="宋体" w:cs="宋体"/>
          <w:sz w:val="24"/>
          <w:u w:val="single"/>
        </w:rPr>
        <w:t xml:space="preserve">     （</w:t>
      </w:r>
      <w:r>
        <w:rPr>
          <w:rFonts w:hint="eastAsia" w:ascii="宋体" w:hAnsi="宋体" w:cs="宋体"/>
          <w:sz w:val="24"/>
        </w:rPr>
        <w:t>投标人名称）的法定代表人，现授权委托</w:t>
      </w:r>
      <w:r>
        <w:rPr>
          <w:rFonts w:hint="eastAsia" w:ascii="宋体" w:hAnsi="宋体" w:cs="宋体"/>
          <w:sz w:val="24"/>
          <w:u w:val="single"/>
        </w:rPr>
        <w:t xml:space="preserve">             （姓名）</w:t>
      </w:r>
      <w:r>
        <w:rPr>
          <w:rFonts w:hint="eastAsia" w:ascii="宋体" w:hAnsi="宋体" w:cs="宋体"/>
          <w:sz w:val="24"/>
        </w:rPr>
        <w:t>以我方的名义参加</w:t>
      </w:r>
      <w:r>
        <w:rPr>
          <w:rFonts w:hint="eastAsia" w:ascii="宋体" w:hAnsi="宋体" w:cs="宋体"/>
          <w:sz w:val="24"/>
          <w:u w:val="single"/>
        </w:rPr>
        <w:t xml:space="preserve">              </w:t>
      </w:r>
      <w:r>
        <w:rPr>
          <w:rFonts w:hint="eastAsia" w:ascii="宋体" w:hAnsi="宋体" w:cs="宋体"/>
          <w:sz w:val="24"/>
        </w:rPr>
        <w:t>项目的投标活动，并代表我方全权办理针对上述项目的所有采购程序和环节的具体事务和签署相关文件。</w:t>
      </w:r>
    </w:p>
    <w:p w14:paraId="1390B7B5">
      <w:pPr>
        <w:spacing w:line="440" w:lineRule="exact"/>
        <w:contextualSpacing/>
        <w:rPr>
          <w:rFonts w:ascii="宋体" w:hAnsi="宋体" w:cs="宋体"/>
          <w:sz w:val="24"/>
        </w:rPr>
      </w:pPr>
      <w:r>
        <w:rPr>
          <w:rFonts w:hint="eastAsia" w:ascii="宋体" w:hAnsi="宋体" w:cs="宋体"/>
          <w:sz w:val="24"/>
        </w:rPr>
        <w:t xml:space="preserve">    我方对委托代理人的签字或者电子盖章事项负全部责任。</w:t>
      </w:r>
    </w:p>
    <w:p w14:paraId="473AC97F">
      <w:pPr>
        <w:spacing w:line="440" w:lineRule="exact"/>
        <w:ind w:firstLine="480"/>
        <w:contextualSpacing/>
        <w:rPr>
          <w:rFonts w:ascii="宋体" w:hAnsi="宋体" w:cs="宋体"/>
          <w:sz w:val="24"/>
        </w:rPr>
      </w:pPr>
      <w:r>
        <w:rPr>
          <w:rFonts w:hint="eastAsia" w:ascii="宋体" w:hAnsi="宋体" w:cs="宋体"/>
          <w:sz w:val="24"/>
          <w:u w:val="single"/>
        </w:rPr>
        <w:t>本授权书自签署之日起生效，在撤销授权的书面通知以前，本授权书一直有效。委托代理人在授权书有效期内签署的所有文件不因授权的撤销而失效。</w:t>
      </w:r>
    </w:p>
    <w:p w14:paraId="103F3A7A">
      <w:pPr>
        <w:spacing w:line="440" w:lineRule="exact"/>
        <w:ind w:firstLine="480"/>
        <w:contextualSpacing/>
        <w:rPr>
          <w:rFonts w:ascii="宋体" w:hAnsi="宋体" w:cs="宋体"/>
          <w:sz w:val="24"/>
        </w:rPr>
      </w:pPr>
      <w:r>
        <w:rPr>
          <w:rFonts w:hint="eastAsia" w:ascii="宋体" w:hAnsi="宋体" w:cs="宋体"/>
          <w:sz w:val="24"/>
        </w:rPr>
        <w:t>委托代理人无转委托权，特此委托。</w:t>
      </w:r>
    </w:p>
    <w:p w14:paraId="0D2236D2">
      <w:pPr>
        <w:spacing w:line="440" w:lineRule="exact"/>
        <w:ind w:firstLine="480"/>
        <w:contextualSpacing/>
        <w:rPr>
          <w:rFonts w:ascii="宋体" w:hAnsi="宋体" w:cs="宋体"/>
          <w:sz w:val="24"/>
        </w:rPr>
      </w:pPr>
      <w:r>
        <w:rPr>
          <w:rFonts w:hint="eastAsia" w:ascii="宋体" w:hAnsi="宋体" w:cs="宋体"/>
          <w:sz w:val="24"/>
        </w:rPr>
        <w:t>附：法定代表人身份证明及委托代理人有效身份证正反面复印件</w:t>
      </w:r>
    </w:p>
    <w:p w14:paraId="3674A7A2">
      <w:pPr>
        <w:spacing w:line="440" w:lineRule="exact"/>
        <w:contextualSpacing/>
        <w:rPr>
          <w:rFonts w:ascii="宋体" w:hAnsi="宋体" w:cs="宋体"/>
          <w:sz w:val="24"/>
        </w:rPr>
      </w:pPr>
    </w:p>
    <w:p w14:paraId="32E91D97">
      <w:pPr>
        <w:spacing w:line="440" w:lineRule="exact"/>
        <w:contextualSpacing/>
        <w:rPr>
          <w:rFonts w:ascii="宋体" w:hAnsi="宋体" w:cs="宋体"/>
          <w:sz w:val="24"/>
        </w:rPr>
      </w:pPr>
      <w:r>
        <w:rPr>
          <w:rFonts w:hint="eastAsia" w:ascii="宋体" w:hAnsi="宋体" w:cs="宋体"/>
          <w:sz w:val="24"/>
        </w:rPr>
        <w:t>委托代理人（签字或电子盖章）：</w:t>
      </w:r>
      <w:r>
        <w:rPr>
          <w:rFonts w:hint="eastAsia" w:ascii="宋体" w:hAnsi="宋体" w:cs="宋体"/>
          <w:sz w:val="24"/>
          <w:u w:val="single"/>
        </w:rPr>
        <w:t xml:space="preserve">              </w:t>
      </w:r>
      <w:r>
        <w:rPr>
          <w:rFonts w:hint="eastAsia" w:ascii="宋体" w:hAnsi="宋体" w:cs="宋体"/>
          <w:sz w:val="24"/>
        </w:rPr>
        <w:t xml:space="preserve">            </w:t>
      </w:r>
    </w:p>
    <w:p w14:paraId="5BB72251">
      <w:pPr>
        <w:spacing w:line="440" w:lineRule="exact"/>
        <w:contextualSpacing/>
        <w:rPr>
          <w:rFonts w:ascii="宋体" w:hAnsi="宋体" w:cs="宋体"/>
          <w:sz w:val="24"/>
          <w:u w:val="single"/>
        </w:rPr>
      </w:pPr>
      <w:r>
        <w:rPr>
          <w:rFonts w:hint="eastAsia" w:ascii="宋体" w:hAnsi="宋体" w:cs="宋体"/>
          <w:sz w:val="24"/>
        </w:rPr>
        <w:t>委托代理人身份证号码：</w:t>
      </w:r>
      <w:r>
        <w:rPr>
          <w:rFonts w:hint="eastAsia" w:ascii="宋体" w:hAnsi="宋体" w:cs="宋体"/>
          <w:sz w:val="24"/>
          <w:u w:val="single"/>
        </w:rPr>
        <w:t xml:space="preserve">                            </w:t>
      </w:r>
    </w:p>
    <w:p w14:paraId="2E2D688D">
      <w:pPr>
        <w:spacing w:line="440" w:lineRule="exact"/>
        <w:contextualSpacing/>
        <w:rPr>
          <w:rFonts w:ascii="宋体" w:hAnsi="宋体" w:cs="宋体"/>
          <w:sz w:val="24"/>
          <w:u w:val="single"/>
        </w:rPr>
      </w:pPr>
      <w:r>
        <w:rPr>
          <w:rFonts w:hint="eastAsia" w:ascii="宋体" w:hAnsi="宋体" w:cs="宋体"/>
          <w:sz w:val="24"/>
        </w:rPr>
        <w:t>法定代表人（签字或者电子盖章或者电子签名）：</w:t>
      </w:r>
      <w:r>
        <w:rPr>
          <w:rFonts w:hint="eastAsia" w:ascii="宋体" w:hAnsi="宋体" w:cs="宋体"/>
          <w:sz w:val="24"/>
          <w:u w:val="single"/>
        </w:rPr>
        <w:t xml:space="preserve">             </w:t>
      </w:r>
    </w:p>
    <w:p w14:paraId="28EB8E11">
      <w:pPr>
        <w:spacing w:line="440" w:lineRule="exact"/>
        <w:contextualSpacing/>
        <w:rPr>
          <w:rFonts w:ascii="宋体" w:hAnsi="宋体" w:cs="宋体"/>
          <w:sz w:val="24"/>
        </w:rPr>
      </w:pPr>
      <w:r>
        <w:rPr>
          <w:rFonts w:hint="eastAsia" w:ascii="宋体" w:hAnsi="宋体" w:cs="宋体"/>
          <w:sz w:val="24"/>
        </w:rPr>
        <w:t xml:space="preserve"> </w:t>
      </w:r>
    </w:p>
    <w:p w14:paraId="234C1C96">
      <w:pPr>
        <w:spacing w:line="440" w:lineRule="exact"/>
        <w:contextualSpacing/>
        <w:jc w:val="center"/>
        <w:rPr>
          <w:rFonts w:ascii="宋体" w:hAnsi="宋体" w:cs="宋体"/>
          <w:sz w:val="24"/>
        </w:rPr>
      </w:pPr>
      <w:r>
        <w:rPr>
          <w:rFonts w:hint="eastAsia" w:ascii="宋体" w:hAnsi="宋体" w:cs="宋体"/>
          <w:sz w:val="24"/>
        </w:rPr>
        <w:t xml:space="preserve">                                                投标人名称（电子签章）：</w:t>
      </w:r>
    </w:p>
    <w:p w14:paraId="3093128C">
      <w:pPr>
        <w:spacing w:line="440" w:lineRule="exact"/>
        <w:contextualSpacing/>
        <w:jc w:val="center"/>
        <w:rPr>
          <w:rFonts w:ascii="宋体" w:hAnsi="宋体" w:cs="宋体"/>
          <w:sz w:val="24"/>
        </w:rPr>
      </w:pPr>
      <w:r>
        <w:rPr>
          <w:rFonts w:hint="eastAsia" w:ascii="宋体" w:hAnsi="宋体" w:cs="宋体"/>
          <w:sz w:val="24"/>
        </w:rPr>
        <w:t xml:space="preserve">                                              年    月    日</w:t>
      </w:r>
    </w:p>
    <w:p w14:paraId="7EACAF36">
      <w:pPr>
        <w:spacing w:line="440" w:lineRule="exact"/>
        <w:contextualSpacing/>
        <w:rPr>
          <w:rFonts w:ascii="宋体" w:hAnsi="宋体" w:cs="宋体"/>
          <w:sz w:val="24"/>
        </w:rPr>
      </w:pPr>
      <w:r>
        <w:rPr>
          <w:rFonts w:hint="eastAsia" w:ascii="宋体" w:hAnsi="宋体" w:cs="宋体"/>
          <w:sz w:val="24"/>
        </w:rPr>
        <w:t>注：1.</w:t>
      </w:r>
      <w:bookmarkStart w:id="113" w:name="_Hlk65851555"/>
      <w:bookmarkStart w:id="114" w:name="_Hlk65851620"/>
      <w:r>
        <w:rPr>
          <w:rFonts w:hint="eastAsia" w:ascii="宋体" w:hAnsi="宋体" w:cs="宋体"/>
          <w:sz w:val="24"/>
        </w:rPr>
        <w:t>法定代表人必须在授权委托书上亲笔签字或者电子盖章或者电子签名，</w:t>
      </w:r>
      <w:bookmarkEnd w:id="113"/>
      <w:r>
        <w:rPr>
          <w:rFonts w:hint="eastAsia" w:ascii="宋体" w:hAnsi="宋体" w:cs="宋体"/>
          <w:sz w:val="24"/>
        </w:rPr>
        <w:t>委托代理人必须在授权委托书上亲笔签字或者电子盖章，</w:t>
      </w:r>
      <w:r>
        <w:rPr>
          <w:rFonts w:hint="eastAsia" w:ascii="宋体" w:hAnsi="宋体" w:cs="宋体"/>
          <w:b/>
          <w:bCs/>
          <w:sz w:val="24"/>
        </w:rPr>
        <w:t>否则按无效投标处理</w:t>
      </w:r>
      <w:r>
        <w:rPr>
          <w:rFonts w:hint="eastAsia" w:ascii="宋体" w:hAnsi="宋体" w:cs="宋体"/>
          <w:sz w:val="24"/>
        </w:rPr>
        <w:t>；</w:t>
      </w:r>
      <w:bookmarkEnd w:id="114"/>
    </w:p>
    <w:p w14:paraId="5CCFF668">
      <w:pPr>
        <w:spacing w:line="440" w:lineRule="exact"/>
        <w:ind w:firstLine="480" w:firstLineChars="200"/>
        <w:contextualSpacing/>
        <w:jc w:val="left"/>
        <w:rPr>
          <w:rFonts w:ascii="宋体" w:hAnsi="宋体" w:cs="宋体"/>
          <w:sz w:val="24"/>
        </w:rPr>
      </w:pPr>
      <w:r>
        <w:rPr>
          <w:rFonts w:hint="eastAsia" w:ascii="宋体" w:hAnsi="宋体" w:cs="宋体"/>
          <w:sz w:val="24"/>
        </w:rPr>
        <w:t>2.法人、其他组织投标时“我方”是指“我单位”，自然人投标时“我方”是指“本人”。</w:t>
      </w:r>
    </w:p>
    <w:p w14:paraId="7D3A7C1C">
      <w:pPr>
        <w:rPr>
          <w:rFonts w:ascii="宋体" w:hAnsi="宋体" w:cs="宋体"/>
          <w:sz w:val="24"/>
        </w:rPr>
      </w:pPr>
      <w:r>
        <w:rPr>
          <w:rFonts w:hint="eastAsia" w:ascii="宋体" w:hAnsi="宋体" w:cs="宋体"/>
          <w:sz w:val="24"/>
        </w:rPr>
        <w:br w:type="page"/>
      </w:r>
    </w:p>
    <w:p w14:paraId="009A2B57">
      <w:pPr>
        <w:rPr>
          <w:rFonts w:ascii="宋体" w:hAnsi="宋体" w:cs="宋体"/>
          <w:sz w:val="24"/>
          <w:u w:val="single"/>
        </w:rPr>
      </w:pPr>
      <w:r>
        <w:rPr>
          <w:rFonts w:hint="eastAsia" w:ascii="宋体" w:hAnsi="宋体" w:cs="宋体"/>
          <w:b/>
          <w:sz w:val="24"/>
        </w:rPr>
        <w:t>6.商务要求偏离表格式（注：按项目需求表具体项目修改）</w:t>
      </w:r>
    </w:p>
    <w:tbl>
      <w:tblPr>
        <w:tblStyle w:val="48"/>
        <w:tblW w:w="97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52"/>
        <w:gridCol w:w="1926"/>
        <w:gridCol w:w="2552"/>
        <w:gridCol w:w="2835"/>
        <w:gridCol w:w="1326"/>
      </w:tblGrid>
      <w:tr w14:paraId="011E97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1152" w:type="dxa"/>
            <w:tcBorders>
              <w:top w:val="single" w:color="auto" w:sz="4" w:space="0"/>
              <w:left w:val="single" w:color="auto" w:sz="4" w:space="0"/>
              <w:bottom w:val="single" w:color="auto" w:sz="4" w:space="0"/>
              <w:right w:val="single" w:color="auto" w:sz="4" w:space="0"/>
            </w:tcBorders>
          </w:tcPr>
          <w:p w14:paraId="01A15698">
            <w:pPr>
              <w:snapToGrid w:val="0"/>
              <w:spacing w:before="120" w:beforeLines="50"/>
              <w:jc w:val="center"/>
              <w:rPr>
                <w:rFonts w:ascii="宋体" w:hAnsi="宋体" w:cs="宋体"/>
                <w:sz w:val="24"/>
              </w:rPr>
            </w:pPr>
            <w:r>
              <w:rPr>
                <w:rFonts w:hint="eastAsia" w:ascii="宋体" w:hAnsi="宋体" w:cs="宋体"/>
                <w:sz w:val="24"/>
              </w:rPr>
              <w:t>序号</w:t>
            </w:r>
          </w:p>
        </w:tc>
        <w:tc>
          <w:tcPr>
            <w:tcW w:w="1926" w:type="dxa"/>
            <w:tcBorders>
              <w:top w:val="single" w:color="auto" w:sz="4" w:space="0"/>
              <w:left w:val="single" w:color="auto" w:sz="4" w:space="0"/>
              <w:bottom w:val="single" w:color="auto" w:sz="4" w:space="0"/>
              <w:right w:val="single" w:color="auto" w:sz="4" w:space="0"/>
            </w:tcBorders>
          </w:tcPr>
          <w:p w14:paraId="735C6E4F">
            <w:pPr>
              <w:snapToGrid w:val="0"/>
              <w:spacing w:before="120" w:beforeLines="50"/>
              <w:jc w:val="center"/>
              <w:rPr>
                <w:rFonts w:ascii="宋体" w:hAnsi="宋体" w:cs="宋体"/>
                <w:sz w:val="24"/>
              </w:rPr>
            </w:pPr>
            <w:r>
              <w:rPr>
                <w:rFonts w:hint="eastAsia" w:ascii="宋体" w:hAnsi="宋体" w:cs="宋体"/>
                <w:sz w:val="24"/>
              </w:rPr>
              <w:t>项目</w:t>
            </w:r>
          </w:p>
        </w:tc>
        <w:tc>
          <w:tcPr>
            <w:tcW w:w="2552" w:type="dxa"/>
            <w:tcBorders>
              <w:top w:val="single" w:color="auto" w:sz="4" w:space="0"/>
              <w:left w:val="single" w:color="auto" w:sz="4" w:space="0"/>
              <w:bottom w:val="single" w:color="auto" w:sz="4" w:space="0"/>
              <w:right w:val="single" w:color="auto" w:sz="4" w:space="0"/>
            </w:tcBorders>
          </w:tcPr>
          <w:p w14:paraId="7C5C80AE">
            <w:pPr>
              <w:snapToGrid w:val="0"/>
              <w:spacing w:before="120" w:beforeLines="50"/>
              <w:jc w:val="center"/>
              <w:rPr>
                <w:rFonts w:ascii="宋体" w:hAnsi="宋体" w:cs="宋体"/>
                <w:sz w:val="24"/>
              </w:rPr>
            </w:pPr>
            <w:r>
              <w:rPr>
                <w:rFonts w:hint="eastAsia" w:ascii="宋体" w:hAnsi="宋体" w:cs="宋体"/>
                <w:sz w:val="24"/>
              </w:rPr>
              <w:t>招标文件商务要求</w:t>
            </w:r>
          </w:p>
        </w:tc>
        <w:tc>
          <w:tcPr>
            <w:tcW w:w="2835" w:type="dxa"/>
            <w:tcBorders>
              <w:top w:val="single" w:color="auto" w:sz="4" w:space="0"/>
              <w:left w:val="single" w:color="auto" w:sz="4" w:space="0"/>
              <w:bottom w:val="single" w:color="auto" w:sz="4" w:space="0"/>
              <w:right w:val="single" w:color="auto" w:sz="4" w:space="0"/>
            </w:tcBorders>
          </w:tcPr>
          <w:p w14:paraId="0573831F">
            <w:pPr>
              <w:snapToGrid w:val="0"/>
              <w:spacing w:before="120" w:beforeLines="50"/>
              <w:jc w:val="center"/>
              <w:rPr>
                <w:rFonts w:ascii="宋体" w:hAnsi="宋体" w:cs="宋体"/>
                <w:sz w:val="24"/>
              </w:rPr>
            </w:pPr>
            <w:r>
              <w:rPr>
                <w:rFonts w:hint="eastAsia" w:ascii="宋体" w:hAnsi="宋体" w:cs="宋体"/>
                <w:sz w:val="24"/>
              </w:rPr>
              <w:t>投标人的承诺</w:t>
            </w:r>
          </w:p>
        </w:tc>
        <w:tc>
          <w:tcPr>
            <w:tcW w:w="1326" w:type="dxa"/>
            <w:tcBorders>
              <w:top w:val="single" w:color="auto" w:sz="4" w:space="0"/>
              <w:left w:val="single" w:color="auto" w:sz="4" w:space="0"/>
              <w:bottom w:val="single" w:color="auto" w:sz="4" w:space="0"/>
              <w:right w:val="single" w:color="auto" w:sz="4" w:space="0"/>
            </w:tcBorders>
          </w:tcPr>
          <w:p w14:paraId="1B47031F">
            <w:pPr>
              <w:snapToGrid w:val="0"/>
              <w:spacing w:before="120" w:beforeLines="50"/>
              <w:jc w:val="center"/>
              <w:rPr>
                <w:rFonts w:ascii="宋体" w:hAnsi="宋体" w:cs="宋体"/>
                <w:sz w:val="24"/>
              </w:rPr>
            </w:pPr>
            <w:r>
              <w:rPr>
                <w:rFonts w:hint="eastAsia" w:ascii="宋体" w:hAnsi="宋体" w:cs="宋体"/>
                <w:sz w:val="24"/>
              </w:rPr>
              <w:t>偏离说明</w:t>
            </w:r>
          </w:p>
        </w:tc>
      </w:tr>
      <w:tr w14:paraId="53480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1152" w:type="dxa"/>
            <w:tcBorders>
              <w:top w:val="single" w:color="auto" w:sz="4" w:space="0"/>
              <w:left w:val="single" w:color="auto" w:sz="4" w:space="0"/>
              <w:bottom w:val="single" w:color="auto" w:sz="4" w:space="0"/>
              <w:right w:val="single" w:color="auto" w:sz="4" w:space="0"/>
            </w:tcBorders>
            <w:vAlign w:val="center"/>
          </w:tcPr>
          <w:p w14:paraId="00451521">
            <w:pPr>
              <w:jc w:val="center"/>
              <w:rPr>
                <w:rFonts w:ascii="宋体" w:hAnsi="宋体" w:cs="宋体"/>
                <w:szCs w:val="21"/>
              </w:rPr>
            </w:pPr>
          </w:p>
        </w:tc>
        <w:tc>
          <w:tcPr>
            <w:tcW w:w="1926" w:type="dxa"/>
            <w:tcBorders>
              <w:top w:val="single" w:color="auto" w:sz="4" w:space="0"/>
              <w:left w:val="single" w:color="auto" w:sz="4" w:space="0"/>
              <w:bottom w:val="single" w:color="auto" w:sz="4" w:space="0"/>
              <w:right w:val="single" w:color="auto" w:sz="4" w:space="0"/>
            </w:tcBorders>
            <w:vAlign w:val="center"/>
          </w:tcPr>
          <w:p w14:paraId="299817FD">
            <w:pPr>
              <w:jc w:val="center"/>
              <w:rPr>
                <w:rFonts w:ascii="宋体" w:hAnsi="宋体" w:cs="宋体"/>
                <w:color w:val="FF0000"/>
                <w:szCs w:val="21"/>
              </w:rPr>
            </w:pPr>
          </w:p>
        </w:tc>
        <w:tc>
          <w:tcPr>
            <w:tcW w:w="2552" w:type="dxa"/>
            <w:tcBorders>
              <w:top w:val="single" w:color="auto" w:sz="4" w:space="0"/>
              <w:left w:val="single" w:color="auto" w:sz="4" w:space="0"/>
              <w:bottom w:val="single" w:color="auto" w:sz="4" w:space="0"/>
              <w:right w:val="single" w:color="auto" w:sz="4" w:space="0"/>
            </w:tcBorders>
          </w:tcPr>
          <w:p w14:paraId="28503182">
            <w:pPr>
              <w:snapToGrid w:val="0"/>
              <w:spacing w:before="120" w:beforeLines="50"/>
              <w:jc w:val="center"/>
              <w:rPr>
                <w:rFonts w:ascii="宋体" w:hAnsi="宋体" w:cs="宋体"/>
                <w:sz w:val="24"/>
              </w:rPr>
            </w:pPr>
          </w:p>
        </w:tc>
        <w:tc>
          <w:tcPr>
            <w:tcW w:w="2835" w:type="dxa"/>
            <w:tcBorders>
              <w:top w:val="single" w:color="auto" w:sz="4" w:space="0"/>
              <w:left w:val="single" w:color="auto" w:sz="4" w:space="0"/>
              <w:bottom w:val="single" w:color="auto" w:sz="4" w:space="0"/>
              <w:right w:val="single" w:color="auto" w:sz="4" w:space="0"/>
            </w:tcBorders>
          </w:tcPr>
          <w:p w14:paraId="0EC6ABDF">
            <w:pPr>
              <w:snapToGrid w:val="0"/>
              <w:spacing w:before="120" w:beforeLines="50"/>
              <w:jc w:val="center"/>
              <w:rPr>
                <w:rFonts w:ascii="宋体" w:hAnsi="宋体" w:cs="宋体"/>
                <w:sz w:val="24"/>
              </w:rPr>
            </w:pPr>
          </w:p>
        </w:tc>
        <w:tc>
          <w:tcPr>
            <w:tcW w:w="1326" w:type="dxa"/>
            <w:tcBorders>
              <w:top w:val="single" w:color="auto" w:sz="4" w:space="0"/>
              <w:left w:val="single" w:color="auto" w:sz="4" w:space="0"/>
              <w:bottom w:val="single" w:color="auto" w:sz="4" w:space="0"/>
              <w:right w:val="single" w:color="auto" w:sz="4" w:space="0"/>
            </w:tcBorders>
          </w:tcPr>
          <w:p w14:paraId="02937FB2">
            <w:pPr>
              <w:snapToGrid w:val="0"/>
              <w:spacing w:before="120" w:beforeLines="50"/>
              <w:jc w:val="center"/>
              <w:rPr>
                <w:rFonts w:ascii="宋体" w:hAnsi="宋体" w:cs="宋体"/>
                <w:sz w:val="24"/>
              </w:rPr>
            </w:pPr>
          </w:p>
        </w:tc>
      </w:tr>
      <w:tr w14:paraId="29B15C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1152" w:type="dxa"/>
            <w:tcBorders>
              <w:top w:val="single" w:color="auto" w:sz="4" w:space="0"/>
              <w:left w:val="single" w:color="auto" w:sz="4" w:space="0"/>
              <w:bottom w:val="single" w:color="auto" w:sz="4" w:space="0"/>
              <w:right w:val="single" w:color="auto" w:sz="4" w:space="0"/>
            </w:tcBorders>
            <w:vAlign w:val="center"/>
          </w:tcPr>
          <w:p w14:paraId="5E1BD062">
            <w:pPr>
              <w:jc w:val="center"/>
              <w:rPr>
                <w:rFonts w:ascii="宋体" w:hAnsi="宋体" w:cs="宋体"/>
                <w:szCs w:val="21"/>
              </w:rPr>
            </w:pPr>
          </w:p>
        </w:tc>
        <w:tc>
          <w:tcPr>
            <w:tcW w:w="1926" w:type="dxa"/>
            <w:tcBorders>
              <w:top w:val="single" w:color="auto" w:sz="4" w:space="0"/>
              <w:left w:val="single" w:color="auto" w:sz="4" w:space="0"/>
              <w:bottom w:val="single" w:color="auto" w:sz="4" w:space="0"/>
              <w:right w:val="single" w:color="auto" w:sz="4" w:space="0"/>
            </w:tcBorders>
            <w:vAlign w:val="center"/>
          </w:tcPr>
          <w:p w14:paraId="6AB3EB28">
            <w:pPr>
              <w:jc w:val="center"/>
              <w:rPr>
                <w:rFonts w:ascii="宋体" w:hAnsi="宋体" w:cs="宋体"/>
                <w:color w:val="FF0000"/>
                <w:szCs w:val="21"/>
              </w:rPr>
            </w:pPr>
          </w:p>
        </w:tc>
        <w:tc>
          <w:tcPr>
            <w:tcW w:w="2552" w:type="dxa"/>
            <w:tcBorders>
              <w:top w:val="single" w:color="auto" w:sz="4" w:space="0"/>
              <w:left w:val="single" w:color="auto" w:sz="4" w:space="0"/>
              <w:bottom w:val="single" w:color="auto" w:sz="4" w:space="0"/>
              <w:right w:val="single" w:color="auto" w:sz="4" w:space="0"/>
            </w:tcBorders>
          </w:tcPr>
          <w:p w14:paraId="13B74F5B">
            <w:pPr>
              <w:snapToGrid w:val="0"/>
              <w:spacing w:before="120" w:beforeLines="50"/>
              <w:rPr>
                <w:rFonts w:ascii="宋体" w:hAnsi="宋体" w:cs="宋体"/>
                <w:sz w:val="24"/>
                <w:u w:val="single"/>
              </w:rPr>
            </w:pPr>
          </w:p>
        </w:tc>
        <w:tc>
          <w:tcPr>
            <w:tcW w:w="2835" w:type="dxa"/>
            <w:tcBorders>
              <w:top w:val="single" w:color="auto" w:sz="4" w:space="0"/>
              <w:left w:val="single" w:color="auto" w:sz="4" w:space="0"/>
              <w:bottom w:val="single" w:color="auto" w:sz="4" w:space="0"/>
              <w:right w:val="single" w:color="auto" w:sz="4" w:space="0"/>
            </w:tcBorders>
          </w:tcPr>
          <w:p w14:paraId="04B1D573">
            <w:pPr>
              <w:snapToGrid w:val="0"/>
              <w:spacing w:before="120" w:beforeLines="50"/>
              <w:ind w:left="43"/>
              <w:jc w:val="center"/>
              <w:rPr>
                <w:rFonts w:ascii="宋体" w:hAnsi="宋体" w:cs="宋体"/>
                <w:sz w:val="24"/>
              </w:rPr>
            </w:pPr>
          </w:p>
        </w:tc>
        <w:tc>
          <w:tcPr>
            <w:tcW w:w="1326" w:type="dxa"/>
            <w:tcBorders>
              <w:top w:val="single" w:color="auto" w:sz="4" w:space="0"/>
              <w:left w:val="single" w:color="auto" w:sz="4" w:space="0"/>
              <w:bottom w:val="single" w:color="auto" w:sz="4" w:space="0"/>
              <w:right w:val="single" w:color="auto" w:sz="4" w:space="0"/>
            </w:tcBorders>
          </w:tcPr>
          <w:p w14:paraId="3FF84765">
            <w:pPr>
              <w:snapToGrid w:val="0"/>
              <w:spacing w:before="120" w:beforeLines="50"/>
              <w:ind w:left="43"/>
              <w:jc w:val="center"/>
              <w:rPr>
                <w:rFonts w:ascii="宋体" w:hAnsi="宋体" w:cs="宋体"/>
                <w:sz w:val="24"/>
              </w:rPr>
            </w:pPr>
          </w:p>
        </w:tc>
      </w:tr>
      <w:tr w14:paraId="121A92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1152" w:type="dxa"/>
            <w:tcBorders>
              <w:top w:val="single" w:color="auto" w:sz="4" w:space="0"/>
              <w:left w:val="single" w:color="auto" w:sz="4" w:space="0"/>
              <w:bottom w:val="single" w:color="auto" w:sz="4" w:space="0"/>
              <w:right w:val="single" w:color="auto" w:sz="4" w:space="0"/>
            </w:tcBorders>
            <w:vAlign w:val="center"/>
          </w:tcPr>
          <w:p w14:paraId="31B39960">
            <w:pPr>
              <w:jc w:val="center"/>
              <w:rPr>
                <w:rFonts w:ascii="宋体" w:hAnsi="宋体" w:cs="宋体"/>
                <w:szCs w:val="21"/>
              </w:rPr>
            </w:pPr>
          </w:p>
        </w:tc>
        <w:tc>
          <w:tcPr>
            <w:tcW w:w="1926" w:type="dxa"/>
            <w:tcBorders>
              <w:top w:val="single" w:color="auto" w:sz="4" w:space="0"/>
              <w:left w:val="single" w:color="auto" w:sz="4" w:space="0"/>
              <w:bottom w:val="single" w:color="auto" w:sz="4" w:space="0"/>
              <w:right w:val="single" w:color="auto" w:sz="4" w:space="0"/>
            </w:tcBorders>
            <w:vAlign w:val="center"/>
          </w:tcPr>
          <w:p w14:paraId="7089C504">
            <w:pPr>
              <w:jc w:val="center"/>
              <w:rPr>
                <w:rFonts w:ascii="宋体" w:hAnsi="宋体" w:cs="宋体"/>
                <w:color w:val="FF0000"/>
                <w:szCs w:val="21"/>
              </w:rPr>
            </w:pPr>
          </w:p>
        </w:tc>
        <w:tc>
          <w:tcPr>
            <w:tcW w:w="2552" w:type="dxa"/>
            <w:tcBorders>
              <w:top w:val="single" w:color="auto" w:sz="4" w:space="0"/>
              <w:left w:val="single" w:color="auto" w:sz="4" w:space="0"/>
              <w:bottom w:val="single" w:color="auto" w:sz="4" w:space="0"/>
              <w:right w:val="single" w:color="auto" w:sz="4" w:space="0"/>
            </w:tcBorders>
          </w:tcPr>
          <w:p w14:paraId="24D781C7">
            <w:pPr>
              <w:snapToGrid w:val="0"/>
              <w:spacing w:before="120" w:beforeLines="50"/>
              <w:rPr>
                <w:rFonts w:ascii="宋体" w:hAnsi="宋体" w:cs="宋体"/>
                <w:sz w:val="24"/>
                <w:u w:val="single"/>
              </w:rPr>
            </w:pPr>
          </w:p>
        </w:tc>
        <w:tc>
          <w:tcPr>
            <w:tcW w:w="2835" w:type="dxa"/>
            <w:tcBorders>
              <w:top w:val="single" w:color="auto" w:sz="4" w:space="0"/>
              <w:left w:val="single" w:color="auto" w:sz="4" w:space="0"/>
              <w:bottom w:val="single" w:color="auto" w:sz="4" w:space="0"/>
              <w:right w:val="single" w:color="auto" w:sz="4" w:space="0"/>
            </w:tcBorders>
          </w:tcPr>
          <w:p w14:paraId="746EEB27">
            <w:pPr>
              <w:snapToGrid w:val="0"/>
              <w:spacing w:before="120" w:beforeLines="50"/>
              <w:ind w:left="43"/>
              <w:jc w:val="center"/>
              <w:rPr>
                <w:rFonts w:ascii="宋体" w:hAnsi="宋体" w:cs="宋体"/>
                <w:sz w:val="24"/>
              </w:rPr>
            </w:pPr>
          </w:p>
        </w:tc>
        <w:tc>
          <w:tcPr>
            <w:tcW w:w="1326" w:type="dxa"/>
            <w:tcBorders>
              <w:top w:val="single" w:color="auto" w:sz="4" w:space="0"/>
              <w:left w:val="single" w:color="auto" w:sz="4" w:space="0"/>
              <w:bottom w:val="single" w:color="auto" w:sz="4" w:space="0"/>
              <w:right w:val="single" w:color="auto" w:sz="4" w:space="0"/>
            </w:tcBorders>
          </w:tcPr>
          <w:p w14:paraId="5DF6F928">
            <w:pPr>
              <w:snapToGrid w:val="0"/>
              <w:spacing w:before="120" w:beforeLines="50"/>
              <w:ind w:left="43"/>
              <w:jc w:val="center"/>
              <w:rPr>
                <w:rFonts w:ascii="宋体" w:hAnsi="宋体" w:cs="宋体"/>
                <w:sz w:val="24"/>
              </w:rPr>
            </w:pPr>
          </w:p>
        </w:tc>
      </w:tr>
      <w:tr w14:paraId="5330F1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1152" w:type="dxa"/>
            <w:tcBorders>
              <w:top w:val="single" w:color="auto" w:sz="4" w:space="0"/>
              <w:left w:val="single" w:color="auto" w:sz="4" w:space="0"/>
              <w:bottom w:val="single" w:color="auto" w:sz="4" w:space="0"/>
              <w:right w:val="single" w:color="auto" w:sz="4" w:space="0"/>
            </w:tcBorders>
            <w:vAlign w:val="center"/>
          </w:tcPr>
          <w:p w14:paraId="6D5B215D">
            <w:pPr>
              <w:jc w:val="center"/>
              <w:rPr>
                <w:rFonts w:ascii="宋体" w:hAnsi="宋体" w:cs="宋体"/>
                <w:szCs w:val="21"/>
              </w:rPr>
            </w:pPr>
          </w:p>
        </w:tc>
        <w:tc>
          <w:tcPr>
            <w:tcW w:w="1926" w:type="dxa"/>
            <w:tcBorders>
              <w:top w:val="single" w:color="auto" w:sz="4" w:space="0"/>
              <w:left w:val="single" w:color="auto" w:sz="4" w:space="0"/>
              <w:bottom w:val="single" w:color="auto" w:sz="4" w:space="0"/>
              <w:right w:val="single" w:color="auto" w:sz="4" w:space="0"/>
            </w:tcBorders>
            <w:vAlign w:val="center"/>
          </w:tcPr>
          <w:p w14:paraId="6E348FDD">
            <w:pPr>
              <w:jc w:val="center"/>
              <w:rPr>
                <w:rFonts w:ascii="宋体" w:hAnsi="宋体" w:cs="宋体"/>
                <w:color w:val="FF0000"/>
                <w:szCs w:val="21"/>
              </w:rPr>
            </w:pPr>
          </w:p>
        </w:tc>
        <w:tc>
          <w:tcPr>
            <w:tcW w:w="2552" w:type="dxa"/>
            <w:tcBorders>
              <w:top w:val="single" w:color="auto" w:sz="4" w:space="0"/>
              <w:left w:val="single" w:color="auto" w:sz="4" w:space="0"/>
              <w:bottom w:val="single" w:color="auto" w:sz="4" w:space="0"/>
              <w:right w:val="single" w:color="auto" w:sz="4" w:space="0"/>
            </w:tcBorders>
          </w:tcPr>
          <w:p w14:paraId="23982FC8">
            <w:pPr>
              <w:snapToGrid w:val="0"/>
              <w:spacing w:before="120" w:beforeLines="50"/>
              <w:rPr>
                <w:rFonts w:ascii="宋体" w:hAnsi="宋体" w:cs="宋体"/>
                <w:sz w:val="24"/>
                <w:u w:val="single"/>
              </w:rPr>
            </w:pPr>
          </w:p>
        </w:tc>
        <w:tc>
          <w:tcPr>
            <w:tcW w:w="2835" w:type="dxa"/>
            <w:tcBorders>
              <w:top w:val="single" w:color="auto" w:sz="4" w:space="0"/>
              <w:left w:val="single" w:color="auto" w:sz="4" w:space="0"/>
              <w:bottom w:val="single" w:color="auto" w:sz="4" w:space="0"/>
              <w:right w:val="single" w:color="auto" w:sz="4" w:space="0"/>
            </w:tcBorders>
          </w:tcPr>
          <w:p w14:paraId="08C50C4A">
            <w:pPr>
              <w:snapToGrid w:val="0"/>
              <w:spacing w:before="120" w:beforeLines="50"/>
              <w:ind w:left="43"/>
              <w:jc w:val="center"/>
              <w:rPr>
                <w:rFonts w:ascii="宋体" w:hAnsi="宋体" w:cs="宋体"/>
                <w:sz w:val="24"/>
              </w:rPr>
            </w:pPr>
          </w:p>
        </w:tc>
        <w:tc>
          <w:tcPr>
            <w:tcW w:w="1326" w:type="dxa"/>
            <w:tcBorders>
              <w:top w:val="single" w:color="auto" w:sz="4" w:space="0"/>
              <w:left w:val="single" w:color="auto" w:sz="4" w:space="0"/>
              <w:bottom w:val="single" w:color="auto" w:sz="4" w:space="0"/>
              <w:right w:val="single" w:color="auto" w:sz="4" w:space="0"/>
            </w:tcBorders>
          </w:tcPr>
          <w:p w14:paraId="7A175D10">
            <w:pPr>
              <w:snapToGrid w:val="0"/>
              <w:spacing w:before="120" w:beforeLines="50"/>
              <w:ind w:left="43"/>
              <w:jc w:val="center"/>
              <w:rPr>
                <w:rFonts w:ascii="宋体" w:hAnsi="宋体" w:cs="宋体"/>
                <w:sz w:val="24"/>
              </w:rPr>
            </w:pPr>
          </w:p>
        </w:tc>
      </w:tr>
      <w:tr w14:paraId="37813F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1152" w:type="dxa"/>
            <w:tcBorders>
              <w:top w:val="single" w:color="auto" w:sz="4" w:space="0"/>
              <w:left w:val="single" w:color="auto" w:sz="4" w:space="0"/>
              <w:bottom w:val="single" w:color="auto" w:sz="4" w:space="0"/>
              <w:right w:val="single" w:color="auto" w:sz="4" w:space="0"/>
            </w:tcBorders>
            <w:vAlign w:val="center"/>
          </w:tcPr>
          <w:p w14:paraId="25FFB29C">
            <w:pPr>
              <w:jc w:val="center"/>
              <w:rPr>
                <w:rFonts w:ascii="宋体" w:hAnsi="宋体" w:cs="宋体"/>
                <w:szCs w:val="21"/>
              </w:rPr>
            </w:pPr>
          </w:p>
        </w:tc>
        <w:tc>
          <w:tcPr>
            <w:tcW w:w="1926" w:type="dxa"/>
            <w:tcBorders>
              <w:top w:val="single" w:color="auto" w:sz="4" w:space="0"/>
              <w:left w:val="single" w:color="auto" w:sz="4" w:space="0"/>
              <w:bottom w:val="single" w:color="auto" w:sz="4" w:space="0"/>
              <w:right w:val="single" w:color="auto" w:sz="4" w:space="0"/>
            </w:tcBorders>
            <w:vAlign w:val="center"/>
          </w:tcPr>
          <w:p w14:paraId="4FCE84DA">
            <w:pPr>
              <w:jc w:val="center"/>
              <w:rPr>
                <w:rFonts w:ascii="宋体" w:hAnsi="宋体" w:cs="宋体"/>
                <w:color w:val="FF0000"/>
                <w:szCs w:val="21"/>
              </w:rPr>
            </w:pPr>
          </w:p>
        </w:tc>
        <w:tc>
          <w:tcPr>
            <w:tcW w:w="2552" w:type="dxa"/>
            <w:tcBorders>
              <w:top w:val="single" w:color="auto" w:sz="4" w:space="0"/>
              <w:left w:val="single" w:color="auto" w:sz="4" w:space="0"/>
              <w:bottom w:val="single" w:color="auto" w:sz="4" w:space="0"/>
              <w:right w:val="single" w:color="auto" w:sz="4" w:space="0"/>
            </w:tcBorders>
          </w:tcPr>
          <w:p w14:paraId="1C5B8EAD">
            <w:pPr>
              <w:snapToGrid w:val="0"/>
              <w:spacing w:before="120" w:beforeLines="50"/>
              <w:rPr>
                <w:rFonts w:ascii="宋体" w:hAnsi="宋体" w:cs="宋体"/>
                <w:sz w:val="24"/>
                <w:u w:val="single"/>
              </w:rPr>
            </w:pPr>
          </w:p>
        </w:tc>
        <w:tc>
          <w:tcPr>
            <w:tcW w:w="2835" w:type="dxa"/>
            <w:tcBorders>
              <w:top w:val="single" w:color="auto" w:sz="4" w:space="0"/>
              <w:left w:val="single" w:color="auto" w:sz="4" w:space="0"/>
              <w:bottom w:val="single" w:color="auto" w:sz="4" w:space="0"/>
              <w:right w:val="single" w:color="auto" w:sz="4" w:space="0"/>
            </w:tcBorders>
          </w:tcPr>
          <w:p w14:paraId="22739B88">
            <w:pPr>
              <w:snapToGrid w:val="0"/>
              <w:spacing w:before="120" w:beforeLines="50"/>
              <w:ind w:left="43"/>
              <w:jc w:val="center"/>
              <w:rPr>
                <w:rFonts w:ascii="宋体" w:hAnsi="宋体" w:cs="宋体"/>
                <w:sz w:val="24"/>
              </w:rPr>
            </w:pPr>
          </w:p>
        </w:tc>
        <w:tc>
          <w:tcPr>
            <w:tcW w:w="1326" w:type="dxa"/>
            <w:tcBorders>
              <w:top w:val="single" w:color="auto" w:sz="4" w:space="0"/>
              <w:left w:val="single" w:color="auto" w:sz="4" w:space="0"/>
              <w:bottom w:val="single" w:color="auto" w:sz="4" w:space="0"/>
              <w:right w:val="single" w:color="auto" w:sz="4" w:space="0"/>
            </w:tcBorders>
          </w:tcPr>
          <w:p w14:paraId="6F0907BB">
            <w:pPr>
              <w:snapToGrid w:val="0"/>
              <w:spacing w:before="120" w:beforeLines="50"/>
              <w:ind w:left="43"/>
              <w:jc w:val="center"/>
              <w:rPr>
                <w:rFonts w:ascii="宋体" w:hAnsi="宋体" w:cs="宋体"/>
                <w:sz w:val="24"/>
              </w:rPr>
            </w:pPr>
          </w:p>
        </w:tc>
      </w:tr>
      <w:tr w14:paraId="3F7F34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1152" w:type="dxa"/>
            <w:tcBorders>
              <w:top w:val="single" w:color="auto" w:sz="4" w:space="0"/>
              <w:left w:val="single" w:color="auto" w:sz="4" w:space="0"/>
              <w:bottom w:val="single" w:color="auto" w:sz="4" w:space="0"/>
              <w:right w:val="single" w:color="auto" w:sz="4" w:space="0"/>
            </w:tcBorders>
            <w:vAlign w:val="center"/>
          </w:tcPr>
          <w:p w14:paraId="119A2339">
            <w:pPr>
              <w:jc w:val="center"/>
              <w:rPr>
                <w:rFonts w:ascii="宋体" w:hAnsi="宋体" w:cs="宋体"/>
                <w:szCs w:val="21"/>
              </w:rPr>
            </w:pPr>
          </w:p>
        </w:tc>
        <w:tc>
          <w:tcPr>
            <w:tcW w:w="1926" w:type="dxa"/>
            <w:tcBorders>
              <w:top w:val="single" w:color="auto" w:sz="4" w:space="0"/>
              <w:left w:val="single" w:color="auto" w:sz="4" w:space="0"/>
              <w:bottom w:val="single" w:color="auto" w:sz="4" w:space="0"/>
              <w:right w:val="single" w:color="auto" w:sz="4" w:space="0"/>
            </w:tcBorders>
            <w:vAlign w:val="center"/>
          </w:tcPr>
          <w:p w14:paraId="019C6202">
            <w:pPr>
              <w:jc w:val="center"/>
              <w:rPr>
                <w:rFonts w:ascii="宋体" w:hAnsi="宋体" w:cs="宋体"/>
                <w:color w:val="FF0000"/>
                <w:szCs w:val="21"/>
              </w:rPr>
            </w:pPr>
          </w:p>
        </w:tc>
        <w:tc>
          <w:tcPr>
            <w:tcW w:w="2552" w:type="dxa"/>
            <w:tcBorders>
              <w:top w:val="single" w:color="auto" w:sz="4" w:space="0"/>
              <w:left w:val="single" w:color="auto" w:sz="4" w:space="0"/>
              <w:bottom w:val="single" w:color="auto" w:sz="4" w:space="0"/>
              <w:right w:val="single" w:color="auto" w:sz="4" w:space="0"/>
            </w:tcBorders>
          </w:tcPr>
          <w:p w14:paraId="3A58D4A2">
            <w:pPr>
              <w:snapToGrid w:val="0"/>
              <w:spacing w:before="120" w:beforeLines="50"/>
              <w:rPr>
                <w:rFonts w:ascii="宋体" w:hAnsi="宋体" w:cs="宋体"/>
                <w:sz w:val="24"/>
                <w:u w:val="single"/>
              </w:rPr>
            </w:pPr>
          </w:p>
        </w:tc>
        <w:tc>
          <w:tcPr>
            <w:tcW w:w="2835" w:type="dxa"/>
            <w:tcBorders>
              <w:top w:val="single" w:color="auto" w:sz="4" w:space="0"/>
              <w:left w:val="single" w:color="auto" w:sz="4" w:space="0"/>
              <w:bottom w:val="single" w:color="auto" w:sz="4" w:space="0"/>
              <w:right w:val="single" w:color="auto" w:sz="4" w:space="0"/>
            </w:tcBorders>
          </w:tcPr>
          <w:p w14:paraId="5CB91690">
            <w:pPr>
              <w:snapToGrid w:val="0"/>
              <w:spacing w:before="120" w:beforeLines="50"/>
              <w:ind w:left="43"/>
              <w:jc w:val="center"/>
              <w:rPr>
                <w:rFonts w:ascii="宋体" w:hAnsi="宋体" w:cs="宋体"/>
                <w:sz w:val="24"/>
              </w:rPr>
            </w:pPr>
          </w:p>
        </w:tc>
        <w:tc>
          <w:tcPr>
            <w:tcW w:w="1326" w:type="dxa"/>
            <w:tcBorders>
              <w:top w:val="single" w:color="auto" w:sz="4" w:space="0"/>
              <w:left w:val="single" w:color="auto" w:sz="4" w:space="0"/>
              <w:bottom w:val="single" w:color="auto" w:sz="4" w:space="0"/>
              <w:right w:val="single" w:color="auto" w:sz="4" w:space="0"/>
            </w:tcBorders>
          </w:tcPr>
          <w:p w14:paraId="0D74B2E0">
            <w:pPr>
              <w:snapToGrid w:val="0"/>
              <w:spacing w:before="120" w:beforeLines="50"/>
              <w:ind w:left="43"/>
              <w:jc w:val="center"/>
              <w:rPr>
                <w:rFonts w:ascii="宋体" w:hAnsi="宋体" w:cs="宋体"/>
                <w:sz w:val="24"/>
              </w:rPr>
            </w:pPr>
          </w:p>
        </w:tc>
      </w:tr>
      <w:tr w14:paraId="2E749F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1152" w:type="dxa"/>
            <w:tcBorders>
              <w:top w:val="single" w:color="auto" w:sz="4" w:space="0"/>
              <w:left w:val="single" w:color="auto" w:sz="4" w:space="0"/>
              <w:bottom w:val="single" w:color="auto" w:sz="4" w:space="0"/>
              <w:right w:val="single" w:color="auto" w:sz="4" w:space="0"/>
            </w:tcBorders>
            <w:vAlign w:val="center"/>
          </w:tcPr>
          <w:p w14:paraId="141B513E">
            <w:pPr>
              <w:jc w:val="center"/>
              <w:rPr>
                <w:rFonts w:ascii="宋体" w:hAnsi="宋体" w:cs="宋体"/>
                <w:szCs w:val="21"/>
              </w:rPr>
            </w:pPr>
          </w:p>
        </w:tc>
        <w:tc>
          <w:tcPr>
            <w:tcW w:w="1926" w:type="dxa"/>
            <w:tcBorders>
              <w:top w:val="single" w:color="auto" w:sz="4" w:space="0"/>
              <w:left w:val="single" w:color="auto" w:sz="4" w:space="0"/>
              <w:bottom w:val="single" w:color="auto" w:sz="4" w:space="0"/>
              <w:right w:val="single" w:color="auto" w:sz="4" w:space="0"/>
            </w:tcBorders>
            <w:vAlign w:val="center"/>
          </w:tcPr>
          <w:p w14:paraId="22456C66">
            <w:pPr>
              <w:tabs>
                <w:tab w:val="left" w:pos="180"/>
                <w:tab w:val="left" w:pos="1620"/>
              </w:tabs>
              <w:jc w:val="center"/>
              <w:rPr>
                <w:rFonts w:ascii="宋体" w:hAnsi="宋体" w:cs="宋体"/>
                <w:color w:val="FF0000"/>
                <w:szCs w:val="21"/>
              </w:rPr>
            </w:pPr>
          </w:p>
        </w:tc>
        <w:tc>
          <w:tcPr>
            <w:tcW w:w="2552" w:type="dxa"/>
            <w:tcBorders>
              <w:top w:val="single" w:color="auto" w:sz="4" w:space="0"/>
              <w:left w:val="single" w:color="auto" w:sz="4" w:space="0"/>
              <w:bottom w:val="single" w:color="auto" w:sz="4" w:space="0"/>
              <w:right w:val="single" w:color="auto" w:sz="4" w:space="0"/>
            </w:tcBorders>
          </w:tcPr>
          <w:p w14:paraId="1EC8250B">
            <w:pPr>
              <w:snapToGrid w:val="0"/>
              <w:spacing w:before="120" w:beforeLines="50"/>
              <w:rPr>
                <w:rFonts w:ascii="宋体" w:hAnsi="宋体" w:cs="宋体"/>
                <w:sz w:val="24"/>
                <w:u w:val="single"/>
              </w:rPr>
            </w:pPr>
          </w:p>
        </w:tc>
        <w:tc>
          <w:tcPr>
            <w:tcW w:w="2835" w:type="dxa"/>
            <w:tcBorders>
              <w:top w:val="single" w:color="auto" w:sz="4" w:space="0"/>
              <w:left w:val="single" w:color="auto" w:sz="4" w:space="0"/>
              <w:bottom w:val="single" w:color="auto" w:sz="4" w:space="0"/>
              <w:right w:val="single" w:color="auto" w:sz="4" w:space="0"/>
            </w:tcBorders>
          </w:tcPr>
          <w:p w14:paraId="58B66CED">
            <w:pPr>
              <w:snapToGrid w:val="0"/>
              <w:spacing w:before="120" w:beforeLines="50"/>
              <w:ind w:left="43"/>
              <w:jc w:val="center"/>
              <w:rPr>
                <w:rFonts w:ascii="宋体" w:hAnsi="宋体" w:cs="宋体"/>
                <w:sz w:val="24"/>
              </w:rPr>
            </w:pPr>
          </w:p>
        </w:tc>
        <w:tc>
          <w:tcPr>
            <w:tcW w:w="1326" w:type="dxa"/>
            <w:tcBorders>
              <w:top w:val="single" w:color="auto" w:sz="4" w:space="0"/>
              <w:left w:val="single" w:color="auto" w:sz="4" w:space="0"/>
              <w:bottom w:val="single" w:color="auto" w:sz="4" w:space="0"/>
              <w:right w:val="single" w:color="auto" w:sz="4" w:space="0"/>
            </w:tcBorders>
          </w:tcPr>
          <w:p w14:paraId="7D9D87C3">
            <w:pPr>
              <w:snapToGrid w:val="0"/>
              <w:spacing w:before="120" w:beforeLines="50"/>
              <w:ind w:left="43"/>
              <w:jc w:val="center"/>
              <w:rPr>
                <w:rFonts w:ascii="宋体" w:hAnsi="宋体" w:cs="宋体"/>
                <w:sz w:val="24"/>
              </w:rPr>
            </w:pPr>
          </w:p>
        </w:tc>
      </w:tr>
      <w:tr w14:paraId="7D5209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1152" w:type="dxa"/>
            <w:tcBorders>
              <w:top w:val="single" w:color="auto" w:sz="4" w:space="0"/>
              <w:left w:val="single" w:color="auto" w:sz="4" w:space="0"/>
              <w:bottom w:val="single" w:color="auto" w:sz="4" w:space="0"/>
              <w:right w:val="single" w:color="auto" w:sz="4" w:space="0"/>
            </w:tcBorders>
            <w:vAlign w:val="center"/>
          </w:tcPr>
          <w:p w14:paraId="7D4C7EBB">
            <w:pPr>
              <w:jc w:val="center"/>
              <w:rPr>
                <w:rFonts w:ascii="宋体" w:hAnsi="宋体" w:cs="宋体"/>
                <w:szCs w:val="21"/>
              </w:rPr>
            </w:pPr>
          </w:p>
        </w:tc>
        <w:tc>
          <w:tcPr>
            <w:tcW w:w="1926" w:type="dxa"/>
            <w:tcBorders>
              <w:top w:val="single" w:color="auto" w:sz="4" w:space="0"/>
              <w:left w:val="single" w:color="auto" w:sz="4" w:space="0"/>
              <w:bottom w:val="single" w:color="auto" w:sz="4" w:space="0"/>
              <w:right w:val="single" w:color="auto" w:sz="4" w:space="0"/>
            </w:tcBorders>
            <w:vAlign w:val="center"/>
          </w:tcPr>
          <w:p w14:paraId="216BF683">
            <w:pPr>
              <w:tabs>
                <w:tab w:val="left" w:pos="180"/>
                <w:tab w:val="left" w:pos="1620"/>
              </w:tabs>
              <w:jc w:val="center"/>
              <w:rPr>
                <w:rFonts w:ascii="宋体" w:hAnsi="宋体" w:cs="宋体"/>
                <w:color w:val="FF0000"/>
                <w:szCs w:val="21"/>
              </w:rPr>
            </w:pPr>
          </w:p>
        </w:tc>
        <w:tc>
          <w:tcPr>
            <w:tcW w:w="2552" w:type="dxa"/>
            <w:tcBorders>
              <w:top w:val="single" w:color="auto" w:sz="4" w:space="0"/>
              <w:left w:val="single" w:color="auto" w:sz="4" w:space="0"/>
              <w:bottom w:val="single" w:color="auto" w:sz="4" w:space="0"/>
              <w:right w:val="single" w:color="auto" w:sz="4" w:space="0"/>
            </w:tcBorders>
          </w:tcPr>
          <w:p w14:paraId="6C384AA6">
            <w:pPr>
              <w:snapToGrid w:val="0"/>
              <w:spacing w:before="120" w:beforeLines="50"/>
              <w:rPr>
                <w:rFonts w:ascii="宋体" w:hAnsi="宋体" w:cs="宋体"/>
                <w:sz w:val="24"/>
                <w:u w:val="single"/>
              </w:rPr>
            </w:pPr>
          </w:p>
        </w:tc>
        <w:tc>
          <w:tcPr>
            <w:tcW w:w="2835" w:type="dxa"/>
            <w:tcBorders>
              <w:top w:val="single" w:color="auto" w:sz="4" w:space="0"/>
              <w:left w:val="single" w:color="auto" w:sz="4" w:space="0"/>
              <w:bottom w:val="single" w:color="auto" w:sz="4" w:space="0"/>
              <w:right w:val="single" w:color="auto" w:sz="4" w:space="0"/>
            </w:tcBorders>
          </w:tcPr>
          <w:p w14:paraId="03988B76">
            <w:pPr>
              <w:snapToGrid w:val="0"/>
              <w:spacing w:before="120" w:beforeLines="50"/>
              <w:ind w:left="43"/>
              <w:jc w:val="center"/>
              <w:rPr>
                <w:rFonts w:ascii="宋体" w:hAnsi="宋体" w:cs="宋体"/>
                <w:sz w:val="24"/>
              </w:rPr>
            </w:pPr>
          </w:p>
        </w:tc>
        <w:tc>
          <w:tcPr>
            <w:tcW w:w="1326" w:type="dxa"/>
            <w:tcBorders>
              <w:top w:val="single" w:color="auto" w:sz="4" w:space="0"/>
              <w:left w:val="single" w:color="auto" w:sz="4" w:space="0"/>
              <w:bottom w:val="single" w:color="auto" w:sz="4" w:space="0"/>
              <w:right w:val="single" w:color="auto" w:sz="4" w:space="0"/>
            </w:tcBorders>
          </w:tcPr>
          <w:p w14:paraId="63D8AD0F">
            <w:pPr>
              <w:snapToGrid w:val="0"/>
              <w:spacing w:before="120" w:beforeLines="50"/>
              <w:ind w:left="43"/>
              <w:jc w:val="center"/>
              <w:rPr>
                <w:rFonts w:ascii="宋体" w:hAnsi="宋体" w:cs="宋体"/>
                <w:sz w:val="24"/>
              </w:rPr>
            </w:pPr>
          </w:p>
        </w:tc>
      </w:tr>
      <w:tr w14:paraId="5BC6AF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1152" w:type="dxa"/>
            <w:tcBorders>
              <w:top w:val="single" w:color="auto" w:sz="4" w:space="0"/>
              <w:left w:val="single" w:color="auto" w:sz="4" w:space="0"/>
              <w:bottom w:val="single" w:color="auto" w:sz="4" w:space="0"/>
              <w:right w:val="single" w:color="auto" w:sz="4" w:space="0"/>
            </w:tcBorders>
            <w:vAlign w:val="center"/>
          </w:tcPr>
          <w:p w14:paraId="4654C8AB">
            <w:pPr>
              <w:jc w:val="center"/>
              <w:rPr>
                <w:rFonts w:ascii="宋体" w:hAnsi="宋体" w:cs="宋体"/>
                <w:szCs w:val="21"/>
              </w:rPr>
            </w:pPr>
          </w:p>
        </w:tc>
        <w:tc>
          <w:tcPr>
            <w:tcW w:w="1926" w:type="dxa"/>
            <w:tcBorders>
              <w:top w:val="single" w:color="auto" w:sz="4" w:space="0"/>
              <w:left w:val="single" w:color="auto" w:sz="4" w:space="0"/>
              <w:bottom w:val="single" w:color="auto" w:sz="4" w:space="0"/>
              <w:right w:val="single" w:color="auto" w:sz="4" w:space="0"/>
            </w:tcBorders>
            <w:vAlign w:val="center"/>
          </w:tcPr>
          <w:p w14:paraId="3656019A">
            <w:pPr>
              <w:jc w:val="center"/>
              <w:rPr>
                <w:rFonts w:ascii="宋体" w:hAnsi="宋体" w:cs="宋体"/>
                <w:color w:val="FF0000"/>
                <w:szCs w:val="21"/>
              </w:rPr>
            </w:pPr>
          </w:p>
        </w:tc>
        <w:tc>
          <w:tcPr>
            <w:tcW w:w="2552" w:type="dxa"/>
            <w:tcBorders>
              <w:top w:val="single" w:color="auto" w:sz="4" w:space="0"/>
              <w:left w:val="single" w:color="auto" w:sz="4" w:space="0"/>
              <w:bottom w:val="single" w:color="auto" w:sz="4" w:space="0"/>
              <w:right w:val="single" w:color="auto" w:sz="4" w:space="0"/>
            </w:tcBorders>
          </w:tcPr>
          <w:p w14:paraId="58B426E9">
            <w:pPr>
              <w:snapToGrid w:val="0"/>
              <w:spacing w:before="120" w:beforeLines="50"/>
              <w:jc w:val="center"/>
              <w:rPr>
                <w:rFonts w:ascii="宋体" w:hAnsi="宋体" w:cs="宋体"/>
                <w:sz w:val="24"/>
              </w:rPr>
            </w:pPr>
          </w:p>
        </w:tc>
        <w:tc>
          <w:tcPr>
            <w:tcW w:w="2835" w:type="dxa"/>
            <w:tcBorders>
              <w:top w:val="single" w:color="auto" w:sz="4" w:space="0"/>
              <w:left w:val="single" w:color="auto" w:sz="4" w:space="0"/>
              <w:bottom w:val="single" w:color="auto" w:sz="4" w:space="0"/>
              <w:right w:val="single" w:color="auto" w:sz="4" w:space="0"/>
            </w:tcBorders>
          </w:tcPr>
          <w:p w14:paraId="684A07C8">
            <w:pPr>
              <w:snapToGrid w:val="0"/>
              <w:spacing w:before="120" w:beforeLines="50"/>
              <w:jc w:val="center"/>
              <w:rPr>
                <w:rFonts w:ascii="宋体" w:hAnsi="宋体" w:cs="宋体"/>
                <w:sz w:val="24"/>
              </w:rPr>
            </w:pPr>
          </w:p>
        </w:tc>
        <w:tc>
          <w:tcPr>
            <w:tcW w:w="1326" w:type="dxa"/>
            <w:tcBorders>
              <w:top w:val="single" w:color="auto" w:sz="4" w:space="0"/>
              <w:left w:val="single" w:color="auto" w:sz="4" w:space="0"/>
              <w:bottom w:val="single" w:color="auto" w:sz="4" w:space="0"/>
              <w:right w:val="single" w:color="auto" w:sz="4" w:space="0"/>
            </w:tcBorders>
          </w:tcPr>
          <w:p w14:paraId="02A558AF">
            <w:pPr>
              <w:snapToGrid w:val="0"/>
              <w:spacing w:before="120" w:beforeLines="50"/>
              <w:jc w:val="center"/>
              <w:rPr>
                <w:rFonts w:ascii="宋体" w:hAnsi="宋体" w:cs="宋体"/>
                <w:sz w:val="24"/>
              </w:rPr>
            </w:pPr>
          </w:p>
        </w:tc>
      </w:tr>
    </w:tbl>
    <w:p w14:paraId="76E2F5BF">
      <w:pPr>
        <w:pStyle w:val="20"/>
        <w:spacing w:line="520" w:lineRule="exact"/>
        <w:ind w:firstLine="845"/>
        <w:rPr>
          <w:rFonts w:ascii="宋体" w:hAnsi="宋体" w:eastAsia="宋体" w:cs="宋体"/>
          <w:sz w:val="24"/>
          <w:szCs w:val="24"/>
        </w:rPr>
      </w:pPr>
      <w:r>
        <w:rPr>
          <w:rFonts w:hint="eastAsia" w:ascii="宋体" w:hAnsi="宋体" w:eastAsia="宋体" w:cs="宋体"/>
          <w:sz w:val="24"/>
          <w:szCs w:val="24"/>
        </w:rPr>
        <w:t>注：</w:t>
      </w:r>
    </w:p>
    <w:p w14:paraId="3E4BB4B7">
      <w:pPr>
        <w:pStyle w:val="20"/>
        <w:spacing w:line="520" w:lineRule="exact"/>
        <w:ind w:firstLine="845"/>
        <w:rPr>
          <w:rFonts w:ascii="宋体" w:hAnsi="宋体" w:eastAsia="宋体" w:cs="宋体"/>
          <w:szCs w:val="32"/>
        </w:rPr>
      </w:pPr>
      <w:r>
        <w:rPr>
          <w:rFonts w:hint="eastAsia" w:ascii="宋体" w:hAnsi="宋体" w:eastAsia="宋体" w:cs="宋体"/>
          <w:sz w:val="24"/>
          <w:szCs w:val="24"/>
        </w:rPr>
        <w:t>1.说明：应对照招标文件“第二章 采购需求”中的商务要求逐条作明确的投标响应，并作出偏离说明。</w:t>
      </w:r>
    </w:p>
    <w:p w14:paraId="6F8FFBF5">
      <w:pPr>
        <w:pStyle w:val="20"/>
        <w:spacing w:line="520" w:lineRule="exact"/>
        <w:ind w:firstLine="845"/>
        <w:rPr>
          <w:rFonts w:ascii="宋体" w:hAnsi="宋体" w:eastAsia="宋体" w:cs="宋体"/>
          <w:sz w:val="24"/>
          <w:szCs w:val="24"/>
        </w:rPr>
      </w:pPr>
      <w:r>
        <w:rPr>
          <w:rFonts w:hint="eastAsia" w:ascii="宋体" w:hAnsi="宋体" w:eastAsia="宋体" w:cs="宋体"/>
          <w:sz w:val="24"/>
          <w:szCs w:val="24"/>
        </w:rPr>
        <w:t>2.投标人应根据自身的承诺，对照招标文件要求在“偏离说明”中注明“正偏离”、“负偏离”或者“无偏离”。既不属于“正偏离”也不属于“负偏离”即为“无偏离”。</w:t>
      </w:r>
    </w:p>
    <w:p w14:paraId="796217CD">
      <w:pPr>
        <w:snapToGrid w:val="0"/>
        <w:spacing w:before="50" w:after="50"/>
        <w:rPr>
          <w:rFonts w:ascii="宋体" w:hAnsi="宋体" w:cs="宋体"/>
          <w:sz w:val="24"/>
        </w:rPr>
      </w:pPr>
    </w:p>
    <w:p w14:paraId="10D09C5A">
      <w:pPr>
        <w:snapToGrid w:val="0"/>
        <w:spacing w:before="50" w:after="50"/>
        <w:rPr>
          <w:rFonts w:ascii="宋体" w:hAnsi="宋体" w:cs="宋体"/>
          <w:spacing w:val="20"/>
          <w:sz w:val="24"/>
          <w:u w:val="single"/>
        </w:rPr>
      </w:pPr>
      <w:r>
        <w:rPr>
          <w:rFonts w:hint="eastAsia" w:ascii="宋体" w:hAnsi="宋体" w:cs="宋体"/>
          <w:sz w:val="24"/>
        </w:rPr>
        <w:t>法定代表人或者委托代理人</w:t>
      </w:r>
      <w:r>
        <w:rPr>
          <w:rFonts w:hint="eastAsia" w:ascii="宋体" w:hAnsi="宋体" w:cs="宋体"/>
          <w:spacing w:val="20"/>
          <w:sz w:val="24"/>
        </w:rPr>
        <w:t>（签字或电子盖章）：</w:t>
      </w:r>
      <w:r>
        <w:rPr>
          <w:rFonts w:hint="eastAsia" w:ascii="宋体" w:hAnsi="宋体" w:cs="宋体"/>
          <w:spacing w:val="20"/>
          <w:sz w:val="24"/>
          <w:u w:val="single"/>
        </w:rPr>
        <w:t xml:space="preserve">       </w:t>
      </w:r>
    </w:p>
    <w:p w14:paraId="4394105D">
      <w:pPr>
        <w:snapToGrid w:val="0"/>
        <w:spacing w:before="120" w:beforeLines="50"/>
        <w:rPr>
          <w:rFonts w:ascii="宋体" w:hAnsi="宋体" w:cs="宋体"/>
          <w:spacing w:val="20"/>
          <w:sz w:val="24"/>
        </w:rPr>
      </w:pPr>
      <w:r>
        <w:rPr>
          <w:rFonts w:hint="eastAsia" w:ascii="宋体" w:hAnsi="宋体" w:cs="宋体"/>
          <w:spacing w:val="20"/>
          <w:sz w:val="24"/>
        </w:rPr>
        <w:t>投标人名称（电子签章）：</w:t>
      </w:r>
      <w:r>
        <w:rPr>
          <w:rFonts w:hint="eastAsia" w:ascii="宋体" w:hAnsi="宋体" w:cs="宋体"/>
          <w:spacing w:val="20"/>
          <w:sz w:val="24"/>
          <w:u w:val="single"/>
        </w:rPr>
        <w:t xml:space="preserve">           </w:t>
      </w:r>
      <w:r>
        <w:rPr>
          <w:rFonts w:hint="eastAsia" w:ascii="宋体" w:hAnsi="宋体" w:cs="宋体"/>
          <w:spacing w:val="20"/>
          <w:sz w:val="24"/>
        </w:rPr>
        <w:t xml:space="preserve">   </w:t>
      </w:r>
    </w:p>
    <w:p w14:paraId="23E53522">
      <w:pPr>
        <w:snapToGrid w:val="0"/>
        <w:spacing w:before="120" w:beforeLines="50"/>
        <w:rPr>
          <w:rFonts w:ascii="宋体" w:hAnsi="宋体" w:cs="宋体"/>
          <w:sz w:val="24"/>
          <w:szCs w:val="20"/>
        </w:rPr>
      </w:pPr>
      <w:r>
        <w:rPr>
          <w:rFonts w:hint="eastAsia" w:ascii="宋体" w:hAnsi="宋体" w:cs="宋体"/>
          <w:spacing w:val="20"/>
          <w:sz w:val="24"/>
        </w:rPr>
        <w:t>日  期：</w:t>
      </w:r>
      <w:r>
        <w:rPr>
          <w:rFonts w:hint="eastAsia" w:ascii="宋体" w:hAnsi="宋体" w:cs="宋体"/>
          <w:spacing w:val="20"/>
          <w:sz w:val="24"/>
          <w:u w:val="single"/>
        </w:rPr>
        <w:t xml:space="preserve">        </w:t>
      </w:r>
    </w:p>
    <w:p w14:paraId="42D737CB">
      <w:pPr>
        <w:snapToGrid w:val="0"/>
        <w:spacing w:before="120" w:beforeLines="50"/>
        <w:rPr>
          <w:rFonts w:ascii="宋体" w:hAnsi="宋体" w:cs="宋体"/>
          <w:sz w:val="24"/>
          <w:szCs w:val="20"/>
        </w:rPr>
      </w:pPr>
    </w:p>
    <w:p w14:paraId="0DE0A84A">
      <w:pPr>
        <w:snapToGrid w:val="0"/>
        <w:spacing w:before="120" w:beforeLines="50" w:after="50"/>
        <w:jc w:val="left"/>
        <w:rPr>
          <w:rFonts w:ascii="宋体" w:hAnsi="宋体" w:cs="宋体"/>
          <w:sz w:val="24"/>
          <w:szCs w:val="20"/>
        </w:rPr>
      </w:pPr>
    </w:p>
    <w:p w14:paraId="2CE192A2">
      <w:pPr>
        <w:snapToGrid w:val="0"/>
        <w:spacing w:before="120" w:beforeLines="50" w:after="50"/>
        <w:jc w:val="left"/>
        <w:rPr>
          <w:rFonts w:ascii="宋体" w:hAnsi="宋体" w:cs="宋体"/>
          <w:b/>
          <w:sz w:val="24"/>
        </w:rPr>
      </w:pPr>
      <w:r>
        <w:rPr>
          <w:rFonts w:hint="eastAsia" w:ascii="宋体" w:hAnsi="宋体" w:cs="宋体"/>
          <w:sz w:val="24"/>
          <w:szCs w:val="20"/>
        </w:rPr>
        <w:br w:type="page"/>
      </w:r>
      <w:r>
        <w:rPr>
          <w:rFonts w:hint="eastAsia" w:ascii="宋体" w:hAnsi="宋体" w:cs="宋体"/>
          <w:b/>
          <w:sz w:val="24"/>
        </w:rPr>
        <w:t>7.投标人业绩证明材料</w:t>
      </w:r>
    </w:p>
    <w:p w14:paraId="572F391C">
      <w:pPr>
        <w:pStyle w:val="36"/>
        <w:snapToGrid w:val="0"/>
        <w:ind w:left="480" w:hanging="480"/>
        <w:rPr>
          <w:rFonts w:ascii="宋体" w:hAnsi="宋体" w:cs="宋体"/>
          <w:sz w:val="24"/>
        </w:rPr>
      </w:pPr>
    </w:p>
    <w:p w14:paraId="775EF2DF">
      <w:pPr>
        <w:pStyle w:val="36"/>
        <w:snapToGrid w:val="0"/>
        <w:ind w:left="480" w:hanging="480"/>
        <w:rPr>
          <w:rFonts w:ascii="宋体" w:hAnsi="宋体" w:cs="宋体"/>
          <w:sz w:val="24"/>
        </w:rPr>
      </w:pPr>
      <w:r>
        <w:rPr>
          <w:rFonts w:hint="eastAsia" w:ascii="宋体" w:hAnsi="宋体" w:cs="宋体"/>
          <w:sz w:val="24"/>
        </w:rPr>
        <w:t>投标人业绩情况一览表格式：</w:t>
      </w:r>
    </w:p>
    <w:tbl>
      <w:tblPr>
        <w:tblStyle w:val="48"/>
        <w:tblW w:w="4853"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295"/>
        <w:gridCol w:w="1579"/>
        <w:gridCol w:w="1851"/>
        <w:gridCol w:w="1851"/>
        <w:gridCol w:w="2988"/>
      </w:tblGrid>
      <w:tr w14:paraId="28814B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65" w:hRule="atLeast"/>
          <w:jc w:val="center"/>
        </w:trPr>
        <w:tc>
          <w:tcPr>
            <w:tcW w:w="677" w:type="pct"/>
            <w:tcBorders>
              <w:top w:val="single" w:color="auto" w:sz="4" w:space="0"/>
              <w:left w:val="single" w:color="auto" w:sz="4" w:space="0"/>
              <w:bottom w:val="single" w:color="auto" w:sz="4" w:space="0"/>
              <w:right w:val="single" w:color="auto" w:sz="4" w:space="0"/>
            </w:tcBorders>
            <w:vAlign w:val="center"/>
          </w:tcPr>
          <w:p w14:paraId="5F1FA85A">
            <w:pPr>
              <w:snapToGrid w:val="0"/>
              <w:spacing w:line="300" w:lineRule="exact"/>
              <w:jc w:val="center"/>
              <w:rPr>
                <w:rFonts w:ascii="宋体" w:hAnsi="宋体" w:cs="宋体"/>
                <w:sz w:val="24"/>
              </w:rPr>
            </w:pPr>
            <w:r>
              <w:rPr>
                <w:rFonts w:hint="eastAsia" w:ascii="宋体" w:hAnsi="宋体" w:cs="宋体"/>
                <w:sz w:val="24"/>
              </w:rPr>
              <w:t>序号</w:t>
            </w:r>
          </w:p>
        </w:tc>
        <w:tc>
          <w:tcPr>
            <w:tcW w:w="825" w:type="pct"/>
            <w:tcBorders>
              <w:top w:val="single" w:color="auto" w:sz="4" w:space="0"/>
              <w:left w:val="single" w:color="auto" w:sz="4" w:space="0"/>
              <w:bottom w:val="single" w:color="auto" w:sz="4" w:space="0"/>
              <w:right w:val="single" w:color="auto" w:sz="4" w:space="0"/>
            </w:tcBorders>
            <w:vAlign w:val="center"/>
          </w:tcPr>
          <w:p w14:paraId="32398B9C">
            <w:pPr>
              <w:snapToGrid w:val="0"/>
              <w:spacing w:line="300" w:lineRule="exact"/>
              <w:jc w:val="center"/>
              <w:rPr>
                <w:rFonts w:ascii="宋体" w:hAnsi="宋体" w:cs="宋体"/>
                <w:sz w:val="24"/>
              </w:rPr>
            </w:pPr>
            <w:r>
              <w:rPr>
                <w:rFonts w:hint="eastAsia" w:ascii="宋体" w:hAnsi="宋体" w:cs="宋体"/>
                <w:sz w:val="24"/>
              </w:rPr>
              <w:t>采购人名称</w:t>
            </w:r>
          </w:p>
        </w:tc>
        <w:tc>
          <w:tcPr>
            <w:tcW w:w="967" w:type="pct"/>
            <w:tcBorders>
              <w:top w:val="single" w:color="auto" w:sz="4" w:space="0"/>
              <w:left w:val="single" w:color="auto" w:sz="4" w:space="0"/>
              <w:bottom w:val="single" w:color="auto" w:sz="4" w:space="0"/>
              <w:right w:val="single" w:color="auto" w:sz="4" w:space="0"/>
            </w:tcBorders>
            <w:vAlign w:val="center"/>
          </w:tcPr>
          <w:p w14:paraId="58B70BC9">
            <w:pPr>
              <w:snapToGrid w:val="0"/>
              <w:spacing w:line="300" w:lineRule="exact"/>
              <w:jc w:val="center"/>
              <w:rPr>
                <w:rFonts w:ascii="宋体" w:hAnsi="宋体" w:cs="宋体"/>
                <w:sz w:val="24"/>
              </w:rPr>
            </w:pPr>
            <w:r>
              <w:rPr>
                <w:rFonts w:hint="eastAsia" w:ascii="宋体" w:hAnsi="宋体" w:cs="宋体"/>
                <w:sz w:val="24"/>
              </w:rPr>
              <w:t>项目名称</w:t>
            </w:r>
          </w:p>
        </w:tc>
        <w:tc>
          <w:tcPr>
            <w:tcW w:w="967" w:type="pct"/>
            <w:tcBorders>
              <w:top w:val="single" w:color="auto" w:sz="4" w:space="0"/>
              <w:left w:val="single" w:color="auto" w:sz="4" w:space="0"/>
              <w:bottom w:val="single" w:color="auto" w:sz="4" w:space="0"/>
              <w:right w:val="single" w:color="auto" w:sz="4" w:space="0"/>
            </w:tcBorders>
            <w:vAlign w:val="center"/>
          </w:tcPr>
          <w:p w14:paraId="284AA4B6">
            <w:pPr>
              <w:snapToGrid w:val="0"/>
              <w:spacing w:line="300" w:lineRule="exact"/>
              <w:jc w:val="center"/>
              <w:rPr>
                <w:rFonts w:ascii="宋体" w:hAnsi="宋体" w:cs="宋体"/>
                <w:sz w:val="24"/>
              </w:rPr>
            </w:pPr>
            <w:r>
              <w:rPr>
                <w:rFonts w:hint="eastAsia" w:ascii="宋体" w:hAnsi="宋体" w:cs="宋体"/>
                <w:sz w:val="24"/>
              </w:rPr>
              <w:t>合同金额</w:t>
            </w:r>
          </w:p>
          <w:p w14:paraId="27BD33D0">
            <w:pPr>
              <w:snapToGrid w:val="0"/>
              <w:spacing w:line="300" w:lineRule="exact"/>
              <w:jc w:val="center"/>
              <w:rPr>
                <w:rFonts w:ascii="宋体" w:hAnsi="宋体" w:cs="宋体"/>
                <w:sz w:val="24"/>
              </w:rPr>
            </w:pPr>
            <w:r>
              <w:rPr>
                <w:rFonts w:hint="eastAsia" w:ascii="宋体" w:hAnsi="宋体" w:cs="宋体"/>
                <w:sz w:val="24"/>
              </w:rPr>
              <w:t>（万元）</w:t>
            </w:r>
          </w:p>
        </w:tc>
        <w:tc>
          <w:tcPr>
            <w:tcW w:w="1561" w:type="pct"/>
            <w:tcBorders>
              <w:top w:val="single" w:color="auto" w:sz="4" w:space="0"/>
              <w:left w:val="single" w:color="auto" w:sz="4" w:space="0"/>
              <w:bottom w:val="single" w:color="auto" w:sz="4" w:space="0"/>
              <w:right w:val="single" w:color="auto" w:sz="4" w:space="0"/>
            </w:tcBorders>
            <w:vAlign w:val="center"/>
          </w:tcPr>
          <w:p w14:paraId="101555D1">
            <w:pPr>
              <w:snapToGrid w:val="0"/>
              <w:spacing w:line="300" w:lineRule="exact"/>
              <w:jc w:val="center"/>
              <w:rPr>
                <w:rFonts w:ascii="宋体" w:hAnsi="宋体" w:cs="宋体"/>
                <w:sz w:val="24"/>
              </w:rPr>
            </w:pPr>
            <w:r>
              <w:rPr>
                <w:rFonts w:hint="eastAsia" w:ascii="宋体" w:hAnsi="宋体" w:cs="宋体"/>
                <w:sz w:val="24"/>
              </w:rPr>
              <w:t>采购人联系人及</w:t>
            </w:r>
          </w:p>
          <w:p w14:paraId="30A150C5">
            <w:pPr>
              <w:snapToGrid w:val="0"/>
              <w:spacing w:line="300" w:lineRule="exact"/>
              <w:jc w:val="center"/>
              <w:rPr>
                <w:rFonts w:ascii="宋体" w:hAnsi="宋体" w:cs="宋体"/>
                <w:sz w:val="24"/>
              </w:rPr>
            </w:pPr>
            <w:r>
              <w:rPr>
                <w:rFonts w:hint="eastAsia" w:ascii="宋体" w:hAnsi="宋体" w:cs="宋体"/>
                <w:sz w:val="24"/>
              </w:rPr>
              <w:t>联系电话</w:t>
            </w:r>
          </w:p>
        </w:tc>
      </w:tr>
      <w:tr w14:paraId="555E48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677" w:type="pct"/>
            <w:tcBorders>
              <w:top w:val="single" w:color="auto" w:sz="4" w:space="0"/>
              <w:left w:val="single" w:color="auto" w:sz="4" w:space="0"/>
              <w:bottom w:val="single" w:color="auto" w:sz="4" w:space="0"/>
              <w:right w:val="single" w:color="auto" w:sz="4" w:space="0"/>
            </w:tcBorders>
          </w:tcPr>
          <w:p w14:paraId="6F0B4F61">
            <w:pPr>
              <w:snapToGrid w:val="0"/>
              <w:spacing w:line="240" w:lineRule="exact"/>
              <w:jc w:val="left"/>
              <w:rPr>
                <w:rFonts w:ascii="宋体" w:hAnsi="宋体" w:cs="宋体"/>
                <w:sz w:val="24"/>
              </w:rPr>
            </w:pPr>
          </w:p>
        </w:tc>
        <w:tc>
          <w:tcPr>
            <w:tcW w:w="825" w:type="pct"/>
            <w:tcBorders>
              <w:top w:val="single" w:color="auto" w:sz="4" w:space="0"/>
              <w:left w:val="single" w:color="auto" w:sz="4" w:space="0"/>
              <w:bottom w:val="single" w:color="auto" w:sz="4" w:space="0"/>
              <w:right w:val="single" w:color="auto" w:sz="4" w:space="0"/>
            </w:tcBorders>
          </w:tcPr>
          <w:p w14:paraId="4CF41D62">
            <w:pPr>
              <w:snapToGrid w:val="0"/>
              <w:spacing w:line="240" w:lineRule="exact"/>
              <w:jc w:val="left"/>
              <w:rPr>
                <w:rFonts w:ascii="宋体" w:hAnsi="宋体" w:cs="宋体"/>
                <w:sz w:val="24"/>
              </w:rPr>
            </w:pPr>
          </w:p>
        </w:tc>
        <w:tc>
          <w:tcPr>
            <w:tcW w:w="967" w:type="pct"/>
            <w:tcBorders>
              <w:top w:val="single" w:color="auto" w:sz="4" w:space="0"/>
              <w:left w:val="single" w:color="auto" w:sz="4" w:space="0"/>
              <w:bottom w:val="single" w:color="auto" w:sz="4" w:space="0"/>
              <w:right w:val="single" w:color="auto" w:sz="4" w:space="0"/>
            </w:tcBorders>
          </w:tcPr>
          <w:p w14:paraId="1D947A7B">
            <w:pPr>
              <w:snapToGrid w:val="0"/>
              <w:spacing w:line="240" w:lineRule="exact"/>
              <w:jc w:val="left"/>
              <w:rPr>
                <w:rFonts w:ascii="宋体" w:hAnsi="宋体" w:cs="宋体"/>
                <w:sz w:val="24"/>
              </w:rPr>
            </w:pPr>
          </w:p>
        </w:tc>
        <w:tc>
          <w:tcPr>
            <w:tcW w:w="967" w:type="pct"/>
            <w:tcBorders>
              <w:top w:val="single" w:color="auto" w:sz="4" w:space="0"/>
              <w:left w:val="single" w:color="auto" w:sz="4" w:space="0"/>
              <w:bottom w:val="single" w:color="auto" w:sz="4" w:space="0"/>
              <w:right w:val="single" w:color="auto" w:sz="4" w:space="0"/>
            </w:tcBorders>
          </w:tcPr>
          <w:p w14:paraId="6810DD5B">
            <w:pPr>
              <w:snapToGrid w:val="0"/>
              <w:spacing w:line="240" w:lineRule="exact"/>
              <w:jc w:val="left"/>
              <w:rPr>
                <w:rFonts w:ascii="宋体" w:hAnsi="宋体" w:cs="宋体"/>
                <w:sz w:val="24"/>
              </w:rPr>
            </w:pPr>
          </w:p>
        </w:tc>
        <w:tc>
          <w:tcPr>
            <w:tcW w:w="1561" w:type="pct"/>
            <w:tcBorders>
              <w:top w:val="single" w:color="auto" w:sz="4" w:space="0"/>
              <w:left w:val="single" w:color="auto" w:sz="4" w:space="0"/>
              <w:bottom w:val="single" w:color="auto" w:sz="4" w:space="0"/>
              <w:right w:val="single" w:color="auto" w:sz="4" w:space="0"/>
            </w:tcBorders>
          </w:tcPr>
          <w:p w14:paraId="1BFDAC1D">
            <w:pPr>
              <w:snapToGrid w:val="0"/>
              <w:spacing w:line="240" w:lineRule="exact"/>
              <w:jc w:val="left"/>
              <w:rPr>
                <w:rFonts w:ascii="宋体" w:hAnsi="宋体" w:cs="宋体"/>
                <w:sz w:val="24"/>
              </w:rPr>
            </w:pPr>
          </w:p>
        </w:tc>
      </w:tr>
      <w:tr w14:paraId="30FF5A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7" w:type="pct"/>
            <w:tcBorders>
              <w:top w:val="single" w:color="auto" w:sz="4" w:space="0"/>
              <w:left w:val="single" w:color="auto" w:sz="4" w:space="0"/>
              <w:bottom w:val="single" w:color="auto" w:sz="4" w:space="0"/>
              <w:right w:val="single" w:color="auto" w:sz="4" w:space="0"/>
            </w:tcBorders>
          </w:tcPr>
          <w:p w14:paraId="073E589A">
            <w:pPr>
              <w:snapToGrid w:val="0"/>
              <w:spacing w:before="50" w:after="120" w:afterLines="50" w:line="400" w:lineRule="exact"/>
              <w:jc w:val="left"/>
              <w:rPr>
                <w:rFonts w:ascii="宋体" w:hAnsi="宋体" w:cs="宋体"/>
                <w:sz w:val="24"/>
              </w:rPr>
            </w:pPr>
          </w:p>
        </w:tc>
        <w:tc>
          <w:tcPr>
            <w:tcW w:w="825" w:type="pct"/>
            <w:tcBorders>
              <w:top w:val="single" w:color="auto" w:sz="4" w:space="0"/>
              <w:left w:val="single" w:color="auto" w:sz="4" w:space="0"/>
              <w:bottom w:val="single" w:color="auto" w:sz="4" w:space="0"/>
              <w:right w:val="single" w:color="auto" w:sz="4" w:space="0"/>
            </w:tcBorders>
          </w:tcPr>
          <w:p w14:paraId="16B308A1">
            <w:pPr>
              <w:snapToGrid w:val="0"/>
              <w:spacing w:before="50" w:after="120" w:afterLines="50" w:line="400" w:lineRule="exact"/>
              <w:jc w:val="left"/>
              <w:rPr>
                <w:rFonts w:ascii="宋体" w:hAnsi="宋体" w:cs="宋体"/>
                <w:sz w:val="24"/>
              </w:rPr>
            </w:pPr>
          </w:p>
        </w:tc>
        <w:tc>
          <w:tcPr>
            <w:tcW w:w="967" w:type="pct"/>
            <w:tcBorders>
              <w:top w:val="single" w:color="auto" w:sz="4" w:space="0"/>
              <w:left w:val="single" w:color="auto" w:sz="4" w:space="0"/>
              <w:bottom w:val="single" w:color="auto" w:sz="4" w:space="0"/>
              <w:right w:val="single" w:color="auto" w:sz="4" w:space="0"/>
            </w:tcBorders>
          </w:tcPr>
          <w:p w14:paraId="54F0DA30">
            <w:pPr>
              <w:snapToGrid w:val="0"/>
              <w:spacing w:before="50" w:after="120" w:afterLines="50" w:line="400" w:lineRule="exact"/>
              <w:jc w:val="left"/>
              <w:rPr>
                <w:rFonts w:ascii="宋体" w:hAnsi="宋体" w:cs="宋体"/>
                <w:sz w:val="24"/>
              </w:rPr>
            </w:pPr>
          </w:p>
        </w:tc>
        <w:tc>
          <w:tcPr>
            <w:tcW w:w="967" w:type="pct"/>
            <w:tcBorders>
              <w:top w:val="single" w:color="auto" w:sz="4" w:space="0"/>
              <w:left w:val="single" w:color="auto" w:sz="4" w:space="0"/>
              <w:bottom w:val="single" w:color="auto" w:sz="4" w:space="0"/>
              <w:right w:val="single" w:color="auto" w:sz="4" w:space="0"/>
            </w:tcBorders>
          </w:tcPr>
          <w:p w14:paraId="01B1D5BA">
            <w:pPr>
              <w:snapToGrid w:val="0"/>
              <w:spacing w:before="50" w:after="120" w:afterLines="50" w:line="400" w:lineRule="exact"/>
              <w:jc w:val="left"/>
              <w:rPr>
                <w:rFonts w:ascii="宋体" w:hAnsi="宋体" w:cs="宋体"/>
                <w:sz w:val="24"/>
              </w:rPr>
            </w:pPr>
          </w:p>
        </w:tc>
        <w:tc>
          <w:tcPr>
            <w:tcW w:w="1561" w:type="pct"/>
            <w:tcBorders>
              <w:top w:val="single" w:color="auto" w:sz="4" w:space="0"/>
              <w:left w:val="single" w:color="auto" w:sz="4" w:space="0"/>
              <w:bottom w:val="single" w:color="auto" w:sz="4" w:space="0"/>
              <w:right w:val="single" w:color="auto" w:sz="4" w:space="0"/>
            </w:tcBorders>
          </w:tcPr>
          <w:p w14:paraId="0459BDB4">
            <w:pPr>
              <w:snapToGrid w:val="0"/>
              <w:spacing w:before="50" w:after="120" w:afterLines="50" w:line="400" w:lineRule="exact"/>
              <w:jc w:val="left"/>
              <w:rPr>
                <w:rFonts w:ascii="宋体" w:hAnsi="宋体" w:cs="宋体"/>
                <w:sz w:val="24"/>
              </w:rPr>
            </w:pPr>
          </w:p>
        </w:tc>
      </w:tr>
      <w:tr w14:paraId="36A82A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677" w:type="pct"/>
            <w:tcBorders>
              <w:top w:val="single" w:color="auto" w:sz="4" w:space="0"/>
              <w:left w:val="single" w:color="auto" w:sz="4" w:space="0"/>
              <w:bottom w:val="single" w:color="auto" w:sz="4" w:space="0"/>
              <w:right w:val="single" w:color="auto" w:sz="4" w:space="0"/>
            </w:tcBorders>
          </w:tcPr>
          <w:p w14:paraId="69717B5F">
            <w:pPr>
              <w:snapToGrid w:val="0"/>
              <w:spacing w:before="50" w:after="120" w:afterLines="50" w:line="400" w:lineRule="exact"/>
              <w:jc w:val="left"/>
              <w:rPr>
                <w:rFonts w:ascii="宋体" w:hAnsi="宋体" w:cs="宋体"/>
                <w:sz w:val="24"/>
              </w:rPr>
            </w:pPr>
          </w:p>
        </w:tc>
        <w:tc>
          <w:tcPr>
            <w:tcW w:w="825" w:type="pct"/>
            <w:tcBorders>
              <w:top w:val="single" w:color="auto" w:sz="4" w:space="0"/>
              <w:left w:val="single" w:color="auto" w:sz="4" w:space="0"/>
              <w:bottom w:val="single" w:color="auto" w:sz="4" w:space="0"/>
              <w:right w:val="single" w:color="auto" w:sz="4" w:space="0"/>
            </w:tcBorders>
          </w:tcPr>
          <w:p w14:paraId="208BB5AC">
            <w:pPr>
              <w:snapToGrid w:val="0"/>
              <w:spacing w:before="50" w:after="120" w:afterLines="50" w:line="400" w:lineRule="exact"/>
              <w:jc w:val="left"/>
              <w:rPr>
                <w:rFonts w:ascii="宋体" w:hAnsi="宋体" w:cs="宋体"/>
                <w:sz w:val="24"/>
              </w:rPr>
            </w:pPr>
          </w:p>
        </w:tc>
        <w:tc>
          <w:tcPr>
            <w:tcW w:w="967" w:type="pct"/>
            <w:tcBorders>
              <w:top w:val="single" w:color="auto" w:sz="4" w:space="0"/>
              <w:left w:val="single" w:color="auto" w:sz="4" w:space="0"/>
              <w:bottom w:val="single" w:color="auto" w:sz="4" w:space="0"/>
              <w:right w:val="single" w:color="auto" w:sz="4" w:space="0"/>
            </w:tcBorders>
          </w:tcPr>
          <w:p w14:paraId="117A5B66">
            <w:pPr>
              <w:snapToGrid w:val="0"/>
              <w:spacing w:before="50" w:after="120" w:afterLines="50" w:line="400" w:lineRule="exact"/>
              <w:jc w:val="left"/>
              <w:rPr>
                <w:rFonts w:ascii="宋体" w:hAnsi="宋体" w:cs="宋体"/>
                <w:sz w:val="24"/>
              </w:rPr>
            </w:pPr>
          </w:p>
        </w:tc>
        <w:tc>
          <w:tcPr>
            <w:tcW w:w="967" w:type="pct"/>
            <w:tcBorders>
              <w:top w:val="single" w:color="auto" w:sz="4" w:space="0"/>
              <w:left w:val="single" w:color="auto" w:sz="4" w:space="0"/>
              <w:bottom w:val="single" w:color="auto" w:sz="4" w:space="0"/>
              <w:right w:val="single" w:color="auto" w:sz="4" w:space="0"/>
            </w:tcBorders>
          </w:tcPr>
          <w:p w14:paraId="4F3D2254">
            <w:pPr>
              <w:snapToGrid w:val="0"/>
              <w:spacing w:before="50" w:after="120" w:afterLines="50" w:line="400" w:lineRule="exact"/>
              <w:jc w:val="left"/>
              <w:rPr>
                <w:rFonts w:ascii="宋体" w:hAnsi="宋体" w:cs="宋体"/>
                <w:sz w:val="24"/>
              </w:rPr>
            </w:pPr>
          </w:p>
        </w:tc>
        <w:tc>
          <w:tcPr>
            <w:tcW w:w="1561" w:type="pct"/>
            <w:tcBorders>
              <w:top w:val="single" w:color="auto" w:sz="4" w:space="0"/>
              <w:left w:val="single" w:color="auto" w:sz="4" w:space="0"/>
              <w:bottom w:val="single" w:color="auto" w:sz="4" w:space="0"/>
              <w:right w:val="single" w:color="auto" w:sz="4" w:space="0"/>
            </w:tcBorders>
          </w:tcPr>
          <w:p w14:paraId="37FF27A2">
            <w:pPr>
              <w:snapToGrid w:val="0"/>
              <w:spacing w:before="50" w:after="120" w:afterLines="50" w:line="400" w:lineRule="exact"/>
              <w:jc w:val="left"/>
              <w:rPr>
                <w:rFonts w:ascii="宋体" w:hAnsi="宋体" w:cs="宋体"/>
                <w:sz w:val="24"/>
              </w:rPr>
            </w:pPr>
          </w:p>
        </w:tc>
      </w:tr>
      <w:tr w14:paraId="33A671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7" w:type="pct"/>
            <w:tcBorders>
              <w:top w:val="single" w:color="auto" w:sz="4" w:space="0"/>
              <w:left w:val="single" w:color="auto" w:sz="4" w:space="0"/>
              <w:bottom w:val="single" w:color="auto" w:sz="4" w:space="0"/>
              <w:right w:val="single" w:color="auto" w:sz="4" w:space="0"/>
            </w:tcBorders>
          </w:tcPr>
          <w:p w14:paraId="12879123">
            <w:pPr>
              <w:snapToGrid w:val="0"/>
              <w:spacing w:before="50" w:after="120" w:afterLines="50" w:line="400" w:lineRule="exact"/>
              <w:jc w:val="left"/>
              <w:rPr>
                <w:rFonts w:ascii="宋体" w:hAnsi="宋体" w:cs="宋体"/>
                <w:sz w:val="24"/>
              </w:rPr>
            </w:pPr>
          </w:p>
        </w:tc>
        <w:tc>
          <w:tcPr>
            <w:tcW w:w="825" w:type="pct"/>
            <w:tcBorders>
              <w:top w:val="single" w:color="auto" w:sz="4" w:space="0"/>
              <w:left w:val="single" w:color="auto" w:sz="4" w:space="0"/>
              <w:bottom w:val="single" w:color="auto" w:sz="4" w:space="0"/>
              <w:right w:val="single" w:color="auto" w:sz="4" w:space="0"/>
            </w:tcBorders>
          </w:tcPr>
          <w:p w14:paraId="2C84D844">
            <w:pPr>
              <w:snapToGrid w:val="0"/>
              <w:spacing w:before="50" w:after="120" w:afterLines="50" w:line="400" w:lineRule="exact"/>
              <w:jc w:val="left"/>
              <w:rPr>
                <w:rFonts w:ascii="宋体" w:hAnsi="宋体" w:cs="宋体"/>
                <w:sz w:val="24"/>
              </w:rPr>
            </w:pPr>
          </w:p>
        </w:tc>
        <w:tc>
          <w:tcPr>
            <w:tcW w:w="967" w:type="pct"/>
            <w:tcBorders>
              <w:top w:val="single" w:color="auto" w:sz="4" w:space="0"/>
              <w:left w:val="single" w:color="auto" w:sz="4" w:space="0"/>
              <w:bottom w:val="single" w:color="auto" w:sz="4" w:space="0"/>
              <w:right w:val="single" w:color="auto" w:sz="4" w:space="0"/>
            </w:tcBorders>
          </w:tcPr>
          <w:p w14:paraId="1F14480B">
            <w:pPr>
              <w:snapToGrid w:val="0"/>
              <w:spacing w:before="50" w:after="120" w:afterLines="50" w:line="400" w:lineRule="exact"/>
              <w:jc w:val="left"/>
              <w:rPr>
                <w:rFonts w:ascii="宋体" w:hAnsi="宋体" w:cs="宋体"/>
                <w:sz w:val="24"/>
              </w:rPr>
            </w:pPr>
          </w:p>
        </w:tc>
        <w:tc>
          <w:tcPr>
            <w:tcW w:w="967" w:type="pct"/>
            <w:tcBorders>
              <w:top w:val="single" w:color="auto" w:sz="4" w:space="0"/>
              <w:left w:val="single" w:color="auto" w:sz="4" w:space="0"/>
              <w:bottom w:val="single" w:color="auto" w:sz="4" w:space="0"/>
              <w:right w:val="single" w:color="auto" w:sz="4" w:space="0"/>
            </w:tcBorders>
          </w:tcPr>
          <w:p w14:paraId="635F162A">
            <w:pPr>
              <w:snapToGrid w:val="0"/>
              <w:spacing w:before="50" w:after="120" w:afterLines="50" w:line="400" w:lineRule="exact"/>
              <w:jc w:val="left"/>
              <w:rPr>
                <w:rFonts w:ascii="宋体" w:hAnsi="宋体" w:cs="宋体"/>
                <w:sz w:val="24"/>
              </w:rPr>
            </w:pPr>
          </w:p>
        </w:tc>
        <w:tc>
          <w:tcPr>
            <w:tcW w:w="1561" w:type="pct"/>
            <w:tcBorders>
              <w:top w:val="single" w:color="auto" w:sz="4" w:space="0"/>
              <w:left w:val="single" w:color="auto" w:sz="4" w:space="0"/>
              <w:bottom w:val="single" w:color="auto" w:sz="4" w:space="0"/>
              <w:right w:val="single" w:color="auto" w:sz="4" w:space="0"/>
            </w:tcBorders>
          </w:tcPr>
          <w:p w14:paraId="51E580CE">
            <w:pPr>
              <w:snapToGrid w:val="0"/>
              <w:spacing w:before="50" w:after="120" w:afterLines="50" w:line="400" w:lineRule="exact"/>
              <w:jc w:val="left"/>
              <w:rPr>
                <w:rFonts w:ascii="宋体" w:hAnsi="宋体" w:cs="宋体"/>
                <w:sz w:val="24"/>
              </w:rPr>
            </w:pPr>
          </w:p>
        </w:tc>
      </w:tr>
      <w:tr w14:paraId="65DEE9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7" w:type="pct"/>
            <w:tcBorders>
              <w:top w:val="single" w:color="auto" w:sz="4" w:space="0"/>
              <w:left w:val="single" w:color="auto" w:sz="4" w:space="0"/>
              <w:bottom w:val="single" w:color="auto" w:sz="4" w:space="0"/>
              <w:right w:val="single" w:color="auto" w:sz="4" w:space="0"/>
            </w:tcBorders>
          </w:tcPr>
          <w:p w14:paraId="51ABA583">
            <w:pPr>
              <w:snapToGrid w:val="0"/>
              <w:spacing w:before="50" w:after="120" w:afterLines="50" w:line="400" w:lineRule="exact"/>
              <w:jc w:val="left"/>
              <w:rPr>
                <w:rFonts w:ascii="宋体" w:hAnsi="宋体" w:cs="宋体"/>
                <w:sz w:val="24"/>
              </w:rPr>
            </w:pPr>
          </w:p>
        </w:tc>
        <w:tc>
          <w:tcPr>
            <w:tcW w:w="825" w:type="pct"/>
            <w:tcBorders>
              <w:top w:val="single" w:color="auto" w:sz="4" w:space="0"/>
              <w:left w:val="single" w:color="auto" w:sz="4" w:space="0"/>
              <w:bottom w:val="single" w:color="auto" w:sz="4" w:space="0"/>
              <w:right w:val="single" w:color="auto" w:sz="4" w:space="0"/>
            </w:tcBorders>
          </w:tcPr>
          <w:p w14:paraId="217D63B2">
            <w:pPr>
              <w:snapToGrid w:val="0"/>
              <w:spacing w:before="50" w:after="120" w:afterLines="50" w:line="400" w:lineRule="exact"/>
              <w:jc w:val="left"/>
              <w:rPr>
                <w:rFonts w:ascii="宋体" w:hAnsi="宋体" w:cs="宋体"/>
                <w:sz w:val="24"/>
              </w:rPr>
            </w:pPr>
          </w:p>
        </w:tc>
        <w:tc>
          <w:tcPr>
            <w:tcW w:w="967" w:type="pct"/>
            <w:tcBorders>
              <w:top w:val="single" w:color="auto" w:sz="4" w:space="0"/>
              <w:left w:val="single" w:color="auto" w:sz="4" w:space="0"/>
              <w:bottom w:val="single" w:color="auto" w:sz="4" w:space="0"/>
              <w:right w:val="single" w:color="auto" w:sz="4" w:space="0"/>
            </w:tcBorders>
          </w:tcPr>
          <w:p w14:paraId="4F1D2AC9">
            <w:pPr>
              <w:snapToGrid w:val="0"/>
              <w:spacing w:before="50" w:after="120" w:afterLines="50" w:line="400" w:lineRule="exact"/>
              <w:jc w:val="left"/>
              <w:rPr>
                <w:rFonts w:ascii="宋体" w:hAnsi="宋体" w:cs="宋体"/>
                <w:sz w:val="24"/>
              </w:rPr>
            </w:pPr>
          </w:p>
        </w:tc>
        <w:tc>
          <w:tcPr>
            <w:tcW w:w="967" w:type="pct"/>
            <w:tcBorders>
              <w:top w:val="single" w:color="auto" w:sz="4" w:space="0"/>
              <w:left w:val="single" w:color="auto" w:sz="4" w:space="0"/>
              <w:bottom w:val="single" w:color="auto" w:sz="4" w:space="0"/>
              <w:right w:val="single" w:color="auto" w:sz="4" w:space="0"/>
            </w:tcBorders>
          </w:tcPr>
          <w:p w14:paraId="1D4CF973">
            <w:pPr>
              <w:snapToGrid w:val="0"/>
              <w:spacing w:before="50" w:after="120" w:afterLines="50" w:line="400" w:lineRule="exact"/>
              <w:jc w:val="left"/>
              <w:rPr>
                <w:rFonts w:ascii="宋体" w:hAnsi="宋体" w:cs="宋体"/>
                <w:sz w:val="24"/>
              </w:rPr>
            </w:pPr>
          </w:p>
        </w:tc>
        <w:tc>
          <w:tcPr>
            <w:tcW w:w="1561" w:type="pct"/>
            <w:tcBorders>
              <w:top w:val="single" w:color="auto" w:sz="4" w:space="0"/>
              <w:left w:val="single" w:color="auto" w:sz="4" w:space="0"/>
              <w:bottom w:val="single" w:color="auto" w:sz="4" w:space="0"/>
              <w:right w:val="single" w:color="auto" w:sz="4" w:space="0"/>
            </w:tcBorders>
          </w:tcPr>
          <w:p w14:paraId="75E2931D">
            <w:pPr>
              <w:snapToGrid w:val="0"/>
              <w:spacing w:before="50" w:after="120" w:afterLines="50" w:line="400" w:lineRule="exact"/>
              <w:jc w:val="left"/>
              <w:rPr>
                <w:rFonts w:ascii="宋体" w:hAnsi="宋体" w:cs="宋体"/>
                <w:sz w:val="24"/>
              </w:rPr>
            </w:pPr>
          </w:p>
        </w:tc>
      </w:tr>
    </w:tbl>
    <w:p w14:paraId="689F7230">
      <w:pPr>
        <w:pStyle w:val="14"/>
        <w:spacing w:before="0" w:after="0" w:line="360" w:lineRule="auto"/>
        <w:contextualSpacing/>
        <w:rPr>
          <w:rFonts w:ascii="宋体" w:hAnsi="宋体" w:eastAsia="宋体" w:cs="宋体"/>
          <w:sz w:val="24"/>
          <w:szCs w:val="24"/>
        </w:rPr>
      </w:pPr>
    </w:p>
    <w:p w14:paraId="55153A3C">
      <w:pPr>
        <w:pStyle w:val="14"/>
        <w:spacing w:before="0" w:after="0" w:line="360" w:lineRule="auto"/>
        <w:contextualSpacing/>
        <w:rPr>
          <w:rFonts w:ascii="宋体" w:hAnsi="宋体" w:eastAsia="宋体" w:cs="宋体"/>
          <w:sz w:val="24"/>
          <w:szCs w:val="24"/>
        </w:rPr>
      </w:pPr>
      <w:r>
        <w:rPr>
          <w:rFonts w:hint="eastAsia" w:ascii="宋体" w:hAnsi="宋体" w:eastAsia="宋体" w:cs="宋体"/>
          <w:sz w:val="24"/>
          <w:szCs w:val="24"/>
        </w:rPr>
        <w:t>注：</w:t>
      </w:r>
      <w:r>
        <w:rPr>
          <w:rFonts w:hint="eastAsia" w:ascii="宋体" w:hAnsi="宋体" w:eastAsia="宋体" w:cs="宋体"/>
          <w:sz w:val="24"/>
        </w:rPr>
        <w:t>投标人根据评标标准具体要求附业绩证明材料。</w:t>
      </w:r>
    </w:p>
    <w:p w14:paraId="19BA760D">
      <w:pPr>
        <w:pStyle w:val="14"/>
        <w:spacing w:before="0" w:after="0" w:line="360" w:lineRule="auto"/>
        <w:contextualSpacing/>
        <w:jc w:val="left"/>
        <w:rPr>
          <w:rFonts w:ascii="宋体" w:hAnsi="宋体" w:eastAsia="宋体" w:cs="宋体"/>
          <w:sz w:val="24"/>
          <w:szCs w:val="24"/>
          <w:u w:val="single"/>
        </w:rPr>
      </w:pPr>
      <w:r>
        <w:rPr>
          <w:rFonts w:hint="eastAsia" w:ascii="宋体" w:hAnsi="宋体" w:eastAsia="宋体" w:cs="宋体"/>
          <w:sz w:val="24"/>
          <w:szCs w:val="24"/>
        </w:rPr>
        <w:t>法定代表人或者委托代理人（签字或电子盖章）：</w:t>
      </w:r>
      <w:r>
        <w:rPr>
          <w:rFonts w:hint="eastAsia" w:ascii="宋体" w:hAnsi="宋体" w:eastAsia="宋体" w:cs="宋体"/>
          <w:sz w:val="24"/>
          <w:szCs w:val="24"/>
          <w:u w:val="single"/>
        </w:rPr>
        <w:t>　　　　　</w:t>
      </w:r>
    </w:p>
    <w:p w14:paraId="554BDA53">
      <w:pPr>
        <w:spacing w:line="360" w:lineRule="auto"/>
        <w:ind w:left="1200" w:right="480" w:hanging="1200" w:hangingChars="500"/>
        <w:contextualSpacing/>
        <w:jc w:val="left"/>
        <w:rPr>
          <w:rFonts w:ascii="宋体" w:hAnsi="宋体" w:cs="宋体"/>
          <w:sz w:val="24"/>
          <w:szCs w:val="20"/>
        </w:rPr>
      </w:pPr>
      <w:r>
        <w:rPr>
          <w:rFonts w:hint="eastAsia" w:ascii="宋体" w:hAnsi="宋体" w:cs="宋体"/>
          <w:sz w:val="24"/>
        </w:rPr>
        <w:t>投标人名称（电子签章）：</w:t>
      </w:r>
      <w:r>
        <w:rPr>
          <w:rFonts w:hint="eastAsia" w:ascii="宋体" w:hAnsi="宋体" w:cs="宋体"/>
          <w:sz w:val="24"/>
          <w:u w:val="single"/>
        </w:rPr>
        <w:t xml:space="preserve">                </w:t>
      </w:r>
      <w:r>
        <w:rPr>
          <w:rFonts w:hint="eastAsia" w:ascii="宋体" w:hAnsi="宋体" w:cs="宋体"/>
          <w:sz w:val="24"/>
        </w:rPr>
        <w:t xml:space="preserve">                                                              年    月    日</w:t>
      </w:r>
    </w:p>
    <w:p w14:paraId="5F66EFD9">
      <w:pPr>
        <w:snapToGrid w:val="0"/>
        <w:spacing w:before="50"/>
        <w:ind w:firstLine="480" w:firstLineChars="200"/>
        <w:jc w:val="left"/>
        <w:rPr>
          <w:rFonts w:ascii="宋体" w:hAnsi="宋体" w:cs="宋体"/>
          <w:sz w:val="24"/>
          <w:szCs w:val="20"/>
        </w:rPr>
      </w:pPr>
    </w:p>
    <w:p w14:paraId="7ADE600D">
      <w:pPr>
        <w:snapToGrid w:val="0"/>
        <w:spacing w:before="50"/>
        <w:jc w:val="left"/>
        <w:rPr>
          <w:rFonts w:ascii="宋体" w:hAnsi="宋体" w:cs="宋体"/>
          <w:sz w:val="24"/>
        </w:rPr>
      </w:pPr>
    </w:p>
    <w:p w14:paraId="7229F4DC">
      <w:pPr>
        <w:snapToGrid w:val="0"/>
        <w:spacing w:before="120" w:beforeLines="50"/>
        <w:rPr>
          <w:rFonts w:ascii="宋体" w:hAnsi="宋体" w:cs="宋体"/>
          <w:sz w:val="24"/>
          <w:szCs w:val="20"/>
        </w:rPr>
        <w:sectPr>
          <w:headerReference r:id="rId9" w:type="default"/>
          <w:footerReference r:id="rId10" w:type="default"/>
          <w:pgSz w:w="11906" w:h="16838"/>
          <w:pgMar w:top="1134" w:right="1134" w:bottom="1134" w:left="1134" w:header="851" w:footer="992" w:gutter="0"/>
          <w:cols w:space="720" w:num="1"/>
          <w:docGrid w:linePitch="312" w:charSpace="0"/>
        </w:sectPr>
      </w:pPr>
    </w:p>
    <w:p w14:paraId="124B0631">
      <w:pPr>
        <w:rPr>
          <w:rFonts w:ascii="宋体" w:hAnsi="宋体" w:cs="宋体"/>
          <w:b/>
          <w:sz w:val="28"/>
          <w:szCs w:val="28"/>
        </w:rPr>
      </w:pPr>
      <w:r>
        <w:rPr>
          <w:rFonts w:hint="eastAsia" w:ascii="宋体" w:hAnsi="宋体" w:cs="宋体"/>
          <w:b/>
          <w:sz w:val="28"/>
          <w:szCs w:val="28"/>
        </w:rPr>
        <w:t>四、技术文件格式</w:t>
      </w:r>
    </w:p>
    <w:p w14:paraId="1F4BF90F">
      <w:pPr>
        <w:snapToGrid w:val="0"/>
        <w:spacing w:before="120" w:beforeLines="50" w:after="50"/>
        <w:ind w:left="142"/>
        <w:jc w:val="left"/>
        <w:rPr>
          <w:rFonts w:ascii="宋体" w:hAnsi="宋体" w:cs="宋体"/>
          <w:b/>
          <w:sz w:val="24"/>
        </w:rPr>
      </w:pPr>
      <w:r>
        <w:rPr>
          <w:rFonts w:hint="eastAsia" w:ascii="宋体" w:hAnsi="宋体" w:cs="宋体"/>
          <w:b/>
          <w:sz w:val="24"/>
        </w:rPr>
        <w:t>1. 技术文件封面格式：</w:t>
      </w:r>
    </w:p>
    <w:p w14:paraId="0F40261D">
      <w:pPr>
        <w:snapToGrid w:val="0"/>
        <w:spacing w:before="120" w:beforeLines="50" w:after="50" w:line="360" w:lineRule="auto"/>
        <w:ind w:left="142"/>
        <w:jc w:val="center"/>
        <w:rPr>
          <w:rFonts w:ascii="宋体" w:hAnsi="宋体" w:cs="宋体"/>
          <w:bCs/>
          <w:sz w:val="48"/>
          <w:szCs w:val="48"/>
        </w:rPr>
      </w:pPr>
      <w:r>
        <w:rPr>
          <w:rFonts w:hint="eastAsia" w:ascii="宋体" w:hAnsi="宋体" w:cs="宋体"/>
          <w:bCs/>
          <w:sz w:val="48"/>
          <w:szCs w:val="48"/>
        </w:rPr>
        <w:t>电子投标文件</w:t>
      </w:r>
    </w:p>
    <w:p w14:paraId="1604045B">
      <w:pPr>
        <w:snapToGrid w:val="0"/>
        <w:spacing w:before="120" w:beforeLines="50" w:after="50"/>
        <w:jc w:val="center"/>
        <w:rPr>
          <w:rFonts w:ascii="宋体" w:hAnsi="宋体" w:cs="宋体"/>
          <w:b/>
          <w:bCs/>
          <w:sz w:val="32"/>
          <w:szCs w:val="32"/>
        </w:rPr>
      </w:pPr>
      <w:r>
        <w:rPr>
          <w:rFonts w:hint="eastAsia" w:ascii="宋体" w:hAnsi="宋体" w:cs="宋体"/>
          <w:b/>
          <w:bCs/>
          <w:sz w:val="32"/>
          <w:szCs w:val="32"/>
        </w:rPr>
        <w:t>技术文件</w:t>
      </w:r>
    </w:p>
    <w:p w14:paraId="3837BCD8">
      <w:pPr>
        <w:snapToGrid w:val="0"/>
        <w:spacing w:before="120" w:beforeLines="50" w:after="50"/>
        <w:rPr>
          <w:rFonts w:ascii="宋体" w:hAnsi="宋体" w:cs="宋体"/>
          <w:bCs/>
          <w:sz w:val="24"/>
          <w:szCs w:val="20"/>
        </w:rPr>
      </w:pPr>
    </w:p>
    <w:p w14:paraId="67313F04">
      <w:pPr>
        <w:snapToGrid w:val="0"/>
        <w:spacing w:before="120" w:beforeLines="50" w:after="50" w:line="400" w:lineRule="exact"/>
        <w:ind w:firstLine="360" w:firstLineChars="150"/>
        <w:rPr>
          <w:rFonts w:ascii="宋体" w:hAnsi="宋体" w:cs="宋体"/>
          <w:bCs/>
          <w:sz w:val="24"/>
          <w:szCs w:val="20"/>
        </w:rPr>
      </w:pPr>
      <w:r>
        <w:rPr>
          <w:rFonts w:hint="eastAsia" w:ascii="宋体" w:hAnsi="宋体" w:cs="宋体"/>
          <w:bCs/>
          <w:sz w:val="24"/>
        </w:rPr>
        <w:t>项目名称：</w:t>
      </w:r>
    </w:p>
    <w:p w14:paraId="0AEBEFA7">
      <w:pPr>
        <w:snapToGrid w:val="0"/>
        <w:spacing w:before="120" w:beforeLines="50" w:after="50" w:line="400" w:lineRule="exact"/>
        <w:ind w:firstLine="360" w:firstLineChars="150"/>
        <w:rPr>
          <w:rFonts w:ascii="宋体" w:hAnsi="宋体" w:cs="宋体"/>
          <w:bCs/>
          <w:sz w:val="24"/>
        </w:rPr>
      </w:pPr>
      <w:r>
        <w:rPr>
          <w:rFonts w:hint="eastAsia" w:ascii="宋体" w:hAnsi="宋体" w:cs="宋体"/>
          <w:bCs/>
          <w:sz w:val="24"/>
        </w:rPr>
        <w:t>项目编号：</w:t>
      </w:r>
    </w:p>
    <w:p w14:paraId="4ED51060">
      <w:pPr>
        <w:snapToGrid w:val="0"/>
        <w:spacing w:before="120" w:beforeLines="50" w:after="50" w:line="400" w:lineRule="exact"/>
        <w:ind w:firstLine="360" w:firstLineChars="150"/>
        <w:rPr>
          <w:rFonts w:ascii="宋体" w:hAnsi="宋体" w:cs="宋体"/>
          <w:bCs/>
          <w:sz w:val="24"/>
        </w:rPr>
      </w:pPr>
      <w:r>
        <w:rPr>
          <w:rFonts w:hint="eastAsia" w:ascii="宋体" w:hAnsi="宋体" w:cs="宋体"/>
          <w:bCs/>
          <w:sz w:val="24"/>
        </w:rPr>
        <w:t>所投分标：</w:t>
      </w:r>
    </w:p>
    <w:p w14:paraId="75E9E0C3">
      <w:pPr>
        <w:snapToGrid w:val="0"/>
        <w:spacing w:before="120" w:beforeLines="50" w:after="50" w:line="400" w:lineRule="exact"/>
        <w:ind w:firstLine="360" w:firstLineChars="150"/>
        <w:rPr>
          <w:rFonts w:ascii="宋体" w:hAnsi="宋体" w:cs="宋体"/>
          <w:bCs/>
          <w:sz w:val="24"/>
        </w:rPr>
      </w:pPr>
      <w:r>
        <w:rPr>
          <w:rFonts w:hint="eastAsia" w:ascii="宋体" w:hAnsi="宋体" w:cs="宋体"/>
          <w:bCs/>
          <w:sz w:val="24"/>
        </w:rPr>
        <w:t>投标人名称：</w:t>
      </w:r>
    </w:p>
    <w:p w14:paraId="2CD8D912">
      <w:pPr>
        <w:snapToGrid w:val="0"/>
        <w:spacing w:before="120" w:beforeLines="50" w:after="50" w:line="400" w:lineRule="exact"/>
        <w:ind w:firstLine="360" w:firstLineChars="150"/>
        <w:rPr>
          <w:rFonts w:ascii="宋体" w:hAnsi="宋体" w:cs="宋体"/>
          <w:bCs/>
          <w:sz w:val="24"/>
        </w:rPr>
      </w:pPr>
      <w:r>
        <w:rPr>
          <w:rFonts w:hint="eastAsia" w:ascii="宋体" w:hAnsi="宋体" w:cs="宋体"/>
          <w:bCs/>
          <w:sz w:val="24"/>
        </w:rPr>
        <w:t>投标人地址：</w:t>
      </w:r>
    </w:p>
    <w:p w14:paraId="6BB522B0">
      <w:pPr>
        <w:snapToGrid w:val="0"/>
        <w:spacing w:before="120" w:beforeLines="50" w:after="50"/>
        <w:ind w:firstLine="645"/>
        <w:jc w:val="center"/>
        <w:rPr>
          <w:rFonts w:ascii="宋体" w:hAnsi="宋体" w:cs="宋体"/>
          <w:sz w:val="24"/>
        </w:rPr>
      </w:pPr>
      <w:r>
        <w:rPr>
          <w:rFonts w:hint="eastAsia" w:ascii="宋体" w:hAnsi="宋体" w:cs="宋体"/>
          <w:sz w:val="24"/>
        </w:rPr>
        <w:t xml:space="preserve">                        年    月    日</w:t>
      </w:r>
    </w:p>
    <w:p w14:paraId="1B936DDA">
      <w:pPr>
        <w:snapToGrid w:val="0"/>
        <w:spacing w:before="120" w:beforeLines="50" w:after="50"/>
        <w:ind w:firstLine="645"/>
        <w:jc w:val="center"/>
        <w:rPr>
          <w:rFonts w:ascii="宋体" w:hAnsi="宋体" w:cs="宋体"/>
          <w:sz w:val="24"/>
          <w:szCs w:val="20"/>
        </w:rPr>
      </w:pPr>
    </w:p>
    <w:p w14:paraId="68ED956B">
      <w:pPr>
        <w:snapToGrid w:val="0"/>
        <w:spacing w:before="120" w:beforeLines="50" w:after="50"/>
        <w:ind w:left="142"/>
        <w:jc w:val="left"/>
        <w:rPr>
          <w:rFonts w:ascii="宋体" w:hAnsi="宋体" w:cs="宋体"/>
          <w:b/>
          <w:sz w:val="24"/>
        </w:rPr>
      </w:pPr>
      <w:r>
        <w:rPr>
          <w:rFonts w:hint="eastAsia" w:ascii="宋体" w:hAnsi="宋体" w:cs="宋体"/>
          <w:b/>
          <w:bCs/>
          <w:sz w:val="24"/>
        </w:rPr>
        <w:br w:type="page"/>
      </w:r>
      <w:r>
        <w:rPr>
          <w:rFonts w:hint="eastAsia" w:ascii="宋体" w:hAnsi="宋体" w:cs="宋体"/>
          <w:b/>
          <w:sz w:val="24"/>
        </w:rPr>
        <w:t>2.技术文件目录</w:t>
      </w:r>
    </w:p>
    <w:p w14:paraId="16B26CBF">
      <w:pPr>
        <w:snapToGrid w:val="0"/>
        <w:spacing w:before="50" w:after="120" w:afterLines="50" w:line="360" w:lineRule="auto"/>
        <w:ind w:firstLine="560" w:firstLineChars="200"/>
        <w:jc w:val="left"/>
        <w:rPr>
          <w:rFonts w:ascii="宋体" w:hAnsi="宋体" w:cs="宋体"/>
          <w:sz w:val="28"/>
          <w:szCs w:val="28"/>
        </w:rPr>
      </w:pPr>
      <w:r>
        <w:rPr>
          <w:rFonts w:hint="eastAsia" w:ascii="宋体" w:hAnsi="宋体" w:cs="宋体"/>
          <w:sz w:val="28"/>
          <w:szCs w:val="28"/>
        </w:rPr>
        <w:t>根据招标文件规定及投标人提供的材料自行编写目录。</w:t>
      </w:r>
    </w:p>
    <w:p w14:paraId="5B604996">
      <w:pPr>
        <w:snapToGrid w:val="0"/>
        <w:spacing w:before="120" w:beforeLines="50" w:after="50"/>
        <w:ind w:left="142"/>
        <w:jc w:val="left"/>
        <w:rPr>
          <w:rFonts w:ascii="宋体" w:hAnsi="宋体" w:cs="宋体"/>
          <w:b/>
          <w:sz w:val="24"/>
        </w:rPr>
      </w:pPr>
      <w:r>
        <w:rPr>
          <w:rFonts w:hint="eastAsia" w:ascii="宋体" w:hAnsi="宋体" w:cs="宋体"/>
          <w:b/>
          <w:sz w:val="24"/>
        </w:rPr>
        <w:br w:type="page"/>
      </w:r>
      <w:r>
        <w:rPr>
          <w:rFonts w:hint="eastAsia" w:ascii="宋体" w:hAnsi="宋体" w:cs="宋体"/>
          <w:b/>
          <w:sz w:val="24"/>
        </w:rPr>
        <w:t>3. 技术要求偏离表格式</w:t>
      </w:r>
    </w:p>
    <w:p w14:paraId="50B6537C">
      <w:pPr>
        <w:snapToGrid w:val="0"/>
        <w:spacing w:before="120" w:beforeLines="50" w:after="50"/>
        <w:ind w:left="142"/>
        <w:jc w:val="left"/>
        <w:rPr>
          <w:rFonts w:ascii="宋体" w:hAnsi="宋体" w:cs="宋体"/>
          <w:b/>
          <w:sz w:val="24"/>
        </w:rPr>
      </w:pPr>
    </w:p>
    <w:p w14:paraId="2E9DF2A8">
      <w:pPr>
        <w:snapToGrid w:val="0"/>
        <w:spacing w:before="120" w:beforeLines="50" w:after="50"/>
        <w:ind w:left="142"/>
        <w:jc w:val="center"/>
        <w:rPr>
          <w:rFonts w:ascii="宋体" w:hAnsi="宋体" w:cs="宋体"/>
          <w:b/>
          <w:sz w:val="32"/>
          <w:szCs w:val="32"/>
        </w:rPr>
      </w:pPr>
      <w:r>
        <w:rPr>
          <w:rFonts w:hint="eastAsia" w:ascii="宋体" w:hAnsi="宋体" w:cs="宋体"/>
          <w:b/>
          <w:sz w:val="32"/>
          <w:szCs w:val="32"/>
        </w:rPr>
        <w:t>技术要求偏离表</w:t>
      </w:r>
    </w:p>
    <w:tbl>
      <w:tblPr>
        <w:tblStyle w:val="48"/>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0689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vAlign w:val="center"/>
          </w:tcPr>
          <w:p w14:paraId="1956C3D3">
            <w:pPr>
              <w:pStyle w:val="25"/>
              <w:spacing w:line="400" w:lineRule="exact"/>
              <w:jc w:val="center"/>
              <w:rPr>
                <w:rFonts w:hAnsi="宋体" w:cs="宋体"/>
                <w:sz w:val="24"/>
                <w:szCs w:val="24"/>
              </w:rPr>
            </w:pPr>
            <w:r>
              <w:rPr>
                <w:rFonts w:hint="eastAsia" w:hAnsi="宋体" w:cs="宋体"/>
                <w:sz w:val="24"/>
                <w:szCs w:val="24"/>
              </w:rPr>
              <w:t>项号</w:t>
            </w:r>
          </w:p>
        </w:tc>
        <w:tc>
          <w:tcPr>
            <w:tcW w:w="2143" w:type="dxa"/>
            <w:vAlign w:val="center"/>
          </w:tcPr>
          <w:p w14:paraId="518A96CA">
            <w:pPr>
              <w:pStyle w:val="25"/>
              <w:spacing w:line="400" w:lineRule="exact"/>
              <w:jc w:val="center"/>
              <w:rPr>
                <w:rFonts w:hAnsi="宋体" w:cs="宋体"/>
                <w:sz w:val="24"/>
                <w:szCs w:val="24"/>
              </w:rPr>
            </w:pPr>
            <w:r>
              <w:rPr>
                <w:rFonts w:hint="eastAsia" w:hAnsi="宋体" w:cs="宋体"/>
                <w:sz w:val="24"/>
                <w:szCs w:val="24"/>
              </w:rPr>
              <w:t>标的的名称</w:t>
            </w:r>
          </w:p>
        </w:tc>
        <w:tc>
          <w:tcPr>
            <w:tcW w:w="1834" w:type="dxa"/>
            <w:vAlign w:val="center"/>
          </w:tcPr>
          <w:p w14:paraId="642A4B10">
            <w:pPr>
              <w:pStyle w:val="25"/>
              <w:spacing w:line="400" w:lineRule="exact"/>
              <w:jc w:val="center"/>
              <w:rPr>
                <w:rFonts w:hAnsi="宋体" w:cs="宋体"/>
                <w:sz w:val="24"/>
                <w:szCs w:val="24"/>
              </w:rPr>
            </w:pPr>
            <w:r>
              <w:rPr>
                <w:rFonts w:hint="eastAsia" w:hAnsi="宋体" w:cs="宋体"/>
                <w:sz w:val="24"/>
                <w:szCs w:val="24"/>
              </w:rPr>
              <w:t>技术要求</w:t>
            </w:r>
          </w:p>
        </w:tc>
        <w:tc>
          <w:tcPr>
            <w:tcW w:w="2181" w:type="dxa"/>
            <w:vAlign w:val="center"/>
          </w:tcPr>
          <w:p w14:paraId="00F3CF40">
            <w:pPr>
              <w:pStyle w:val="25"/>
              <w:spacing w:line="400" w:lineRule="exact"/>
              <w:jc w:val="center"/>
              <w:rPr>
                <w:rFonts w:hAnsi="宋体" w:cs="宋体"/>
                <w:sz w:val="24"/>
                <w:szCs w:val="24"/>
              </w:rPr>
            </w:pPr>
            <w:r>
              <w:rPr>
                <w:rFonts w:hint="eastAsia" w:hAnsi="宋体" w:cs="宋体"/>
                <w:sz w:val="24"/>
                <w:szCs w:val="24"/>
              </w:rPr>
              <w:t>投标响应</w:t>
            </w:r>
          </w:p>
        </w:tc>
        <w:tc>
          <w:tcPr>
            <w:tcW w:w="1934" w:type="dxa"/>
            <w:vAlign w:val="center"/>
          </w:tcPr>
          <w:p w14:paraId="7B781A73">
            <w:pPr>
              <w:pStyle w:val="25"/>
              <w:spacing w:line="400" w:lineRule="exact"/>
              <w:jc w:val="center"/>
              <w:rPr>
                <w:rFonts w:hAnsi="宋体" w:cs="宋体"/>
                <w:sz w:val="24"/>
                <w:szCs w:val="24"/>
              </w:rPr>
            </w:pPr>
            <w:r>
              <w:rPr>
                <w:rFonts w:hint="eastAsia" w:hAnsi="宋体" w:cs="宋体"/>
                <w:sz w:val="24"/>
                <w:szCs w:val="24"/>
              </w:rPr>
              <w:t>偏离说明</w:t>
            </w:r>
          </w:p>
        </w:tc>
      </w:tr>
      <w:tr w14:paraId="62705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1A90000B">
            <w:pPr>
              <w:pStyle w:val="25"/>
              <w:spacing w:line="600" w:lineRule="exact"/>
              <w:jc w:val="center"/>
              <w:rPr>
                <w:rFonts w:hAnsi="宋体" w:cs="宋体"/>
                <w:sz w:val="24"/>
                <w:szCs w:val="24"/>
              </w:rPr>
            </w:pPr>
          </w:p>
        </w:tc>
        <w:tc>
          <w:tcPr>
            <w:tcW w:w="2143" w:type="dxa"/>
            <w:vAlign w:val="center"/>
          </w:tcPr>
          <w:p w14:paraId="68691D1A">
            <w:pPr>
              <w:pStyle w:val="25"/>
              <w:spacing w:line="600" w:lineRule="exact"/>
              <w:jc w:val="center"/>
              <w:rPr>
                <w:rFonts w:hAnsi="宋体" w:cs="宋体"/>
                <w:sz w:val="24"/>
                <w:szCs w:val="24"/>
              </w:rPr>
            </w:pPr>
          </w:p>
        </w:tc>
        <w:tc>
          <w:tcPr>
            <w:tcW w:w="1834" w:type="dxa"/>
            <w:vAlign w:val="center"/>
          </w:tcPr>
          <w:p w14:paraId="36E83027">
            <w:pPr>
              <w:pStyle w:val="25"/>
              <w:spacing w:line="600" w:lineRule="exact"/>
              <w:jc w:val="center"/>
              <w:rPr>
                <w:rFonts w:hAnsi="宋体" w:cs="宋体"/>
                <w:sz w:val="24"/>
                <w:szCs w:val="24"/>
              </w:rPr>
            </w:pPr>
          </w:p>
        </w:tc>
        <w:tc>
          <w:tcPr>
            <w:tcW w:w="2181" w:type="dxa"/>
            <w:vAlign w:val="center"/>
          </w:tcPr>
          <w:p w14:paraId="5B474D01">
            <w:pPr>
              <w:pStyle w:val="25"/>
              <w:spacing w:line="600" w:lineRule="exact"/>
              <w:jc w:val="center"/>
              <w:rPr>
                <w:rFonts w:hAnsi="宋体" w:cs="宋体"/>
                <w:sz w:val="24"/>
                <w:szCs w:val="24"/>
              </w:rPr>
            </w:pPr>
          </w:p>
        </w:tc>
        <w:tc>
          <w:tcPr>
            <w:tcW w:w="1934" w:type="dxa"/>
            <w:vAlign w:val="center"/>
          </w:tcPr>
          <w:p w14:paraId="3C1F039B">
            <w:pPr>
              <w:pStyle w:val="25"/>
              <w:spacing w:line="600" w:lineRule="exact"/>
              <w:jc w:val="center"/>
              <w:rPr>
                <w:rFonts w:hAnsi="宋体" w:cs="宋体"/>
                <w:sz w:val="24"/>
                <w:szCs w:val="24"/>
              </w:rPr>
            </w:pPr>
          </w:p>
        </w:tc>
      </w:tr>
      <w:tr w14:paraId="55CFF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45894126">
            <w:pPr>
              <w:pStyle w:val="25"/>
              <w:spacing w:line="600" w:lineRule="exact"/>
              <w:rPr>
                <w:rFonts w:hAnsi="宋体" w:cs="宋体"/>
                <w:sz w:val="24"/>
                <w:szCs w:val="24"/>
              </w:rPr>
            </w:pPr>
          </w:p>
        </w:tc>
        <w:tc>
          <w:tcPr>
            <w:tcW w:w="2143" w:type="dxa"/>
          </w:tcPr>
          <w:p w14:paraId="2F591316">
            <w:pPr>
              <w:pStyle w:val="25"/>
              <w:spacing w:line="600" w:lineRule="exact"/>
              <w:rPr>
                <w:rFonts w:hAnsi="宋体" w:cs="宋体"/>
                <w:sz w:val="24"/>
                <w:szCs w:val="24"/>
              </w:rPr>
            </w:pPr>
          </w:p>
        </w:tc>
        <w:tc>
          <w:tcPr>
            <w:tcW w:w="1834" w:type="dxa"/>
          </w:tcPr>
          <w:p w14:paraId="11A05B18">
            <w:pPr>
              <w:pStyle w:val="25"/>
              <w:spacing w:line="600" w:lineRule="exact"/>
              <w:rPr>
                <w:rFonts w:hAnsi="宋体" w:cs="宋体"/>
                <w:sz w:val="24"/>
                <w:szCs w:val="24"/>
              </w:rPr>
            </w:pPr>
          </w:p>
        </w:tc>
        <w:tc>
          <w:tcPr>
            <w:tcW w:w="2181" w:type="dxa"/>
          </w:tcPr>
          <w:p w14:paraId="6AF6BE90">
            <w:pPr>
              <w:pStyle w:val="25"/>
              <w:spacing w:line="600" w:lineRule="exact"/>
              <w:rPr>
                <w:rFonts w:hAnsi="宋体" w:cs="宋体"/>
                <w:sz w:val="24"/>
                <w:szCs w:val="24"/>
              </w:rPr>
            </w:pPr>
          </w:p>
        </w:tc>
        <w:tc>
          <w:tcPr>
            <w:tcW w:w="1934" w:type="dxa"/>
          </w:tcPr>
          <w:p w14:paraId="32F4E594">
            <w:pPr>
              <w:pStyle w:val="25"/>
              <w:spacing w:line="600" w:lineRule="exact"/>
              <w:rPr>
                <w:rFonts w:hAnsi="宋体" w:cs="宋体"/>
                <w:sz w:val="24"/>
                <w:szCs w:val="24"/>
              </w:rPr>
            </w:pPr>
          </w:p>
        </w:tc>
      </w:tr>
      <w:tr w14:paraId="7C57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14A25FE">
            <w:pPr>
              <w:pStyle w:val="25"/>
              <w:spacing w:line="600" w:lineRule="exact"/>
              <w:rPr>
                <w:rFonts w:hAnsi="宋体" w:cs="宋体"/>
                <w:sz w:val="24"/>
                <w:szCs w:val="24"/>
              </w:rPr>
            </w:pPr>
          </w:p>
        </w:tc>
        <w:tc>
          <w:tcPr>
            <w:tcW w:w="2143" w:type="dxa"/>
          </w:tcPr>
          <w:p w14:paraId="7E880B1A">
            <w:pPr>
              <w:pStyle w:val="25"/>
              <w:spacing w:line="600" w:lineRule="exact"/>
              <w:rPr>
                <w:rFonts w:hAnsi="宋体" w:cs="宋体"/>
                <w:sz w:val="24"/>
                <w:szCs w:val="24"/>
              </w:rPr>
            </w:pPr>
          </w:p>
        </w:tc>
        <w:tc>
          <w:tcPr>
            <w:tcW w:w="1834" w:type="dxa"/>
          </w:tcPr>
          <w:p w14:paraId="351FA196">
            <w:pPr>
              <w:pStyle w:val="25"/>
              <w:spacing w:line="600" w:lineRule="exact"/>
              <w:rPr>
                <w:rFonts w:hAnsi="宋体" w:cs="宋体"/>
                <w:sz w:val="24"/>
                <w:szCs w:val="24"/>
              </w:rPr>
            </w:pPr>
          </w:p>
        </w:tc>
        <w:tc>
          <w:tcPr>
            <w:tcW w:w="2181" w:type="dxa"/>
          </w:tcPr>
          <w:p w14:paraId="46D2E382">
            <w:pPr>
              <w:pStyle w:val="25"/>
              <w:spacing w:line="600" w:lineRule="exact"/>
              <w:rPr>
                <w:rFonts w:hAnsi="宋体" w:cs="宋体"/>
                <w:sz w:val="24"/>
                <w:szCs w:val="24"/>
              </w:rPr>
            </w:pPr>
          </w:p>
        </w:tc>
        <w:tc>
          <w:tcPr>
            <w:tcW w:w="1934" w:type="dxa"/>
          </w:tcPr>
          <w:p w14:paraId="36B37AB4">
            <w:pPr>
              <w:pStyle w:val="25"/>
              <w:spacing w:line="600" w:lineRule="exact"/>
              <w:rPr>
                <w:rFonts w:hAnsi="宋体" w:cs="宋体"/>
                <w:sz w:val="24"/>
                <w:szCs w:val="24"/>
              </w:rPr>
            </w:pPr>
          </w:p>
        </w:tc>
      </w:tr>
      <w:tr w14:paraId="73FBE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44C02A2C">
            <w:pPr>
              <w:pStyle w:val="25"/>
              <w:spacing w:line="600" w:lineRule="exact"/>
              <w:rPr>
                <w:rFonts w:hAnsi="宋体" w:cs="宋体"/>
                <w:sz w:val="24"/>
                <w:szCs w:val="24"/>
              </w:rPr>
            </w:pPr>
          </w:p>
        </w:tc>
        <w:tc>
          <w:tcPr>
            <w:tcW w:w="2143" w:type="dxa"/>
          </w:tcPr>
          <w:p w14:paraId="1BA7F481">
            <w:pPr>
              <w:pStyle w:val="25"/>
              <w:spacing w:line="600" w:lineRule="exact"/>
              <w:rPr>
                <w:rFonts w:hAnsi="宋体" w:cs="宋体"/>
                <w:sz w:val="24"/>
                <w:szCs w:val="24"/>
              </w:rPr>
            </w:pPr>
          </w:p>
        </w:tc>
        <w:tc>
          <w:tcPr>
            <w:tcW w:w="1834" w:type="dxa"/>
          </w:tcPr>
          <w:p w14:paraId="34562AA8">
            <w:pPr>
              <w:pStyle w:val="25"/>
              <w:spacing w:line="600" w:lineRule="exact"/>
              <w:rPr>
                <w:rFonts w:hAnsi="宋体" w:cs="宋体"/>
                <w:sz w:val="24"/>
                <w:szCs w:val="24"/>
              </w:rPr>
            </w:pPr>
          </w:p>
        </w:tc>
        <w:tc>
          <w:tcPr>
            <w:tcW w:w="2181" w:type="dxa"/>
          </w:tcPr>
          <w:p w14:paraId="642E3A99">
            <w:pPr>
              <w:pStyle w:val="25"/>
              <w:spacing w:line="600" w:lineRule="exact"/>
              <w:rPr>
                <w:rFonts w:hAnsi="宋体" w:cs="宋体"/>
                <w:sz w:val="24"/>
                <w:szCs w:val="24"/>
              </w:rPr>
            </w:pPr>
          </w:p>
        </w:tc>
        <w:tc>
          <w:tcPr>
            <w:tcW w:w="1934" w:type="dxa"/>
          </w:tcPr>
          <w:p w14:paraId="4AE1E59C">
            <w:pPr>
              <w:pStyle w:val="25"/>
              <w:spacing w:line="600" w:lineRule="exact"/>
              <w:rPr>
                <w:rFonts w:hAnsi="宋体" w:cs="宋体"/>
                <w:sz w:val="24"/>
                <w:szCs w:val="24"/>
              </w:rPr>
            </w:pPr>
          </w:p>
        </w:tc>
      </w:tr>
      <w:tr w14:paraId="0DEA4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39738A73">
            <w:pPr>
              <w:pStyle w:val="25"/>
              <w:spacing w:line="600" w:lineRule="exact"/>
              <w:rPr>
                <w:rFonts w:hAnsi="宋体" w:cs="宋体"/>
                <w:sz w:val="24"/>
                <w:szCs w:val="24"/>
              </w:rPr>
            </w:pPr>
          </w:p>
        </w:tc>
        <w:tc>
          <w:tcPr>
            <w:tcW w:w="2143" w:type="dxa"/>
          </w:tcPr>
          <w:p w14:paraId="11821FEC">
            <w:pPr>
              <w:pStyle w:val="25"/>
              <w:spacing w:line="600" w:lineRule="exact"/>
              <w:rPr>
                <w:rFonts w:hAnsi="宋体" w:cs="宋体"/>
                <w:sz w:val="24"/>
                <w:szCs w:val="24"/>
              </w:rPr>
            </w:pPr>
          </w:p>
        </w:tc>
        <w:tc>
          <w:tcPr>
            <w:tcW w:w="1834" w:type="dxa"/>
          </w:tcPr>
          <w:p w14:paraId="3819C141">
            <w:pPr>
              <w:pStyle w:val="25"/>
              <w:spacing w:line="600" w:lineRule="exact"/>
              <w:rPr>
                <w:rFonts w:hAnsi="宋体" w:cs="宋体"/>
                <w:sz w:val="24"/>
                <w:szCs w:val="24"/>
              </w:rPr>
            </w:pPr>
          </w:p>
        </w:tc>
        <w:tc>
          <w:tcPr>
            <w:tcW w:w="2181" w:type="dxa"/>
          </w:tcPr>
          <w:p w14:paraId="29B44893">
            <w:pPr>
              <w:pStyle w:val="25"/>
              <w:spacing w:line="600" w:lineRule="exact"/>
              <w:rPr>
                <w:rFonts w:hAnsi="宋体" w:cs="宋体"/>
                <w:sz w:val="24"/>
                <w:szCs w:val="24"/>
              </w:rPr>
            </w:pPr>
          </w:p>
        </w:tc>
        <w:tc>
          <w:tcPr>
            <w:tcW w:w="1934" w:type="dxa"/>
          </w:tcPr>
          <w:p w14:paraId="6BB31156">
            <w:pPr>
              <w:pStyle w:val="25"/>
              <w:spacing w:line="600" w:lineRule="exact"/>
              <w:rPr>
                <w:rFonts w:hAnsi="宋体" w:cs="宋体"/>
                <w:sz w:val="24"/>
                <w:szCs w:val="24"/>
              </w:rPr>
            </w:pPr>
          </w:p>
        </w:tc>
      </w:tr>
      <w:tr w14:paraId="42856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3E5E96B4">
            <w:pPr>
              <w:pStyle w:val="25"/>
              <w:spacing w:line="600" w:lineRule="exact"/>
              <w:rPr>
                <w:rFonts w:hAnsi="宋体" w:cs="宋体"/>
                <w:sz w:val="24"/>
                <w:szCs w:val="24"/>
              </w:rPr>
            </w:pPr>
          </w:p>
        </w:tc>
        <w:tc>
          <w:tcPr>
            <w:tcW w:w="2143" w:type="dxa"/>
          </w:tcPr>
          <w:p w14:paraId="275A3735">
            <w:pPr>
              <w:pStyle w:val="25"/>
              <w:spacing w:line="600" w:lineRule="exact"/>
              <w:rPr>
                <w:rFonts w:hAnsi="宋体" w:cs="宋体"/>
                <w:sz w:val="24"/>
                <w:szCs w:val="24"/>
              </w:rPr>
            </w:pPr>
          </w:p>
        </w:tc>
        <w:tc>
          <w:tcPr>
            <w:tcW w:w="1834" w:type="dxa"/>
          </w:tcPr>
          <w:p w14:paraId="741E7B04">
            <w:pPr>
              <w:pStyle w:val="25"/>
              <w:spacing w:line="600" w:lineRule="exact"/>
              <w:rPr>
                <w:rFonts w:hAnsi="宋体" w:cs="宋体"/>
                <w:sz w:val="24"/>
                <w:szCs w:val="24"/>
              </w:rPr>
            </w:pPr>
          </w:p>
        </w:tc>
        <w:tc>
          <w:tcPr>
            <w:tcW w:w="2181" w:type="dxa"/>
          </w:tcPr>
          <w:p w14:paraId="68FF2611">
            <w:pPr>
              <w:pStyle w:val="25"/>
              <w:spacing w:line="600" w:lineRule="exact"/>
              <w:rPr>
                <w:rFonts w:hAnsi="宋体" w:cs="宋体"/>
                <w:sz w:val="24"/>
                <w:szCs w:val="24"/>
              </w:rPr>
            </w:pPr>
          </w:p>
        </w:tc>
        <w:tc>
          <w:tcPr>
            <w:tcW w:w="1934" w:type="dxa"/>
          </w:tcPr>
          <w:p w14:paraId="2512D7DA">
            <w:pPr>
              <w:pStyle w:val="25"/>
              <w:spacing w:line="600" w:lineRule="exact"/>
              <w:rPr>
                <w:rFonts w:hAnsi="宋体" w:cs="宋体"/>
                <w:sz w:val="24"/>
                <w:szCs w:val="24"/>
              </w:rPr>
            </w:pPr>
          </w:p>
        </w:tc>
      </w:tr>
    </w:tbl>
    <w:p w14:paraId="732B1D9F">
      <w:pPr>
        <w:pStyle w:val="17"/>
        <w:rPr>
          <w:rFonts w:ascii="宋体" w:hAnsi="宋体" w:cs="宋体"/>
        </w:rPr>
      </w:pPr>
      <w:r>
        <w:rPr>
          <w:rFonts w:hint="eastAsia" w:ascii="宋体" w:hAnsi="宋体" w:cs="宋体"/>
        </w:rPr>
        <w:t>注：</w:t>
      </w:r>
    </w:p>
    <w:p w14:paraId="2907B06A">
      <w:pPr>
        <w:pStyle w:val="20"/>
        <w:spacing w:line="360" w:lineRule="auto"/>
        <w:ind w:firstLine="845"/>
        <w:rPr>
          <w:rFonts w:ascii="宋体" w:hAnsi="宋体" w:eastAsia="宋体" w:cs="宋体"/>
          <w:szCs w:val="32"/>
        </w:rPr>
      </w:pPr>
      <w:r>
        <w:rPr>
          <w:rFonts w:hint="eastAsia" w:ascii="宋体" w:hAnsi="宋体" w:eastAsia="宋体" w:cs="宋体"/>
          <w:sz w:val="24"/>
          <w:szCs w:val="24"/>
        </w:rPr>
        <w:t>1. 说明：应对照招标文件“第二章 采购需求”中的“技术要求”逐条作明确的投标响应，并作出偏离说明。</w:t>
      </w:r>
    </w:p>
    <w:p w14:paraId="08425554">
      <w:pPr>
        <w:pStyle w:val="17"/>
        <w:spacing w:line="360" w:lineRule="auto"/>
        <w:ind w:firstLine="699" w:firstLineChars="300"/>
        <w:rPr>
          <w:rFonts w:ascii="宋体" w:hAnsi="宋体" w:cs="宋体"/>
          <w:spacing w:val="-4"/>
        </w:rPr>
      </w:pPr>
      <w:r>
        <w:rPr>
          <w:rFonts w:hint="eastAsia" w:ascii="宋体" w:hAnsi="宋体" w:cs="宋体"/>
          <w:spacing w:val="-4"/>
        </w:rPr>
        <w:t>2.投标人应根据自身的承诺，对照招标文件技术要求，在“偏离说明”中注明“正偏离”、“负偏离”或者“无偏离”。既不属于“正偏离”也不属于“负偏离”即为“无偏离”。</w:t>
      </w:r>
    </w:p>
    <w:p w14:paraId="2604DC32">
      <w:pPr>
        <w:pStyle w:val="20"/>
        <w:spacing w:line="360" w:lineRule="auto"/>
        <w:ind w:firstLine="845"/>
        <w:rPr>
          <w:rFonts w:ascii="宋体" w:hAnsi="宋体" w:eastAsia="宋体" w:cs="宋体"/>
          <w:sz w:val="24"/>
          <w:szCs w:val="24"/>
        </w:rPr>
      </w:pPr>
    </w:p>
    <w:p w14:paraId="636AB54D">
      <w:pPr>
        <w:snapToGrid w:val="0"/>
        <w:spacing w:before="50" w:after="50" w:line="360" w:lineRule="auto"/>
        <w:rPr>
          <w:rFonts w:ascii="宋体" w:hAnsi="宋体" w:cs="宋体"/>
          <w:sz w:val="24"/>
        </w:rPr>
      </w:pPr>
    </w:p>
    <w:p w14:paraId="06407180">
      <w:pPr>
        <w:snapToGrid w:val="0"/>
        <w:spacing w:before="50" w:after="50" w:line="360" w:lineRule="auto"/>
        <w:rPr>
          <w:rFonts w:ascii="宋体" w:hAnsi="宋体" w:cs="宋体"/>
          <w:spacing w:val="20"/>
          <w:sz w:val="24"/>
          <w:u w:val="single"/>
        </w:rPr>
      </w:pPr>
      <w:r>
        <w:rPr>
          <w:rFonts w:hint="eastAsia" w:ascii="宋体" w:hAnsi="宋体" w:cs="宋体"/>
          <w:sz w:val="24"/>
        </w:rPr>
        <w:t>法定代表人或者委托代理人</w:t>
      </w:r>
      <w:r>
        <w:rPr>
          <w:rFonts w:hint="eastAsia" w:ascii="宋体" w:hAnsi="宋体" w:cs="宋体"/>
          <w:spacing w:val="20"/>
          <w:sz w:val="24"/>
        </w:rPr>
        <w:t>（签字或电子盖章）：</w:t>
      </w:r>
      <w:r>
        <w:rPr>
          <w:rFonts w:hint="eastAsia" w:ascii="宋体" w:hAnsi="宋体" w:cs="宋体"/>
          <w:spacing w:val="20"/>
          <w:sz w:val="24"/>
          <w:u w:val="single"/>
        </w:rPr>
        <w:t xml:space="preserve">       </w:t>
      </w:r>
    </w:p>
    <w:p w14:paraId="3FDA8290">
      <w:pPr>
        <w:snapToGrid w:val="0"/>
        <w:spacing w:before="50" w:after="50" w:line="360" w:lineRule="auto"/>
        <w:rPr>
          <w:rFonts w:ascii="宋体" w:hAnsi="宋体" w:cs="宋体"/>
          <w:spacing w:val="20"/>
          <w:sz w:val="24"/>
        </w:rPr>
      </w:pPr>
      <w:r>
        <w:rPr>
          <w:rFonts w:hint="eastAsia" w:ascii="宋体" w:hAnsi="宋体" w:cs="宋体"/>
          <w:spacing w:val="20"/>
          <w:sz w:val="24"/>
        </w:rPr>
        <w:t>投标人名称（电子签章）：</w:t>
      </w:r>
      <w:r>
        <w:rPr>
          <w:rFonts w:hint="eastAsia" w:ascii="宋体" w:hAnsi="宋体" w:cs="宋体"/>
          <w:spacing w:val="20"/>
          <w:sz w:val="24"/>
          <w:u w:val="single"/>
        </w:rPr>
        <w:t xml:space="preserve">           </w:t>
      </w:r>
      <w:r>
        <w:rPr>
          <w:rFonts w:hint="eastAsia" w:ascii="宋体" w:hAnsi="宋体" w:cs="宋体"/>
          <w:spacing w:val="20"/>
          <w:sz w:val="24"/>
        </w:rPr>
        <w:t xml:space="preserve">              </w:t>
      </w:r>
    </w:p>
    <w:p w14:paraId="47E92332">
      <w:pPr>
        <w:snapToGrid w:val="0"/>
        <w:spacing w:before="50" w:after="50" w:line="360" w:lineRule="auto"/>
        <w:rPr>
          <w:rFonts w:ascii="宋体" w:hAnsi="宋体" w:cs="宋体"/>
          <w:spacing w:val="20"/>
          <w:sz w:val="24"/>
          <w:u w:val="single"/>
        </w:rPr>
      </w:pPr>
      <w:r>
        <w:rPr>
          <w:rFonts w:hint="eastAsia" w:ascii="宋体" w:hAnsi="宋体" w:cs="宋体"/>
          <w:spacing w:val="20"/>
          <w:sz w:val="24"/>
        </w:rPr>
        <w:t>日 期：</w:t>
      </w:r>
      <w:r>
        <w:rPr>
          <w:rFonts w:hint="eastAsia" w:ascii="宋体" w:hAnsi="宋体" w:cs="宋体"/>
          <w:spacing w:val="20"/>
          <w:sz w:val="24"/>
          <w:u w:val="single"/>
        </w:rPr>
        <w:t xml:space="preserve">       </w:t>
      </w:r>
    </w:p>
    <w:p w14:paraId="54FB8AE6">
      <w:pPr>
        <w:snapToGrid w:val="0"/>
        <w:spacing w:before="120" w:beforeLines="50" w:after="50"/>
        <w:ind w:left="142"/>
        <w:jc w:val="left"/>
        <w:rPr>
          <w:rFonts w:ascii="宋体" w:hAnsi="宋体" w:cs="宋体"/>
          <w:b/>
          <w:sz w:val="24"/>
        </w:rPr>
      </w:pPr>
    </w:p>
    <w:p w14:paraId="4BA18B62">
      <w:pPr>
        <w:snapToGrid w:val="0"/>
        <w:spacing w:before="120" w:beforeLines="50" w:after="50"/>
        <w:ind w:left="142"/>
        <w:jc w:val="left"/>
        <w:rPr>
          <w:rFonts w:ascii="宋体" w:hAnsi="宋体" w:cs="宋体"/>
          <w:b/>
          <w:sz w:val="24"/>
        </w:rPr>
      </w:pPr>
      <w:r>
        <w:rPr>
          <w:rFonts w:hint="eastAsia" w:ascii="宋体" w:hAnsi="宋体" w:cs="宋体"/>
          <w:b/>
          <w:sz w:val="24"/>
        </w:rPr>
        <w:br w:type="page"/>
      </w:r>
      <w:r>
        <w:rPr>
          <w:rFonts w:hint="eastAsia" w:ascii="宋体" w:hAnsi="宋体" w:cs="宋体"/>
          <w:b/>
          <w:sz w:val="24"/>
        </w:rPr>
        <w:t>4. 项目实施人员一览表格式</w:t>
      </w:r>
    </w:p>
    <w:p w14:paraId="64392A50">
      <w:pPr>
        <w:snapToGrid w:val="0"/>
        <w:spacing w:before="120" w:beforeLines="50" w:after="50"/>
        <w:ind w:left="142"/>
        <w:jc w:val="left"/>
        <w:rPr>
          <w:rFonts w:ascii="宋体" w:hAnsi="宋体" w:cs="宋体"/>
          <w:b/>
          <w:sz w:val="24"/>
        </w:rPr>
      </w:pPr>
    </w:p>
    <w:p w14:paraId="005391A4">
      <w:pPr>
        <w:snapToGrid w:val="0"/>
        <w:spacing w:before="120" w:beforeLines="50" w:after="50"/>
        <w:ind w:left="142"/>
        <w:jc w:val="center"/>
        <w:rPr>
          <w:rFonts w:ascii="宋体" w:hAnsi="宋体" w:cs="宋体"/>
          <w:b/>
          <w:sz w:val="32"/>
          <w:szCs w:val="32"/>
        </w:rPr>
      </w:pPr>
      <w:r>
        <w:rPr>
          <w:rFonts w:hint="eastAsia" w:ascii="宋体" w:hAnsi="宋体" w:cs="宋体"/>
          <w:b/>
          <w:sz w:val="32"/>
          <w:szCs w:val="32"/>
        </w:rPr>
        <w:t>项目实施人员一览表</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17"/>
        <w:gridCol w:w="709"/>
        <w:gridCol w:w="1701"/>
        <w:gridCol w:w="1420"/>
        <w:gridCol w:w="1698"/>
        <w:gridCol w:w="1843"/>
      </w:tblGrid>
      <w:tr w14:paraId="19734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655461A">
            <w:pPr>
              <w:snapToGrid w:val="0"/>
              <w:spacing w:before="50" w:after="120" w:afterLines="50"/>
              <w:jc w:val="center"/>
              <w:rPr>
                <w:rFonts w:ascii="宋体" w:hAnsi="宋体" w:cs="宋体"/>
                <w:sz w:val="24"/>
                <w:szCs w:val="20"/>
              </w:rPr>
            </w:pPr>
            <w:r>
              <w:rPr>
                <w:rFonts w:hint="eastAsia" w:ascii="宋体" w:hAnsi="宋体" w:cs="宋体"/>
                <w:sz w:val="24"/>
                <w:szCs w:val="20"/>
              </w:rPr>
              <w:t>序号</w:t>
            </w:r>
          </w:p>
        </w:tc>
        <w:tc>
          <w:tcPr>
            <w:tcW w:w="817" w:type="dxa"/>
            <w:vAlign w:val="center"/>
          </w:tcPr>
          <w:p w14:paraId="64ACF090">
            <w:pPr>
              <w:snapToGrid w:val="0"/>
              <w:spacing w:before="50" w:after="120" w:afterLines="50"/>
              <w:jc w:val="center"/>
              <w:rPr>
                <w:rFonts w:ascii="宋体" w:hAnsi="宋体" w:cs="宋体"/>
                <w:sz w:val="24"/>
                <w:szCs w:val="20"/>
              </w:rPr>
            </w:pPr>
            <w:r>
              <w:rPr>
                <w:rFonts w:hint="eastAsia" w:ascii="宋体" w:hAnsi="宋体" w:cs="宋体"/>
                <w:sz w:val="24"/>
                <w:szCs w:val="20"/>
              </w:rPr>
              <w:t>姓名</w:t>
            </w:r>
          </w:p>
        </w:tc>
        <w:tc>
          <w:tcPr>
            <w:tcW w:w="709" w:type="dxa"/>
            <w:vAlign w:val="center"/>
          </w:tcPr>
          <w:p w14:paraId="0B9EAEED">
            <w:pPr>
              <w:snapToGrid w:val="0"/>
              <w:spacing w:before="50" w:after="120" w:afterLines="50"/>
              <w:jc w:val="center"/>
              <w:rPr>
                <w:rFonts w:ascii="宋体" w:hAnsi="宋体" w:cs="宋体"/>
                <w:sz w:val="24"/>
                <w:szCs w:val="20"/>
              </w:rPr>
            </w:pPr>
            <w:r>
              <w:rPr>
                <w:rFonts w:hint="eastAsia" w:ascii="宋体" w:hAnsi="宋体" w:cs="宋体"/>
                <w:sz w:val="24"/>
                <w:szCs w:val="20"/>
              </w:rPr>
              <w:t>职务</w:t>
            </w:r>
          </w:p>
        </w:tc>
        <w:tc>
          <w:tcPr>
            <w:tcW w:w="1701" w:type="dxa"/>
            <w:vAlign w:val="center"/>
          </w:tcPr>
          <w:p w14:paraId="16F402F7">
            <w:pPr>
              <w:snapToGrid w:val="0"/>
              <w:spacing w:before="50" w:after="120" w:afterLines="50"/>
              <w:jc w:val="center"/>
              <w:rPr>
                <w:rFonts w:ascii="宋体" w:hAnsi="宋体" w:cs="宋体"/>
                <w:sz w:val="24"/>
                <w:szCs w:val="20"/>
              </w:rPr>
            </w:pPr>
            <w:r>
              <w:rPr>
                <w:rFonts w:hint="eastAsia" w:ascii="宋体" w:hAnsi="宋体" w:cs="宋体"/>
                <w:sz w:val="24"/>
                <w:szCs w:val="20"/>
              </w:rPr>
              <w:t>专业技术资格（职称）或者职业资格或者执业资格证或者其他证书</w:t>
            </w:r>
          </w:p>
        </w:tc>
        <w:tc>
          <w:tcPr>
            <w:tcW w:w="1420" w:type="dxa"/>
            <w:vAlign w:val="center"/>
          </w:tcPr>
          <w:p w14:paraId="05F46728">
            <w:pPr>
              <w:snapToGrid w:val="0"/>
              <w:spacing w:before="50" w:after="120" w:afterLines="50"/>
              <w:jc w:val="center"/>
              <w:rPr>
                <w:rFonts w:ascii="宋体" w:hAnsi="宋体" w:cs="宋体"/>
                <w:sz w:val="24"/>
                <w:szCs w:val="20"/>
              </w:rPr>
            </w:pPr>
            <w:r>
              <w:rPr>
                <w:rFonts w:hint="eastAsia" w:ascii="宋体" w:hAnsi="宋体" w:cs="宋体"/>
                <w:sz w:val="24"/>
                <w:szCs w:val="20"/>
              </w:rPr>
              <w:t>证书编号</w:t>
            </w:r>
          </w:p>
        </w:tc>
        <w:tc>
          <w:tcPr>
            <w:tcW w:w="1698" w:type="dxa"/>
            <w:vAlign w:val="center"/>
          </w:tcPr>
          <w:p w14:paraId="4CF35719">
            <w:pPr>
              <w:snapToGrid w:val="0"/>
              <w:spacing w:before="50" w:after="120" w:afterLines="50"/>
              <w:jc w:val="center"/>
              <w:rPr>
                <w:rFonts w:ascii="宋体" w:hAnsi="宋体" w:cs="宋体"/>
                <w:sz w:val="24"/>
                <w:szCs w:val="20"/>
              </w:rPr>
            </w:pPr>
            <w:r>
              <w:rPr>
                <w:rFonts w:hint="eastAsia" w:ascii="宋体" w:hAnsi="宋体" w:cs="宋体"/>
                <w:sz w:val="24"/>
                <w:szCs w:val="20"/>
              </w:rPr>
              <w:t>参加本单位</w:t>
            </w:r>
          </w:p>
          <w:p w14:paraId="7FB62D85">
            <w:pPr>
              <w:snapToGrid w:val="0"/>
              <w:spacing w:before="50" w:after="120" w:afterLines="50"/>
              <w:jc w:val="center"/>
              <w:rPr>
                <w:rFonts w:ascii="宋体" w:hAnsi="宋体" w:cs="宋体"/>
                <w:sz w:val="24"/>
                <w:szCs w:val="20"/>
              </w:rPr>
            </w:pPr>
            <w:r>
              <w:rPr>
                <w:rFonts w:hint="eastAsia" w:ascii="宋体" w:hAnsi="宋体" w:cs="宋体"/>
                <w:sz w:val="24"/>
                <w:szCs w:val="20"/>
              </w:rPr>
              <w:t>工作时间</w:t>
            </w:r>
          </w:p>
        </w:tc>
        <w:tc>
          <w:tcPr>
            <w:tcW w:w="1843" w:type="dxa"/>
            <w:vAlign w:val="center"/>
          </w:tcPr>
          <w:p w14:paraId="39EF78FA">
            <w:pPr>
              <w:snapToGrid w:val="0"/>
              <w:spacing w:before="50" w:after="120" w:afterLines="50"/>
              <w:jc w:val="center"/>
              <w:rPr>
                <w:rFonts w:ascii="宋体" w:hAnsi="宋体" w:cs="宋体"/>
                <w:sz w:val="24"/>
                <w:szCs w:val="20"/>
              </w:rPr>
            </w:pPr>
            <w:r>
              <w:rPr>
                <w:rFonts w:hint="eastAsia" w:ascii="宋体" w:hAnsi="宋体" w:cs="宋体"/>
                <w:sz w:val="24"/>
                <w:szCs w:val="20"/>
              </w:rPr>
              <w:t>劳动合同编号</w:t>
            </w:r>
          </w:p>
        </w:tc>
      </w:tr>
      <w:tr w14:paraId="08AA4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CE75F6C">
            <w:pPr>
              <w:snapToGrid w:val="0"/>
              <w:spacing w:before="50" w:after="120" w:afterLines="50"/>
              <w:jc w:val="center"/>
              <w:rPr>
                <w:rFonts w:ascii="宋体" w:hAnsi="宋体" w:cs="宋体"/>
                <w:sz w:val="24"/>
                <w:szCs w:val="20"/>
              </w:rPr>
            </w:pPr>
          </w:p>
        </w:tc>
        <w:tc>
          <w:tcPr>
            <w:tcW w:w="817" w:type="dxa"/>
            <w:vAlign w:val="center"/>
          </w:tcPr>
          <w:p w14:paraId="004E0F80">
            <w:pPr>
              <w:snapToGrid w:val="0"/>
              <w:spacing w:before="50" w:after="120" w:afterLines="50"/>
              <w:jc w:val="center"/>
              <w:rPr>
                <w:rFonts w:ascii="宋体" w:hAnsi="宋体" w:cs="宋体"/>
                <w:sz w:val="24"/>
                <w:szCs w:val="20"/>
              </w:rPr>
            </w:pPr>
          </w:p>
        </w:tc>
        <w:tc>
          <w:tcPr>
            <w:tcW w:w="709" w:type="dxa"/>
            <w:vAlign w:val="center"/>
          </w:tcPr>
          <w:p w14:paraId="74B34FFC">
            <w:pPr>
              <w:snapToGrid w:val="0"/>
              <w:spacing w:before="50" w:after="120" w:afterLines="50"/>
              <w:jc w:val="center"/>
              <w:rPr>
                <w:rFonts w:ascii="宋体" w:hAnsi="宋体" w:cs="宋体"/>
                <w:sz w:val="24"/>
                <w:szCs w:val="20"/>
              </w:rPr>
            </w:pPr>
          </w:p>
        </w:tc>
        <w:tc>
          <w:tcPr>
            <w:tcW w:w="1701" w:type="dxa"/>
            <w:vAlign w:val="center"/>
          </w:tcPr>
          <w:p w14:paraId="646C544B">
            <w:pPr>
              <w:snapToGrid w:val="0"/>
              <w:spacing w:before="50" w:after="120" w:afterLines="50"/>
              <w:jc w:val="center"/>
              <w:rPr>
                <w:rFonts w:ascii="宋体" w:hAnsi="宋体" w:cs="宋体"/>
                <w:sz w:val="24"/>
                <w:szCs w:val="20"/>
              </w:rPr>
            </w:pPr>
          </w:p>
        </w:tc>
        <w:tc>
          <w:tcPr>
            <w:tcW w:w="1420" w:type="dxa"/>
            <w:vAlign w:val="center"/>
          </w:tcPr>
          <w:p w14:paraId="26FF0E51">
            <w:pPr>
              <w:snapToGrid w:val="0"/>
              <w:spacing w:before="50" w:after="120" w:afterLines="50"/>
              <w:jc w:val="center"/>
              <w:rPr>
                <w:rFonts w:ascii="宋体" w:hAnsi="宋体" w:cs="宋体"/>
                <w:sz w:val="24"/>
                <w:szCs w:val="20"/>
              </w:rPr>
            </w:pPr>
          </w:p>
        </w:tc>
        <w:tc>
          <w:tcPr>
            <w:tcW w:w="1698" w:type="dxa"/>
            <w:vAlign w:val="center"/>
          </w:tcPr>
          <w:p w14:paraId="604EAF9F">
            <w:pPr>
              <w:snapToGrid w:val="0"/>
              <w:spacing w:before="50" w:after="120" w:afterLines="50"/>
              <w:jc w:val="center"/>
              <w:rPr>
                <w:rFonts w:ascii="宋体" w:hAnsi="宋体" w:cs="宋体"/>
                <w:sz w:val="24"/>
                <w:szCs w:val="20"/>
              </w:rPr>
            </w:pPr>
          </w:p>
        </w:tc>
        <w:tc>
          <w:tcPr>
            <w:tcW w:w="1843" w:type="dxa"/>
            <w:vAlign w:val="center"/>
          </w:tcPr>
          <w:p w14:paraId="7C98FB59">
            <w:pPr>
              <w:snapToGrid w:val="0"/>
              <w:spacing w:before="50" w:after="120" w:afterLines="50"/>
              <w:jc w:val="center"/>
              <w:rPr>
                <w:rFonts w:ascii="宋体" w:hAnsi="宋体" w:cs="宋体"/>
                <w:sz w:val="24"/>
                <w:szCs w:val="20"/>
              </w:rPr>
            </w:pPr>
          </w:p>
        </w:tc>
      </w:tr>
      <w:tr w14:paraId="3FE0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E29A1AF">
            <w:pPr>
              <w:snapToGrid w:val="0"/>
              <w:spacing w:before="50" w:after="120" w:afterLines="50"/>
              <w:jc w:val="center"/>
              <w:rPr>
                <w:rFonts w:ascii="宋体" w:hAnsi="宋体" w:cs="宋体"/>
                <w:sz w:val="24"/>
                <w:szCs w:val="20"/>
              </w:rPr>
            </w:pPr>
          </w:p>
        </w:tc>
        <w:tc>
          <w:tcPr>
            <w:tcW w:w="817" w:type="dxa"/>
            <w:vAlign w:val="center"/>
          </w:tcPr>
          <w:p w14:paraId="41B3B6C0">
            <w:pPr>
              <w:snapToGrid w:val="0"/>
              <w:spacing w:before="50" w:after="120" w:afterLines="50"/>
              <w:jc w:val="center"/>
              <w:rPr>
                <w:rFonts w:ascii="宋体" w:hAnsi="宋体" w:cs="宋体"/>
                <w:sz w:val="24"/>
                <w:szCs w:val="20"/>
              </w:rPr>
            </w:pPr>
          </w:p>
        </w:tc>
        <w:tc>
          <w:tcPr>
            <w:tcW w:w="709" w:type="dxa"/>
            <w:vAlign w:val="center"/>
          </w:tcPr>
          <w:p w14:paraId="42B6A8B0">
            <w:pPr>
              <w:snapToGrid w:val="0"/>
              <w:spacing w:before="50" w:after="120" w:afterLines="50"/>
              <w:jc w:val="center"/>
              <w:rPr>
                <w:rFonts w:ascii="宋体" w:hAnsi="宋体" w:cs="宋体"/>
                <w:sz w:val="24"/>
                <w:szCs w:val="20"/>
              </w:rPr>
            </w:pPr>
          </w:p>
        </w:tc>
        <w:tc>
          <w:tcPr>
            <w:tcW w:w="1701" w:type="dxa"/>
            <w:vAlign w:val="center"/>
          </w:tcPr>
          <w:p w14:paraId="32B640E8">
            <w:pPr>
              <w:snapToGrid w:val="0"/>
              <w:spacing w:before="50" w:after="120" w:afterLines="50"/>
              <w:jc w:val="center"/>
              <w:rPr>
                <w:rFonts w:ascii="宋体" w:hAnsi="宋体" w:cs="宋体"/>
                <w:sz w:val="24"/>
                <w:szCs w:val="20"/>
              </w:rPr>
            </w:pPr>
          </w:p>
        </w:tc>
        <w:tc>
          <w:tcPr>
            <w:tcW w:w="1420" w:type="dxa"/>
            <w:vAlign w:val="center"/>
          </w:tcPr>
          <w:p w14:paraId="492C2086">
            <w:pPr>
              <w:snapToGrid w:val="0"/>
              <w:spacing w:before="50" w:after="120" w:afterLines="50"/>
              <w:jc w:val="center"/>
              <w:rPr>
                <w:rFonts w:ascii="宋体" w:hAnsi="宋体" w:cs="宋体"/>
                <w:sz w:val="24"/>
                <w:szCs w:val="20"/>
              </w:rPr>
            </w:pPr>
          </w:p>
        </w:tc>
        <w:tc>
          <w:tcPr>
            <w:tcW w:w="1698" w:type="dxa"/>
            <w:vAlign w:val="center"/>
          </w:tcPr>
          <w:p w14:paraId="5C74E2BD">
            <w:pPr>
              <w:snapToGrid w:val="0"/>
              <w:spacing w:before="50" w:after="120" w:afterLines="50"/>
              <w:jc w:val="center"/>
              <w:rPr>
                <w:rFonts w:ascii="宋体" w:hAnsi="宋体" w:cs="宋体"/>
                <w:sz w:val="24"/>
                <w:szCs w:val="20"/>
              </w:rPr>
            </w:pPr>
          </w:p>
        </w:tc>
        <w:tc>
          <w:tcPr>
            <w:tcW w:w="1843" w:type="dxa"/>
            <w:vAlign w:val="center"/>
          </w:tcPr>
          <w:p w14:paraId="2F82856F">
            <w:pPr>
              <w:snapToGrid w:val="0"/>
              <w:spacing w:before="50" w:after="120" w:afterLines="50"/>
              <w:jc w:val="center"/>
              <w:rPr>
                <w:rFonts w:ascii="宋体" w:hAnsi="宋体" w:cs="宋体"/>
                <w:sz w:val="24"/>
                <w:szCs w:val="20"/>
              </w:rPr>
            </w:pPr>
          </w:p>
        </w:tc>
      </w:tr>
      <w:tr w14:paraId="68864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0F01085">
            <w:pPr>
              <w:snapToGrid w:val="0"/>
              <w:spacing w:before="50" w:after="120" w:afterLines="50"/>
              <w:jc w:val="center"/>
              <w:rPr>
                <w:rFonts w:ascii="宋体" w:hAnsi="宋体" w:cs="宋体"/>
                <w:sz w:val="24"/>
                <w:szCs w:val="20"/>
              </w:rPr>
            </w:pPr>
          </w:p>
        </w:tc>
        <w:tc>
          <w:tcPr>
            <w:tcW w:w="817" w:type="dxa"/>
            <w:vAlign w:val="center"/>
          </w:tcPr>
          <w:p w14:paraId="6B2A3825">
            <w:pPr>
              <w:snapToGrid w:val="0"/>
              <w:spacing w:before="50" w:after="120" w:afterLines="50"/>
              <w:jc w:val="center"/>
              <w:rPr>
                <w:rFonts w:ascii="宋体" w:hAnsi="宋体" w:cs="宋体"/>
                <w:sz w:val="24"/>
                <w:szCs w:val="20"/>
              </w:rPr>
            </w:pPr>
          </w:p>
        </w:tc>
        <w:tc>
          <w:tcPr>
            <w:tcW w:w="709" w:type="dxa"/>
            <w:vAlign w:val="center"/>
          </w:tcPr>
          <w:p w14:paraId="3303D245">
            <w:pPr>
              <w:snapToGrid w:val="0"/>
              <w:spacing w:before="50" w:after="120" w:afterLines="50"/>
              <w:jc w:val="center"/>
              <w:rPr>
                <w:rFonts w:ascii="宋体" w:hAnsi="宋体" w:cs="宋体"/>
                <w:sz w:val="24"/>
                <w:szCs w:val="20"/>
              </w:rPr>
            </w:pPr>
          </w:p>
        </w:tc>
        <w:tc>
          <w:tcPr>
            <w:tcW w:w="1701" w:type="dxa"/>
            <w:vAlign w:val="center"/>
          </w:tcPr>
          <w:p w14:paraId="159453D2">
            <w:pPr>
              <w:snapToGrid w:val="0"/>
              <w:spacing w:before="50" w:after="120" w:afterLines="50"/>
              <w:jc w:val="center"/>
              <w:rPr>
                <w:rFonts w:ascii="宋体" w:hAnsi="宋体" w:cs="宋体"/>
                <w:sz w:val="24"/>
                <w:szCs w:val="20"/>
              </w:rPr>
            </w:pPr>
          </w:p>
        </w:tc>
        <w:tc>
          <w:tcPr>
            <w:tcW w:w="1420" w:type="dxa"/>
            <w:vAlign w:val="center"/>
          </w:tcPr>
          <w:p w14:paraId="6C23A16A">
            <w:pPr>
              <w:snapToGrid w:val="0"/>
              <w:spacing w:before="50" w:after="120" w:afterLines="50"/>
              <w:jc w:val="center"/>
              <w:rPr>
                <w:rFonts w:ascii="宋体" w:hAnsi="宋体" w:cs="宋体"/>
                <w:sz w:val="24"/>
                <w:szCs w:val="20"/>
              </w:rPr>
            </w:pPr>
          </w:p>
        </w:tc>
        <w:tc>
          <w:tcPr>
            <w:tcW w:w="1698" w:type="dxa"/>
            <w:vAlign w:val="center"/>
          </w:tcPr>
          <w:p w14:paraId="0A0DA6FD">
            <w:pPr>
              <w:snapToGrid w:val="0"/>
              <w:spacing w:before="50" w:after="120" w:afterLines="50"/>
              <w:jc w:val="center"/>
              <w:rPr>
                <w:rFonts w:ascii="宋体" w:hAnsi="宋体" w:cs="宋体"/>
                <w:sz w:val="24"/>
                <w:szCs w:val="20"/>
              </w:rPr>
            </w:pPr>
          </w:p>
        </w:tc>
        <w:tc>
          <w:tcPr>
            <w:tcW w:w="1843" w:type="dxa"/>
            <w:vAlign w:val="center"/>
          </w:tcPr>
          <w:p w14:paraId="5C8E0282">
            <w:pPr>
              <w:snapToGrid w:val="0"/>
              <w:spacing w:before="50" w:after="120" w:afterLines="50"/>
              <w:jc w:val="center"/>
              <w:rPr>
                <w:rFonts w:ascii="宋体" w:hAnsi="宋体" w:cs="宋体"/>
                <w:sz w:val="24"/>
                <w:szCs w:val="20"/>
              </w:rPr>
            </w:pPr>
          </w:p>
        </w:tc>
      </w:tr>
    </w:tbl>
    <w:p w14:paraId="446593C9">
      <w:pPr>
        <w:snapToGrid w:val="0"/>
        <w:spacing w:before="50" w:after="120" w:afterLines="50"/>
        <w:jc w:val="left"/>
        <w:rPr>
          <w:rFonts w:ascii="宋体" w:hAnsi="宋体" w:cs="宋体"/>
          <w:sz w:val="24"/>
          <w:szCs w:val="20"/>
        </w:rPr>
      </w:pPr>
    </w:p>
    <w:p w14:paraId="1096B76D">
      <w:pPr>
        <w:spacing w:line="360" w:lineRule="auto"/>
        <w:contextualSpacing/>
        <w:jc w:val="left"/>
        <w:rPr>
          <w:rFonts w:ascii="宋体" w:hAnsi="宋体" w:cs="宋体"/>
          <w:sz w:val="24"/>
          <w:szCs w:val="20"/>
        </w:rPr>
      </w:pPr>
      <w:r>
        <w:rPr>
          <w:rFonts w:hint="eastAsia" w:ascii="宋体" w:hAnsi="宋体" w:cs="宋体"/>
          <w:sz w:val="24"/>
          <w:szCs w:val="20"/>
        </w:rPr>
        <w:t>注：</w:t>
      </w:r>
    </w:p>
    <w:p w14:paraId="52313325">
      <w:pPr>
        <w:spacing w:line="360" w:lineRule="auto"/>
        <w:contextualSpacing/>
        <w:jc w:val="left"/>
        <w:rPr>
          <w:rFonts w:ascii="宋体" w:hAnsi="宋体" w:cs="宋体"/>
          <w:sz w:val="24"/>
          <w:szCs w:val="20"/>
        </w:rPr>
      </w:pPr>
      <w:r>
        <w:rPr>
          <w:rFonts w:hint="eastAsia" w:ascii="宋体" w:hAnsi="宋体" w:cs="宋体"/>
          <w:sz w:val="24"/>
          <w:szCs w:val="20"/>
        </w:rPr>
        <w:t>1.在填写时，如本表格不适合投标单位的实际情况，可根据本表格式自行制表填写。</w:t>
      </w:r>
    </w:p>
    <w:p w14:paraId="6A2D288A">
      <w:pPr>
        <w:spacing w:line="360" w:lineRule="auto"/>
        <w:contextualSpacing/>
        <w:jc w:val="left"/>
        <w:rPr>
          <w:rFonts w:ascii="宋体" w:hAnsi="宋体" w:cs="宋体"/>
          <w:sz w:val="24"/>
          <w:szCs w:val="20"/>
        </w:rPr>
      </w:pPr>
      <w:r>
        <w:rPr>
          <w:rFonts w:hint="eastAsia" w:ascii="宋体" w:hAnsi="宋体" w:cs="宋体"/>
          <w:sz w:val="24"/>
          <w:szCs w:val="20"/>
        </w:rPr>
        <w:t>2.投标人应当附本表所列证书的复印件并加盖投标人公章。</w:t>
      </w:r>
    </w:p>
    <w:p w14:paraId="4602B129">
      <w:pPr>
        <w:spacing w:line="360" w:lineRule="auto"/>
        <w:contextualSpacing/>
        <w:jc w:val="left"/>
        <w:rPr>
          <w:rFonts w:ascii="宋体" w:hAnsi="宋体" w:cs="宋体"/>
          <w:sz w:val="24"/>
          <w:szCs w:val="20"/>
        </w:rPr>
      </w:pPr>
    </w:p>
    <w:p w14:paraId="36118077">
      <w:pPr>
        <w:spacing w:line="360" w:lineRule="auto"/>
        <w:contextualSpacing/>
        <w:jc w:val="left"/>
        <w:rPr>
          <w:rFonts w:ascii="宋体" w:hAnsi="宋体" w:cs="宋体"/>
          <w:sz w:val="24"/>
          <w:szCs w:val="20"/>
        </w:rPr>
      </w:pPr>
    </w:p>
    <w:p w14:paraId="7B264CD4">
      <w:pPr>
        <w:spacing w:line="360" w:lineRule="auto"/>
        <w:contextualSpacing/>
        <w:rPr>
          <w:rFonts w:ascii="宋体" w:hAnsi="宋体" w:cs="宋体"/>
          <w:spacing w:val="20"/>
          <w:sz w:val="24"/>
          <w:szCs w:val="20"/>
          <w:u w:val="single"/>
        </w:rPr>
      </w:pPr>
      <w:r>
        <w:rPr>
          <w:rFonts w:hint="eastAsia" w:ascii="宋体" w:hAnsi="宋体" w:cs="宋体"/>
          <w:sz w:val="24"/>
        </w:rPr>
        <w:t>法定代表人或者委托代理人</w:t>
      </w:r>
      <w:r>
        <w:rPr>
          <w:rFonts w:hint="eastAsia" w:ascii="宋体" w:hAnsi="宋体" w:cs="宋体"/>
          <w:spacing w:val="20"/>
          <w:sz w:val="24"/>
        </w:rPr>
        <w:t>（签字或电子盖章）：</w:t>
      </w:r>
      <w:r>
        <w:rPr>
          <w:rFonts w:hint="eastAsia" w:ascii="宋体" w:hAnsi="宋体" w:cs="宋体"/>
          <w:spacing w:val="20"/>
          <w:sz w:val="24"/>
          <w:u w:val="single"/>
        </w:rPr>
        <w:t xml:space="preserve">       </w:t>
      </w:r>
    </w:p>
    <w:p w14:paraId="1884488C">
      <w:pPr>
        <w:spacing w:line="360" w:lineRule="auto"/>
        <w:contextualSpacing/>
        <w:jc w:val="left"/>
        <w:rPr>
          <w:rFonts w:ascii="宋体" w:hAnsi="宋体" w:cs="宋体"/>
          <w:spacing w:val="20"/>
          <w:sz w:val="24"/>
        </w:rPr>
      </w:pPr>
      <w:r>
        <w:rPr>
          <w:rFonts w:hint="eastAsia" w:ascii="宋体" w:hAnsi="宋体" w:cs="宋体"/>
          <w:spacing w:val="20"/>
          <w:sz w:val="24"/>
        </w:rPr>
        <w:t>投标人名称（电子签章）：</w:t>
      </w:r>
      <w:r>
        <w:rPr>
          <w:rFonts w:hint="eastAsia" w:ascii="宋体" w:hAnsi="宋体" w:cs="宋体"/>
          <w:spacing w:val="20"/>
          <w:sz w:val="24"/>
          <w:u w:val="single"/>
        </w:rPr>
        <w:t xml:space="preserve">           </w:t>
      </w:r>
      <w:r>
        <w:rPr>
          <w:rFonts w:hint="eastAsia" w:ascii="宋体" w:hAnsi="宋体" w:cs="宋体"/>
          <w:spacing w:val="20"/>
          <w:sz w:val="24"/>
        </w:rPr>
        <w:t xml:space="preserve">              </w:t>
      </w:r>
    </w:p>
    <w:p w14:paraId="053E1456">
      <w:pPr>
        <w:spacing w:line="360" w:lineRule="auto"/>
        <w:contextualSpacing/>
        <w:jc w:val="left"/>
        <w:rPr>
          <w:rFonts w:ascii="宋体" w:hAnsi="宋体" w:cs="宋体"/>
          <w:sz w:val="24"/>
          <w:szCs w:val="20"/>
        </w:rPr>
      </w:pPr>
      <w:r>
        <w:rPr>
          <w:rFonts w:hint="eastAsia" w:ascii="宋体" w:hAnsi="宋体" w:cs="宋体"/>
          <w:spacing w:val="20"/>
          <w:sz w:val="24"/>
        </w:rPr>
        <w:t>日 期：</w:t>
      </w:r>
      <w:r>
        <w:rPr>
          <w:rFonts w:hint="eastAsia" w:ascii="宋体" w:hAnsi="宋体" w:cs="宋体"/>
          <w:spacing w:val="20"/>
          <w:sz w:val="24"/>
          <w:u w:val="single"/>
        </w:rPr>
        <w:t xml:space="preserve">        </w:t>
      </w:r>
    </w:p>
    <w:p w14:paraId="5B2587C3">
      <w:pPr>
        <w:snapToGrid w:val="0"/>
        <w:spacing w:before="50" w:after="120" w:afterLines="50"/>
        <w:jc w:val="left"/>
        <w:rPr>
          <w:rFonts w:ascii="宋体" w:hAnsi="宋体" w:cs="宋体"/>
          <w:sz w:val="24"/>
          <w:szCs w:val="20"/>
        </w:rPr>
      </w:pPr>
    </w:p>
    <w:p w14:paraId="268F8CFA">
      <w:pPr>
        <w:snapToGrid w:val="0"/>
        <w:spacing w:before="120" w:beforeLines="50" w:after="50"/>
        <w:ind w:left="142"/>
        <w:jc w:val="left"/>
        <w:rPr>
          <w:rFonts w:ascii="宋体" w:hAnsi="宋体" w:cs="宋体"/>
          <w:b/>
          <w:sz w:val="24"/>
        </w:rPr>
      </w:pPr>
      <w:r>
        <w:rPr>
          <w:rFonts w:hint="eastAsia" w:ascii="宋体" w:hAnsi="宋体" w:cs="宋体"/>
          <w:b/>
          <w:sz w:val="24"/>
        </w:rPr>
        <w:br w:type="page"/>
      </w:r>
      <w:r>
        <w:rPr>
          <w:rFonts w:hint="eastAsia" w:ascii="宋体" w:hAnsi="宋体" w:cs="宋体"/>
          <w:b/>
          <w:sz w:val="24"/>
        </w:rPr>
        <w:t>5. 售后服务方案（格式自拟）</w:t>
      </w:r>
    </w:p>
    <w:p w14:paraId="43B3544D">
      <w:pPr>
        <w:pStyle w:val="25"/>
        <w:jc w:val="center"/>
        <w:rPr>
          <w:rFonts w:hAnsi="宋体" w:cs="宋体"/>
          <w:b/>
          <w:sz w:val="32"/>
          <w:szCs w:val="32"/>
        </w:rPr>
      </w:pPr>
    </w:p>
    <w:p w14:paraId="54477865">
      <w:pPr>
        <w:pStyle w:val="25"/>
        <w:jc w:val="center"/>
        <w:rPr>
          <w:rFonts w:hAnsi="宋体" w:cs="宋体"/>
          <w:b/>
          <w:sz w:val="32"/>
          <w:szCs w:val="32"/>
        </w:rPr>
      </w:pPr>
      <w:r>
        <w:rPr>
          <w:rFonts w:hint="eastAsia" w:hAnsi="宋体" w:cs="宋体"/>
          <w:b/>
          <w:sz w:val="32"/>
          <w:szCs w:val="32"/>
        </w:rPr>
        <w:t>售后服务方案</w:t>
      </w:r>
    </w:p>
    <w:p w14:paraId="53D9F546">
      <w:pPr>
        <w:rPr>
          <w:rFonts w:ascii="宋体" w:hAnsi="宋体" w:cs="宋体"/>
          <w:b/>
          <w:sz w:val="28"/>
          <w:szCs w:val="28"/>
        </w:rPr>
      </w:pPr>
    </w:p>
    <w:p w14:paraId="64929E72">
      <w:pPr>
        <w:rPr>
          <w:rFonts w:ascii="宋体" w:hAnsi="宋体" w:cs="宋体"/>
          <w:b/>
          <w:sz w:val="28"/>
          <w:szCs w:val="28"/>
        </w:rPr>
      </w:pPr>
    </w:p>
    <w:p w14:paraId="67645C41">
      <w:pPr>
        <w:widowControl/>
        <w:ind w:firstLine="720" w:firstLineChars="300"/>
        <w:jc w:val="left"/>
      </w:pPr>
      <w:r>
        <w:rPr>
          <w:rFonts w:hint="eastAsia" w:ascii="宋体" w:hAnsi="宋体" w:cs="宋体"/>
          <w:color w:val="000000"/>
          <w:kern w:val="0"/>
          <w:sz w:val="24"/>
          <w:lang w:bidi="ar"/>
        </w:rPr>
        <w:t>（包括但不限于售后服务、拟投入人员方案、硬件设施等）。</w:t>
      </w:r>
    </w:p>
    <w:p w14:paraId="76200801">
      <w:pPr>
        <w:rPr>
          <w:rFonts w:ascii="宋体" w:hAnsi="宋体" w:cs="宋体"/>
          <w:b/>
          <w:sz w:val="28"/>
          <w:szCs w:val="28"/>
        </w:rPr>
      </w:pPr>
    </w:p>
    <w:p w14:paraId="6187D6CA">
      <w:pPr>
        <w:rPr>
          <w:rFonts w:ascii="宋体" w:hAnsi="宋体" w:cs="宋体"/>
          <w:b/>
          <w:sz w:val="28"/>
          <w:szCs w:val="28"/>
        </w:rPr>
      </w:pPr>
    </w:p>
    <w:p w14:paraId="042F6328">
      <w:pPr>
        <w:rPr>
          <w:rFonts w:ascii="宋体" w:hAnsi="宋体" w:cs="宋体"/>
          <w:b/>
          <w:sz w:val="28"/>
          <w:szCs w:val="28"/>
        </w:rPr>
      </w:pPr>
    </w:p>
    <w:p w14:paraId="0DC12CBB">
      <w:pPr>
        <w:rPr>
          <w:rFonts w:ascii="宋体" w:hAnsi="宋体" w:cs="宋体"/>
          <w:b/>
          <w:sz w:val="28"/>
          <w:szCs w:val="28"/>
        </w:rPr>
      </w:pPr>
    </w:p>
    <w:p w14:paraId="59A2570D">
      <w:pPr>
        <w:rPr>
          <w:rFonts w:ascii="宋体" w:hAnsi="宋体" w:cs="宋体"/>
          <w:b/>
          <w:sz w:val="28"/>
          <w:szCs w:val="28"/>
        </w:rPr>
      </w:pPr>
    </w:p>
    <w:p w14:paraId="5C99992F">
      <w:pPr>
        <w:rPr>
          <w:rFonts w:ascii="宋体" w:hAnsi="宋体" w:cs="宋体"/>
          <w:b/>
          <w:sz w:val="28"/>
          <w:szCs w:val="28"/>
        </w:rPr>
      </w:pPr>
    </w:p>
    <w:p w14:paraId="6B9DBCE7">
      <w:pPr>
        <w:rPr>
          <w:rFonts w:ascii="宋体" w:hAnsi="宋体" w:cs="宋体"/>
          <w:b/>
          <w:sz w:val="28"/>
          <w:szCs w:val="28"/>
        </w:rPr>
      </w:pPr>
    </w:p>
    <w:p w14:paraId="07B33A14">
      <w:pPr>
        <w:rPr>
          <w:rFonts w:ascii="宋体" w:hAnsi="宋体" w:cs="宋体"/>
          <w:b/>
          <w:sz w:val="28"/>
          <w:szCs w:val="28"/>
        </w:rPr>
      </w:pPr>
    </w:p>
    <w:p w14:paraId="3B0BB9A4">
      <w:pPr>
        <w:rPr>
          <w:rFonts w:ascii="宋体" w:hAnsi="宋体" w:cs="宋体"/>
          <w:b/>
          <w:sz w:val="28"/>
          <w:szCs w:val="28"/>
        </w:rPr>
      </w:pPr>
    </w:p>
    <w:p w14:paraId="2E090C5D">
      <w:pPr>
        <w:rPr>
          <w:rFonts w:ascii="宋体" w:hAnsi="宋体" w:cs="宋体"/>
          <w:b/>
          <w:sz w:val="28"/>
          <w:szCs w:val="28"/>
        </w:rPr>
      </w:pPr>
    </w:p>
    <w:p w14:paraId="49592A36">
      <w:pPr>
        <w:rPr>
          <w:rFonts w:ascii="宋体" w:hAnsi="宋体" w:cs="宋体"/>
          <w:b/>
          <w:sz w:val="28"/>
          <w:szCs w:val="28"/>
        </w:rPr>
      </w:pPr>
    </w:p>
    <w:p w14:paraId="6E7BAFB9">
      <w:pPr>
        <w:rPr>
          <w:rFonts w:ascii="宋体" w:hAnsi="宋体" w:cs="宋体"/>
          <w:b/>
          <w:sz w:val="28"/>
          <w:szCs w:val="28"/>
        </w:rPr>
      </w:pPr>
    </w:p>
    <w:p w14:paraId="53C1576C">
      <w:pPr>
        <w:rPr>
          <w:rFonts w:ascii="宋体" w:hAnsi="宋体" w:cs="宋体"/>
          <w:b/>
          <w:sz w:val="28"/>
          <w:szCs w:val="28"/>
        </w:rPr>
      </w:pPr>
    </w:p>
    <w:p w14:paraId="589589C7">
      <w:pPr>
        <w:rPr>
          <w:rFonts w:ascii="宋体" w:hAnsi="宋体" w:cs="宋体"/>
          <w:b/>
          <w:sz w:val="28"/>
          <w:szCs w:val="28"/>
        </w:rPr>
      </w:pPr>
    </w:p>
    <w:p w14:paraId="2655675E">
      <w:pPr>
        <w:rPr>
          <w:rFonts w:ascii="宋体" w:hAnsi="宋体" w:cs="宋体"/>
          <w:b/>
          <w:sz w:val="28"/>
          <w:szCs w:val="28"/>
        </w:rPr>
      </w:pPr>
    </w:p>
    <w:p w14:paraId="22F28073">
      <w:pPr>
        <w:rPr>
          <w:rFonts w:ascii="宋体" w:hAnsi="宋体" w:cs="宋体"/>
          <w:b/>
          <w:sz w:val="28"/>
          <w:szCs w:val="28"/>
        </w:rPr>
      </w:pPr>
    </w:p>
    <w:p w14:paraId="20872C92">
      <w:pPr>
        <w:rPr>
          <w:rFonts w:ascii="宋体" w:hAnsi="宋体" w:cs="宋体"/>
          <w:b/>
          <w:sz w:val="28"/>
          <w:szCs w:val="28"/>
        </w:rPr>
      </w:pPr>
    </w:p>
    <w:p w14:paraId="1F70BEF9">
      <w:pPr>
        <w:rPr>
          <w:rFonts w:ascii="宋体" w:hAnsi="宋体" w:cs="宋体"/>
          <w:b/>
          <w:sz w:val="28"/>
          <w:szCs w:val="28"/>
        </w:rPr>
      </w:pPr>
    </w:p>
    <w:p w14:paraId="16AD304C">
      <w:pPr>
        <w:rPr>
          <w:rFonts w:ascii="宋体" w:hAnsi="宋体" w:cs="宋体"/>
          <w:b/>
          <w:sz w:val="28"/>
          <w:szCs w:val="28"/>
        </w:rPr>
      </w:pPr>
    </w:p>
    <w:p w14:paraId="2ECE00BB">
      <w:pPr>
        <w:rPr>
          <w:rFonts w:ascii="宋体" w:hAnsi="宋体" w:cs="宋体"/>
          <w:b/>
          <w:sz w:val="28"/>
          <w:szCs w:val="28"/>
        </w:rPr>
      </w:pPr>
    </w:p>
    <w:p w14:paraId="0493C360">
      <w:pPr>
        <w:rPr>
          <w:rFonts w:ascii="宋体" w:hAnsi="宋体" w:cs="宋体"/>
          <w:b/>
          <w:sz w:val="28"/>
          <w:szCs w:val="28"/>
        </w:rPr>
      </w:pPr>
    </w:p>
    <w:p w14:paraId="04E54510">
      <w:pPr>
        <w:rPr>
          <w:rFonts w:ascii="宋体" w:hAnsi="宋体" w:cs="宋体"/>
          <w:b/>
          <w:sz w:val="28"/>
          <w:szCs w:val="28"/>
        </w:rPr>
      </w:pPr>
    </w:p>
    <w:p w14:paraId="32CAA020">
      <w:pPr>
        <w:rPr>
          <w:rFonts w:ascii="宋体" w:hAnsi="宋体" w:cs="宋体"/>
          <w:b/>
          <w:sz w:val="28"/>
          <w:szCs w:val="28"/>
        </w:rPr>
      </w:pPr>
    </w:p>
    <w:p w14:paraId="03F64D0C">
      <w:pPr>
        <w:rPr>
          <w:rFonts w:ascii="宋体" w:hAnsi="宋体" w:cs="宋体"/>
          <w:b/>
          <w:sz w:val="28"/>
          <w:szCs w:val="28"/>
        </w:rPr>
      </w:pPr>
    </w:p>
    <w:p w14:paraId="79D6FBB0">
      <w:pPr>
        <w:rPr>
          <w:rFonts w:ascii="宋体" w:hAnsi="宋体" w:cs="宋体"/>
          <w:b/>
          <w:sz w:val="28"/>
          <w:szCs w:val="28"/>
        </w:rPr>
      </w:pPr>
    </w:p>
    <w:p w14:paraId="27BBF8B5">
      <w:pPr>
        <w:rPr>
          <w:rFonts w:ascii="宋体" w:hAnsi="宋体" w:cs="宋体"/>
          <w:b/>
          <w:sz w:val="28"/>
          <w:szCs w:val="28"/>
        </w:rPr>
      </w:pPr>
    </w:p>
    <w:p w14:paraId="58437EF6">
      <w:pPr>
        <w:rPr>
          <w:rFonts w:ascii="宋体" w:hAnsi="宋体" w:cs="宋体"/>
          <w:b/>
          <w:sz w:val="28"/>
          <w:szCs w:val="28"/>
        </w:rPr>
      </w:pPr>
    </w:p>
    <w:p w14:paraId="5A2D5096">
      <w:pPr>
        <w:rPr>
          <w:rFonts w:ascii="宋体" w:hAnsi="宋体" w:cs="宋体"/>
          <w:b/>
          <w:sz w:val="28"/>
          <w:szCs w:val="28"/>
        </w:rPr>
      </w:pPr>
    </w:p>
    <w:p w14:paraId="6C844640">
      <w:pPr>
        <w:rPr>
          <w:rFonts w:ascii="宋体" w:hAnsi="宋体" w:cs="宋体"/>
          <w:b/>
          <w:sz w:val="28"/>
          <w:szCs w:val="28"/>
        </w:rPr>
      </w:pPr>
    </w:p>
    <w:p w14:paraId="7E518889">
      <w:pPr>
        <w:rPr>
          <w:rFonts w:ascii="宋体" w:hAnsi="宋体" w:cs="宋体"/>
          <w:b/>
          <w:sz w:val="28"/>
          <w:szCs w:val="28"/>
        </w:rPr>
      </w:pPr>
    </w:p>
    <w:p w14:paraId="04B35D8E">
      <w:pPr>
        <w:rPr>
          <w:rFonts w:ascii="宋体" w:hAnsi="宋体" w:cs="宋体"/>
          <w:b/>
          <w:sz w:val="28"/>
          <w:szCs w:val="28"/>
        </w:rPr>
      </w:pPr>
    </w:p>
    <w:p w14:paraId="61541C8A">
      <w:pPr>
        <w:rPr>
          <w:rFonts w:ascii="宋体" w:hAnsi="宋体" w:cs="宋体"/>
          <w:b/>
          <w:sz w:val="28"/>
          <w:szCs w:val="28"/>
        </w:rPr>
      </w:pPr>
    </w:p>
    <w:p w14:paraId="7917B63D">
      <w:pPr>
        <w:rPr>
          <w:rFonts w:ascii="宋体" w:hAnsi="宋体" w:cs="宋体"/>
          <w:b/>
          <w:sz w:val="28"/>
          <w:szCs w:val="28"/>
        </w:rPr>
      </w:pPr>
    </w:p>
    <w:p w14:paraId="7726FDFB">
      <w:pPr>
        <w:rPr>
          <w:rFonts w:ascii="宋体" w:hAnsi="宋体" w:cs="宋体"/>
          <w:b/>
          <w:sz w:val="28"/>
          <w:szCs w:val="28"/>
        </w:rPr>
      </w:pPr>
      <w:r>
        <w:rPr>
          <w:rFonts w:hint="eastAsia" w:ascii="宋体" w:hAnsi="宋体" w:cs="宋体"/>
          <w:b/>
          <w:sz w:val="28"/>
          <w:szCs w:val="28"/>
        </w:rPr>
        <w:t>五、其他文书、文件格式</w:t>
      </w:r>
    </w:p>
    <w:p w14:paraId="44C8F0A3">
      <w:pPr>
        <w:pStyle w:val="8"/>
        <w:overflowPunct w:val="0"/>
        <w:spacing w:line="360" w:lineRule="auto"/>
        <w:ind w:firstLine="0"/>
        <w:contextualSpacing/>
        <w:jc w:val="left"/>
        <w:rPr>
          <w:rFonts w:ascii="宋体" w:hAnsi="宋体" w:cs="宋体"/>
        </w:rPr>
      </w:pPr>
      <w:r>
        <w:rPr>
          <w:rFonts w:hint="eastAsia" w:ascii="宋体" w:hAnsi="宋体" w:cs="宋体"/>
          <w:b/>
          <w:spacing w:val="20"/>
          <w:sz w:val="24"/>
        </w:rPr>
        <w:t>1.</w:t>
      </w:r>
      <w:r>
        <w:rPr>
          <w:rFonts w:hint="eastAsia" w:ascii="宋体" w:hAnsi="宋体" w:cs="宋体"/>
          <w:b/>
          <w:sz w:val="24"/>
        </w:rPr>
        <w:t>中小（小微）企业声明函格式</w:t>
      </w:r>
    </w:p>
    <w:p w14:paraId="6B012516">
      <w:pPr>
        <w:rPr>
          <w:rFonts w:ascii="宋体" w:hAnsi="宋体" w:cs="宋体"/>
        </w:rPr>
      </w:pPr>
    </w:p>
    <w:p w14:paraId="1766A63E">
      <w:pPr>
        <w:jc w:val="center"/>
        <w:rPr>
          <w:rFonts w:ascii="宋体" w:hAnsi="宋体" w:cs="宋体"/>
          <w:sz w:val="44"/>
          <w:szCs w:val="44"/>
        </w:rPr>
      </w:pPr>
      <w:r>
        <w:rPr>
          <w:rFonts w:hint="eastAsia" w:ascii="宋体" w:hAnsi="宋体" w:cs="宋体"/>
          <w:sz w:val="44"/>
          <w:szCs w:val="44"/>
        </w:rPr>
        <w:t>中小（小微）企业声明函（货物）</w:t>
      </w:r>
    </w:p>
    <w:p w14:paraId="3AFCAFC1">
      <w:pPr>
        <w:spacing w:before="2" w:line="500" w:lineRule="exact"/>
        <w:rPr>
          <w:rFonts w:ascii="宋体" w:hAnsi="宋体" w:cs="宋体"/>
          <w:b/>
          <w:bCs/>
          <w:sz w:val="27"/>
          <w:szCs w:val="27"/>
        </w:rPr>
      </w:pPr>
    </w:p>
    <w:p w14:paraId="47705320">
      <w:pPr>
        <w:pStyle w:val="25"/>
        <w:spacing w:line="500" w:lineRule="exact"/>
        <w:ind w:firstLine="525" w:firstLineChars="250"/>
        <w:jc w:val="left"/>
        <w:rPr>
          <w:sz w:val="21"/>
          <w:szCs w:val="22"/>
        </w:rPr>
      </w:pPr>
      <w:r>
        <w:rPr>
          <w:rFonts w:hint="eastAsia"/>
          <w:sz w:val="21"/>
          <w:szCs w:val="22"/>
        </w:rPr>
        <w:t>本公司（联合体）郑重声明，根据《政府采购促进中小企业发展管理办法》（财库﹝2020﹞46 号）的规定，本公司（联合体）参加</w:t>
      </w:r>
      <w:r>
        <w:rPr>
          <w:rFonts w:hint="eastAsia"/>
          <w:sz w:val="21"/>
          <w:szCs w:val="22"/>
          <w:u w:val="single"/>
        </w:rPr>
        <w:t>（单位名称）</w:t>
      </w:r>
      <w:r>
        <w:rPr>
          <w:rFonts w:hint="eastAsia"/>
          <w:sz w:val="21"/>
          <w:szCs w:val="22"/>
        </w:rPr>
        <w:t>的</w:t>
      </w:r>
      <w:r>
        <w:rPr>
          <w:rFonts w:hint="eastAsia"/>
          <w:sz w:val="21"/>
          <w:szCs w:val="22"/>
          <w:u w:val="single"/>
        </w:rPr>
        <w:t>（项目名称）</w:t>
      </w:r>
      <w:r>
        <w:rPr>
          <w:rFonts w:hint="eastAsia"/>
          <w:sz w:val="21"/>
          <w:szCs w:val="22"/>
        </w:rPr>
        <w:t>采购活动，提供的货物全部由符合政策要求的中小企业制造。相关企业（含联合体中的中小企业、签订分包意向协议的中小企业）的具体情况如下：</w:t>
      </w:r>
    </w:p>
    <w:p w14:paraId="2A07F75B">
      <w:pPr>
        <w:pStyle w:val="25"/>
        <w:spacing w:line="500" w:lineRule="exact"/>
        <w:ind w:firstLine="420" w:firstLineChars="200"/>
        <w:jc w:val="left"/>
        <w:rPr>
          <w:sz w:val="21"/>
          <w:szCs w:val="22"/>
        </w:rPr>
      </w:pPr>
      <w:r>
        <w:rPr>
          <w:rFonts w:hint="eastAsia"/>
          <w:sz w:val="21"/>
          <w:szCs w:val="22"/>
        </w:rPr>
        <w:t>1.</w:t>
      </w:r>
      <w:r>
        <w:rPr>
          <w:rFonts w:hint="eastAsia"/>
          <w:sz w:val="21"/>
          <w:szCs w:val="22"/>
          <w:u w:val="single"/>
        </w:rPr>
        <w:t>（标的名称）</w:t>
      </w:r>
      <w:r>
        <w:rPr>
          <w:rFonts w:hint="eastAsia"/>
          <w:sz w:val="21"/>
          <w:szCs w:val="22"/>
        </w:rPr>
        <w:t>，属于</w:t>
      </w:r>
      <w:r>
        <w:rPr>
          <w:rFonts w:hint="eastAsia"/>
          <w:sz w:val="21"/>
          <w:szCs w:val="22"/>
          <w:u w:val="single"/>
        </w:rPr>
        <w:t>（采购文件中明确的所属行业）行业</w:t>
      </w:r>
      <w:r>
        <w:rPr>
          <w:rFonts w:hint="eastAsia"/>
          <w:sz w:val="21"/>
          <w:szCs w:val="22"/>
        </w:rPr>
        <w:t>；制造商为</w:t>
      </w:r>
      <w:r>
        <w:rPr>
          <w:rFonts w:hint="eastAsia"/>
          <w:sz w:val="21"/>
          <w:szCs w:val="22"/>
          <w:u w:val="single"/>
        </w:rPr>
        <w:t>（企业名称）</w:t>
      </w:r>
      <w:r>
        <w:rPr>
          <w:rFonts w:hint="eastAsia"/>
          <w:sz w:val="21"/>
          <w:szCs w:val="22"/>
        </w:rPr>
        <w:t>，从业人员</w:t>
      </w:r>
      <w:r>
        <w:rPr>
          <w:rFonts w:hint="eastAsia"/>
          <w:sz w:val="21"/>
          <w:szCs w:val="22"/>
          <w:u w:val="single"/>
        </w:rPr>
        <w:t xml:space="preserve">     </w:t>
      </w:r>
      <w:r>
        <w:rPr>
          <w:rFonts w:hint="eastAsia"/>
          <w:sz w:val="21"/>
          <w:szCs w:val="22"/>
        </w:rPr>
        <w:t>人，营业收入为</w:t>
      </w:r>
      <w:r>
        <w:rPr>
          <w:rFonts w:hint="eastAsia"/>
          <w:sz w:val="21"/>
          <w:szCs w:val="22"/>
          <w:u w:val="single"/>
        </w:rPr>
        <w:t xml:space="preserve">     </w:t>
      </w:r>
      <w:r>
        <w:rPr>
          <w:rFonts w:hint="eastAsia"/>
          <w:sz w:val="21"/>
          <w:szCs w:val="22"/>
        </w:rPr>
        <w:t>万元，资产总额为</w:t>
      </w:r>
      <w:r>
        <w:rPr>
          <w:rFonts w:hint="eastAsia"/>
          <w:sz w:val="21"/>
          <w:szCs w:val="22"/>
          <w:u w:val="single"/>
        </w:rPr>
        <w:t xml:space="preserve">     </w:t>
      </w:r>
      <w:r>
        <w:rPr>
          <w:rFonts w:hint="eastAsia"/>
          <w:sz w:val="21"/>
          <w:szCs w:val="22"/>
        </w:rPr>
        <w:t>万元，属于</w:t>
      </w:r>
      <w:r>
        <w:rPr>
          <w:rFonts w:hint="eastAsia"/>
          <w:sz w:val="21"/>
          <w:szCs w:val="22"/>
          <w:u w:val="single"/>
        </w:rPr>
        <w:t>（中型企业、小型企业、微型企业）</w:t>
      </w:r>
      <w:r>
        <w:rPr>
          <w:rFonts w:hint="eastAsia"/>
          <w:sz w:val="21"/>
          <w:szCs w:val="22"/>
        </w:rPr>
        <w:t>；</w:t>
      </w:r>
    </w:p>
    <w:p w14:paraId="551DECD6">
      <w:pPr>
        <w:pStyle w:val="25"/>
        <w:spacing w:line="500" w:lineRule="exact"/>
        <w:ind w:firstLine="420" w:firstLineChars="200"/>
        <w:jc w:val="left"/>
        <w:rPr>
          <w:sz w:val="21"/>
          <w:szCs w:val="22"/>
        </w:rPr>
      </w:pPr>
      <w:r>
        <w:rPr>
          <w:rFonts w:hint="eastAsia"/>
          <w:sz w:val="21"/>
          <w:szCs w:val="22"/>
        </w:rPr>
        <w:t>2.</w:t>
      </w:r>
      <w:r>
        <w:rPr>
          <w:rFonts w:hint="eastAsia"/>
          <w:sz w:val="21"/>
          <w:szCs w:val="22"/>
          <w:u w:val="single"/>
        </w:rPr>
        <w:t>（标的名称）</w:t>
      </w:r>
      <w:r>
        <w:rPr>
          <w:rFonts w:hint="eastAsia"/>
          <w:sz w:val="21"/>
          <w:szCs w:val="22"/>
        </w:rPr>
        <w:t>，属于</w:t>
      </w:r>
      <w:r>
        <w:rPr>
          <w:rFonts w:hint="eastAsia"/>
          <w:sz w:val="21"/>
          <w:szCs w:val="22"/>
          <w:u w:val="single"/>
        </w:rPr>
        <w:t>（采购文件中明确的所属行业）行业</w:t>
      </w:r>
      <w:r>
        <w:rPr>
          <w:rFonts w:hint="eastAsia"/>
          <w:sz w:val="21"/>
          <w:szCs w:val="22"/>
        </w:rPr>
        <w:t>；制造商为</w:t>
      </w:r>
      <w:r>
        <w:rPr>
          <w:rFonts w:hint="eastAsia"/>
          <w:sz w:val="21"/>
          <w:szCs w:val="22"/>
          <w:u w:val="single"/>
        </w:rPr>
        <w:t>（企业名称）</w:t>
      </w:r>
      <w:r>
        <w:rPr>
          <w:rFonts w:hint="eastAsia"/>
          <w:sz w:val="21"/>
          <w:szCs w:val="22"/>
        </w:rPr>
        <w:t>，从业人员</w:t>
      </w:r>
      <w:r>
        <w:rPr>
          <w:rFonts w:hint="eastAsia"/>
          <w:sz w:val="21"/>
          <w:szCs w:val="22"/>
          <w:u w:val="single"/>
        </w:rPr>
        <w:t xml:space="preserve">     </w:t>
      </w:r>
      <w:r>
        <w:rPr>
          <w:rFonts w:hint="eastAsia"/>
          <w:sz w:val="21"/>
          <w:szCs w:val="22"/>
        </w:rPr>
        <w:t>人，营业收入为</w:t>
      </w:r>
      <w:r>
        <w:rPr>
          <w:rFonts w:hint="eastAsia"/>
          <w:sz w:val="21"/>
          <w:szCs w:val="22"/>
          <w:u w:val="single"/>
        </w:rPr>
        <w:t xml:space="preserve">     </w:t>
      </w:r>
      <w:r>
        <w:rPr>
          <w:rFonts w:hint="eastAsia"/>
          <w:sz w:val="21"/>
          <w:szCs w:val="22"/>
        </w:rPr>
        <w:t>万元，资产总额为</w:t>
      </w:r>
      <w:r>
        <w:rPr>
          <w:rFonts w:hint="eastAsia"/>
          <w:sz w:val="21"/>
          <w:szCs w:val="22"/>
          <w:u w:val="single"/>
        </w:rPr>
        <w:t xml:space="preserve">     </w:t>
      </w:r>
      <w:r>
        <w:rPr>
          <w:rFonts w:hint="eastAsia"/>
          <w:sz w:val="21"/>
          <w:szCs w:val="22"/>
        </w:rPr>
        <w:t>万元，属于</w:t>
      </w:r>
      <w:r>
        <w:rPr>
          <w:rFonts w:hint="eastAsia"/>
          <w:sz w:val="21"/>
          <w:szCs w:val="22"/>
          <w:u w:val="single"/>
        </w:rPr>
        <w:t>（中型企业、小型企业、微型企业）</w:t>
      </w:r>
      <w:r>
        <w:rPr>
          <w:rFonts w:hint="eastAsia"/>
          <w:sz w:val="21"/>
          <w:szCs w:val="22"/>
        </w:rPr>
        <w:t>；</w:t>
      </w:r>
    </w:p>
    <w:p w14:paraId="1DB868FD">
      <w:pPr>
        <w:pStyle w:val="25"/>
        <w:spacing w:line="500" w:lineRule="exact"/>
        <w:ind w:firstLine="420" w:firstLineChars="200"/>
        <w:jc w:val="left"/>
        <w:rPr>
          <w:sz w:val="21"/>
          <w:szCs w:val="22"/>
        </w:rPr>
      </w:pPr>
      <w:r>
        <w:rPr>
          <w:rFonts w:hint="eastAsia"/>
          <w:sz w:val="21"/>
          <w:szCs w:val="22"/>
        </w:rPr>
        <w:t>……</w:t>
      </w:r>
    </w:p>
    <w:p w14:paraId="438AE5FD">
      <w:pPr>
        <w:pStyle w:val="25"/>
        <w:spacing w:line="500" w:lineRule="exact"/>
        <w:ind w:firstLine="420" w:firstLineChars="200"/>
        <w:jc w:val="left"/>
        <w:rPr>
          <w:sz w:val="21"/>
          <w:szCs w:val="22"/>
        </w:rPr>
      </w:pPr>
      <w:r>
        <w:rPr>
          <w:rFonts w:hint="eastAsia"/>
          <w:sz w:val="21"/>
          <w:szCs w:val="22"/>
        </w:rPr>
        <w:t>以上企业，不属于大企业的分支机构，不存在控股股东为大企业的情形，也不存在与大企业的负责人为同一人的情形。</w:t>
      </w:r>
    </w:p>
    <w:p w14:paraId="1CF074F8">
      <w:pPr>
        <w:pStyle w:val="25"/>
        <w:spacing w:line="500" w:lineRule="exact"/>
        <w:ind w:firstLine="420" w:firstLineChars="200"/>
        <w:jc w:val="left"/>
        <w:rPr>
          <w:sz w:val="21"/>
          <w:szCs w:val="22"/>
        </w:rPr>
      </w:pPr>
      <w:r>
        <w:rPr>
          <w:rFonts w:hint="eastAsia"/>
          <w:sz w:val="21"/>
          <w:szCs w:val="22"/>
        </w:rPr>
        <w:t>本企业对上述声明内容的真实性负责。如有虚假，将依法承担相应责任。</w:t>
      </w:r>
    </w:p>
    <w:p w14:paraId="4CBDA542">
      <w:pPr>
        <w:pStyle w:val="25"/>
        <w:spacing w:line="500" w:lineRule="exact"/>
        <w:ind w:firstLine="420" w:firstLineChars="200"/>
        <w:jc w:val="left"/>
        <w:rPr>
          <w:sz w:val="21"/>
          <w:szCs w:val="22"/>
        </w:rPr>
      </w:pPr>
    </w:p>
    <w:p w14:paraId="35107D7E">
      <w:pPr>
        <w:pStyle w:val="25"/>
        <w:spacing w:line="500" w:lineRule="exact"/>
        <w:ind w:firstLine="4620" w:firstLineChars="2200"/>
        <w:jc w:val="left"/>
        <w:rPr>
          <w:sz w:val="21"/>
          <w:szCs w:val="22"/>
        </w:rPr>
      </w:pPr>
      <w:r>
        <w:rPr>
          <w:rFonts w:hint="eastAsia"/>
          <w:sz w:val="21"/>
          <w:szCs w:val="22"/>
        </w:rPr>
        <w:t>企业名称（盖章）：</w:t>
      </w:r>
    </w:p>
    <w:p w14:paraId="0A2C8E2A">
      <w:pPr>
        <w:pStyle w:val="25"/>
        <w:spacing w:line="500" w:lineRule="exact"/>
        <w:ind w:firstLine="4620" w:firstLineChars="2200"/>
        <w:jc w:val="left"/>
        <w:rPr>
          <w:sz w:val="21"/>
          <w:szCs w:val="22"/>
        </w:rPr>
      </w:pPr>
      <w:r>
        <w:rPr>
          <w:rFonts w:hint="eastAsia"/>
          <w:sz w:val="21"/>
          <w:szCs w:val="22"/>
        </w:rPr>
        <w:t>日 期：</w:t>
      </w:r>
    </w:p>
    <w:p w14:paraId="7CAF1AED">
      <w:pPr>
        <w:pStyle w:val="25"/>
        <w:spacing w:line="500" w:lineRule="exact"/>
        <w:jc w:val="left"/>
        <w:rPr>
          <w:sz w:val="28"/>
          <w:szCs w:val="28"/>
        </w:rPr>
      </w:pPr>
    </w:p>
    <w:p w14:paraId="14B719B6">
      <w:pPr>
        <w:pStyle w:val="25"/>
        <w:spacing w:line="500" w:lineRule="exact"/>
        <w:jc w:val="left"/>
        <w:rPr>
          <w:szCs w:val="20"/>
        </w:rPr>
      </w:pPr>
      <w:r>
        <w:rPr>
          <w:rFonts w:hint="eastAsia"/>
          <w:szCs w:val="20"/>
        </w:rPr>
        <w:t>注：1、从业人员、营业收入、资产总额填报上一年度数据，无上一年度数据的新成立企业可不填报。</w:t>
      </w:r>
    </w:p>
    <w:p w14:paraId="0274091E">
      <w:pPr>
        <w:snapToGrid w:val="0"/>
        <w:spacing w:line="380" w:lineRule="exact"/>
        <w:ind w:firstLine="392" w:firstLineChars="196"/>
        <w:jc w:val="left"/>
        <w:rPr>
          <w:rFonts w:ascii="宋体"/>
          <w:sz w:val="20"/>
          <w:szCs w:val="20"/>
        </w:rPr>
      </w:pPr>
      <w:r>
        <w:rPr>
          <w:rFonts w:hint="eastAsia" w:ascii="宋体"/>
          <w:sz w:val="20"/>
          <w:szCs w:val="20"/>
        </w:rPr>
        <w:t>2、请根据自己的真实情况出具《中小企业声明函》。依法享受中小企业优惠政策的，采购人或者采购代理机构在公告中标结果时，同时公告其《中小企业声明函》，接受社会监督。</w:t>
      </w:r>
    </w:p>
    <w:p w14:paraId="4A061AD3">
      <w:pPr>
        <w:snapToGrid w:val="0"/>
        <w:spacing w:line="380" w:lineRule="exact"/>
        <w:ind w:firstLine="392" w:firstLineChars="196"/>
        <w:jc w:val="left"/>
        <w:rPr>
          <w:rFonts w:ascii="宋体"/>
          <w:sz w:val="20"/>
          <w:szCs w:val="20"/>
        </w:rPr>
      </w:pPr>
      <w:r>
        <w:rPr>
          <w:rFonts w:hint="eastAsia" w:ascii="宋体"/>
          <w:sz w:val="20"/>
          <w:szCs w:val="20"/>
        </w:rPr>
        <w:t>3、在政府采购活动中，供应商提供的货物、工程或者服务符合下列情形的，享受《政府采购促进中小企业发展管理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供应商提供的货物既有中小企业制造货物，也有大型企业制造货物的，不享受《政府采购促进中小企业发展管理办法》规定的中小企业扶持政策。以联合体形式参加政府采购活动，联合体各方均为中小企业的，联合体视同中小企业。其中，联合体各方均为小微企业的，联合体视同小微企业。</w:t>
      </w:r>
    </w:p>
    <w:p w14:paraId="63C36306">
      <w:pPr>
        <w:jc w:val="left"/>
        <w:rPr>
          <w:rFonts w:ascii="宋体" w:hAnsi="宋体" w:cs="宋体"/>
          <w:b/>
          <w:sz w:val="32"/>
          <w:szCs w:val="32"/>
        </w:rPr>
      </w:pPr>
      <w:r>
        <w:rPr>
          <w:rFonts w:hint="eastAsia" w:ascii="宋体" w:hAnsi="宋体" w:cs="宋体"/>
          <w:b/>
          <w:sz w:val="28"/>
          <w:szCs w:val="28"/>
        </w:rPr>
        <w:br w:type="page"/>
      </w:r>
    </w:p>
    <w:p w14:paraId="2688FD97">
      <w:pPr>
        <w:jc w:val="center"/>
        <w:rPr>
          <w:rFonts w:ascii="宋体" w:hAnsi="宋体" w:cs="宋体"/>
          <w:b/>
          <w:sz w:val="28"/>
          <w:szCs w:val="28"/>
        </w:rPr>
      </w:pPr>
      <w:r>
        <w:rPr>
          <w:rFonts w:hint="eastAsia" w:ascii="宋体" w:hAnsi="宋体" w:cs="宋体"/>
          <w:b/>
          <w:sz w:val="28"/>
          <w:szCs w:val="28"/>
        </w:rPr>
        <w:t>中小微企业划型标准</w:t>
      </w:r>
    </w:p>
    <w:p w14:paraId="0700E2DE">
      <w:pPr>
        <w:ind w:left="1871"/>
        <w:rPr>
          <w:rFonts w:ascii="宋体" w:hAnsi="宋体" w:cs="宋体"/>
          <w:szCs w:val="21"/>
        </w:rPr>
      </w:pPr>
    </w:p>
    <w:tbl>
      <w:tblPr>
        <w:tblStyle w:val="48"/>
        <w:tblW w:w="8752" w:type="dxa"/>
        <w:jc w:val="center"/>
        <w:tblLayout w:type="fixed"/>
        <w:tblCellMar>
          <w:top w:w="0" w:type="dxa"/>
          <w:left w:w="108" w:type="dxa"/>
          <w:bottom w:w="0" w:type="dxa"/>
          <w:right w:w="108" w:type="dxa"/>
        </w:tblCellMar>
      </w:tblPr>
      <w:tblGrid>
        <w:gridCol w:w="1807"/>
        <w:gridCol w:w="1559"/>
        <w:gridCol w:w="709"/>
        <w:gridCol w:w="1842"/>
        <w:gridCol w:w="1836"/>
        <w:gridCol w:w="999"/>
      </w:tblGrid>
      <w:tr w14:paraId="5ED95724">
        <w:tblPrEx>
          <w:tblCellMar>
            <w:top w:w="0" w:type="dxa"/>
            <w:left w:w="108" w:type="dxa"/>
            <w:bottom w:w="0" w:type="dxa"/>
            <w:right w:w="108" w:type="dxa"/>
          </w:tblCellMar>
        </w:tblPrEx>
        <w:trPr>
          <w:trHeight w:val="285"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14:paraId="5CA45F44">
            <w:pPr>
              <w:widowControl/>
              <w:jc w:val="left"/>
              <w:rPr>
                <w:rFonts w:ascii="宋体" w:hAnsi="宋体" w:cs="宋体"/>
                <w:b/>
                <w:kern w:val="0"/>
                <w:szCs w:val="21"/>
              </w:rPr>
            </w:pPr>
            <w:r>
              <w:rPr>
                <w:rFonts w:hint="eastAsia" w:ascii="宋体" w:hAnsi="宋体" w:cs="宋体"/>
                <w:b/>
                <w:kern w:val="0"/>
                <w:szCs w:val="21"/>
              </w:rPr>
              <w:t>行业名称</w:t>
            </w:r>
          </w:p>
        </w:tc>
        <w:tc>
          <w:tcPr>
            <w:tcW w:w="1559" w:type="dxa"/>
            <w:tcBorders>
              <w:top w:val="single" w:color="auto" w:sz="4" w:space="0"/>
              <w:left w:val="nil"/>
              <w:bottom w:val="single" w:color="auto" w:sz="4" w:space="0"/>
              <w:right w:val="single" w:color="auto" w:sz="4" w:space="0"/>
            </w:tcBorders>
            <w:vAlign w:val="center"/>
          </w:tcPr>
          <w:p w14:paraId="6236D0C2">
            <w:pPr>
              <w:widowControl/>
              <w:jc w:val="left"/>
              <w:rPr>
                <w:rFonts w:ascii="宋体" w:hAnsi="宋体" w:cs="宋体"/>
                <w:b/>
                <w:kern w:val="0"/>
                <w:szCs w:val="21"/>
              </w:rPr>
            </w:pPr>
            <w:r>
              <w:rPr>
                <w:rFonts w:hint="eastAsia" w:ascii="宋体" w:hAnsi="宋体" w:cs="宋体"/>
                <w:b/>
                <w:kern w:val="0"/>
                <w:szCs w:val="21"/>
              </w:rPr>
              <w:t>指标名称</w:t>
            </w:r>
          </w:p>
        </w:tc>
        <w:tc>
          <w:tcPr>
            <w:tcW w:w="709" w:type="dxa"/>
            <w:tcBorders>
              <w:top w:val="single" w:color="auto" w:sz="4" w:space="0"/>
              <w:left w:val="nil"/>
              <w:bottom w:val="single" w:color="auto" w:sz="4" w:space="0"/>
              <w:right w:val="single" w:color="auto" w:sz="4" w:space="0"/>
            </w:tcBorders>
            <w:vAlign w:val="center"/>
          </w:tcPr>
          <w:p w14:paraId="1D2C41B3">
            <w:pPr>
              <w:widowControl/>
              <w:jc w:val="left"/>
              <w:rPr>
                <w:rFonts w:ascii="宋体" w:hAnsi="宋体" w:cs="宋体"/>
                <w:b/>
                <w:kern w:val="0"/>
                <w:szCs w:val="21"/>
              </w:rPr>
            </w:pPr>
            <w:r>
              <w:rPr>
                <w:rFonts w:hint="eastAsia" w:ascii="宋体" w:hAnsi="宋体" w:cs="宋体"/>
                <w:b/>
                <w:kern w:val="0"/>
                <w:szCs w:val="21"/>
              </w:rPr>
              <w:t>计量单位</w:t>
            </w:r>
          </w:p>
        </w:tc>
        <w:tc>
          <w:tcPr>
            <w:tcW w:w="1842" w:type="dxa"/>
            <w:tcBorders>
              <w:top w:val="single" w:color="auto" w:sz="4" w:space="0"/>
              <w:left w:val="nil"/>
              <w:bottom w:val="single" w:color="auto" w:sz="4" w:space="0"/>
              <w:right w:val="single" w:color="auto" w:sz="4" w:space="0"/>
            </w:tcBorders>
            <w:vAlign w:val="center"/>
          </w:tcPr>
          <w:p w14:paraId="3D78495C">
            <w:pPr>
              <w:widowControl/>
              <w:jc w:val="left"/>
              <w:rPr>
                <w:rFonts w:ascii="宋体" w:hAnsi="宋体" w:cs="宋体"/>
                <w:b/>
                <w:kern w:val="0"/>
                <w:szCs w:val="21"/>
              </w:rPr>
            </w:pPr>
            <w:r>
              <w:rPr>
                <w:rFonts w:hint="eastAsia" w:ascii="宋体" w:hAnsi="宋体" w:cs="宋体"/>
                <w:b/>
                <w:kern w:val="0"/>
                <w:szCs w:val="21"/>
              </w:rPr>
              <w:t>中型</w:t>
            </w:r>
          </w:p>
        </w:tc>
        <w:tc>
          <w:tcPr>
            <w:tcW w:w="1836" w:type="dxa"/>
            <w:tcBorders>
              <w:top w:val="single" w:color="auto" w:sz="4" w:space="0"/>
              <w:left w:val="nil"/>
              <w:bottom w:val="single" w:color="auto" w:sz="4" w:space="0"/>
              <w:right w:val="single" w:color="auto" w:sz="4" w:space="0"/>
            </w:tcBorders>
            <w:vAlign w:val="center"/>
          </w:tcPr>
          <w:p w14:paraId="5AED66CE">
            <w:pPr>
              <w:widowControl/>
              <w:jc w:val="left"/>
              <w:rPr>
                <w:rFonts w:ascii="宋体" w:hAnsi="宋体" w:cs="宋体"/>
                <w:b/>
                <w:kern w:val="0"/>
                <w:szCs w:val="21"/>
              </w:rPr>
            </w:pPr>
            <w:r>
              <w:rPr>
                <w:rFonts w:hint="eastAsia" w:ascii="宋体" w:hAnsi="宋体" w:cs="宋体"/>
                <w:b/>
                <w:kern w:val="0"/>
                <w:szCs w:val="21"/>
              </w:rPr>
              <w:t>小型</w:t>
            </w:r>
          </w:p>
        </w:tc>
        <w:tc>
          <w:tcPr>
            <w:tcW w:w="999" w:type="dxa"/>
            <w:tcBorders>
              <w:top w:val="single" w:color="auto" w:sz="4" w:space="0"/>
              <w:left w:val="nil"/>
              <w:bottom w:val="single" w:color="auto" w:sz="4" w:space="0"/>
              <w:right w:val="single" w:color="auto" w:sz="4" w:space="0"/>
            </w:tcBorders>
            <w:vAlign w:val="center"/>
          </w:tcPr>
          <w:p w14:paraId="5281A4FB">
            <w:pPr>
              <w:widowControl/>
              <w:jc w:val="left"/>
              <w:rPr>
                <w:rFonts w:ascii="宋体" w:hAnsi="宋体" w:cs="宋体"/>
                <w:b/>
                <w:kern w:val="0"/>
                <w:szCs w:val="21"/>
              </w:rPr>
            </w:pPr>
            <w:r>
              <w:rPr>
                <w:rFonts w:hint="eastAsia" w:ascii="宋体" w:hAnsi="宋体" w:cs="宋体"/>
                <w:b/>
                <w:kern w:val="0"/>
                <w:szCs w:val="21"/>
              </w:rPr>
              <w:t>微型</w:t>
            </w:r>
          </w:p>
        </w:tc>
      </w:tr>
      <w:tr w14:paraId="2322BE03">
        <w:tblPrEx>
          <w:tblCellMar>
            <w:top w:w="0" w:type="dxa"/>
            <w:left w:w="108" w:type="dxa"/>
            <w:bottom w:w="0" w:type="dxa"/>
            <w:right w:w="108" w:type="dxa"/>
          </w:tblCellMar>
        </w:tblPrEx>
        <w:trPr>
          <w:trHeight w:val="225" w:hRule="atLeast"/>
          <w:jc w:val="center"/>
        </w:trPr>
        <w:tc>
          <w:tcPr>
            <w:tcW w:w="1807" w:type="dxa"/>
            <w:tcBorders>
              <w:top w:val="nil"/>
              <w:left w:val="single" w:color="auto" w:sz="4" w:space="0"/>
              <w:bottom w:val="single" w:color="auto" w:sz="4" w:space="0"/>
              <w:right w:val="single" w:color="auto" w:sz="4" w:space="0"/>
            </w:tcBorders>
            <w:vAlign w:val="bottom"/>
          </w:tcPr>
          <w:p w14:paraId="23FA42D9">
            <w:pPr>
              <w:widowControl/>
              <w:jc w:val="center"/>
              <w:rPr>
                <w:rFonts w:ascii="宋体" w:hAnsi="宋体" w:cs="宋体"/>
                <w:b/>
                <w:bCs/>
                <w:kern w:val="0"/>
                <w:szCs w:val="21"/>
              </w:rPr>
            </w:pPr>
            <w:r>
              <w:rPr>
                <w:rFonts w:hint="eastAsia" w:ascii="宋体" w:hAnsi="宋体" w:cs="宋体"/>
                <w:b/>
                <w:bCs/>
                <w:kern w:val="0"/>
                <w:szCs w:val="21"/>
              </w:rPr>
              <w:t>农、林、牧、渔</w:t>
            </w:r>
          </w:p>
        </w:tc>
        <w:tc>
          <w:tcPr>
            <w:tcW w:w="1559" w:type="dxa"/>
            <w:tcBorders>
              <w:top w:val="nil"/>
              <w:left w:val="nil"/>
              <w:bottom w:val="single" w:color="auto" w:sz="4" w:space="0"/>
              <w:right w:val="single" w:color="auto" w:sz="4" w:space="0"/>
            </w:tcBorders>
            <w:vAlign w:val="center"/>
          </w:tcPr>
          <w:p w14:paraId="4F610282">
            <w:pPr>
              <w:widowControl/>
              <w:jc w:val="left"/>
              <w:rPr>
                <w:rFonts w:ascii="宋体" w:hAnsi="宋体" w:cs="宋体"/>
                <w:kern w:val="0"/>
                <w:szCs w:val="21"/>
              </w:rPr>
            </w:pPr>
            <w:r>
              <w:rPr>
                <w:rFonts w:hint="eastAsia" w:ascii="宋体" w:hAnsi="宋体" w:cs="宋体"/>
                <w:kern w:val="0"/>
                <w:szCs w:val="21"/>
              </w:rPr>
              <w:t>营业收入（Y）</w:t>
            </w:r>
          </w:p>
        </w:tc>
        <w:tc>
          <w:tcPr>
            <w:tcW w:w="709" w:type="dxa"/>
            <w:tcBorders>
              <w:top w:val="nil"/>
              <w:left w:val="nil"/>
              <w:bottom w:val="single" w:color="auto" w:sz="4" w:space="0"/>
              <w:right w:val="single" w:color="auto" w:sz="4" w:space="0"/>
            </w:tcBorders>
            <w:vAlign w:val="center"/>
          </w:tcPr>
          <w:p w14:paraId="6E43B623">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0750FEB0">
            <w:pPr>
              <w:widowControl/>
              <w:jc w:val="left"/>
              <w:rPr>
                <w:rFonts w:ascii="宋体" w:hAnsi="宋体" w:cs="宋体"/>
                <w:kern w:val="0"/>
                <w:szCs w:val="21"/>
              </w:rPr>
            </w:pPr>
            <w:r>
              <w:rPr>
                <w:rFonts w:hint="eastAsia" w:ascii="宋体" w:hAnsi="宋体" w:cs="宋体"/>
                <w:kern w:val="0"/>
                <w:szCs w:val="21"/>
              </w:rPr>
              <w:t>500≤Y＜20000</w:t>
            </w:r>
          </w:p>
        </w:tc>
        <w:tc>
          <w:tcPr>
            <w:tcW w:w="1836" w:type="dxa"/>
            <w:tcBorders>
              <w:top w:val="nil"/>
              <w:left w:val="nil"/>
              <w:bottom w:val="single" w:color="auto" w:sz="4" w:space="0"/>
              <w:right w:val="single" w:color="auto" w:sz="4" w:space="0"/>
            </w:tcBorders>
            <w:vAlign w:val="center"/>
          </w:tcPr>
          <w:p w14:paraId="6A5101BE">
            <w:pPr>
              <w:widowControl/>
              <w:jc w:val="left"/>
              <w:rPr>
                <w:rFonts w:ascii="宋体" w:hAnsi="宋体" w:cs="宋体"/>
                <w:kern w:val="0"/>
                <w:szCs w:val="21"/>
              </w:rPr>
            </w:pPr>
            <w:r>
              <w:rPr>
                <w:rFonts w:hint="eastAsia" w:ascii="宋体" w:hAnsi="宋体" w:cs="宋体"/>
                <w:kern w:val="0"/>
                <w:szCs w:val="21"/>
              </w:rPr>
              <w:t>50≤Y＜500</w:t>
            </w:r>
          </w:p>
        </w:tc>
        <w:tc>
          <w:tcPr>
            <w:tcW w:w="999" w:type="dxa"/>
            <w:tcBorders>
              <w:top w:val="nil"/>
              <w:left w:val="nil"/>
              <w:bottom w:val="single" w:color="auto" w:sz="4" w:space="0"/>
              <w:right w:val="single" w:color="auto" w:sz="4" w:space="0"/>
            </w:tcBorders>
            <w:vAlign w:val="center"/>
          </w:tcPr>
          <w:p w14:paraId="161D987A">
            <w:pPr>
              <w:widowControl/>
              <w:jc w:val="left"/>
              <w:rPr>
                <w:rFonts w:ascii="宋体" w:hAnsi="宋体" w:cs="宋体"/>
                <w:kern w:val="0"/>
                <w:szCs w:val="21"/>
              </w:rPr>
            </w:pPr>
            <w:r>
              <w:rPr>
                <w:rFonts w:hint="eastAsia" w:ascii="宋体" w:hAnsi="宋体" w:cs="宋体"/>
                <w:kern w:val="0"/>
                <w:szCs w:val="21"/>
              </w:rPr>
              <w:t>Y＜50</w:t>
            </w:r>
          </w:p>
        </w:tc>
      </w:tr>
      <w:tr w14:paraId="4A5DB2C1">
        <w:tblPrEx>
          <w:tblCellMar>
            <w:top w:w="0" w:type="dxa"/>
            <w:left w:w="108" w:type="dxa"/>
            <w:bottom w:w="0" w:type="dxa"/>
            <w:right w:w="108" w:type="dxa"/>
          </w:tblCellMar>
        </w:tblPrEx>
        <w:trPr>
          <w:trHeight w:val="225" w:hRule="atLeast"/>
          <w:jc w:val="center"/>
        </w:trPr>
        <w:tc>
          <w:tcPr>
            <w:tcW w:w="1807" w:type="dxa"/>
            <w:vMerge w:val="restart"/>
            <w:tcBorders>
              <w:top w:val="nil"/>
              <w:left w:val="single" w:color="auto" w:sz="4" w:space="0"/>
              <w:bottom w:val="single" w:color="auto" w:sz="4" w:space="0"/>
              <w:right w:val="single" w:color="auto" w:sz="4" w:space="0"/>
            </w:tcBorders>
            <w:vAlign w:val="bottom"/>
          </w:tcPr>
          <w:p w14:paraId="1B13EA4F">
            <w:pPr>
              <w:widowControl/>
              <w:jc w:val="center"/>
              <w:rPr>
                <w:rFonts w:ascii="宋体" w:hAnsi="宋体" w:cs="宋体"/>
                <w:b/>
                <w:bCs/>
                <w:kern w:val="0"/>
                <w:szCs w:val="21"/>
              </w:rPr>
            </w:pPr>
            <w:r>
              <w:rPr>
                <w:rFonts w:hint="eastAsia" w:ascii="宋体" w:hAnsi="宋体" w:cs="宋体"/>
                <w:b/>
                <w:bCs/>
                <w:kern w:val="0"/>
                <w:szCs w:val="21"/>
              </w:rPr>
              <w:t>工业</w:t>
            </w:r>
          </w:p>
        </w:tc>
        <w:tc>
          <w:tcPr>
            <w:tcW w:w="1559" w:type="dxa"/>
            <w:tcBorders>
              <w:top w:val="nil"/>
              <w:left w:val="nil"/>
              <w:bottom w:val="single" w:color="auto" w:sz="4" w:space="0"/>
              <w:right w:val="single" w:color="auto" w:sz="4" w:space="0"/>
            </w:tcBorders>
            <w:vAlign w:val="center"/>
          </w:tcPr>
          <w:p w14:paraId="50C7937D">
            <w:pPr>
              <w:widowControl/>
              <w:jc w:val="left"/>
              <w:rPr>
                <w:rFonts w:ascii="宋体" w:hAnsi="宋体" w:cs="宋体"/>
                <w:kern w:val="0"/>
                <w:szCs w:val="21"/>
              </w:rPr>
            </w:pPr>
            <w:r>
              <w:rPr>
                <w:rFonts w:hint="eastAsia" w:ascii="宋体" w:hAnsi="宋体" w:cs="宋体"/>
                <w:kern w:val="0"/>
                <w:szCs w:val="21"/>
              </w:rPr>
              <w:t>从业人员（X）</w:t>
            </w:r>
          </w:p>
        </w:tc>
        <w:tc>
          <w:tcPr>
            <w:tcW w:w="709" w:type="dxa"/>
            <w:tcBorders>
              <w:top w:val="nil"/>
              <w:left w:val="nil"/>
              <w:bottom w:val="single" w:color="auto" w:sz="4" w:space="0"/>
              <w:right w:val="single" w:color="auto" w:sz="4" w:space="0"/>
            </w:tcBorders>
            <w:vAlign w:val="center"/>
          </w:tcPr>
          <w:p w14:paraId="74EBE525">
            <w:pPr>
              <w:widowControl/>
              <w:jc w:val="left"/>
              <w:rPr>
                <w:rFonts w:ascii="宋体" w:hAnsi="宋体" w:cs="宋体"/>
                <w:kern w:val="0"/>
                <w:szCs w:val="21"/>
              </w:rPr>
            </w:pPr>
            <w:r>
              <w:rPr>
                <w:rFonts w:hint="eastAsia" w:ascii="宋体" w:hAnsi="宋体" w:cs="宋体"/>
                <w:kern w:val="0"/>
                <w:szCs w:val="21"/>
              </w:rPr>
              <w:t>人</w:t>
            </w:r>
          </w:p>
        </w:tc>
        <w:tc>
          <w:tcPr>
            <w:tcW w:w="1842" w:type="dxa"/>
            <w:tcBorders>
              <w:top w:val="nil"/>
              <w:left w:val="nil"/>
              <w:bottom w:val="single" w:color="auto" w:sz="4" w:space="0"/>
              <w:right w:val="single" w:color="auto" w:sz="4" w:space="0"/>
            </w:tcBorders>
            <w:vAlign w:val="center"/>
          </w:tcPr>
          <w:p w14:paraId="17333959">
            <w:pPr>
              <w:widowControl/>
              <w:jc w:val="left"/>
              <w:rPr>
                <w:rFonts w:ascii="宋体" w:hAnsi="宋体" w:cs="宋体"/>
                <w:kern w:val="0"/>
                <w:szCs w:val="21"/>
              </w:rPr>
            </w:pPr>
            <w:r>
              <w:rPr>
                <w:rFonts w:hint="eastAsia" w:ascii="宋体" w:hAnsi="宋体" w:cs="宋体"/>
                <w:kern w:val="0"/>
                <w:szCs w:val="21"/>
              </w:rPr>
              <w:t>300≤X＜1000</w:t>
            </w:r>
          </w:p>
        </w:tc>
        <w:tc>
          <w:tcPr>
            <w:tcW w:w="1836" w:type="dxa"/>
            <w:tcBorders>
              <w:top w:val="nil"/>
              <w:left w:val="nil"/>
              <w:bottom w:val="single" w:color="auto" w:sz="4" w:space="0"/>
              <w:right w:val="single" w:color="auto" w:sz="4" w:space="0"/>
            </w:tcBorders>
            <w:vAlign w:val="center"/>
          </w:tcPr>
          <w:p w14:paraId="4E528C58">
            <w:pPr>
              <w:widowControl/>
              <w:jc w:val="left"/>
              <w:rPr>
                <w:rFonts w:ascii="宋体" w:hAnsi="宋体" w:cs="宋体"/>
                <w:kern w:val="0"/>
                <w:szCs w:val="21"/>
              </w:rPr>
            </w:pPr>
            <w:r>
              <w:rPr>
                <w:rFonts w:hint="eastAsia" w:ascii="宋体" w:hAnsi="宋体" w:cs="宋体"/>
                <w:kern w:val="0"/>
                <w:szCs w:val="21"/>
              </w:rPr>
              <w:t>20≤X＜300</w:t>
            </w:r>
          </w:p>
        </w:tc>
        <w:tc>
          <w:tcPr>
            <w:tcW w:w="999" w:type="dxa"/>
            <w:tcBorders>
              <w:top w:val="nil"/>
              <w:left w:val="nil"/>
              <w:bottom w:val="single" w:color="auto" w:sz="4" w:space="0"/>
              <w:right w:val="single" w:color="auto" w:sz="4" w:space="0"/>
            </w:tcBorders>
            <w:vAlign w:val="center"/>
          </w:tcPr>
          <w:p w14:paraId="12CDFDDA">
            <w:pPr>
              <w:widowControl/>
              <w:jc w:val="left"/>
              <w:rPr>
                <w:rFonts w:ascii="宋体" w:hAnsi="宋体" w:cs="宋体"/>
                <w:kern w:val="0"/>
                <w:szCs w:val="21"/>
              </w:rPr>
            </w:pPr>
            <w:r>
              <w:rPr>
                <w:rFonts w:hint="eastAsia" w:ascii="宋体" w:hAnsi="宋体" w:cs="宋体"/>
                <w:kern w:val="0"/>
                <w:szCs w:val="21"/>
              </w:rPr>
              <w:t>X＜20</w:t>
            </w:r>
          </w:p>
        </w:tc>
      </w:tr>
      <w:tr w14:paraId="7486077C">
        <w:tblPrEx>
          <w:tblCellMar>
            <w:top w:w="0" w:type="dxa"/>
            <w:left w:w="108" w:type="dxa"/>
            <w:bottom w:w="0" w:type="dxa"/>
            <w:right w:w="108" w:type="dxa"/>
          </w:tblCellMar>
        </w:tblPrEx>
        <w:trPr>
          <w:trHeight w:val="225" w:hRule="atLeast"/>
          <w:jc w:val="center"/>
        </w:trPr>
        <w:tc>
          <w:tcPr>
            <w:tcW w:w="1807" w:type="dxa"/>
            <w:vMerge w:val="continue"/>
            <w:tcBorders>
              <w:top w:val="nil"/>
              <w:left w:val="single" w:color="auto" w:sz="4" w:space="0"/>
              <w:bottom w:val="single" w:color="auto" w:sz="4" w:space="0"/>
              <w:right w:val="single" w:color="auto" w:sz="4" w:space="0"/>
            </w:tcBorders>
            <w:vAlign w:val="center"/>
          </w:tcPr>
          <w:p w14:paraId="3C115284">
            <w:pPr>
              <w:widowControl/>
              <w:jc w:val="left"/>
              <w:rPr>
                <w:rFonts w:ascii="宋体" w:hAnsi="宋体" w:cs="宋体"/>
                <w:b/>
                <w:bCs/>
                <w:kern w:val="0"/>
                <w:szCs w:val="21"/>
              </w:rPr>
            </w:pPr>
          </w:p>
        </w:tc>
        <w:tc>
          <w:tcPr>
            <w:tcW w:w="1559" w:type="dxa"/>
            <w:tcBorders>
              <w:top w:val="nil"/>
              <w:left w:val="nil"/>
              <w:bottom w:val="single" w:color="auto" w:sz="4" w:space="0"/>
              <w:right w:val="single" w:color="auto" w:sz="4" w:space="0"/>
            </w:tcBorders>
            <w:vAlign w:val="center"/>
          </w:tcPr>
          <w:p w14:paraId="2705F6C6">
            <w:pPr>
              <w:widowControl/>
              <w:jc w:val="left"/>
              <w:rPr>
                <w:rFonts w:ascii="宋体" w:hAnsi="宋体" w:cs="宋体"/>
                <w:kern w:val="0"/>
                <w:szCs w:val="21"/>
              </w:rPr>
            </w:pPr>
            <w:r>
              <w:rPr>
                <w:rFonts w:hint="eastAsia" w:ascii="宋体" w:hAnsi="宋体" w:cs="宋体"/>
                <w:kern w:val="0"/>
                <w:szCs w:val="21"/>
              </w:rPr>
              <w:t>营业收入（Y）</w:t>
            </w:r>
          </w:p>
        </w:tc>
        <w:tc>
          <w:tcPr>
            <w:tcW w:w="709" w:type="dxa"/>
            <w:tcBorders>
              <w:top w:val="nil"/>
              <w:left w:val="nil"/>
              <w:bottom w:val="single" w:color="auto" w:sz="4" w:space="0"/>
              <w:right w:val="single" w:color="auto" w:sz="4" w:space="0"/>
            </w:tcBorders>
            <w:vAlign w:val="center"/>
          </w:tcPr>
          <w:p w14:paraId="4EAAFF27">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21A0E8EC">
            <w:pPr>
              <w:widowControl/>
              <w:jc w:val="left"/>
              <w:rPr>
                <w:rFonts w:ascii="宋体" w:hAnsi="宋体" w:cs="宋体"/>
                <w:kern w:val="0"/>
                <w:szCs w:val="21"/>
              </w:rPr>
            </w:pPr>
            <w:r>
              <w:rPr>
                <w:rFonts w:hint="eastAsia" w:ascii="宋体" w:hAnsi="宋体" w:cs="宋体"/>
                <w:kern w:val="0"/>
                <w:szCs w:val="21"/>
              </w:rPr>
              <w:t>2000≤Y＜40000</w:t>
            </w:r>
          </w:p>
        </w:tc>
        <w:tc>
          <w:tcPr>
            <w:tcW w:w="1836" w:type="dxa"/>
            <w:tcBorders>
              <w:top w:val="nil"/>
              <w:left w:val="nil"/>
              <w:bottom w:val="single" w:color="auto" w:sz="4" w:space="0"/>
              <w:right w:val="single" w:color="auto" w:sz="4" w:space="0"/>
            </w:tcBorders>
            <w:vAlign w:val="center"/>
          </w:tcPr>
          <w:p w14:paraId="1BEA19FD">
            <w:pPr>
              <w:widowControl/>
              <w:jc w:val="left"/>
              <w:rPr>
                <w:rFonts w:ascii="宋体" w:hAnsi="宋体" w:cs="宋体"/>
                <w:kern w:val="0"/>
                <w:szCs w:val="21"/>
              </w:rPr>
            </w:pPr>
            <w:r>
              <w:rPr>
                <w:rFonts w:hint="eastAsia" w:ascii="宋体" w:hAnsi="宋体" w:cs="宋体"/>
                <w:kern w:val="0"/>
                <w:szCs w:val="21"/>
              </w:rPr>
              <w:t>300≤Y＜2000</w:t>
            </w:r>
          </w:p>
        </w:tc>
        <w:tc>
          <w:tcPr>
            <w:tcW w:w="999" w:type="dxa"/>
            <w:tcBorders>
              <w:top w:val="nil"/>
              <w:left w:val="nil"/>
              <w:bottom w:val="single" w:color="auto" w:sz="4" w:space="0"/>
              <w:right w:val="single" w:color="auto" w:sz="4" w:space="0"/>
            </w:tcBorders>
            <w:vAlign w:val="center"/>
          </w:tcPr>
          <w:p w14:paraId="76AB6288">
            <w:pPr>
              <w:widowControl/>
              <w:jc w:val="left"/>
              <w:rPr>
                <w:rFonts w:ascii="宋体" w:hAnsi="宋体" w:cs="宋体"/>
                <w:kern w:val="0"/>
                <w:szCs w:val="21"/>
              </w:rPr>
            </w:pPr>
            <w:r>
              <w:rPr>
                <w:rFonts w:hint="eastAsia" w:ascii="宋体" w:hAnsi="宋体" w:cs="宋体"/>
                <w:kern w:val="0"/>
                <w:szCs w:val="21"/>
              </w:rPr>
              <w:t>Y＜300</w:t>
            </w:r>
          </w:p>
        </w:tc>
      </w:tr>
      <w:tr w14:paraId="3DC0C862">
        <w:tblPrEx>
          <w:tblCellMar>
            <w:top w:w="0" w:type="dxa"/>
            <w:left w:w="108" w:type="dxa"/>
            <w:bottom w:w="0" w:type="dxa"/>
            <w:right w:w="108" w:type="dxa"/>
          </w:tblCellMar>
        </w:tblPrEx>
        <w:trPr>
          <w:trHeight w:val="225" w:hRule="atLeast"/>
          <w:jc w:val="center"/>
        </w:trPr>
        <w:tc>
          <w:tcPr>
            <w:tcW w:w="1807" w:type="dxa"/>
            <w:vMerge w:val="restart"/>
            <w:tcBorders>
              <w:top w:val="nil"/>
              <w:left w:val="single" w:color="auto" w:sz="4" w:space="0"/>
              <w:bottom w:val="single" w:color="auto" w:sz="4" w:space="0"/>
              <w:right w:val="single" w:color="auto" w:sz="4" w:space="0"/>
            </w:tcBorders>
            <w:vAlign w:val="bottom"/>
          </w:tcPr>
          <w:p w14:paraId="309FF6EF">
            <w:pPr>
              <w:widowControl/>
              <w:jc w:val="center"/>
              <w:rPr>
                <w:rFonts w:ascii="宋体" w:hAnsi="宋体" w:cs="宋体"/>
                <w:b/>
                <w:bCs/>
                <w:kern w:val="0"/>
                <w:szCs w:val="21"/>
              </w:rPr>
            </w:pPr>
            <w:r>
              <w:rPr>
                <w:rFonts w:hint="eastAsia" w:ascii="宋体" w:hAnsi="宋体" w:cs="宋体"/>
                <w:b/>
                <w:bCs/>
                <w:kern w:val="0"/>
                <w:szCs w:val="21"/>
              </w:rPr>
              <w:t>建筑业</w:t>
            </w:r>
          </w:p>
        </w:tc>
        <w:tc>
          <w:tcPr>
            <w:tcW w:w="1559" w:type="dxa"/>
            <w:tcBorders>
              <w:top w:val="nil"/>
              <w:left w:val="nil"/>
              <w:bottom w:val="single" w:color="auto" w:sz="4" w:space="0"/>
              <w:right w:val="single" w:color="auto" w:sz="4" w:space="0"/>
            </w:tcBorders>
            <w:vAlign w:val="center"/>
          </w:tcPr>
          <w:p w14:paraId="6C8B3213">
            <w:pPr>
              <w:widowControl/>
              <w:jc w:val="left"/>
              <w:rPr>
                <w:rFonts w:ascii="宋体" w:hAnsi="宋体" w:cs="宋体"/>
                <w:kern w:val="0"/>
                <w:szCs w:val="21"/>
              </w:rPr>
            </w:pPr>
            <w:r>
              <w:rPr>
                <w:rFonts w:hint="eastAsia" w:ascii="宋体" w:hAnsi="宋体" w:cs="宋体"/>
                <w:kern w:val="0"/>
                <w:szCs w:val="21"/>
              </w:rPr>
              <w:t>营业收入（Y）</w:t>
            </w:r>
          </w:p>
        </w:tc>
        <w:tc>
          <w:tcPr>
            <w:tcW w:w="709" w:type="dxa"/>
            <w:tcBorders>
              <w:top w:val="nil"/>
              <w:left w:val="nil"/>
              <w:bottom w:val="single" w:color="auto" w:sz="4" w:space="0"/>
              <w:right w:val="single" w:color="auto" w:sz="4" w:space="0"/>
            </w:tcBorders>
            <w:vAlign w:val="center"/>
          </w:tcPr>
          <w:p w14:paraId="7B803D69">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1FBD6853">
            <w:pPr>
              <w:widowControl/>
              <w:jc w:val="left"/>
              <w:rPr>
                <w:rFonts w:ascii="宋体" w:hAnsi="宋体" w:cs="宋体"/>
                <w:kern w:val="0"/>
                <w:szCs w:val="21"/>
              </w:rPr>
            </w:pPr>
            <w:r>
              <w:rPr>
                <w:rFonts w:hint="eastAsia" w:ascii="宋体" w:hAnsi="宋体" w:cs="宋体"/>
                <w:kern w:val="0"/>
                <w:szCs w:val="21"/>
              </w:rPr>
              <w:t>6000≤Y＜80000</w:t>
            </w:r>
          </w:p>
        </w:tc>
        <w:tc>
          <w:tcPr>
            <w:tcW w:w="1836" w:type="dxa"/>
            <w:tcBorders>
              <w:top w:val="nil"/>
              <w:left w:val="nil"/>
              <w:bottom w:val="single" w:color="auto" w:sz="4" w:space="0"/>
              <w:right w:val="single" w:color="auto" w:sz="4" w:space="0"/>
            </w:tcBorders>
            <w:vAlign w:val="center"/>
          </w:tcPr>
          <w:p w14:paraId="7471AE08">
            <w:pPr>
              <w:widowControl/>
              <w:jc w:val="left"/>
              <w:rPr>
                <w:rFonts w:ascii="宋体" w:hAnsi="宋体" w:cs="宋体"/>
                <w:kern w:val="0"/>
                <w:szCs w:val="21"/>
              </w:rPr>
            </w:pPr>
            <w:r>
              <w:rPr>
                <w:rFonts w:hint="eastAsia" w:ascii="宋体" w:hAnsi="宋体" w:cs="宋体"/>
                <w:kern w:val="0"/>
                <w:szCs w:val="21"/>
              </w:rPr>
              <w:t>300≤Y＜6000</w:t>
            </w:r>
          </w:p>
        </w:tc>
        <w:tc>
          <w:tcPr>
            <w:tcW w:w="999" w:type="dxa"/>
            <w:tcBorders>
              <w:top w:val="nil"/>
              <w:left w:val="nil"/>
              <w:bottom w:val="single" w:color="auto" w:sz="4" w:space="0"/>
              <w:right w:val="single" w:color="auto" w:sz="4" w:space="0"/>
            </w:tcBorders>
            <w:vAlign w:val="center"/>
          </w:tcPr>
          <w:p w14:paraId="6CD180DA">
            <w:pPr>
              <w:widowControl/>
              <w:jc w:val="left"/>
              <w:rPr>
                <w:rFonts w:ascii="宋体" w:hAnsi="宋体" w:cs="宋体"/>
                <w:kern w:val="0"/>
                <w:szCs w:val="21"/>
              </w:rPr>
            </w:pPr>
            <w:r>
              <w:rPr>
                <w:rFonts w:hint="eastAsia" w:ascii="宋体" w:hAnsi="宋体" w:cs="宋体"/>
                <w:kern w:val="0"/>
                <w:szCs w:val="21"/>
              </w:rPr>
              <w:t>Y＜300</w:t>
            </w:r>
          </w:p>
        </w:tc>
      </w:tr>
      <w:tr w14:paraId="055F4F99">
        <w:tblPrEx>
          <w:tblCellMar>
            <w:top w:w="0" w:type="dxa"/>
            <w:left w:w="108" w:type="dxa"/>
            <w:bottom w:w="0" w:type="dxa"/>
            <w:right w:w="108" w:type="dxa"/>
          </w:tblCellMar>
        </w:tblPrEx>
        <w:trPr>
          <w:trHeight w:val="225" w:hRule="atLeast"/>
          <w:jc w:val="center"/>
        </w:trPr>
        <w:tc>
          <w:tcPr>
            <w:tcW w:w="1807" w:type="dxa"/>
            <w:vMerge w:val="continue"/>
            <w:tcBorders>
              <w:top w:val="nil"/>
              <w:left w:val="single" w:color="auto" w:sz="4" w:space="0"/>
              <w:bottom w:val="single" w:color="auto" w:sz="4" w:space="0"/>
              <w:right w:val="single" w:color="auto" w:sz="4" w:space="0"/>
            </w:tcBorders>
            <w:vAlign w:val="center"/>
          </w:tcPr>
          <w:p w14:paraId="14B79146">
            <w:pPr>
              <w:widowControl/>
              <w:jc w:val="left"/>
              <w:rPr>
                <w:rFonts w:ascii="宋体" w:hAnsi="宋体" w:cs="宋体"/>
                <w:b/>
                <w:bCs/>
                <w:kern w:val="0"/>
                <w:szCs w:val="21"/>
              </w:rPr>
            </w:pPr>
          </w:p>
        </w:tc>
        <w:tc>
          <w:tcPr>
            <w:tcW w:w="1559" w:type="dxa"/>
            <w:tcBorders>
              <w:top w:val="nil"/>
              <w:left w:val="nil"/>
              <w:bottom w:val="single" w:color="auto" w:sz="4" w:space="0"/>
              <w:right w:val="single" w:color="auto" w:sz="4" w:space="0"/>
            </w:tcBorders>
            <w:vAlign w:val="center"/>
          </w:tcPr>
          <w:p w14:paraId="17F6AAE4">
            <w:pPr>
              <w:widowControl/>
              <w:jc w:val="left"/>
              <w:rPr>
                <w:rFonts w:ascii="宋体" w:hAnsi="宋体" w:cs="宋体"/>
                <w:kern w:val="0"/>
                <w:szCs w:val="21"/>
              </w:rPr>
            </w:pPr>
            <w:r>
              <w:rPr>
                <w:rFonts w:hint="eastAsia" w:ascii="宋体" w:hAnsi="宋体" w:cs="宋体"/>
                <w:kern w:val="0"/>
                <w:szCs w:val="21"/>
              </w:rPr>
              <w:t>资产总额（Z）</w:t>
            </w:r>
          </w:p>
        </w:tc>
        <w:tc>
          <w:tcPr>
            <w:tcW w:w="709" w:type="dxa"/>
            <w:tcBorders>
              <w:top w:val="nil"/>
              <w:left w:val="nil"/>
              <w:bottom w:val="single" w:color="auto" w:sz="4" w:space="0"/>
              <w:right w:val="single" w:color="auto" w:sz="4" w:space="0"/>
            </w:tcBorders>
            <w:vAlign w:val="center"/>
          </w:tcPr>
          <w:p w14:paraId="4756F033">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5540421B">
            <w:pPr>
              <w:widowControl/>
              <w:jc w:val="left"/>
              <w:rPr>
                <w:rFonts w:ascii="宋体" w:hAnsi="宋体" w:cs="宋体"/>
                <w:kern w:val="0"/>
                <w:szCs w:val="21"/>
              </w:rPr>
            </w:pPr>
            <w:r>
              <w:rPr>
                <w:rFonts w:hint="eastAsia" w:ascii="宋体" w:hAnsi="宋体" w:cs="宋体"/>
                <w:kern w:val="0"/>
                <w:szCs w:val="21"/>
              </w:rPr>
              <w:t>5000≤Z＜80000</w:t>
            </w:r>
          </w:p>
        </w:tc>
        <w:tc>
          <w:tcPr>
            <w:tcW w:w="1836" w:type="dxa"/>
            <w:tcBorders>
              <w:top w:val="nil"/>
              <w:left w:val="nil"/>
              <w:bottom w:val="single" w:color="auto" w:sz="4" w:space="0"/>
              <w:right w:val="single" w:color="auto" w:sz="4" w:space="0"/>
            </w:tcBorders>
            <w:vAlign w:val="center"/>
          </w:tcPr>
          <w:p w14:paraId="3B245ACC">
            <w:pPr>
              <w:widowControl/>
              <w:jc w:val="left"/>
              <w:rPr>
                <w:rFonts w:ascii="宋体" w:hAnsi="宋体" w:cs="宋体"/>
                <w:kern w:val="0"/>
                <w:szCs w:val="21"/>
              </w:rPr>
            </w:pPr>
            <w:r>
              <w:rPr>
                <w:rFonts w:hint="eastAsia" w:ascii="宋体" w:hAnsi="宋体" w:cs="宋体"/>
                <w:kern w:val="0"/>
                <w:szCs w:val="21"/>
              </w:rPr>
              <w:t>300≤Z＜5000</w:t>
            </w:r>
          </w:p>
        </w:tc>
        <w:tc>
          <w:tcPr>
            <w:tcW w:w="999" w:type="dxa"/>
            <w:tcBorders>
              <w:top w:val="nil"/>
              <w:left w:val="nil"/>
              <w:bottom w:val="single" w:color="auto" w:sz="4" w:space="0"/>
              <w:right w:val="single" w:color="auto" w:sz="4" w:space="0"/>
            </w:tcBorders>
            <w:vAlign w:val="center"/>
          </w:tcPr>
          <w:p w14:paraId="59279EBB">
            <w:pPr>
              <w:widowControl/>
              <w:jc w:val="left"/>
              <w:rPr>
                <w:rFonts w:ascii="宋体" w:hAnsi="宋体" w:cs="宋体"/>
                <w:kern w:val="0"/>
                <w:szCs w:val="21"/>
              </w:rPr>
            </w:pPr>
            <w:r>
              <w:rPr>
                <w:rFonts w:hint="eastAsia" w:ascii="宋体" w:hAnsi="宋体" w:cs="宋体"/>
                <w:kern w:val="0"/>
                <w:szCs w:val="21"/>
              </w:rPr>
              <w:t>Z＜300</w:t>
            </w:r>
          </w:p>
        </w:tc>
      </w:tr>
      <w:tr w14:paraId="1B0A95A6">
        <w:tblPrEx>
          <w:tblCellMar>
            <w:top w:w="0" w:type="dxa"/>
            <w:left w:w="108" w:type="dxa"/>
            <w:bottom w:w="0" w:type="dxa"/>
            <w:right w:w="108" w:type="dxa"/>
          </w:tblCellMar>
        </w:tblPrEx>
        <w:trPr>
          <w:trHeight w:val="225" w:hRule="atLeast"/>
          <w:jc w:val="center"/>
        </w:trPr>
        <w:tc>
          <w:tcPr>
            <w:tcW w:w="1807" w:type="dxa"/>
            <w:vMerge w:val="restart"/>
            <w:tcBorders>
              <w:top w:val="nil"/>
              <w:left w:val="single" w:color="auto" w:sz="4" w:space="0"/>
              <w:bottom w:val="single" w:color="auto" w:sz="4" w:space="0"/>
              <w:right w:val="single" w:color="auto" w:sz="4" w:space="0"/>
            </w:tcBorders>
            <w:vAlign w:val="bottom"/>
          </w:tcPr>
          <w:p w14:paraId="4BEE7ED4">
            <w:pPr>
              <w:widowControl/>
              <w:jc w:val="center"/>
              <w:rPr>
                <w:rFonts w:ascii="宋体" w:hAnsi="宋体" w:cs="宋体"/>
                <w:b/>
                <w:bCs/>
                <w:kern w:val="0"/>
                <w:szCs w:val="21"/>
              </w:rPr>
            </w:pPr>
            <w:r>
              <w:rPr>
                <w:rFonts w:hint="eastAsia" w:ascii="宋体" w:hAnsi="宋体" w:cs="宋体"/>
                <w:b/>
                <w:bCs/>
                <w:kern w:val="0"/>
                <w:szCs w:val="21"/>
              </w:rPr>
              <w:t>批发业</w:t>
            </w:r>
          </w:p>
        </w:tc>
        <w:tc>
          <w:tcPr>
            <w:tcW w:w="1559" w:type="dxa"/>
            <w:tcBorders>
              <w:top w:val="nil"/>
              <w:left w:val="nil"/>
              <w:bottom w:val="single" w:color="auto" w:sz="4" w:space="0"/>
              <w:right w:val="single" w:color="auto" w:sz="4" w:space="0"/>
            </w:tcBorders>
            <w:vAlign w:val="center"/>
          </w:tcPr>
          <w:p w14:paraId="149E6C88">
            <w:pPr>
              <w:widowControl/>
              <w:jc w:val="left"/>
              <w:rPr>
                <w:rFonts w:ascii="宋体" w:hAnsi="宋体" w:cs="宋体"/>
                <w:kern w:val="0"/>
                <w:szCs w:val="21"/>
              </w:rPr>
            </w:pPr>
            <w:r>
              <w:rPr>
                <w:rFonts w:hint="eastAsia" w:ascii="宋体" w:hAnsi="宋体" w:cs="宋体"/>
                <w:kern w:val="0"/>
                <w:szCs w:val="21"/>
              </w:rPr>
              <w:t>从业人员（X）</w:t>
            </w:r>
          </w:p>
        </w:tc>
        <w:tc>
          <w:tcPr>
            <w:tcW w:w="709" w:type="dxa"/>
            <w:tcBorders>
              <w:top w:val="nil"/>
              <w:left w:val="nil"/>
              <w:bottom w:val="single" w:color="auto" w:sz="4" w:space="0"/>
              <w:right w:val="single" w:color="auto" w:sz="4" w:space="0"/>
            </w:tcBorders>
            <w:vAlign w:val="center"/>
          </w:tcPr>
          <w:p w14:paraId="55B4BA65">
            <w:pPr>
              <w:widowControl/>
              <w:jc w:val="left"/>
              <w:rPr>
                <w:rFonts w:ascii="宋体" w:hAnsi="宋体" w:cs="宋体"/>
                <w:kern w:val="0"/>
                <w:szCs w:val="21"/>
              </w:rPr>
            </w:pPr>
            <w:r>
              <w:rPr>
                <w:rFonts w:hint="eastAsia" w:ascii="宋体" w:hAnsi="宋体" w:cs="宋体"/>
                <w:kern w:val="0"/>
                <w:szCs w:val="21"/>
              </w:rPr>
              <w:t>人</w:t>
            </w:r>
          </w:p>
        </w:tc>
        <w:tc>
          <w:tcPr>
            <w:tcW w:w="1842" w:type="dxa"/>
            <w:tcBorders>
              <w:top w:val="nil"/>
              <w:left w:val="nil"/>
              <w:bottom w:val="single" w:color="auto" w:sz="4" w:space="0"/>
              <w:right w:val="single" w:color="auto" w:sz="4" w:space="0"/>
            </w:tcBorders>
            <w:vAlign w:val="center"/>
          </w:tcPr>
          <w:p w14:paraId="3E1BF09A">
            <w:pPr>
              <w:widowControl/>
              <w:jc w:val="left"/>
              <w:rPr>
                <w:rFonts w:ascii="宋体" w:hAnsi="宋体" w:cs="宋体"/>
                <w:kern w:val="0"/>
                <w:szCs w:val="21"/>
              </w:rPr>
            </w:pPr>
            <w:r>
              <w:rPr>
                <w:rFonts w:hint="eastAsia" w:ascii="宋体" w:hAnsi="宋体" w:cs="宋体"/>
                <w:kern w:val="0"/>
                <w:szCs w:val="21"/>
              </w:rPr>
              <w:t>20≤X＜200</w:t>
            </w:r>
          </w:p>
        </w:tc>
        <w:tc>
          <w:tcPr>
            <w:tcW w:w="1836" w:type="dxa"/>
            <w:tcBorders>
              <w:top w:val="nil"/>
              <w:left w:val="nil"/>
              <w:bottom w:val="single" w:color="auto" w:sz="4" w:space="0"/>
              <w:right w:val="single" w:color="auto" w:sz="4" w:space="0"/>
            </w:tcBorders>
            <w:vAlign w:val="center"/>
          </w:tcPr>
          <w:p w14:paraId="415D2805">
            <w:pPr>
              <w:widowControl/>
              <w:jc w:val="left"/>
              <w:rPr>
                <w:rFonts w:ascii="宋体" w:hAnsi="宋体" w:cs="宋体"/>
                <w:kern w:val="0"/>
                <w:szCs w:val="21"/>
              </w:rPr>
            </w:pPr>
            <w:r>
              <w:rPr>
                <w:rFonts w:hint="eastAsia" w:ascii="宋体" w:hAnsi="宋体" w:cs="宋体"/>
                <w:kern w:val="0"/>
                <w:szCs w:val="21"/>
              </w:rPr>
              <w:t>5≤X＜20</w:t>
            </w:r>
          </w:p>
        </w:tc>
        <w:tc>
          <w:tcPr>
            <w:tcW w:w="999" w:type="dxa"/>
            <w:tcBorders>
              <w:top w:val="nil"/>
              <w:left w:val="nil"/>
              <w:bottom w:val="single" w:color="auto" w:sz="4" w:space="0"/>
              <w:right w:val="single" w:color="auto" w:sz="4" w:space="0"/>
            </w:tcBorders>
            <w:vAlign w:val="center"/>
          </w:tcPr>
          <w:p w14:paraId="1EA952F9">
            <w:pPr>
              <w:widowControl/>
              <w:jc w:val="left"/>
              <w:rPr>
                <w:rFonts w:ascii="宋体" w:hAnsi="宋体" w:cs="宋体"/>
                <w:kern w:val="0"/>
                <w:szCs w:val="21"/>
              </w:rPr>
            </w:pPr>
            <w:r>
              <w:rPr>
                <w:rFonts w:hint="eastAsia" w:ascii="宋体" w:hAnsi="宋体" w:cs="宋体"/>
                <w:kern w:val="0"/>
                <w:szCs w:val="21"/>
              </w:rPr>
              <w:t>X＜5</w:t>
            </w:r>
          </w:p>
        </w:tc>
      </w:tr>
      <w:tr w14:paraId="53E6A895">
        <w:tblPrEx>
          <w:tblCellMar>
            <w:top w:w="0" w:type="dxa"/>
            <w:left w:w="108" w:type="dxa"/>
            <w:bottom w:w="0" w:type="dxa"/>
            <w:right w:w="108" w:type="dxa"/>
          </w:tblCellMar>
        </w:tblPrEx>
        <w:trPr>
          <w:trHeight w:val="225" w:hRule="atLeast"/>
          <w:jc w:val="center"/>
        </w:trPr>
        <w:tc>
          <w:tcPr>
            <w:tcW w:w="1807" w:type="dxa"/>
            <w:vMerge w:val="continue"/>
            <w:tcBorders>
              <w:top w:val="nil"/>
              <w:left w:val="single" w:color="auto" w:sz="4" w:space="0"/>
              <w:bottom w:val="single" w:color="auto" w:sz="4" w:space="0"/>
              <w:right w:val="single" w:color="auto" w:sz="4" w:space="0"/>
            </w:tcBorders>
            <w:vAlign w:val="center"/>
          </w:tcPr>
          <w:p w14:paraId="7E0895F9">
            <w:pPr>
              <w:widowControl/>
              <w:jc w:val="left"/>
              <w:rPr>
                <w:rFonts w:ascii="宋体" w:hAnsi="宋体" w:cs="宋体"/>
                <w:b/>
                <w:bCs/>
                <w:kern w:val="0"/>
                <w:szCs w:val="21"/>
              </w:rPr>
            </w:pPr>
          </w:p>
        </w:tc>
        <w:tc>
          <w:tcPr>
            <w:tcW w:w="1559" w:type="dxa"/>
            <w:tcBorders>
              <w:top w:val="nil"/>
              <w:left w:val="nil"/>
              <w:bottom w:val="single" w:color="auto" w:sz="4" w:space="0"/>
              <w:right w:val="single" w:color="auto" w:sz="4" w:space="0"/>
            </w:tcBorders>
            <w:vAlign w:val="center"/>
          </w:tcPr>
          <w:p w14:paraId="3B44596E">
            <w:pPr>
              <w:widowControl/>
              <w:jc w:val="left"/>
              <w:rPr>
                <w:rFonts w:ascii="宋体" w:hAnsi="宋体" w:cs="宋体"/>
                <w:kern w:val="0"/>
                <w:szCs w:val="21"/>
              </w:rPr>
            </w:pPr>
            <w:r>
              <w:rPr>
                <w:rFonts w:hint="eastAsia" w:ascii="宋体" w:hAnsi="宋体" w:cs="宋体"/>
                <w:kern w:val="0"/>
                <w:szCs w:val="21"/>
              </w:rPr>
              <w:t>营业收入（Y）</w:t>
            </w:r>
          </w:p>
        </w:tc>
        <w:tc>
          <w:tcPr>
            <w:tcW w:w="709" w:type="dxa"/>
            <w:tcBorders>
              <w:top w:val="nil"/>
              <w:left w:val="nil"/>
              <w:bottom w:val="single" w:color="auto" w:sz="4" w:space="0"/>
              <w:right w:val="single" w:color="auto" w:sz="4" w:space="0"/>
            </w:tcBorders>
            <w:vAlign w:val="center"/>
          </w:tcPr>
          <w:p w14:paraId="2140F674">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50505F75">
            <w:pPr>
              <w:widowControl/>
              <w:jc w:val="left"/>
              <w:rPr>
                <w:rFonts w:ascii="宋体" w:hAnsi="宋体" w:cs="宋体"/>
                <w:kern w:val="0"/>
                <w:szCs w:val="21"/>
              </w:rPr>
            </w:pPr>
            <w:r>
              <w:rPr>
                <w:rFonts w:hint="eastAsia" w:ascii="宋体" w:hAnsi="宋体" w:cs="宋体"/>
                <w:kern w:val="0"/>
                <w:szCs w:val="21"/>
              </w:rPr>
              <w:t>5000≤Y＜40000</w:t>
            </w:r>
          </w:p>
        </w:tc>
        <w:tc>
          <w:tcPr>
            <w:tcW w:w="1836" w:type="dxa"/>
            <w:tcBorders>
              <w:top w:val="nil"/>
              <w:left w:val="nil"/>
              <w:bottom w:val="single" w:color="auto" w:sz="4" w:space="0"/>
              <w:right w:val="single" w:color="auto" w:sz="4" w:space="0"/>
            </w:tcBorders>
            <w:vAlign w:val="center"/>
          </w:tcPr>
          <w:p w14:paraId="0A7E0323">
            <w:pPr>
              <w:widowControl/>
              <w:jc w:val="left"/>
              <w:rPr>
                <w:rFonts w:ascii="宋体" w:hAnsi="宋体" w:cs="宋体"/>
                <w:kern w:val="0"/>
                <w:szCs w:val="21"/>
              </w:rPr>
            </w:pPr>
            <w:r>
              <w:rPr>
                <w:rFonts w:hint="eastAsia" w:ascii="宋体" w:hAnsi="宋体" w:cs="宋体"/>
                <w:kern w:val="0"/>
                <w:szCs w:val="21"/>
              </w:rPr>
              <w:t>1000≤Y＜5000</w:t>
            </w:r>
          </w:p>
        </w:tc>
        <w:tc>
          <w:tcPr>
            <w:tcW w:w="999" w:type="dxa"/>
            <w:tcBorders>
              <w:top w:val="nil"/>
              <w:left w:val="nil"/>
              <w:bottom w:val="single" w:color="auto" w:sz="4" w:space="0"/>
              <w:right w:val="single" w:color="auto" w:sz="4" w:space="0"/>
            </w:tcBorders>
            <w:vAlign w:val="center"/>
          </w:tcPr>
          <w:p w14:paraId="400291F7">
            <w:pPr>
              <w:widowControl/>
              <w:jc w:val="left"/>
              <w:rPr>
                <w:rFonts w:ascii="宋体" w:hAnsi="宋体" w:cs="宋体"/>
                <w:kern w:val="0"/>
                <w:szCs w:val="21"/>
              </w:rPr>
            </w:pPr>
            <w:r>
              <w:rPr>
                <w:rFonts w:hint="eastAsia" w:ascii="宋体" w:hAnsi="宋体" w:cs="宋体"/>
                <w:kern w:val="0"/>
                <w:szCs w:val="21"/>
              </w:rPr>
              <w:t>Y＜1000</w:t>
            </w:r>
          </w:p>
        </w:tc>
      </w:tr>
      <w:tr w14:paraId="61CDA795">
        <w:tblPrEx>
          <w:tblCellMar>
            <w:top w:w="0" w:type="dxa"/>
            <w:left w:w="108" w:type="dxa"/>
            <w:bottom w:w="0" w:type="dxa"/>
            <w:right w:w="108" w:type="dxa"/>
          </w:tblCellMar>
        </w:tblPrEx>
        <w:trPr>
          <w:trHeight w:val="225" w:hRule="atLeast"/>
          <w:jc w:val="center"/>
        </w:trPr>
        <w:tc>
          <w:tcPr>
            <w:tcW w:w="1807" w:type="dxa"/>
            <w:vMerge w:val="restart"/>
            <w:tcBorders>
              <w:top w:val="nil"/>
              <w:left w:val="single" w:color="auto" w:sz="4" w:space="0"/>
              <w:bottom w:val="single" w:color="auto" w:sz="4" w:space="0"/>
              <w:right w:val="single" w:color="auto" w:sz="4" w:space="0"/>
            </w:tcBorders>
            <w:vAlign w:val="bottom"/>
          </w:tcPr>
          <w:p w14:paraId="2B1B7AB0">
            <w:pPr>
              <w:widowControl/>
              <w:jc w:val="center"/>
              <w:rPr>
                <w:rFonts w:ascii="宋体" w:hAnsi="宋体" w:cs="宋体"/>
                <w:b/>
                <w:bCs/>
                <w:kern w:val="0"/>
                <w:szCs w:val="21"/>
              </w:rPr>
            </w:pPr>
            <w:r>
              <w:rPr>
                <w:rFonts w:hint="eastAsia" w:ascii="宋体" w:hAnsi="宋体" w:cs="宋体"/>
                <w:b/>
                <w:bCs/>
                <w:kern w:val="0"/>
                <w:szCs w:val="21"/>
              </w:rPr>
              <w:t>零售业</w:t>
            </w:r>
          </w:p>
        </w:tc>
        <w:tc>
          <w:tcPr>
            <w:tcW w:w="1559" w:type="dxa"/>
            <w:tcBorders>
              <w:top w:val="nil"/>
              <w:left w:val="nil"/>
              <w:bottom w:val="single" w:color="auto" w:sz="4" w:space="0"/>
              <w:right w:val="single" w:color="auto" w:sz="4" w:space="0"/>
            </w:tcBorders>
            <w:vAlign w:val="center"/>
          </w:tcPr>
          <w:p w14:paraId="2B3DC75A">
            <w:pPr>
              <w:widowControl/>
              <w:jc w:val="left"/>
              <w:rPr>
                <w:rFonts w:ascii="宋体" w:hAnsi="宋体" w:cs="宋体"/>
                <w:kern w:val="0"/>
                <w:szCs w:val="21"/>
              </w:rPr>
            </w:pPr>
            <w:r>
              <w:rPr>
                <w:rFonts w:hint="eastAsia" w:ascii="宋体" w:hAnsi="宋体" w:cs="宋体"/>
                <w:kern w:val="0"/>
                <w:szCs w:val="21"/>
              </w:rPr>
              <w:t>从业人员（X）</w:t>
            </w:r>
          </w:p>
        </w:tc>
        <w:tc>
          <w:tcPr>
            <w:tcW w:w="709" w:type="dxa"/>
            <w:tcBorders>
              <w:top w:val="nil"/>
              <w:left w:val="nil"/>
              <w:bottom w:val="single" w:color="auto" w:sz="4" w:space="0"/>
              <w:right w:val="single" w:color="auto" w:sz="4" w:space="0"/>
            </w:tcBorders>
            <w:vAlign w:val="center"/>
          </w:tcPr>
          <w:p w14:paraId="7EE6EE33">
            <w:pPr>
              <w:widowControl/>
              <w:jc w:val="left"/>
              <w:rPr>
                <w:rFonts w:ascii="宋体" w:hAnsi="宋体" w:cs="宋体"/>
                <w:kern w:val="0"/>
                <w:szCs w:val="21"/>
              </w:rPr>
            </w:pPr>
            <w:r>
              <w:rPr>
                <w:rFonts w:hint="eastAsia" w:ascii="宋体" w:hAnsi="宋体" w:cs="宋体"/>
                <w:kern w:val="0"/>
                <w:szCs w:val="21"/>
              </w:rPr>
              <w:t>人</w:t>
            </w:r>
          </w:p>
        </w:tc>
        <w:tc>
          <w:tcPr>
            <w:tcW w:w="1842" w:type="dxa"/>
            <w:tcBorders>
              <w:top w:val="nil"/>
              <w:left w:val="nil"/>
              <w:bottom w:val="single" w:color="auto" w:sz="4" w:space="0"/>
              <w:right w:val="single" w:color="auto" w:sz="4" w:space="0"/>
            </w:tcBorders>
            <w:vAlign w:val="center"/>
          </w:tcPr>
          <w:p w14:paraId="68BA4F5E">
            <w:pPr>
              <w:widowControl/>
              <w:jc w:val="left"/>
              <w:rPr>
                <w:rFonts w:ascii="宋体" w:hAnsi="宋体" w:cs="宋体"/>
                <w:kern w:val="0"/>
                <w:szCs w:val="21"/>
              </w:rPr>
            </w:pPr>
            <w:r>
              <w:rPr>
                <w:rFonts w:hint="eastAsia" w:ascii="宋体" w:hAnsi="宋体" w:cs="宋体"/>
                <w:kern w:val="0"/>
                <w:szCs w:val="21"/>
              </w:rPr>
              <w:t>50≤X＜300</w:t>
            </w:r>
          </w:p>
        </w:tc>
        <w:tc>
          <w:tcPr>
            <w:tcW w:w="1836" w:type="dxa"/>
            <w:tcBorders>
              <w:top w:val="nil"/>
              <w:left w:val="nil"/>
              <w:bottom w:val="single" w:color="auto" w:sz="4" w:space="0"/>
              <w:right w:val="single" w:color="auto" w:sz="4" w:space="0"/>
            </w:tcBorders>
            <w:vAlign w:val="center"/>
          </w:tcPr>
          <w:p w14:paraId="7F82B4ED">
            <w:pPr>
              <w:widowControl/>
              <w:jc w:val="left"/>
              <w:rPr>
                <w:rFonts w:ascii="宋体" w:hAnsi="宋体" w:cs="宋体"/>
                <w:kern w:val="0"/>
                <w:szCs w:val="21"/>
              </w:rPr>
            </w:pPr>
            <w:r>
              <w:rPr>
                <w:rFonts w:hint="eastAsia" w:ascii="宋体" w:hAnsi="宋体" w:cs="宋体"/>
                <w:kern w:val="0"/>
                <w:szCs w:val="21"/>
              </w:rPr>
              <w:t>10≤X＜50</w:t>
            </w:r>
          </w:p>
        </w:tc>
        <w:tc>
          <w:tcPr>
            <w:tcW w:w="999" w:type="dxa"/>
            <w:tcBorders>
              <w:top w:val="nil"/>
              <w:left w:val="nil"/>
              <w:bottom w:val="single" w:color="auto" w:sz="4" w:space="0"/>
              <w:right w:val="single" w:color="auto" w:sz="4" w:space="0"/>
            </w:tcBorders>
            <w:vAlign w:val="center"/>
          </w:tcPr>
          <w:p w14:paraId="7E264843">
            <w:pPr>
              <w:widowControl/>
              <w:jc w:val="left"/>
              <w:rPr>
                <w:rFonts w:ascii="宋体" w:hAnsi="宋体" w:cs="宋体"/>
                <w:kern w:val="0"/>
                <w:szCs w:val="21"/>
              </w:rPr>
            </w:pPr>
            <w:r>
              <w:rPr>
                <w:rFonts w:hint="eastAsia" w:ascii="宋体" w:hAnsi="宋体" w:cs="宋体"/>
                <w:kern w:val="0"/>
                <w:szCs w:val="21"/>
              </w:rPr>
              <w:t>X＜10</w:t>
            </w:r>
          </w:p>
        </w:tc>
      </w:tr>
      <w:tr w14:paraId="2B3AFFAB">
        <w:tblPrEx>
          <w:tblCellMar>
            <w:top w:w="0" w:type="dxa"/>
            <w:left w:w="108" w:type="dxa"/>
            <w:bottom w:w="0" w:type="dxa"/>
            <w:right w:w="108" w:type="dxa"/>
          </w:tblCellMar>
        </w:tblPrEx>
        <w:trPr>
          <w:trHeight w:val="225" w:hRule="atLeast"/>
          <w:jc w:val="center"/>
        </w:trPr>
        <w:tc>
          <w:tcPr>
            <w:tcW w:w="1807" w:type="dxa"/>
            <w:vMerge w:val="continue"/>
            <w:tcBorders>
              <w:top w:val="nil"/>
              <w:left w:val="single" w:color="auto" w:sz="4" w:space="0"/>
              <w:bottom w:val="single" w:color="auto" w:sz="4" w:space="0"/>
              <w:right w:val="single" w:color="auto" w:sz="4" w:space="0"/>
            </w:tcBorders>
            <w:vAlign w:val="center"/>
          </w:tcPr>
          <w:p w14:paraId="326EB46A">
            <w:pPr>
              <w:widowControl/>
              <w:jc w:val="left"/>
              <w:rPr>
                <w:rFonts w:ascii="宋体" w:hAnsi="宋体" w:cs="宋体"/>
                <w:b/>
                <w:bCs/>
                <w:kern w:val="0"/>
                <w:szCs w:val="21"/>
              </w:rPr>
            </w:pPr>
          </w:p>
        </w:tc>
        <w:tc>
          <w:tcPr>
            <w:tcW w:w="1559" w:type="dxa"/>
            <w:tcBorders>
              <w:top w:val="nil"/>
              <w:left w:val="nil"/>
              <w:bottom w:val="single" w:color="auto" w:sz="4" w:space="0"/>
              <w:right w:val="single" w:color="auto" w:sz="4" w:space="0"/>
            </w:tcBorders>
            <w:vAlign w:val="center"/>
          </w:tcPr>
          <w:p w14:paraId="4F0E12A1">
            <w:pPr>
              <w:widowControl/>
              <w:jc w:val="left"/>
              <w:rPr>
                <w:rFonts w:ascii="宋体" w:hAnsi="宋体" w:cs="宋体"/>
                <w:kern w:val="0"/>
                <w:szCs w:val="21"/>
              </w:rPr>
            </w:pPr>
            <w:r>
              <w:rPr>
                <w:rFonts w:hint="eastAsia" w:ascii="宋体" w:hAnsi="宋体" w:cs="宋体"/>
                <w:kern w:val="0"/>
                <w:szCs w:val="21"/>
              </w:rPr>
              <w:t>营业收入（Y）</w:t>
            </w:r>
          </w:p>
        </w:tc>
        <w:tc>
          <w:tcPr>
            <w:tcW w:w="709" w:type="dxa"/>
            <w:tcBorders>
              <w:top w:val="nil"/>
              <w:left w:val="nil"/>
              <w:bottom w:val="single" w:color="auto" w:sz="4" w:space="0"/>
              <w:right w:val="single" w:color="auto" w:sz="4" w:space="0"/>
            </w:tcBorders>
            <w:vAlign w:val="center"/>
          </w:tcPr>
          <w:p w14:paraId="0A95B14F">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6EE83F19">
            <w:pPr>
              <w:widowControl/>
              <w:jc w:val="left"/>
              <w:rPr>
                <w:rFonts w:ascii="宋体" w:hAnsi="宋体" w:cs="宋体"/>
                <w:kern w:val="0"/>
                <w:szCs w:val="21"/>
              </w:rPr>
            </w:pPr>
            <w:r>
              <w:rPr>
                <w:rFonts w:hint="eastAsia" w:ascii="宋体" w:hAnsi="宋体" w:cs="宋体"/>
                <w:kern w:val="0"/>
                <w:szCs w:val="21"/>
              </w:rPr>
              <w:t>500≤Y＜20000</w:t>
            </w:r>
          </w:p>
        </w:tc>
        <w:tc>
          <w:tcPr>
            <w:tcW w:w="1836" w:type="dxa"/>
            <w:tcBorders>
              <w:top w:val="nil"/>
              <w:left w:val="nil"/>
              <w:bottom w:val="single" w:color="auto" w:sz="4" w:space="0"/>
              <w:right w:val="single" w:color="auto" w:sz="4" w:space="0"/>
            </w:tcBorders>
            <w:vAlign w:val="center"/>
          </w:tcPr>
          <w:p w14:paraId="533F84C9">
            <w:pPr>
              <w:widowControl/>
              <w:jc w:val="left"/>
              <w:rPr>
                <w:rFonts w:ascii="宋体" w:hAnsi="宋体" w:cs="宋体"/>
                <w:kern w:val="0"/>
                <w:szCs w:val="21"/>
              </w:rPr>
            </w:pPr>
            <w:r>
              <w:rPr>
                <w:rFonts w:hint="eastAsia" w:ascii="宋体" w:hAnsi="宋体" w:cs="宋体"/>
                <w:kern w:val="0"/>
                <w:szCs w:val="21"/>
              </w:rPr>
              <w:t>100≤Y＜500</w:t>
            </w:r>
          </w:p>
        </w:tc>
        <w:tc>
          <w:tcPr>
            <w:tcW w:w="999" w:type="dxa"/>
            <w:tcBorders>
              <w:top w:val="nil"/>
              <w:left w:val="nil"/>
              <w:bottom w:val="single" w:color="auto" w:sz="4" w:space="0"/>
              <w:right w:val="single" w:color="auto" w:sz="4" w:space="0"/>
            </w:tcBorders>
            <w:vAlign w:val="center"/>
          </w:tcPr>
          <w:p w14:paraId="58F75EF4">
            <w:pPr>
              <w:widowControl/>
              <w:jc w:val="left"/>
              <w:rPr>
                <w:rFonts w:ascii="宋体" w:hAnsi="宋体" w:cs="宋体"/>
                <w:kern w:val="0"/>
                <w:szCs w:val="21"/>
              </w:rPr>
            </w:pPr>
            <w:r>
              <w:rPr>
                <w:rFonts w:hint="eastAsia" w:ascii="宋体" w:hAnsi="宋体" w:cs="宋体"/>
                <w:kern w:val="0"/>
                <w:szCs w:val="21"/>
              </w:rPr>
              <w:t>Y＜100</w:t>
            </w:r>
          </w:p>
        </w:tc>
      </w:tr>
      <w:tr w14:paraId="75397999">
        <w:tblPrEx>
          <w:tblCellMar>
            <w:top w:w="0" w:type="dxa"/>
            <w:left w:w="108" w:type="dxa"/>
            <w:bottom w:w="0" w:type="dxa"/>
            <w:right w:w="108" w:type="dxa"/>
          </w:tblCellMar>
        </w:tblPrEx>
        <w:trPr>
          <w:trHeight w:val="225" w:hRule="atLeast"/>
          <w:jc w:val="center"/>
        </w:trPr>
        <w:tc>
          <w:tcPr>
            <w:tcW w:w="1807" w:type="dxa"/>
            <w:vMerge w:val="restart"/>
            <w:tcBorders>
              <w:top w:val="nil"/>
              <w:left w:val="single" w:color="auto" w:sz="4" w:space="0"/>
              <w:bottom w:val="single" w:color="auto" w:sz="4" w:space="0"/>
              <w:right w:val="single" w:color="auto" w:sz="4" w:space="0"/>
            </w:tcBorders>
            <w:vAlign w:val="bottom"/>
          </w:tcPr>
          <w:p w14:paraId="3EFE5FB8">
            <w:pPr>
              <w:widowControl/>
              <w:jc w:val="center"/>
              <w:rPr>
                <w:rFonts w:ascii="宋体" w:hAnsi="宋体" w:cs="宋体"/>
                <w:b/>
                <w:bCs/>
                <w:kern w:val="0"/>
                <w:szCs w:val="21"/>
              </w:rPr>
            </w:pPr>
            <w:r>
              <w:rPr>
                <w:rFonts w:hint="eastAsia" w:ascii="宋体" w:hAnsi="宋体" w:cs="宋体"/>
                <w:b/>
                <w:bCs/>
                <w:kern w:val="0"/>
                <w:szCs w:val="21"/>
              </w:rPr>
              <w:t>交通运输业</w:t>
            </w:r>
          </w:p>
        </w:tc>
        <w:tc>
          <w:tcPr>
            <w:tcW w:w="1559" w:type="dxa"/>
            <w:tcBorders>
              <w:top w:val="nil"/>
              <w:left w:val="nil"/>
              <w:bottom w:val="single" w:color="auto" w:sz="4" w:space="0"/>
              <w:right w:val="single" w:color="auto" w:sz="4" w:space="0"/>
            </w:tcBorders>
            <w:vAlign w:val="center"/>
          </w:tcPr>
          <w:p w14:paraId="1E91D530">
            <w:pPr>
              <w:widowControl/>
              <w:jc w:val="left"/>
              <w:rPr>
                <w:rFonts w:ascii="宋体" w:hAnsi="宋体" w:cs="宋体"/>
                <w:kern w:val="0"/>
                <w:szCs w:val="21"/>
              </w:rPr>
            </w:pPr>
            <w:r>
              <w:rPr>
                <w:rFonts w:hint="eastAsia" w:ascii="宋体" w:hAnsi="宋体" w:cs="宋体"/>
                <w:kern w:val="0"/>
                <w:szCs w:val="21"/>
              </w:rPr>
              <w:t>从业人员（X）</w:t>
            </w:r>
          </w:p>
        </w:tc>
        <w:tc>
          <w:tcPr>
            <w:tcW w:w="709" w:type="dxa"/>
            <w:tcBorders>
              <w:top w:val="nil"/>
              <w:left w:val="nil"/>
              <w:bottom w:val="single" w:color="auto" w:sz="4" w:space="0"/>
              <w:right w:val="single" w:color="auto" w:sz="4" w:space="0"/>
            </w:tcBorders>
            <w:vAlign w:val="center"/>
          </w:tcPr>
          <w:p w14:paraId="32EAE23A">
            <w:pPr>
              <w:widowControl/>
              <w:jc w:val="left"/>
              <w:rPr>
                <w:rFonts w:ascii="宋体" w:hAnsi="宋体" w:cs="宋体"/>
                <w:kern w:val="0"/>
                <w:szCs w:val="21"/>
              </w:rPr>
            </w:pPr>
            <w:r>
              <w:rPr>
                <w:rFonts w:hint="eastAsia" w:ascii="宋体" w:hAnsi="宋体" w:cs="宋体"/>
                <w:kern w:val="0"/>
                <w:szCs w:val="21"/>
              </w:rPr>
              <w:t>人</w:t>
            </w:r>
          </w:p>
        </w:tc>
        <w:tc>
          <w:tcPr>
            <w:tcW w:w="1842" w:type="dxa"/>
            <w:tcBorders>
              <w:top w:val="nil"/>
              <w:left w:val="nil"/>
              <w:bottom w:val="single" w:color="auto" w:sz="4" w:space="0"/>
              <w:right w:val="single" w:color="auto" w:sz="4" w:space="0"/>
            </w:tcBorders>
            <w:vAlign w:val="center"/>
          </w:tcPr>
          <w:p w14:paraId="17D67BFA">
            <w:pPr>
              <w:widowControl/>
              <w:jc w:val="left"/>
              <w:rPr>
                <w:rFonts w:ascii="宋体" w:hAnsi="宋体" w:cs="宋体"/>
                <w:kern w:val="0"/>
                <w:szCs w:val="21"/>
              </w:rPr>
            </w:pPr>
            <w:r>
              <w:rPr>
                <w:rFonts w:hint="eastAsia" w:ascii="宋体" w:hAnsi="宋体" w:cs="宋体"/>
                <w:kern w:val="0"/>
                <w:szCs w:val="21"/>
              </w:rPr>
              <w:t>300≤X＜1000</w:t>
            </w:r>
          </w:p>
        </w:tc>
        <w:tc>
          <w:tcPr>
            <w:tcW w:w="1836" w:type="dxa"/>
            <w:tcBorders>
              <w:top w:val="nil"/>
              <w:left w:val="nil"/>
              <w:bottom w:val="single" w:color="auto" w:sz="4" w:space="0"/>
              <w:right w:val="single" w:color="auto" w:sz="4" w:space="0"/>
            </w:tcBorders>
            <w:vAlign w:val="center"/>
          </w:tcPr>
          <w:p w14:paraId="6AFB9BED">
            <w:pPr>
              <w:widowControl/>
              <w:jc w:val="left"/>
              <w:rPr>
                <w:rFonts w:ascii="宋体" w:hAnsi="宋体" w:cs="宋体"/>
                <w:kern w:val="0"/>
                <w:szCs w:val="21"/>
              </w:rPr>
            </w:pPr>
            <w:r>
              <w:rPr>
                <w:rFonts w:hint="eastAsia" w:ascii="宋体" w:hAnsi="宋体" w:cs="宋体"/>
                <w:kern w:val="0"/>
                <w:szCs w:val="21"/>
              </w:rPr>
              <w:t>20≤X＜300</w:t>
            </w:r>
          </w:p>
        </w:tc>
        <w:tc>
          <w:tcPr>
            <w:tcW w:w="999" w:type="dxa"/>
            <w:tcBorders>
              <w:top w:val="nil"/>
              <w:left w:val="nil"/>
              <w:bottom w:val="single" w:color="auto" w:sz="4" w:space="0"/>
              <w:right w:val="single" w:color="auto" w:sz="4" w:space="0"/>
            </w:tcBorders>
            <w:vAlign w:val="center"/>
          </w:tcPr>
          <w:p w14:paraId="2063F3A8">
            <w:pPr>
              <w:widowControl/>
              <w:jc w:val="left"/>
              <w:rPr>
                <w:rFonts w:ascii="宋体" w:hAnsi="宋体" w:cs="宋体"/>
                <w:kern w:val="0"/>
                <w:szCs w:val="21"/>
              </w:rPr>
            </w:pPr>
            <w:r>
              <w:rPr>
                <w:rFonts w:hint="eastAsia" w:ascii="宋体" w:hAnsi="宋体" w:cs="宋体"/>
                <w:kern w:val="0"/>
                <w:szCs w:val="21"/>
              </w:rPr>
              <w:t>X＜20</w:t>
            </w:r>
          </w:p>
        </w:tc>
      </w:tr>
      <w:tr w14:paraId="204D9787">
        <w:tblPrEx>
          <w:tblCellMar>
            <w:top w:w="0" w:type="dxa"/>
            <w:left w:w="108" w:type="dxa"/>
            <w:bottom w:w="0" w:type="dxa"/>
            <w:right w:w="108" w:type="dxa"/>
          </w:tblCellMar>
        </w:tblPrEx>
        <w:trPr>
          <w:trHeight w:val="225" w:hRule="atLeast"/>
          <w:jc w:val="center"/>
        </w:trPr>
        <w:tc>
          <w:tcPr>
            <w:tcW w:w="1807" w:type="dxa"/>
            <w:vMerge w:val="continue"/>
            <w:tcBorders>
              <w:top w:val="nil"/>
              <w:left w:val="single" w:color="auto" w:sz="4" w:space="0"/>
              <w:bottom w:val="single" w:color="auto" w:sz="4" w:space="0"/>
              <w:right w:val="single" w:color="auto" w:sz="4" w:space="0"/>
            </w:tcBorders>
            <w:vAlign w:val="center"/>
          </w:tcPr>
          <w:p w14:paraId="2040D37F">
            <w:pPr>
              <w:widowControl/>
              <w:jc w:val="left"/>
              <w:rPr>
                <w:rFonts w:ascii="宋体" w:hAnsi="宋体" w:cs="宋体"/>
                <w:b/>
                <w:bCs/>
                <w:kern w:val="0"/>
                <w:szCs w:val="21"/>
              </w:rPr>
            </w:pPr>
          </w:p>
        </w:tc>
        <w:tc>
          <w:tcPr>
            <w:tcW w:w="1559" w:type="dxa"/>
            <w:tcBorders>
              <w:top w:val="nil"/>
              <w:left w:val="nil"/>
              <w:bottom w:val="single" w:color="auto" w:sz="4" w:space="0"/>
              <w:right w:val="single" w:color="auto" w:sz="4" w:space="0"/>
            </w:tcBorders>
            <w:vAlign w:val="center"/>
          </w:tcPr>
          <w:p w14:paraId="570B8F96">
            <w:pPr>
              <w:widowControl/>
              <w:jc w:val="left"/>
              <w:rPr>
                <w:rFonts w:ascii="宋体" w:hAnsi="宋体" w:cs="宋体"/>
                <w:kern w:val="0"/>
                <w:szCs w:val="21"/>
              </w:rPr>
            </w:pPr>
            <w:r>
              <w:rPr>
                <w:rFonts w:hint="eastAsia" w:ascii="宋体" w:hAnsi="宋体" w:cs="宋体"/>
                <w:kern w:val="0"/>
                <w:szCs w:val="21"/>
              </w:rPr>
              <w:t>营业收入（Y）</w:t>
            </w:r>
          </w:p>
        </w:tc>
        <w:tc>
          <w:tcPr>
            <w:tcW w:w="709" w:type="dxa"/>
            <w:tcBorders>
              <w:top w:val="nil"/>
              <w:left w:val="nil"/>
              <w:bottom w:val="single" w:color="auto" w:sz="4" w:space="0"/>
              <w:right w:val="single" w:color="auto" w:sz="4" w:space="0"/>
            </w:tcBorders>
            <w:vAlign w:val="center"/>
          </w:tcPr>
          <w:p w14:paraId="7E72CF79">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2AD4616F">
            <w:pPr>
              <w:widowControl/>
              <w:jc w:val="left"/>
              <w:rPr>
                <w:rFonts w:ascii="宋体" w:hAnsi="宋体" w:cs="宋体"/>
                <w:kern w:val="0"/>
                <w:szCs w:val="21"/>
              </w:rPr>
            </w:pPr>
            <w:r>
              <w:rPr>
                <w:rFonts w:hint="eastAsia" w:ascii="宋体" w:hAnsi="宋体" w:cs="宋体"/>
                <w:kern w:val="0"/>
                <w:szCs w:val="21"/>
              </w:rPr>
              <w:t>3000≤Y＜30000</w:t>
            </w:r>
          </w:p>
        </w:tc>
        <w:tc>
          <w:tcPr>
            <w:tcW w:w="1836" w:type="dxa"/>
            <w:tcBorders>
              <w:top w:val="nil"/>
              <w:left w:val="nil"/>
              <w:bottom w:val="single" w:color="auto" w:sz="4" w:space="0"/>
              <w:right w:val="single" w:color="auto" w:sz="4" w:space="0"/>
            </w:tcBorders>
            <w:vAlign w:val="center"/>
          </w:tcPr>
          <w:p w14:paraId="09037B77">
            <w:pPr>
              <w:widowControl/>
              <w:jc w:val="left"/>
              <w:rPr>
                <w:rFonts w:ascii="宋体" w:hAnsi="宋体" w:cs="宋体"/>
                <w:kern w:val="0"/>
                <w:szCs w:val="21"/>
              </w:rPr>
            </w:pPr>
            <w:r>
              <w:rPr>
                <w:rFonts w:hint="eastAsia" w:ascii="宋体" w:hAnsi="宋体" w:cs="宋体"/>
                <w:kern w:val="0"/>
                <w:szCs w:val="21"/>
              </w:rPr>
              <w:t>200≤Y＜3000</w:t>
            </w:r>
          </w:p>
        </w:tc>
        <w:tc>
          <w:tcPr>
            <w:tcW w:w="999" w:type="dxa"/>
            <w:tcBorders>
              <w:top w:val="nil"/>
              <w:left w:val="nil"/>
              <w:bottom w:val="single" w:color="auto" w:sz="4" w:space="0"/>
              <w:right w:val="single" w:color="auto" w:sz="4" w:space="0"/>
            </w:tcBorders>
            <w:vAlign w:val="center"/>
          </w:tcPr>
          <w:p w14:paraId="610382EC">
            <w:pPr>
              <w:widowControl/>
              <w:jc w:val="left"/>
              <w:rPr>
                <w:rFonts w:ascii="宋体" w:hAnsi="宋体" w:cs="宋体"/>
                <w:kern w:val="0"/>
                <w:szCs w:val="21"/>
              </w:rPr>
            </w:pPr>
            <w:r>
              <w:rPr>
                <w:rFonts w:hint="eastAsia" w:ascii="宋体" w:hAnsi="宋体" w:cs="宋体"/>
                <w:kern w:val="0"/>
                <w:szCs w:val="21"/>
              </w:rPr>
              <w:t>Y＜200</w:t>
            </w:r>
          </w:p>
        </w:tc>
      </w:tr>
      <w:tr w14:paraId="69A6641E">
        <w:tblPrEx>
          <w:tblCellMar>
            <w:top w:w="0" w:type="dxa"/>
            <w:left w:w="108" w:type="dxa"/>
            <w:bottom w:w="0" w:type="dxa"/>
            <w:right w:w="108" w:type="dxa"/>
          </w:tblCellMar>
        </w:tblPrEx>
        <w:trPr>
          <w:trHeight w:val="225" w:hRule="atLeast"/>
          <w:jc w:val="center"/>
        </w:trPr>
        <w:tc>
          <w:tcPr>
            <w:tcW w:w="1807" w:type="dxa"/>
            <w:vMerge w:val="restart"/>
            <w:tcBorders>
              <w:top w:val="nil"/>
              <w:left w:val="single" w:color="auto" w:sz="4" w:space="0"/>
              <w:bottom w:val="single" w:color="auto" w:sz="4" w:space="0"/>
              <w:right w:val="single" w:color="auto" w:sz="4" w:space="0"/>
            </w:tcBorders>
            <w:vAlign w:val="bottom"/>
          </w:tcPr>
          <w:p w14:paraId="06226583">
            <w:pPr>
              <w:widowControl/>
              <w:jc w:val="center"/>
              <w:rPr>
                <w:rFonts w:ascii="宋体" w:hAnsi="宋体" w:cs="宋体"/>
                <w:b/>
                <w:bCs/>
                <w:kern w:val="0"/>
                <w:szCs w:val="21"/>
              </w:rPr>
            </w:pPr>
            <w:r>
              <w:rPr>
                <w:rFonts w:hint="eastAsia" w:ascii="宋体" w:hAnsi="宋体" w:cs="宋体"/>
                <w:b/>
                <w:bCs/>
                <w:kern w:val="0"/>
                <w:szCs w:val="21"/>
              </w:rPr>
              <w:t>仓储业</w:t>
            </w:r>
          </w:p>
        </w:tc>
        <w:tc>
          <w:tcPr>
            <w:tcW w:w="1559" w:type="dxa"/>
            <w:tcBorders>
              <w:top w:val="nil"/>
              <w:left w:val="nil"/>
              <w:bottom w:val="single" w:color="auto" w:sz="4" w:space="0"/>
              <w:right w:val="single" w:color="auto" w:sz="4" w:space="0"/>
            </w:tcBorders>
            <w:vAlign w:val="center"/>
          </w:tcPr>
          <w:p w14:paraId="4FC0E8B8">
            <w:pPr>
              <w:widowControl/>
              <w:jc w:val="left"/>
              <w:rPr>
                <w:rFonts w:ascii="宋体" w:hAnsi="宋体" w:cs="宋体"/>
                <w:kern w:val="0"/>
                <w:szCs w:val="21"/>
              </w:rPr>
            </w:pPr>
            <w:r>
              <w:rPr>
                <w:rFonts w:hint="eastAsia" w:ascii="宋体" w:hAnsi="宋体" w:cs="宋体"/>
                <w:kern w:val="0"/>
                <w:szCs w:val="21"/>
              </w:rPr>
              <w:t>从业人员（X）</w:t>
            </w:r>
          </w:p>
        </w:tc>
        <w:tc>
          <w:tcPr>
            <w:tcW w:w="709" w:type="dxa"/>
            <w:tcBorders>
              <w:top w:val="nil"/>
              <w:left w:val="nil"/>
              <w:bottom w:val="single" w:color="auto" w:sz="4" w:space="0"/>
              <w:right w:val="single" w:color="auto" w:sz="4" w:space="0"/>
            </w:tcBorders>
            <w:vAlign w:val="center"/>
          </w:tcPr>
          <w:p w14:paraId="1BAE27EA">
            <w:pPr>
              <w:widowControl/>
              <w:jc w:val="left"/>
              <w:rPr>
                <w:rFonts w:ascii="宋体" w:hAnsi="宋体" w:cs="宋体"/>
                <w:kern w:val="0"/>
                <w:szCs w:val="21"/>
              </w:rPr>
            </w:pPr>
            <w:r>
              <w:rPr>
                <w:rFonts w:hint="eastAsia" w:ascii="宋体" w:hAnsi="宋体" w:cs="宋体"/>
                <w:kern w:val="0"/>
                <w:szCs w:val="21"/>
              </w:rPr>
              <w:t>人</w:t>
            </w:r>
          </w:p>
        </w:tc>
        <w:tc>
          <w:tcPr>
            <w:tcW w:w="1842" w:type="dxa"/>
            <w:tcBorders>
              <w:top w:val="nil"/>
              <w:left w:val="nil"/>
              <w:bottom w:val="single" w:color="auto" w:sz="4" w:space="0"/>
              <w:right w:val="single" w:color="auto" w:sz="4" w:space="0"/>
            </w:tcBorders>
            <w:vAlign w:val="center"/>
          </w:tcPr>
          <w:p w14:paraId="5C0D0AD8">
            <w:pPr>
              <w:widowControl/>
              <w:jc w:val="left"/>
              <w:rPr>
                <w:rFonts w:ascii="宋体" w:hAnsi="宋体" w:cs="宋体"/>
                <w:kern w:val="0"/>
                <w:szCs w:val="21"/>
              </w:rPr>
            </w:pPr>
            <w:r>
              <w:rPr>
                <w:rFonts w:hint="eastAsia" w:ascii="宋体" w:hAnsi="宋体" w:cs="宋体"/>
                <w:kern w:val="0"/>
                <w:szCs w:val="21"/>
              </w:rPr>
              <w:t>100≤X＜200</w:t>
            </w:r>
          </w:p>
        </w:tc>
        <w:tc>
          <w:tcPr>
            <w:tcW w:w="1836" w:type="dxa"/>
            <w:tcBorders>
              <w:top w:val="nil"/>
              <w:left w:val="nil"/>
              <w:bottom w:val="single" w:color="auto" w:sz="4" w:space="0"/>
              <w:right w:val="single" w:color="auto" w:sz="4" w:space="0"/>
            </w:tcBorders>
            <w:vAlign w:val="center"/>
          </w:tcPr>
          <w:p w14:paraId="29E36E87">
            <w:pPr>
              <w:widowControl/>
              <w:jc w:val="left"/>
              <w:rPr>
                <w:rFonts w:ascii="宋体" w:hAnsi="宋体" w:cs="宋体"/>
                <w:kern w:val="0"/>
                <w:szCs w:val="21"/>
              </w:rPr>
            </w:pPr>
            <w:r>
              <w:rPr>
                <w:rFonts w:hint="eastAsia" w:ascii="宋体" w:hAnsi="宋体" w:cs="宋体"/>
                <w:kern w:val="0"/>
                <w:szCs w:val="21"/>
              </w:rPr>
              <w:t>20≤X＜100</w:t>
            </w:r>
          </w:p>
        </w:tc>
        <w:tc>
          <w:tcPr>
            <w:tcW w:w="999" w:type="dxa"/>
            <w:tcBorders>
              <w:top w:val="nil"/>
              <w:left w:val="nil"/>
              <w:bottom w:val="single" w:color="auto" w:sz="4" w:space="0"/>
              <w:right w:val="single" w:color="auto" w:sz="4" w:space="0"/>
            </w:tcBorders>
            <w:vAlign w:val="center"/>
          </w:tcPr>
          <w:p w14:paraId="6151A345">
            <w:pPr>
              <w:widowControl/>
              <w:jc w:val="left"/>
              <w:rPr>
                <w:rFonts w:ascii="宋体" w:hAnsi="宋体" w:cs="宋体"/>
                <w:kern w:val="0"/>
                <w:szCs w:val="21"/>
              </w:rPr>
            </w:pPr>
            <w:r>
              <w:rPr>
                <w:rFonts w:hint="eastAsia" w:ascii="宋体" w:hAnsi="宋体" w:cs="宋体"/>
                <w:kern w:val="0"/>
                <w:szCs w:val="21"/>
              </w:rPr>
              <w:t>X＜20</w:t>
            </w:r>
          </w:p>
        </w:tc>
      </w:tr>
      <w:tr w14:paraId="59C87F95">
        <w:tblPrEx>
          <w:tblCellMar>
            <w:top w:w="0" w:type="dxa"/>
            <w:left w:w="108" w:type="dxa"/>
            <w:bottom w:w="0" w:type="dxa"/>
            <w:right w:w="108" w:type="dxa"/>
          </w:tblCellMar>
        </w:tblPrEx>
        <w:trPr>
          <w:trHeight w:val="225" w:hRule="atLeast"/>
          <w:jc w:val="center"/>
        </w:trPr>
        <w:tc>
          <w:tcPr>
            <w:tcW w:w="1807" w:type="dxa"/>
            <w:vMerge w:val="continue"/>
            <w:tcBorders>
              <w:top w:val="nil"/>
              <w:left w:val="single" w:color="auto" w:sz="4" w:space="0"/>
              <w:bottom w:val="single" w:color="auto" w:sz="4" w:space="0"/>
              <w:right w:val="single" w:color="auto" w:sz="4" w:space="0"/>
            </w:tcBorders>
            <w:vAlign w:val="center"/>
          </w:tcPr>
          <w:p w14:paraId="272B18E0">
            <w:pPr>
              <w:widowControl/>
              <w:jc w:val="left"/>
              <w:rPr>
                <w:rFonts w:ascii="宋体" w:hAnsi="宋体" w:cs="宋体"/>
                <w:b/>
                <w:bCs/>
                <w:kern w:val="0"/>
                <w:szCs w:val="21"/>
              </w:rPr>
            </w:pPr>
          </w:p>
        </w:tc>
        <w:tc>
          <w:tcPr>
            <w:tcW w:w="1559" w:type="dxa"/>
            <w:tcBorders>
              <w:top w:val="nil"/>
              <w:left w:val="nil"/>
              <w:bottom w:val="single" w:color="auto" w:sz="4" w:space="0"/>
              <w:right w:val="single" w:color="auto" w:sz="4" w:space="0"/>
            </w:tcBorders>
            <w:vAlign w:val="center"/>
          </w:tcPr>
          <w:p w14:paraId="3FC48449">
            <w:pPr>
              <w:widowControl/>
              <w:jc w:val="left"/>
              <w:rPr>
                <w:rFonts w:ascii="宋体" w:hAnsi="宋体" w:cs="宋体"/>
                <w:kern w:val="0"/>
                <w:szCs w:val="21"/>
              </w:rPr>
            </w:pPr>
            <w:r>
              <w:rPr>
                <w:rFonts w:hint="eastAsia" w:ascii="宋体" w:hAnsi="宋体" w:cs="宋体"/>
                <w:kern w:val="0"/>
                <w:szCs w:val="21"/>
              </w:rPr>
              <w:t>营业收入（Y）</w:t>
            </w:r>
          </w:p>
        </w:tc>
        <w:tc>
          <w:tcPr>
            <w:tcW w:w="709" w:type="dxa"/>
            <w:tcBorders>
              <w:top w:val="nil"/>
              <w:left w:val="nil"/>
              <w:bottom w:val="single" w:color="auto" w:sz="4" w:space="0"/>
              <w:right w:val="single" w:color="auto" w:sz="4" w:space="0"/>
            </w:tcBorders>
            <w:vAlign w:val="center"/>
          </w:tcPr>
          <w:p w14:paraId="187EC873">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54918D4B">
            <w:pPr>
              <w:widowControl/>
              <w:jc w:val="left"/>
              <w:rPr>
                <w:rFonts w:ascii="宋体" w:hAnsi="宋体" w:cs="宋体"/>
                <w:kern w:val="0"/>
                <w:szCs w:val="21"/>
              </w:rPr>
            </w:pPr>
            <w:r>
              <w:rPr>
                <w:rFonts w:hint="eastAsia" w:ascii="宋体" w:hAnsi="宋体" w:cs="宋体"/>
                <w:kern w:val="0"/>
                <w:szCs w:val="21"/>
              </w:rPr>
              <w:t>1000≤Y＜30000</w:t>
            </w:r>
          </w:p>
        </w:tc>
        <w:tc>
          <w:tcPr>
            <w:tcW w:w="1836" w:type="dxa"/>
            <w:tcBorders>
              <w:top w:val="nil"/>
              <w:left w:val="nil"/>
              <w:bottom w:val="single" w:color="auto" w:sz="4" w:space="0"/>
              <w:right w:val="single" w:color="auto" w:sz="4" w:space="0"/>
            </w:tcBorders>
            <w:vAlign w:val="center"/>
          </w:tcPr>
          <w:p w14:paraId="59E93A97">
            <w:pPr>
              <w:widowControl/>
              <w:jc w:val="left"/>
              <w:rPr>
                <w:rFonts w:ascii="宋体" w:hAnsi="宋体" w:cs="宋体"/>
                <w:kern w:val="0"/>
                <w:szCs w:val="21"/>
              </w:rPr>
            </w:pPr>
            <w:r>
              <w:rPr>
                <w:rFonts w:hint="eastAsia" w:ascii="宋体" w:hAnsi="宋体" w:cs="宋体"/>
                <w:kern w:val="0"/>
                <w:szCs w:val="21"/>
              </w:rPr>
              <w:t>100≤Y＜1000</w:t>
            </w:r>
          </w:p>
        </w:tc>
        <w:tc>
          <w:tcPr>
            <w:tcW w:w="999" w:type="dxa"/>
            <w:tcBorders>
              <w:top w:val="nil"/>
              <w:left w:val="nil"/>
              <w:bottom w:val="single" w:color="auto" w:sz="4" w:space="0"/>
              <w:right w:val="single" w:color="auto" w:sz="4" w:space="0"/>
            </w:tcBorders>
            <w:vAlign w:val="center"/>
          </w:tcPr>
          <w:p w14:paraId="268812D0">
            <w:pPr>
              <w:widowControl/>
              <w:jc w:val="left"/>
              <w:rPr>
                <w:rFonts w:ascii="宋体" w:hAnsi="宋体" w:cs="宋体"/>
                <w:kern w:val="0"/>
                <w:szCs w:val="21"/>
              </w:rPr>
            </w:pPr>
            <w:r>
              <w:rPr>
                <w:rFonts w:hint="eastAsia" w:ascii="宋体" w:hAnsi="宋体" w:cs="宋体"/>
                <w:kern w:val="0"/>
                <w:szCs w:val="21"/>
              </w:rPr>
              <w:t>Y＜100</w:t>
            </w:r>
          </w:p>
        </w:tc>
      </w:tr>
      <w:tr w14:paraId="3FD5A8DC">
        <w:tblPrEx>
          <w:tblCellMar>
            <w:top w:w="0" w:type="dxa"/>
            <w:left w:w="108" w:type="dxa"/>
            <w:bottom w:w="0" w:type="dxa"/>
            <w:right w:w="108" w:type="dxa"/>
          </w:tblCellMar>
        </w:tblPrEx>
        <w:trPr>
          <w:trHeight w:val="225" w:hRule="atLeast"/>
          <w:jc w:val="center"/>
        </w:trPr>
        <w:tc>
          <w:tcPr>
            <w:tcW w:w="1807" w:type="dxa"/>
            <w:vMerge w:val="restart"/>
            <w:tcBorders>
              <w:top w:val="nil"/>
              <w:left w:val="single" w:color="auto" w:sz="4" w:space="0"/>
              <w:bottom w:val="single" w:color="auto" w:sz="4" w:space="0"/>
              <w:right w:val="single" w:color="auto" w:sz="4" w:space="0"/>
            </w:tcBorders>
            <w:vAlign w:val="bottom"/>
          </w:tcPr>
          <w:p w14:paraId="2DD8188D">
            <w:pPr>
              <w:widowControl/>
              <w:jc w:val="center"/>
              <w:rPr>
                <w:rFonts w:ascii="宋体" w:hAnsi="宋体" w:cs="宋体"/>
                <w:b/>
                <w:bCs/>
                <w:kern w:val="0"/>
                <w:szCs w:val="21"/>
              </w:rPr>
            </w:pPr>
            <w:r>
              <w:rPr>
                <w:rFonts w:hint="eastAsia" w:ascii="宋体" w:hAnsi="宋体" w:cs="宋体"/>
                <w:b/>
                <w:bCs/>
                <w:kern w:val="0"/>
                <w:szCs w:val="21"/>
              </w:rPr>
              <w:t>邮政业</w:t>
            </w:r>
          </w:p>
        </w:tc>
        <w:tc>
          <w:tcPr>
            <w:tcW w:w="1559" w:type="dxa"/>
            <w:tcBorders>
              <w:top w:val="nil"/>
              <w:left w:val="nil"/>
              <w:bottom w:val="single" w:color="auto" w:sz="4" w:space="0"/>
              <w:right w:val="single" w:color="auto" w:sz="4" w:space="0"/>
            </w:tcBorders>
            <w:vAlign w:val="center"/>
          </w:tcPr>
          <w:p w14:paraId="2806B53B">
            <w:pPr>
              <w:widowControl/>
              <w:jc w:val="left"/>
              <w:rPr>
                <w:rFonts w:ascii="宋体" w:hAnsi="宋体" w:cs="宋体"/>
                <w:kern w:val="0"/>
                <w:szCs w:val="21"/>
              </w:rPr>
            </w:pPr>
            <w:r>
              <w:rPr>
                <w:rFonts w:hint="eastAsia" w:ascii="宋体" w:hAnsi="宋体" w:cs="宋体"/>
                <w:kern w:val="0"/>
                <w:szCs w:val="21"/>
              </w:rPr>
              <w:t>从业人员（X）</w:t>
            </w:r>
          </w:p>
        </w:tc>
        <w:tc>
          <w:tcPr>
            <w:tcW w:w="709" w:type="dxa"/>
            <w:tcBorders>
              <w:top w:val="nil"/>
              <w:left w:val="nil"/>
              <w:bottom w:val="single" w:color="auto" w:sz="4" w:space="0"/>
              <w:right w:val="single" w:color="auto" w:sz="4" w:space="0"/>
            </w:tcBorders>
            <w:vAlign w:val="center"/>
          </w:tcPr>
          <w:p w14:paraId="07BECACF">
            <w:pPr>
              <w:widowControl/>
              <w:jc w:val="left"/>
              <w:rPr>
                <w:rFonts w:ascii="宋体" w:hAnsi="宋体" w:cs="宋体"/>
                <w:kern w:val="0"/>
                <w:szCs w:val="21"/>
              </w:rPr>
            </w:pPr>
            <w:r>
              <w:rPr>
                <w:rFonts w:hint="eastAsia" w:ascii="宋体" w:hAnsi="宋体" w:cs="宋体"/>
                <w:kern w:val="0"/>
                <w:szCs w:val="21"/>
              </w:rPr>
              <w:t>人</w:t>
            </w:r>
          </w:p>
        </w:tc>
        <w:tc>
          <w:tcPr>
            <w:tcW w:w="1842" w:type="dxa"/>
            <w:tcBorders>
              <w:top w:val="nil"/>
              <w:left w:val="nil"/>
              <w:bottom w:val="single" w:color="auto" w:sz="4" w:space="0"/>
              <w:right w:val="single" w:color="auto" w:sz="4" w:space="0"/>
            </w:tcBorders>
            <w:vAlign w:val="center"/>
          </w:tcPr>
          <w:p w14:paraId="46EBA88E">
            <w:pPr>
              <w:widowControl/>
              <w:jc w:val="left"/>
              <w:rPr>
                <w:rFonts w:ascii="宋体" w:hAnsi="宋体" w:cs="宋体"/>
                <w:kern w:val="0"/>
                <w:szCs w:val="21"/>
              </w:rPr>
            </w:pPr>
            <w:r>
              <w:rPr>
                <w:rFonts w:hint="eastAsia" w:ascii="宋体" w:hAnsi="宋体" w:cs="宋体"/>
                <w:kern w:val="0"/>
                <w:szCs w:val="21"/>
              </w:rPr>
              <w:t>300≤X＜1000</w:t>
            </w:r>
          </w:p>
        </w:tc>
        <w:tc>
          <w:tcPr>
            <w:tcW w:w="1836" w:type="dxa"/>
            <w:tcBorders>
              <w:top w:val="nil"/>
              <w:left w:val="nil"/>
              <w:bottom w:val="single" w:color="auto" w:sz="4" w:space="0"/>
              <w:right w:val="single" w:color="auto" w:sz="4" w:space="0"/>
            </w:tcBorders>
            <w:vAlign w:val="center"/>
          </w:tcPr>
          <w:p w14:paraId="4F6FEB8E">
            <w:pPr>
              <w:widowControl/>
              <w:jc w:val="left"/>
              <w:rPr>
                <w:rFonts w:ascii="宋体" w:hAnsi="宋体" w:cs="宋体"/>
                <w:kern w:val="0"/>
                <w:szCs w:val="21"/>
              </w:rPr>
            </w:pPr>
            <w:r>
              <w:rPr>
                <w:rFonts w:hint="eastAsia" w:ascii="宋体" w:hAnsi="宋体" w:cs="宋体"/>
                <w:kern w:val="0"/>
                <w:szCs w:val="21"/>
              </w:rPr>
              <w:t>20≤X＜300</w:t>
            </w:r>
          </w:p>
        </w:tc>
        <w:tc>
          <w:tcPr>
            <w:tcW w:w="999" w:type="dxa"/>
            <w:tcBorders>
              <w:top w:val="nil"/>
              <w:left w:val="nil"/>
              <w:bottom w:val="single" w:color="auto" w:sz="4" w:space="0"/>
              <w:right w:val="single" w:color="auto" w:sz="4" w:space="0"/>
            </w:tcBorders>
            <w:vAlign w:val="center"/>
          </w:tcPr>
          <w:p w14:paraId="2432E5F5">
            <w:pPr>
              <w:widowControl/>
              <w:jc w:val="left"/>
              <w:rPr>
                <w:rFonts w:ascii="宋体" w:hAnsi="宋体" w:cs="宋体"/>
                <w:kern w:val="0"/>
                <w:szCs w:val="21"/>
              </w:rPr>
            </w:pPr>
            <w:r>
              <w:rPr>
                <w:rFonts w:hint="eastAsia" w:ascii="宋体" w:hAnsi="宋体" w:cs="宋体"/>
                <w:kern w:val="0"/>
                <w:szCs w:val="21"/>
              </w:rPr>
              <w:t>X＜20</w:t>
            </w:r>
          </w:p>
        </w:tc>
      </w:tr>
      <w:tr w14:paraId="60D2CDD8">
        <w:tblPrEx>
          <w:tblCellMar>
            <w:top w:w="0" w:type="dxa"/>
            <w:left w:w="108" w:type="dxa"/>
            <w:bottom w:w="0" w:type="dxa"/>
            <w:right w:w="108" w:type="dxa"/>
          </w:tblCellMar>
        </w:tblPrEx>
        <w:trPr>
          <w:trHeight w:val="225" w:hRule="atLeast"/>
          <w:jc w:val="center"/>
        </w:trPr>
        <w:tc>
          <w:tcPr>
            <w:tcW w:w="1807" w:type="dxa"/>
            <w:vMerge w:val="continue"/>
            <w:tcBorders>
              <w:top w:val="nil"/>
              <w:left w:val="single" w:color="auto" w:sz="4" w:space="0"/>
              <w:bottom w:val="single" w:color="auto" w:sz="4" w:space="0"/>
              <w:right w:val="single" w:color="auto" w:sz="4" w:space="0"/>
            </w:tcBorders>
            <w:vAlign w:val="center"/>
          </w:tcPr>
          <w:p w14:paraId="200B2661">
            <w:pPr>
              <w:widowControl/>
              <w:jc w:val="left"/>
              <w:rPr>
                <w:rFonts w:ascii="宋体" w:hAnsi="宋体" w:cs="宋体"/>
                <w:b/>
                <w:bCs/>
                <w:kern w:val="0"/>
                <w:szCs w:val="21"/>
              </w:rPr>
            </w:pPr>
          </w:p>
        </w:tc>
        <w:tc>
          <w:tcPr>
            <w:tcW w:w="1559" w:type="dxa"/>
            <w:tcBorders>
              <w:top w:val="nil"/>
              <w:left w:val="nil"/>
              <w:bottom w:val="single" w:color="auto" w:sz="4" w:space="0"/>
              <w:right w:val="single" w:color="auto" w:sz="4" w:space="0"/>
            </w:tcBorders>
            <w:vAlign w:val="center"/>
          </w:tcPr>
          <w:p w14:paraId="4A906985">
            <w:pPr>
              <w:widowControl/>
              <w:jc w:val="left"/>
              <w:rPr>
                <w:rFonts w:ascii="宋体" w:hAnsi="宋体" w:cs="宋体"/>
                <w:kern w:val="0"/>
                <w:szCs w:val="21"/>
              </w:rPr>
            </w:pPr>
            <w:r>
              <w:rPr>
                <w:rFonts w:hint="eastAsia" w:ascii="宋体" w:hAnsi="宋体" w:cs="宋体"/>
                <w:kern w:val="0"/>
                <w:szCs w:val="21"/>
              </w:rPr>
              <w:t>营业收入（Y）</w:t>
            </w:r>
          </w:p>
        </w:tc>
        <w:tc>
          <w:tcPr>
            <w:tcW w:w="709" w:type="dxa"/>
            <w:tcBorders>
              <w:top w:val="nil"/>
              <w:left w:val="nil"/>
              <w:bottom w:val="single" w:color="auto" w:sz="4" w:space="0"/>
              <w:right w:val="single" w:color="auto" w:sz="4" w:space="0"/>
            </w:tcBorders>
            <w:vAlign w:val="center"/>
          </w:tcPr>
          <w:p w14:paraId="025EBA0D">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6F5608E6">
            <w:pPr>
              <w:widowControl/>
              <w:jc w:val="left"/>
              <w:rPr>
                <w:rFonts w:ascii="宋体" w:hAnsi="宋体" w:cs="宋体"/>
                <w:kern w:val="0"/>
                <w:szCs w:val="21"/>
              </w:rPr>
            </w:pPr>
            <w:r>
              <w:rPr>
                <w:rFonts w:hint="eastAsia" w:ascii="宋体" w:hAnsi="宋体" w:cs="宋体"/>
                <w:kern w:val="0"/>
                <w:szCs w:val="21"/>
              </w:rPr>
              <w:t>2000≤Y＜30000</w:t>
            </w:r>
          </w:p>
        </w:tc>
        <w:tc>
          <w:tcPr>
            <w:tcW w:w="1836" w:type="dxa"/>
            <w:tcBorders>
              <w:top w:val="nil"/>
              <w:left w:val="nil"/>
              <w:bottom w:val="single" w:color="auto" w:sz="4" w:space="0"/>
              <w:right w:val="single" w:color="auto" w:sz="4" w:space="0"/>
            </w:tcBorders>
            <w:vAlign w:val="center"/>
          </w:tcPr>
          <w:p w14:paraId="5246F01D">
            <w:pPr>
              <w:widowControl/>
              <w:jc w:val="left"/>
              <w:rPr>
                <w:rFonts w:ascii="宋体" w:hAnsi="宋体" w:cs="宋体"/>
                <w:kern w:val="0"/>
                <w:szCs w:val="21"/>
              </w:rPr>
            </w:pPr>
            <w:r>
              <w:rPr>
                <w:rFonts w:hint="eastAsia" w:ascii="宋体" w:hAnsi="宋体" w:cs="宋体"/>
                <w:kern w:val="0"/>
                <w:szCs w:val="21"/>
              </w:rPr>
              <w:t>100≤Y＜2000</w:t>
            </w:r>
          </w:p>
        </w:tc>
        <w:tc>
          <w:tcPr>
            <w:tcW w:w="999" w:type="dxa"/>
            <w:tcBorders>
              <w:top w:val="nil"/>
              <w:left w:val="nil"/>
              <w:bottom w:val="single" w:color="auto" w:sz="4" w:space="0"/>
              <w:right w:val="single" w:color="auto" w:sz="4" w:space="0"/>
            </w:tcBorders>
            <w:vAlign w:val="center"/>
          </w:tcPr>
          <w:p w14:paraId="6A3F4D3A">
            <w:pPr>
              <w:widowControl/>
              <w:jc w:val="left"/>
              <w:rPr>
                <w:rFonts w:ascii="宋体" w:hAnsi="宋体" w:cs="宋体"/>
                <w:kern w:val="0"/>
                <w:szCs w:val="21"/>
              </w:rPr>
            </w:pPr>
            <w:r>
              <w:rPr>
                <w:rFonts w:hint="eastAsia" w:ascii="宋体" w:hAnsi="宋体" w:cs="宋体"/>
                <w:kern w:val="0"/>
                <w:szCs w:val="21"/>
              </w:rPr>
              <w:t>Y＜100</w:t>
            </w:r>
          </w:p>
        </w:tc>
      </w:tr>
      <w:tr w14:paraId="67E335C2">
        <w:tblPrEx>
          <w:tblCellMar>
            <w:top w:w="0" w:type="dxa"/>
            <w:left w:w="108" w:type="dxa"/>
            <w:bottom w:w="0" w:type="dxa"/>
            <w:right w:w="108" w:type="dxa"/>
          </w:tblCellMar>
        </w:tblPrEx>
        <w:trPr>
          <w:trHeight w:val="225" w:hRule="atLeast"/>
          <w:jc w:val="center"/>
        </w:trPr>
        <w:tc>
          <w:tcPr>
            <w:tcW w:w="1807" w:type="dxa"/>
            <w:vMerge w:val="restart"/>
            <w:tcBorders>
              <w:top w:val="nil"/>
              <w:left w:val="single" w:color="auto" w:sz="4" w:space="0"/>
              <w:bottom w:val="single" w:color="auto" w:sz="4" w:space="0"/>
              <w:right w:val="single" w:color="auto" w:sz="4" w:space="0"/>
            </w:tcBorders>
            <w:vAlign w:val="bottom"/>
          </w:tcPr>
          <w:p w14:paraId="0FAC730B">
            <w:pPr>
              <w:widowControl/>
              <w:jc w:val="center"/>
              <w:rPr>
                <w:rFonts w:ascii="宋体" w:hAnsi="宋体" w:cs="宋体"/>
                <w:b/>
                <w:bCs/>
                <w:kern w:val="0"/>
                <w:szCs w:val="21"/>
              </w:rPr>
            </w:pPr>
            <w:r>
              <w:rPr>
                <w:rFonts w:hint="eastAsia" w:ascii="宋体" w:hAnsi="宋体" w:cs="宋体"/>
                <w:b/>
                <w:bCs/>
                <w:kern w:val="0"/>
                <w:szCs w:val="21"/>
              </w:rPr>
              <w:t>住宿业</w:t>
            </w:r>
          </w:p>
        </w:tc>
        <w:tc>
          <w:tcPr>
            <w:tcW w:w="1559" w:type="dxa"/>
            <w:tcBorders>
              <w:top w:val="nil"/>
              <w:left w:val="nil"/>
              <w:bottom w:val="single" w:color="auto" w:sz="4" w:space="0"/>
              <w:right w:val="single" w:color="auto" w:sz="4" w:space="0"/>
            </w:tcBorders>
            <w:vAlign w:val="center"/>
          </w:tcPr>
          <w:p w14:paraId="020D633F">
            <w:pPr>
              <w:widowControl/>
              <w:jc w:val="left"/>
              <w:rPr>
                <w:rFonts w:ascii="宋体" w:hAnsi="宋体" w:cs="宋体"/>
                <w:kern w:val="0"/>
                <w:szCs w:val="21"/>
              </w:rPr>
            </w:pPr>
            <w:r>
              <w:rPr>
                <w:rFonts w:hint="eastAsia" w:ascii="宋体" w:hAnsi="宋体" w:cs="宋体"/>
                <w:kern w:val="0"/>
                <w:szCs w:val="21"/>
              </w:rPr>
              <w:t>从业人员（X）</w:t>
            </w:r>
          </w:p>
        </w:tc>
        <w:tc>
          <w:tcPr>
            <w:tcW w:w="709" w:type="dxa"/>
            <w:tcBorders>
              <w:top w:val="nil"/>
              <w:left w:val="nil"/>
              <w:bottom w:val="single" w:color="auto" w:sz="4" w:space="0"/>
              <w:right w:val="single" w:color="auto" w:sz="4" w:space="0"/>
            </w:tcBorders>
            <w:vAlign w:val="center"/>
          </w:tcPr>
          <w:p w14:paraId="7EAC899F">
            <w:pPr>
              <w:widowControl/>
              <w:jc w:val="left"/>
              <w:rPr>
                <w:rFonts w:ascii="宋体" w:hAnsi="宋体" w:cs="宋体"/>
                <w:kern w:val="0"/>
                <w:szCs w:val="21"/>
              </w:rPr>
            </w:pPr>
            <w:r>
              <w:rPr>
                <w:rFonts w:hint="eastAsia" w:ascii="宋体" w:hAnsi="宋体" w:cs="宋体"/>
                <w:kern w:val="0"/>
                <w:szCs w:val="21"/>
              </w:rPr>
              <w:t>人</w:t>
            </w:r>
          </w:p>
        </w:tc>
        <w:tc>
          <w:tcPr>
            <w:tcW w:w="1842" w:type="dxa"/>
            <w:tcBorders>
              <w:top w:val="nil"/>
              <w:left w:val="nil"/>
              <w:bottom w:val="single" w:color="auto" w:sz="4" w:space="0"/>
              <w:right w:val="single" w:color="auto" w:sz="4" w:space="0"/>
            </w:tcBorders>
            <w:vAlign w:val="center"/>
          </w:tcPr>
          <w:p w14:paraId="3946E386">
            <w:pPr>
              <w:widowControl/>
              <w:jc w:val="left"/>
              <w:rPr>
                <w:rFonts w:ascii="宋体" w:hAnsi="宋体" w:cs="宋体"/>
                <w:kern w:val="0"/>
                <w:szCs w:val="21"/>
              </w:rPr>
            </w:pPr>
            <w:r>
              <w:rPr>
                <w:rFonts w:hint="eastAsia" w:ascii="宋体" w:hAnsi="宋体" w:cs="宋体"/>
                <w:kern w:val="0"/>
                <w:szCs w:val="21"/>
              </w:rPr>
              <w:t>100≤X＜300</w:t>
            </w:r>
          </w:p>
        </w:tc>
        <w:tc>
          <w:tcPr>
            <w:tcW w:w="1836" w:type="dxa"/>
            <w:tcBorders>
              <w:top w:val="nil"/>
              <w:left w:val="nil"/>
              <w:bottom w:val="single" w:color="auto" w:sz="4" w:space="0"/>
              <w:right w:val="single" w:color="auto" w:sz="4" w:space="0"/>
            </w:tcBorders>
            <w:vAlign w:val="center"/>
          </w:tcPr>
          <w:p w14:paraId="3CB861E7">
            <w:pPr>
              <w:widowControl/>
              <w:jc w:val="left"/>
              <w:rPr>
                <w:rFonts w:ascii="宋体" w:hAnsi="宋体" w:cs="宋体"/>
                <w:kern w:val="0"/>
                <w:szCs w:val="21"/>
              </w:rPr>
            </w:pPr>
            <w:r>
              <w:rPr>
                <w:rFonts w:hint="eastAsia" w:ascii="宋体" w:hAnsi="宋体" w:cs="宋体"/>
                <w:kern w:val="0"/>
                <w:szCs w:val="21"/>
              </w:rPr>
              <w:t>10≤X＜100</w:t>
            </w:r>
          </w:p>
        </w:tc>
        <w:tc>
          <w:tcPr>
            <w:tcW w:w="999" w:type="dxa"/>
            <w:tcBorders>
              <w:top w:val="nil"/>
              <w:left w:val="nil"/>
              <w:bottom w:val="single" w:color="auto" w:sz="4" w:space="0"/>
              <w:right w:val="single" w:color="auto" w:sz="4" w:space="0"/>
            </w:tcBorders>
            <w:vAlign w:val="center"/>
          </w:tcPr>
          <w:p w14:paraId="2BECA1BC">
            <w:pPr>
              <w:widowControl/>
              <w:jc w:val="left"/>
              <w:rPr>
                <w:rFonts w:ascii="宋体" w:hAnsi="宋体" w:cs="宋体"/>
                <w:kern w:val="0"/>
                <w:szCs w:val="21"/>
              </w:rPr>
            </w:pPr>
            <w:r>
              <w:rPr>
                <w:rFonts w:hint="eastAsia" w:ascii="宋体" w:hAnsi="宋体" w:cs="宋体"/>
                <w:kern w:val="0"/>
                <w:szCs w:val="21"/>
              </w:rPr>
              <w:t>X＜10</w:t>
            </w:r>
          </w:p>
        </w:tc>
      </w:tr>
      <w:tr w14:paraId="396C80FE">
        <w:tblPrEx>
          <w:tblCellMar>
            <w:top w:w="0" w:type="dxa"/>
            <w:left w:w="108" w:type="dxa"/>
            <w:bottom w:w="0" w:type="dxa"/>
            <w:right w:w="108" w:type="dxa"/>
          </w:tblCellMar>
        </w:tblPrEx>
        <w:trPr>
          <w:trHeight w:val="225" w:hRule="atLeast"/>
          <w:jc w:val="center"/>
        </w:trPr>
        <w:tc>
          <w:tcPr>
            <w:tcW w:w="1807" w:type="dxa"/>
            <w:vMerge w:val="continue"/>
            <w:tcBorders>
              <w:top w:val="nil"/>
              <w:left w:val="single" w:color="auto" w:sz="4" w:space="0"/>
              <w:bottom w:val="single" w:color="auto" w:sz="4" w:space="0"/>
              <w:right w:val="single" w:color="auto" w:sz="4" w:space="0"/>
            </w:tcBorders>
            <w:vAlign w:val="center"/>
          </w:tcPr>
          <w:p w14:paraId="6DD17D1D">
            <w:pPr>
              <w:widowControl/>
              <w:jc w:val="left"/>
              <w:rPr>
                <w:rFonts w:ascii="宋体" w:hAnsi="宋体" w:cs="宋体"/>
                <w:b/>
                <w:bCs/>
                <w:kern w:val="0"/>
                <w:szCs w:val="21"/>
              </w:rPr>
            </w:pPr>
          </w:p>
        </w:tc>
        <w:tc>
          <w:tcPr>
            <w:tcW w:w="1559" w:type="dxa"/>
            <w:tcBorders>
              <w:top w:val="nil"/>
              <w:left w:val="nil"/>
              <w:bottom w:val="single" w:color="auto" w:sz="4" w:space="0"/>
              <w:right w:val="single" w:color="auto" w:sz="4" w:space="0"/>
            </w:tcBorders>
            <w:vAlign w:val="center"/>
          </w:tcPr>
          <w:p w14:paraId="0E6B2DA0">
            <w:pPr>
              <w:widowControl/>
              <w:jc w:val="left"/>
              <w:rPr>
                <w:rFonts w:ascii="宋体" w:hAnsi="宋体" w:cs="宋体"/>
                <w:kern w:val="0"/>
                <w:szCs w:val="21"/>
              </w:rPr>
            </w:pPr>
            <w:r>
              <w:rPr>
                <w:rFonts w:hint="eastAsia" w:ascii="宋体" w:hAnsi="宋体" w:cs="宋体"/>
                <w:kern w:val="0"/>
                <w:szCs w:val="21"/>
              </w:rPr>
              <w:t>营业收入（Y）</w:t>
            </w:r>
          </w:p>
        </w:tc>
        <w:tc>
          <w:tcPr>
            <w:tcW w:w="709" w:type="dxa"/>
            <w:tcBorders>
              <w:top w:val="nil"/>
              <w:left w:val="nil"/>
              <w:bottom w:val="single" w:color="auto" w:sz="4" w:space="0"/>
              <w:right w:val="single" w:color="auto" w:sz="4" w:space="0"/>
            </w:tcBorders>
            <w:vAlign w:val="center"/>
          </w:tcPr>
          <w:p w14:paraId="6947E050">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3D7CE7BE">
            <w:pPr>
              <w:widowControl/>
              <w:jc w:val="left"/>
              <w:rPr>
                <w:rFonts w:ascii="宋体" w:hAnsi="宋体" w:cs="宋体"/>
                <w:kern w:val="0"/>
                <w:szCs w:val="21"/>
              </w:rPr>
            </w:pPr>
            <w:r>
              <w:rPr>
                <w:rFonts w:hint="eastAsia" w:ascii="宋体" w:hAnsi="宋体" w:cs="宋体"/>
                <w:kern w:val="0"/>
                <w:szCs w:val="21"/>
              </w:rPr>
              <w:t>2000≤Y＜10000</w:t>
            </w:r>
          </w:p>
        </w:tc>
        <w:tc>
          <w:tcPr>
            <w:tcW w:w="1836" w:type="dxa"/>
            <w:tcBorders>
              <w:top w:val="nil"/>
              <w:left w:val="nil"/>
              <w:bottom w:val="single" w:color="auto" w:sz="4" w:space="0"/>
              <w:right w:val="single" w:color="auto" w:sz="4" w:space="0"/>
            </w:tcBorders>
            <w:vAlign w:val="center"/>
          </w:tcPr>
          <w:p w14:paraId="39AAC0AA">
            <w:pPr>
              <w:widowControl/>
              <w:jc w:val="left"/>
              <w:rPr>
                <w:rFonts w:ascii="宋体" w:hAnsi="宋体" w:cs="宋体"/>
                <w:kern w:val="0"/>
                <w:szCs w:val="21"/>
              </w:rPr>
            </w:pPr>
            <w:r>
              <w:rPr>
                <w:rFonts w:hint="eastAsia" w:ascii="宋体" w:hAnsi="宋体" w:cs="宋体"/>
                <w:kern w:val="0"/>
                <w:szCs w:val="21"/>
              </w:rPr>
              <w:t>100≤Y＜2000</w:t>
            </w:r>
          </w:p>
        </w:tc>
        <w:tc>
          <w:tcPr>
            <w:tcW w:w="999" w:type="dxa"/>
            <w:tcBorders>
              <w:top w:val="nil"/>
              <w:left w:val="nil"/>
              <w:bottom w:val="single" w:color="auto" w:sz="4" w:space="0"/>
              <w:right w:val="single" w:color="auto" w:sz="4" w:space="0"/>
            </w:tcBorders>
            <w:vAlign w:val="center"/>
          </w:tcPr>
          <w:p w14:paraId="79E02E83">
            <w:pPr>
              <w:widowControl/>
              <w:jc w:val="left"/>
              <w:rPr>
                <w:rFonts w:ascii="宋体" w:hAnsi="宋体" w:cs="宋体"/>
                <w:kern w:val="0"/>
                <w:szCs w:val="21"/>
              </w:rPr>
            </w:pPr>
            <w:r>
              <w:rPr>
                <w:rFonts w:hint="eastAsia" w:ascii="宋体" w:hAnsi="宋体" w:cs="宋体"/>
                <w:kern w:val="0"/>
                <w:szCs w:val="21"/>
              </w:rPr>
              <w:t>Y＜100</w:t>
            </w:r>
          </w:p>
        </w:tc>
      </w:tr>
      <w:tr w14:paraId="142B69E7">
        <w:tblPrEx>
          <w:tblCellMar>
            <w:top w:w="0" w:type="dxa"/>
            <w:left w:w="108" w:type="dxa"/>
            <w:bottom w:w="0" w:type="dxa"/>
            <w:right w:w="108" w:type="dxa"/>
          </w:tblCellMar>
        </w:tblPrEx>
        <w:trPr>
          <w:trHeight w:val="225" w:hRule="atLeast"/>
          <w:jc w:val="center"/>
        </w:trPr>
        <w:tc>
          <w:tcPr>
            <w:tcW w:w="1807" w:type="dxa"/>
            <w:vMerge w:val="restart"/>
            <w:tcBorders>
              <w:top w:val="nil"/>
              <w:left w:val="single" w:color="auto" w:sz="4" w:space="0"/>
              <w:bottom w:val="single" w:color="auto" w:sz="4" w:space="0"/>
              <w:right w:val="single" w:color="auto" w:sz="4" w:space="0"/>
            </w:tcBorders>
            <w:vAlign w:val="bottom"/>
          </w:tcPr>
          <w:p w14:paraId="031F3BCC">
            <w:pPr>
              <w:widowControl/>
              <w:jc w:val="center"/>
              <w:rPr>
                <w:rFonts w:ascii="宋体" w:hAnsi="宋体" w:cs="宋体"/>
                <w:b/>
                <w:bCs/>
                <w:kern w:val="0"/>
                <w:szCs w:val="21"/>
              </w:rPr>
            </w:pPr>
            <w:r>
              <w:rPr>
                <w:rFonts w:hint="eastAsia" w:ascii="宋体" w:hAnsi="宋体" w:cs="宋体"/>
                <w:b/>
                <w:bCs/>
                <w:kern w:val="0"/>
                <w:szCs w:val="21"/>
              </w:rPr>
              <w:t>餐饮业</w:t>
            </w:r>
          </w:p>
        </w:tc>
        <w:tc>
          <w:tcPr>
            <w:tcW w:w="1559" w:type="dxa"/>
            <w:tcBorders>
              <w:top w:val="nil"/>
              <w:left w:val="nil"/>
              <w:bottom w:val="single" w:color="auto" w:sz="4" w:space="0"/>
              <w:right w:val="single" w:color="auto" w:sz="4" w:space="0"/>
            </w:tcBorders>
            <w:vAlign w:val="center"/>
          </w:tcPr>
          <w:p w14:paraId="36D68A75">
            <w:pPr>
              <w:widowControl/>
              <w:jc w:val="left"/>
              <w:rPr>
                <w:rFonts w:ascii="宋体" w:hAnsi="宋体" w:cs="宋体"/>
                <w:kern w:val="0"/>
                <w:szCs w:val="21"/>
              </w:rPr>
            </w:pPr>
            <w:r>
              <w:rPr>
                <w:rFonts w:hint="eastAsia" w:ascii="宋体" w:hAnsi="宋体" w:cs="宋体"/>
                <w:kern w:val="0"/>
                <w:szCs w:val="21"/>
              </w:rPr>
              <w:t>从业人员（X）</w:t>
            </w:r>
          </w:p>
        </w:tc>
        <w:tc>
          <w:tcPr>
            <w:tcW w:w="709" w:type="dxa"/>
            <w:tcBorders>
              <w:top w:val="nil"/>
              <w:left w:val="nil"/>
              <w:bottom w:val="single" w:color="auto" w:sz="4" w:space="0"/>
              <w:right w:val="single" w:color="auto" w:sz="4" w:space="0"/>
            </w:tcBorders>
            <w:vAlign w:val="center"/>
          </w:tcPr>
          <w:p w14:paraId="3CD75FAD">
            <w:pPr>
              <w:widowControl/>
              <w:jc w:val="left"/>
              <w:rPr>
                <w:rFonts w:ascii="宋体" w:hAnsi="宋体" w:cs="宋体"/>
                <w:kern w:val="0"/>
                <w:szCs w:val="21"/>
              </w:rPr>
            </w:pPr>
            <w:r>
              <w:rPr>
                <w:rFonts w:hint="eastAsia" w:ascii="宋体" w:hAnsi="宋体" w:cs="宋体"/>
                <w:kern w:val="0"/>
                <w:szCs w:val="21"/>
              </w:rPr>
              <w:t>人</w:t>
            </w:r>
          </w:p>
        </w:tc>
        <w:tc>
          <w:tcPr>
            <w:tcW w:w="1842" w:type="dxa"/>
            <w:tcBorders>
              <w:top w:val="nil"/>
              <w:left w:val="nil"/>
              <w:bottom w:val="single" w:color="auto" w:sz="4" w:space="0"/>
              <w:right w:val="single" w:color="auto" w:sz="4" w:space="0"/>
            </w:tcBorders>
            <w:vAlign w:val="center"/>
          </w:tcPr>
          <w:p w14:paraId="1BF38DF3">
            <w:pPr>
              <w:widowControl/>
              <w:jc w:val="left"/>
              <w:rPr>
                <w:rFonts w:ascii="宋体" w:hAnsi="宋体" w:cs="宋体"/>
                <w:kern w:val="0"/>
                <w:szCs w:val="21"/>
              </w:rPr>
            </w:pPr>
            <w:r>
              <w:rPr>
                <w:rFonts w:hint="eastAsia" w:ascii="宋体" w:hAnsi="宋体" w:cs="宋体"/>
                <w:kern w:val="0"/>
                <w:szCs w:val="21"/>
              </w:rPr>
              <w:t>100≤X＜300</w:t>
            </w:r>
          </w:p>
        </w:tc>
        <w:tc>
          <w:tcPr>
            <w:tcW w:w="1836" w:type="dxa"/>
            <w:tcBorders>
              <w:top w:val="nil"/>
              <w:left w:val="nil"/>
              <w:bottom w:val="single" w:color="auto" w:sz="4" w:space="0"/>
              <w:right w:val="single" w:color="auto" w:sz="4" w:space="0"/>
            </w:tcBorders>
            <w:vAlign w:val="center"/>
          </w:tcPr>
          <w:p w14:paraId="104153F0">
            <w:pPr>
              <w:widowControl/>
              <w:jc w:val="left"/>
              <w:rPr>
                <w:rFonts w:ascii="宋体" w:hAnsi="宋体" w:cs="宋体"/>
                <w:kern w:val="0"/>
                <w:szCs w:val="21"/>
              </w:rPr>
            </w:pPr>
            <w:r>
              <w:rPr>
                <w:rFonts w:hint="eastAsia" w:ascii="宋体" w:hAnsi="宋体" w:cs="宋体"/>
                <w:kern w:val="0"/>
                <w:szCs w:val="21"/>
              </w:rPr>
              <w:t>10≤X＜100</w:t>
            </w:r>
          </w:p>
        </w:tc>
        <w:tc>
          <w:tcPr>
            <w:tcW w:w="999" w:type="dxa"/>
            <w:tcBorders>
              <w:top w:val="nil"/>
              <w:left w:val="nil"/>
              <w:bottom w:val="single" w:color="auto" w:sz="4" w:space="0"/>
              <w:right w:val="single" w:color="auto" w:sz="4" w:space="0"/>
            </w:tcBorders>
            <w:vAlign w:val="center"/>
          </w:tcPr>
          <w:p w14:paraId="6B94052E">
            <w:pPr>
              <w:widowControl/>
              <w:jc w:val="left"/>
              <w:rPr>
                <w:rFonts w:ascii="宋体" w:hAnsi="宋体" w:cs="宋体"/>
                <w:kern w:val="0"/>
                <w:szCs w:val="21"/>
              </w:rPr>
            </w:pPr>
            <w:r>
              <w:rPr>
                <w:rFonts w:hint="eastAsia" w:ascii="宋体" w:hAnsi="宋体" w:cs="宋体"/>
                <w:kern w:val="0"/>
                <w:szCs w:val="21"/>
              </w:rPr>
              <w:t>X＜10</w:t>
            </w:r>
          </w:p>
        </w:tc>
      </w:tr>
      <w:tr w14:paraId="420A90AF">
        <w:tblPrEx>
          <w:tblCellMar>
            <w:top w:w="0" w:type="dxa"/>
            <w:left w:w="108" w:type="dxa"/>
            <w:bottom w:w="0" w:type="dxa"/>
            <w:right w:w="108" w:type="dxa"/>
          </w:tblCellMar>
        </w:tblPrEx>
        <w:trPr>
          <w:trHeight w:val="225" w:hRule="atLeast"/>
          <w:jc w:val="center"/>
        </w:trPr>
        <w:tc>
          <w:tcPr>
            <w:tcW w:w="1807" w:type="dxa"/>
            <w:vMerge w:val="continue"/>
            <w:tcBorders>
              <w:top w:val="nil"/>
              <w:left w:val="single" w:color="auto" w:sz="4" w:space="0"/>
              <w:bottom w:val="single" w:color="auto" w:sz="4" w:space="0"/>
              <w:right w:val="single" w:color="auto" w:sz="4" w:space="0"/>
            </w:tcBorders>
            <w:vAlign w:val="center"/>
          </w:tcPr>
          <w:p w14:paraId="694CA646">
            <w:pPr>
              <w:widowControl/>
              <w:jc w:val="left"/>
              <w:rPr>
                <w:rFonts w:ascii="宋体" w:hAnsi="宋体" w:cs="宋体"/>
                <w:b/>
                <w:bCs/>
                <w:kern w:val="0"/>
                <w:szCs w:val="21"/>
              </w:rPr>
            </w:pPr>
          </w:p>
        </w:tc>
        <w:tc>
          <w:tcPr>
            <w:tcW w:w="1559" w:type="dxa"/>
            <w:tcBorders>
              <w:top w:val="nil"/>
              <w:left w:val="nil"/>
              <w:bottom w:val="single" w:color="auto" w:sz="4" w:space="0"/>
              <w:right w:val="single" w:color="auto" w:sz="4" w:space="0"/>
            </w:tcBorders>
            <w:vAlign w:val="center"/>
          </w:tcPr>
          <w:p w14:paraId="28D43321">
            <w:pPr>
              <w:widowControl/>
              <w:jc w:val="left"/>
              <w:rPr>
                <w:rFonts w:ascii="宋体" w:hAnsi="宋体" w:cs="宋体"/>
                <w:kern w:val="0"/>
                <w:szCs w:val="21"/>
              </w:rPr>
            </w:pPr>
            <w:r>
              <w:rPr>
                <w:rFonts w:hint="eastAsia" w:ascii="宋体" w:hAnsi="宋体" w:cs="宋体"/>
                <w:kern w:val="0"/>
                <w:szCs w:val="21"/>
              </w:rPr>
              <w:t>营业收入（Y）</w:t>
            </w:r>
          </w:p>
        </w:tc>
        <w:tc>
          <w:tcPr>
            <w:tcW w:w="709" w:type="dxa"/>
            <w:tcBorders>
              <w:top w:val="nil"/>
              <w:left w:val="nil"/>
              <w:bottom w:val="single" w:color="auto" w:sz="4" w:space="0"/>
              <w:right w:val="single" w:color="auto" w:sz="4" w:space="0"/>
            </w:tcBorders>
            <w:vAlign w:val="center"/>
          </w:tcPr>
          <w:p w14:paraId="1F9AB505">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33CA9AD2">
            <w:pPr>
              <w:widowControl/>
              <w:jc w:val="left"/>
              <w:rPr>
                <w:rFonts w:ascii="宋体" w:hAnsi="宋体" w:cs="宋体"/>
                <w:kern w:val="0"/>
                <w:szCs w:val="21"/>
              </w:rPr>
            </w:pPr>
            <w:r>
              <w:rPr>
                <w:rFonts w:hint="eastAsia" w:ascii="宋体" w:hAnsi="宋体" w:cs="宋体"/>
                <w:kern w:val="0"/>
                <w:szCs w:val="21"/>
              </w:rPr>
              <w:t>2000≤Y＜10000</w:t>
            </w:r>
          </w:p>
        </w:tc>
        <w:tc>
          <w:tcPr>
            <w:tcW w:w="1836" w:type="dxa"/>
            <w:tcBorders>
              <w:top w:val="nil"/>
              <w:left w:val="nil"/>
              <w:bottom w:val="single" w:color="auto" w:sz="4" w:space="0"/>
              <w:right w:val="single" w:color="auto" w:sz="4" w:space="0"/>
            </w:tcBorders>
            <w:vAlign w:val="center"/>
          </w:tcPr>
          <w:p w14:paraId="08376CD8">
            <w:pPr>
              <w:widowControl/>
              <w:jc w:val="left"/>
              <w:rPr>
                <w:rFonts w:ascii="宋体" w:hAnsi="宋体" w:cs="宋体"/>
                <w:kern w:val="0"/>
                <w:szCs w:val="21"/>
              </w:rPr>
            </w:pPr>
            <w:r>
              <w:rPr>
                <w:rFonts w:hint="eastAsia" w:ascii="宋体" w:hAnsi="宋体" w:cs="宋体"/>
                <w:kern w:val="0"/>
                <w:szCs w:val="21"/>
              </w:rPr>
              <w:t>100≤Y＜2000</w:t>
            </w:r>
          </w:p>
        </w:tc>
        <w:tc>
          <w:tcPr>
            <w:tcW w:w="999" w:type="dxa"/>
            <w:tcBorders>
              <w:top w:val="nil"/>
              <w:left w:val="nil"/>
              <w:bottom w:val="single" w:color="auto" w:sz="4" w:space="0"/>
              <w:right w:val="single" w:color="auto" w:sz="4" w:space="0"/>
            </w:tcBorders>
            <w:vAlign w:val="center"/>
          </w:tcPr>
          <w:p w14:paraId="1DC8F0E5">
            <w:pPr>
              <w:widowControl/>
              <w:jc w:val="left"/>
              <w:rPr>
                <w:rFonts w:ascii="宋体" w:hAnsi="宋体" w:cs="宋体"/>
                <w:kern w:val="0"/>
                <w:szCs w:val="21"/>
              </w:rPr>
            </w:pPr>
            <w:r>
              <w:rPr>
                <w:rFonts w:hint="eastAsia" w:ascii="宋体" w:hAnsi="宋体" w:cs="宋体"/>
                <w:kern w:val="0"/>
                <w:szCs w:val="21"/>
              </w:rPr>
              <w:t>Y＜100</w:t>
            </w:r>
          </w:p>
        </w:tc>
      </w:tr>
      <w:tr w14:paraId="0A8337F2">
        <w:tblPrEx>
          <w:tblCellMar>
            <w:top w:w="0" w:type="dxa"/>
            <w:left w:w="108" w:type="dxa"/>
            <w:bottom w:w="0" w:type="dxa"/>
            <w:right w:w="108" w:type="dxa"/>
          </w:tblCellMar>
        </w:tblPrEx>
        <w:trPr>
          <w:trHeight w:val="225" w:hRule="atLeast"/>
          <w:jc w:val="center"/>
        </w:trPr>
        <w:tc>
          <w:tcPr>
            <w:tcW w:w="1807" w:type="dxa"/>
            <w:vMerge w:val="restart"/>
            <w:tcBorders>
              <w:top w:val="nil"/>
              <w:left w:val="single" w:color="auto" w:sz="4" w:space="0"/>
              <w:bottom w:val="single" w:color="auto" w:sz="4" w:space="0"/>
              <w:right w:val="single" w:color="auto" w:sz="4" w:space="0"/>
            </w:tcBorders>
            <w:vAlign w:val="bottom"/>
          </w:tcPr>
          <w:p w14:paraId="1F58E932">
            <w:pPr>
              <w:widowControl/>
              <w:jc w:val="center"/>
              <w:rPr>
                <w:rFonts w:ascii="宋体" w:hAnsi="宋体" w:cs="宋体"/>
                <w:b/>
                <w:bCs/>
                <w:kern w:val="0"/>
                <w:szCs w:val="21"/>
              </w:rPr>
            </w:pPr>
            <w:r>
              <w:rPr>
                <w:rFonts w:hint="eastAsia" w:ascii="宋体" w:hAnsi="宋体" w:cs="宋体"/>
                <w:b/>
                <w:bCs/>
                <w:kern w:val="0"/>
                <w:szCs w:val="21"/>
              </w:rPr>
              <w:t>信息传输业</w:t>
            </w:r>
          </w:p>
        </w:tc>
        <w:tc>
          <w:tcPr>
            <w:tcW w:w="1559" w:type="dxa"/>
            <w:tcBorders>
              <w:top w:val="nil"/>
              <w:left w:val="nil"/>
              <w:bottom w:val="single" w:color="auto" w:sz="4" w:space="0"/>
              <w:right w:val="single" w:color="auto" w:sz="4" w:space="0"/>
            </w:tcBorders>
            <w:vAlign w:val="center"/>
          </w:tcPr>
          <w:p w14:paraId="6C7E0517">
            <w:pPr>
              <w:widowControl/>
              <w:jc w:val="left"/>
              <w:rPr>
                <w:rFonts w:ascii="宋体" w:hAnsi="宋体" w:cs="宋体"/>
                <w:kern w:val="0"/>
                <w:szCs w:val="21"/>
              </w:rPr>
            </w:pPr>
            <w:r>
              <w:rPr>
                <w:rFonts w:hint="eastAsia" w:ascii="宋体" w:hAnsi="宋体" w:cs="宋体"/>
                <w:kern w:val="0"/>
                <w:szCs w:val="21"/>
              </w:rPr>
              <w:t>从业人员（X）</w:t>
            </w:r>
          </w:p>
        </w:tc>
        <w:tc>
          <w:tcPr>
            <w:tcW w:w="709" w:type="dxa"/>
            <w:tcBorders>
              <w:top w:val="nil"/>
              <w:left w:val="nil"/>
              <w:bottom w:val="single" w:color="auto" w:sz="4" w:space="0"/>
              <w:right w:val="single" w:color="auto" w:sz="4" w:space="0"/>
            </w:tcBorders>
            <w:vAlign w:val="center"/>
          </w:tcPr>
          <w:p w14:paraId="70E29B23">
            <w:pPr>
              <w:widowControl/>
              <w:jc w:val="left"/>
              <w:rPr>
                <w:rFonts w:ascii="宋体" w:hAnsi="宋体" w:cs="宋体"/>
                <w:kern w:val="0"/>
                <w:szCs w:val="21"/>
              </w:rPr>
            </w:pPr>
            <w:r>
              <w:rPr>
                <w:rFonts w:hint="eastAsia" w:ascii="宋体" w:hAnsi="宋体" w:cs="宋体"/>
                <w:kern w:val="0"/>
                <w:szCs w:val="21"/>
              </w:rPr>
              <w:t>人</w:t>
            </w:r>
          </w:p>
        </w:tc>
        <w:tc>
          <w:tcPr>
            <w:tcW w:w="1842" w:type="dxa"/>
            <w:tcBorders>
              <w:top w:val="nil"/>
              <w:left w:val="nil"/>
              <w:bottom w:val="single" w:color="auto" w:sz="4" w:space="0"/>
              <w:right w:val="single" w:color="auto" w:sz="4" w:space="0"/>
            </w:tcBorders>
            <w:vAlign w:val="center"/>
          </w:tcPr>
          <w:p w14:paraId="601925AB">
            <w:pPr>
              <w:widowControl/>
              <w:jc w:val="left"/>
              <w:rPr>
                <w:rFonts w:ascii="宋体" w:hAnsi="宋体" w:cs="宋体"/>
                <w:kern w:val="0"/>
                <w:szCs w:val="21"/>
              </w:rPr>
            </w:pPr>
            <w:r>
              <w:rPr>
                <w:rFonts w:hint="eastAsia" w:ascii="宋体" w:hAnsi="宋体" w:cs="宋体"/>
                <w:kern w:val="0"/>
                <w:szCs w:val="21"/>
              </w:rPr>
              <w:t>100≤X＜2000</w:t>
            </w:r>
          </w:p>
        </w:tc>
        <w:tc>
          <w:tcPr>
            <w:tcW w:w="1836" w:type="dxa"/>
            <w:tcBorders>
              <w:top w:val="nil"/>
              <w:left w:val="nil"/>
              <w:bottom w:val="single" w:color="auto" w:sz="4" w:space="0"/>
              <w:right w:val="single" w:color="auto" w:sz="4" w:space="0"/>
            </w:tcBorders>
            <w:vAlign w:val="center"/>
          </w:tcPr>
          <w:p w14:paraId="7D9CFFF3">
            <w:pPr>
              <w:widowControl/>
              <w:jc w:val="left"/>
              <w:rPr>
                <w:rFonts w:ascii="宋体" w:hAnsi="宋体" w:cs="宋体"/>
                <w:kern w:val="0"/>
                <w:szCs w:val="21"/>
              </w:rPr>
            </w:pPr>
            <w:r>
              <w:rPr>
                <w:rFonts w:hint="eastAsia" w:ascii="宋体" w:hAnsi="宋体" w:cs="宋体"/>
                <w:kern w:val="0"/>
                <w:szCs w:val="21"/>
              </w:rPr>
              <w:t>10≤×＜100</w:t>
            </w:r>
          </w:p>
        </w:tc>
        <w:tc>
          <w:tcPr>
            <w:tcW w:w="999" w:type="dxa"/>
            <w:tcBorders>
              <w:top w:val="nil"/>
              <w:left w:val="nil"/>
              <w:bottom w:val="single" w:color="auto" w:sz="4" w:space="0"/>
              <w:right w:val="single" w:color="auto" w:sz="4" w:space="0"/>
            </w:tcBorders>
            <w:vAlign w:val="center"/>
          </w:tcPr>
          <w:p w14:paraId="0DDCF37C">
            <w:pPr>
              <w:widowControl/>
              <w:jc w:val="left"/>
              <w:rPr>
                <w:rFonts w:ascii="宋体" w:hAnsi="宋体" w:cs="宋体"/>
                <w:kern w:val="0"/>
                <w:szCs w:val="21"/>
              </w:rPr>
            </w:pPr>
            <w:r>
              <w:rPr>
                <w:rFonts w:hint="eastAsia" w:ascii="宋体" w:hAnsi="宋体" w:cs="宋体"/>
                <w:kern w:val="0"/>
                <w:szCs w:val="21"/>
              </w:rPr>
              <w:t>X＜10</w:t>
            </w:r>
          </w:p>
        </w:tc>
      </w:tr>
      <w:tr w14:paraId="7C4E89CD">
        <w:tblPrEx>
          <w:tblCellMar>
            <w:top w:w="0" w:type="dxa"/>
            <w:left w:w="108" w:type="dxa"/>
            <w:bottom w:w="0" w:type="dxa"/>
            <w:right w:w="108" w:type="dxa"/>
          </w:tblCellMar>
        </w:tblPrEx>
        <w:trPr>
          <w:trHeight w:val="225" w:hRule="atLeast"/>
          <w:jc w:val="center"/>
        </w:trPr>
        <w:tc>
          <w:tcPr>
            <w:tcW w:w="1807" w:type="dxa"/>
            <w:vMerge w:val="continue"/>
            <w:tcBorders>
              <w:top w:val="nil"/>
              <w:left w:val="single" w:color="auto" w:sz="4" w:space="0"/>
              <w:bottom w:val="single" w:color="auto" w:sz="4" w:space="0"/>
              <w:right w:val="single" w:color="auto" w:sz="4" w:space="0"/>
            </w:tcBorders>
            <w:vAlign w:val="center"/>
          </w:tcPr>
          <w:p w14:paraId="533A973A">
            <w:pPr>
              <w:widowControl/>
              <w:jc w:val="left"/>
              <w:rPr>
                <w:rFonts w:ascii="宋体" w:hAnsi="宋体" w:cs="宋体"/>
                <w:b/>
                <w:bCs/>
                <w:kern w:val="0"/>
                <w:szCs w:val="21"/>
              </w:rPr>
            </w:pPr>
          </w:p>
        </w:tc>
        <w:tc>
          <w:tcPr>
            <w:tcW w:w="1559" w:type="dxa"/>
            <w:tcBorders>
              <w:top w:val="nil"/>
              <w:left w:val="nil"/>
              <w:bottom w:val="single" w:color="auto" w:sz="4" w:space="0"/>
              <w:right w:val="single" w:color="auto" w:sz="4" w:space="0"/>
            </w:tcBorders>
            <w:vAlign w:val="center"/>
          </w:tcPr>
          <w:p w14:paraId="23743E4F">
            <w:pPr>
              <w:widowControl/>
              <w:jc w:val="left"/>
              <w:rPr>
                <w:rFonts w:ascii="宋体" w:hAnsi="宋体" w:cs="宋体"/>
                <w:kern w:val="0"/>
                <w:szCs w:val="21"/>
              </w:rPr>
            </w:pPr>
            <w:r>
              <w:rPr>
                <w:rFonts w:hint="eastAsia" w:ascii="宋体" w:hAnsi="宋体" w:cs="宋体"/>
                <w:kern w:val="0"/>
                <w:szCs w:val="21"/>
              </w:rPr>
              <w:t>营业收入（Y）</w:t>
            </w:r>
          </w:p>
        </w:tc>
        <w:tc>
          <w:tcPr>
            <w:tcW w:w="709" w:type="dxa"/>
            <w:tcBorders>
              <w:top w:val="nil"/>
              <w:left w:val="nil"/>
              <w:bottom w:val="single" w:color="auto" w:sz="4" w:space="0"/>
              <w:right w:val="single" w:color="auto" w:sz="4" w:space="0"/>
            </w:tcBorders>
            <w:vAlign w:val="center"/>
          </w:tcPr>
          <w:p w14:paraId="1B18EBFC">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595B5D59">
            <w:pPr>
              <w:widowControl/>
              <w:jc w:val="left"/>
              <w:rPr>
                <w:rFonts w:ascii="宋体" w:hAnsi="宋体" w:cs="宋体"/>
                <w:kern w:val="0"/>
                <w:szCs w:val="21"/>
              </w:rPr>
            </w:pPr>
            <w:r>
              <w:rPr>
                <w:rFonts w:hint="eastAsia" w:ascii="宋体" w:hAnsi="宋体" w:cs="宋体"/>
                <w:kern w:val="0"/>
                <w:szCs w:val="21"/>
              </w:rPr>
              <w:t>1000≤Y＜100000</w:t>
            </w:r>
          </w:p>
        </w:tc>
        <w:tc>
          <w:tcPr>
            <w:tcW w:w="1836" w:type="dxa"/>
            <w:tcBorders>
              <w:top w:val="nil"/>
              <w:left w:val="nil"/>
              <w:bottom w:val="single" w:color="auto" w:sz="4" w:space="0"/>
              <w:right w:val="single" w:color="auto" w:sz="4" w:space="0"/>
            </w:tcBorders>
            <w:vAlign w:val="center"/>
          </w:tcPr>
          <w:p w14:paraId="523591B1">
            <w:pPr>
              <w:widowControl/>
              <w:jc w:val="left"/>
              <w:rPr>
                <w:rFonts w:ascii="宋体" w:hAnsi="宋体" w:cs="宋体"/>
                <w:kern w:val="0"/>
                <w:szCs w:val="21"/>
              </w:rPr>
            </w:pPr>
            <w:r>
              <w:rPr>
                <w:rFonts w:hint="eastAsia" w:ascii="宋体" w:hAnsi="宋体" w:cs="宋体"/>
                <w:kern w:val="0"/>
                <w:szCs w:val="21"/>
              </w:rPr>
              <w:t>100≤Y＜1000</w:t>
            </w:r>
          </w:p>
        </w:tc>
        <w:tc>
          <w:tcPr>
            <w:tcW w:w="999" w:type="dxa"/>
            <w:tcBorders>
              <w:top w:val="nil"/>
              <w:left w:val="nil"/>
              <w:bottom w:val="single" w:color="auto" w:sz="4" w:space="0"/>
              <w:right w:val="single" w:color="auto" w:sz="4" w:space="0"/>
            </w:tcBorders>
            <w:vAlign w:val="center"/>
          </w:tcPr>
          <w:p w14:paraId="4B85110D">
            <w:pPr>
              <w:widowControl/>
              <w:jc w:val="left"/>
              <w:rPr>
                <w:rFonts w:ascii="宋体" w:hAnsi="宋体" w:cs="宋体"/>
                <w:kern w:val="0"/>
                <w:szCs w:val="21"/>
              </w:rPr>
            </w:pPr>
            <w:r>
              <w:rPr>
                <w:rFonts w:hint="eastAsia" w:ascii="宋体" w:hAnsi="宋体" w:cs="宋体"/>
                <w:kern w:val="0"/>
                <w:szCs w:val="21"/>
              </w:rPr>
              <w:t>Y＜100</w:t>
            </w:r>
          </w:p>
        </w:tc>
      </w:tr>
      <w:tr w14:paraId="11128D3F">
        <w:tblPrEx>
          <w:tblCellMar>
            <w:top w:w="0" w:type="dxa"/>
            <w:left w:w="108" w:type="dxa"/>
            <w:bottom w:w="0" w:type="dxa"/>
            <w:right w:w="108" w:type="dxa"/>
          </w:tblCellMar>
        </w:tblPrEx>
        <w:trPr>
          <w:trHeight w:val="225" w:hRule="atLeast"/>
          <w:jc w:val="center"/>
        </w:trPr>
        <w:tc>
          <w:tcPr>
            <w:tcW w:w="1807" w:type="dxa"/>
            <w:vMerge w:val="restart"/>
            <w:tcBorders>
              <w:top w:val="nil"/>
              <w:left w:val="single" w:color="auto" w:sz="4" w:space="0"/>
              <w:bottom w:val="single" w:color="auto" w:sz="4" w:space="0"/>
              <w:right w:val="single" w:color="auto" w:sz="4" w:space="0"/>
            </w:tcBorders>
            <w:vAlign w:val="bottom"/>
          </w:tcPr>
          <w:p w14:paraId="3713FC9E">
            <w:pPr>
              <w:widowControl/>
              <w:jc w:val="center"/>
              <w:rPr>
                <w:rFonts w:ascii="宋体" w:hAnsi="宋体" w:cs="宋体"/>
                <w:b/>
                <w:bCs/>
                <w:kern w:val="0"/>
                <w:szCs w:val="21"/>
              </w:rPr>
            </w:pPr>
            <w:r>
              <w:rPr>
                <w:rFonts w:hint="eastAsia" w:ascii="宋体" w:hAnsi="宋体" w:cs="宋体"/>
                <w:b/>
                <w:bCs/>
                <w:kern w:val="0"/>
                <w:szCs w:val="21"/>
              </w:rPr>
              <w:t>软件和信息技术服务业</w:t>
            </w:r>
          </w:p>
        </w:tc>
        <w:tc>
          <w:tcPr>
            <w:tcW w:w="1559" w:type="dxa"/>
            <w:tcBorders>
              <w:top w:val="nil"/>
              <w:left w:val="nil"/>
              <w:bottom w:val="single" w:color="auto" w:sz="4" w:space="0"/>
              <w:right w:val="single" w:color="auto" w:sz="4" w:space="0"/>
            </w:tcBorders>
            <w:vAlign w:val="center"/>
          </w:tcPr>
          <w:p w14:paraId="6EB454A9">
            <w:pPr>
              <w:widowControl/>
              <w:jc w:val="left"/>
              <w:rPr>
                <w:rFonts w:ascii="宋体" w:hAnsi="宋体" w:cs="宋体"/>
                <w:kern w:val="0"/>
                <w:szCs w:val="21"/>
              </w:rPr>
            </w:pPr>
            <w:r>
              <w:rPr>
                <w:rFonts w:hint="eastAsia" w:ascii="宋体" w:hAnsi="宋体" w:cs="宋体"/>
                <w:kern w:val="0"/>
                <w:szCs w:val="21"/>
              </w:rPr>
              <w:t>从业人员（X）</w:t>
            </w:r>
          </w:p>
        </w:tc>
        <w:tc>
          <w:tcPr>
            <w:tcW w:w="709" w:type="dxa"/>
            <w:tcBorders>
              <w:top w:val="nil"/>
              <w:left w:val="nil"/>
              <w:bottom w:val="single" w:color="auto" w:sz="4" w:space="0"/>
              <w:right w:val="single" w:color="auto" w:sz="4" w:space="0"/>
            </w:tcBorders>
            <w:vAlign w:val="center"/>
          </w:tcPr>
          <w:p w14:paraId="7018CC1D">
            <w:pPr>
              <w:widowControl/>
              <w:jc w:val="left"/>
              <w:rPr>
                <w:rFonts w:ascii="宋体" w:hAnsi="宋体" w:cs="宋体"/>
                <w:kern w:val="0"/>
                <w:szCs w:val="21"/>
              </w:rPr>
            </w:pPr>
            <w:r>
              <w:rPr>
                <w:rFonts w:hint="eastAsia" w:ascii="宋体" w:hAnsi="宋体" w:cs="宋体"/>
                <w:kern w:val="0"/>
                <w:szCs w:val="21"/>
              </w:rPr>
              <w:t>人</w:t>
            </w:r>
          </w:p>
        </w:tc>
        <w:tc>
          <w:tcPr>
            <w:tcW w:w="1842" w:type="dxa"/>
            <w:tcBorders>
              <w:top w:val="nil"/>
              <w:left w:val="nil"/>
              <w:bottom w:val="single" w:color="auto" w:sz="4" w:space="0"/>
              <w:right w:val="single" w:color="auto" w:sz="4" w:space="0"/>
            </w:tcBorders>
            <w:vAlign w:val="center"/>
          </w:tcPr>
          <w:p w14:paraId="22706190">
            <w:pPr>
              <w:widowControl/>
              <w:jc w:val="left"/>
              <w:rPr>
                <w:rFonts w:ascii="宋体" w:hAnsi="宋体" w:cs="宋体"/>
                <w:kern w:val="0"/>
                <w:szCs w:val="21"/>
              </w:rPr>
            </w:pPr>
            <w:r>
              <w:rPr>
                <w:rFonts w:hint="eastAsia" w:ascii="宋体" w:hAnsi="宋体" w:cs="宋体"/>
                <w:kern w:val="0"/>
                <w:szCs w:val="21"/>
              </w:rPr>
              <w:t>100≤X＜300</w:t>
            </w:r>
          </w:p>
        </w:tc>
        <w:tc>
          <w:tcPr>
            <w:tcW w:w="1836" w:type="dxa"/>
            <w:tcBorders>
              <w:top w:val="nil"/>
              <w:left w:val="nil"/>
              <w:bottom w:val="single" w:color="auto" w:sz="4" w:space="0"/>
              <w:right w:val="single" w:color="auto" w:sz="4" w:space="0"/>
            </w:tcBorders>
            <w:vAlign w:val="center"/>
          </w:tcPr>
          <w:p w14:paraId="19CBF98B">
            <w:pPr>
              <w:widowControl/>
              <w:jc w:val="left"/>
              <w:rPr>
                <w:rFonts w:ascii="宋体" w:hAnsi="宋体" w:cs="宋体"/>
                <w:kern w:val="0"/>
                <w:szCs w:val="21"/>
              </w:rPr>
            </w:pPr>
            <w:r>
              <w:rPr>
                <w:rFonts w:hint="eastAsia" w:ascii="宋体" w:hAnsi="宋体" w:cs="宋体"/>
                <w:kern w:val="0"/>
                <w:szCs w:val="21"/>
              </w:rPr>
              <w:t>10≤×＜100</w:t>
            </w:r>
          </w:p>
        </w:tc>
        <w:tc>
          <w:tcPr>
            <w:tcW w:w="999" w:type="dxa"/>
            <w:tcBorders>
              <w:top w:val="nil"/>
              <w:left w:val="nil"/>
              <w:bottom w:val="single" w:color="auto" w:sz="4" w:space="0"/>
              <w:right w:val="single" w:color="auto" w:sz="4" w:space="0"/>
            </w:tcBorders>
            <w:vAlign w:val="center"/>
          </w:tcPr>
          <w:p w14:paraId="53CC3796">
            <w:pPr>
              <w:widowControl/>
              <w:jc w:val="left"/>
              <w:rPr>
                <w:rFonts w:ascii="宋体" w:hAnsi="宋体" w:cs="宋体"/>
                <w:kern w:val="0"/>
                <w:szCs w:val="21"/>
              </w:rPr>
            </w:pPr>
            <w:r>
              <w:rPr>
                <w:rFonts w:hint="eastAsia" w:ascii="宋体" w:hAnsi="宋体" w:cs="宋体"/>
                <w:kern w:val="0"/>
                <w:szCs w:val="21"/>
              </w:rPr>
              <w:t>X＜10</w:t>
            </w:r>
          </w:p>
        </w:tc>
      </w:tr>
      <w:tr w14:paraId="50E282E0">
        <w:tblPrEx>
          <w:tblCellMar>
            <w:top w:w="0" w:type="dxa"/>
            <w:left w:w="108" w:type="dxa"/>
            <w:bottom w:w="0" w:type="dxa"/>
            <w:right w:w="108" w:type="dxa"/>
          </w:tblCellMar>
        </w:tblPrEx>
        <w:trPr>
          <w:trHeight w:val="225" w:hRule="atLeast"/>
          <w:jc w:val="center"/>
        </w:trPr>
        <w:tc>
          <w:tcPr>
            <w:tcW w:w="1807" w:type="dxa"/>
            <w:vMerge w:val="continue"/>
            <w:tcBorders>
              <w:top w:val="nil"/>
              <w:left w:val="single" w:color="auto" w:sz="4" w:space="0"/>
              <w:bottom w:val="single" w:color="auto" w:sz="4" w:space="0"/>
              <w:right w:val="single" w:color="auto" w:sz="4" w:space="0"/>
            </w:tcBorders>
            <w:vAlign w:val="center"/>
          </w:tcPr>
          <w:p w14:paraId="7A2D806E">
            <w:pPr>
              <w:widowControl/>
              <w:jc w:val="left"/>
              <w:rPr>
                <w:rFonts w:ascii="宋体" w:hAnsi="宋体" w:cs="宋体"/>
                <w:b/>
                <w:bCs/>
                <w:kern w:val="0"/>
                <w:szCs w:val="21"/>
              </w:rPr>
            </w:pPr>
          </w:p>
        </w:tc>
        <w:tc>
          <w:tcPr>
            <w:tcW w:w="1559" w:type="dxa"/>
            <w:tcBorders>
              <w:top w:val="nil"/>
              <w:left w:val="nil"/>
              <w:bottom w:val="single" w:color="auto" w:sz="4" w:space="0"/>
              <w:right w:val="single" w:color="auto" w:sz="4" w:space="0"/>
            </w:tcBorders>
            <w:vAlign w:val="center"/>
          </w:tcPr>
          <w:p w14:paraId="7B96A224">
            <w:pPr>
              <w:widowControl/>
              <w:jc w:val="left"/>
              <w:rPr>
                <w:rFonts w:ascii="宋体" w:hAnsi="宋体" w:cs="宋体"/>
                <w:kern w:val="0"/>
                <w:szCs w:val="21"/>
              </w:rPr>
            </w:pPr>
            <w:r>
              <w:rPr>
                <w:rFonts w:hint="eastAsia" w:ascii="宋体" w:hAnsi="宋体" w:cs="宋体"/>
                <w:kern w:val="0"/>
                <w:szCs w:val="21"/>
              </w:rPr>
              <w:t>营业收入（Y）</w:t>
            </w:r>
          </w:p>
        </w:tc>
        <w:tc>
          <w:tcPr>
            <w:tcW w:w="709" w:type="dxa"/>
            <w:tcBorders>
              <w:top w:val="nil"/>
              <w:left w:val="nil"/>
              <w:bottom w:val="single" w:color="auto" w:sz="4" w:space="0"/>
              <w:right w:val="single" w:color="auto" w:sz="4" w:space="0"/>
            </w:tcBorders>
            <w:vAlign w:val="center"/>
          </w:tcPr>
          <w:p w14:paraId="72FB975B">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083A0162">
            <w:pPr>
              <w:widowControl/>
              <w:jc w:val="left"/>
              <w:rPr>
                <w:rFonts w:ascii="宋体" w:hAnsi="宋体" w:cs="宋体"/>
                <w:kern w:val="0"/>
                <w:szCs w:val="21"/>
              </w:rPr>
            </w:pPr>
            <w:r>
              <w:rPr>
                <w:rFonts w:hint="eastAsia" w:ascii="宋体" w:hAnsi="宋体" w:cs="宋体"/>
                <w:kern w:val="0"/>
                <w:szCs w:val="21"/>
              </w:rPr>
              <w:t>1000≤Y＜10000</w:t>
            </w:r>
          </w:p>
        </w:tc>
        <w:tc>
          <w:tcPr>
            <w:tcW w:w="1836" w:type="dxa"/>
            <w:tcBorders>
              <w:top w:val="nil"/>
              <w:left w:val="nil"/>
              <w:bottom w:val="single" w:color="auto" w:sz="4" w:space="0"/>
              <w:right w:val="single" w:color="auto" w:sz="4" w:space="0"/>
            </w:tcBorders>
            <w:vAlign w:val="center"/>
          </w:tcPr>
          <w:p w14:paraId="1C6AC337">
            <w:pPr>
              <w:widowControl/>
              <w:jc w:val="left"/>
              <w:rPr>
                <w:rFonts w:ascii="宋体" w:hAnsi="宋体" w:cs="宋体"/>
                <w:kern w:val="0"/>
                <w:szCs w:val="21"/>
              </w:rPr>
            </w:pPr>
            <w:r>
              <w:rPr>
                <w:rFonts w:hint="eastAsia" w:ascii="宋体" w:hAnsi="宋体" w:cs="宋体"/>
                <w:kern w:val="0"/>
                <w:szCs w:val="21"/>
              </w:rPr>
              <w:t>50≤Y＜1000</w:t>
            </w:r>
          </w:p>
        </w:tc>
        <w:tc>
          <w:tcPr>
            <w:tcW w:w="999" w:type="dxa"/>
            <w:tcBorders>
              <w:top w:val="nil"/>
              <w:left w:val="nil"/>
              <w:bottom w:val="single" w:color="auto" w:sz="4" w:space="0"/>
              <w:right w:val="single" w:color="auto" w:sz="4" w:space="0"/>
            </w:tcBorders>
            <w:vAlign w:val="center"/>
          </w:tcPr>
          <w:p w14:paraId="0837D8C1">
            <w:pPr>
              <w:widowControl/>
              <w:jc w:val="left"/>
              <w:rPr>
                <w:rFonts w:ascii="宋体" w:hAnsi="宋体" w:cs="宋体"/>
                <w:kern w:val="0"/>
                <w:szCs w:val="21"/>
              </w:rPr>
            </w:pPr>
            <w:r>
              <w:rPr>
                <w:rFonts w:hint="eastAsia" w:ascii="宋体" w:hAnsi="宋体" w:cs="宋体"/>
                <w:kern w:val="0"/>
                <w:szCs w:val="21"/>
              </w:rPr>
              <w:t>Y＜50</w:t>
            </w:r>
          </w:p>
        </w:tc>
      </w:tr>
      <w:tr w14:paraId="1DA2D526">
        <w:tblPrEx>
          <w:tblCellMar>
            <w:top w:w="0" w:type="dxa"/>
            <w:left w:w="108" w:type="dxa"/>
            <w:bottom w:w="0" w:type="dxa"/>
            <w:right w:w="108" w:type="dxa"/>
          </w:tblCellMar>
        </w:tblPrEx>
        <w:trPr>
          <w:trHeight w:val="225" w:hRule="atLeast"/>
          <w:jc w:val="center"/>
        </w:trPr>
        <w:tc>
          <w:tcPr>
            <w:tcW w:w="1807" w:type="dxa"/>
            <w:vMerge w:val="restart"/>
            <w:tcBorders>
              <w:top w:val="nil"/>
              <w:left w:val="single" w:color="auto" w:sz="4" w:space="0"/>
              <w:bottom w:val="single" w:color="auto" w:sz="4" w:space="0"/>
              <w:right w:val="single" w:color="auto" w:sz="4" w:space="0"/>
            </w:tcBorders>
            <w:vAlign w:val="bottom"/>
          </w:tcPr>
          <w:p w14:paraId="7509E52F">
            <w:pPr>
              <w:widowControl/>
              <w:jc w:val="center"/>
              <w:rPr>
                <w:rFonts w:ascii="宋体" w:hAnsi="宋体" w:cs="宋体"/>
                <w:b/>
                <w:bCs/>
                <w:kern w:val="0"/>
                <w:szCs w:val="21"/>
              </w:rPr>
            </w:pPr>
            <w:r>
              <w:rPr>
                <w:rFonts w:hint="eastAsia" w:ascii="宋体" w:hAnsi="宋体" w:cs="宋体"/>
                <w:b/>
                <w:bCs/>
                <w:kern w:val="0"/>
                <w:szCs w:val="21"/>
              </w:rPr>
              <w:t>房地产开发经营</w:t>
            </w:r>
          </w:p>
        </w:tc>
        <w:tc>
          <w:tcPr>
            <w:tcW w:w="1559" w:type="dxa"/>
            <w:tcBorders>
              <w:top w:val="nil"/>
              <w:left w:val="nil"/>
              <w:bottom w:val="single" w:color="auto" w:sz="4" w:space="0"/>
              <w:right w:val="single" w:color="auto" w:sz="4" w:space="0"/>
            </w:tcBorders>
            <w:vAlign w:val="center"/>
          </w:tcPr>
          <w:p w14:paraId="20F7135E">
            <w:pPr>
              <w:widowControl/>
              <w:jc w:val="left"/>
              <w:rPr>
                <w:rFonts w:ascii="宋体" w:hAnsi="宋体" w:cs="宋体"/>
                <w:kern w:val="0"/>
                <w:szCs w:val="21"/>
              </w:rPr>
            </w:pPr>
            <w:r>
              <w:rPr>
                <w:rFonts w:hint="eastAsia" w:ascii="宋体" w:hAnsi="宋体" w:cs="宋体"/>
                <w:kern w:val="0"/>
                <w:szCs w:val="21"/>
              </w:rPr>
              <w:t>营业收入（Y）</w:t>
            </w:r>
          </w:p>
        </w:tc>
        <w:tc>
          <w:tcPr>
            <w:tcW w:w="709" w:type="dxa"/>
            <w:tcBorders>
              <w:top w:val="nil"/>
              <w:left w:val="nil"/>
              <w:bottom w:val="single" w:color="auto" w:sz="4" w:space="0"/>
              <w:right w:val="single" w:color="auto" w:sz="4" w:space="0"/>
            </w:tcBorders>
            <w:vAlign w:val="center"/>
          </w:tcPr>
          <w:p w14:paraId="3CAAAE58">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0394C45F">
            <w:pPr>
              <w:widowControl/>
              <w:jc w:val="left"/>
              <w:rPr>
                <w:rFonts w:ascii="宋体" w:hAnsi="宋体" w:cs="宋体"/>
                <w:kern w:val="0"/>
                <w:szCs w:val="21"/>
              </w:rPr>
            </w:pPr>
            <w:r>
              <w:rPr>
                <w:rFonts w:hint="eastAsia" w:ascii="宋体" w:hAnsi="宋体" w:cs="宋体"/>
                <w:kern w:val="0"/>
                <w:szCs w:val="21"/>
              </w:rPr>
              <w:t>1000≤Y＜200000</w:t>
            </w:r>
          </w:p>
        </w:tc>
        <w:tc>
          <w:tcPr>
            <w:tcW w:w="1836" w:type="dxa"/>
            <w:tcBorders>
              <w:top w:val="nil"/>
              <w:left w:val="nil"/>
              <w:bottom w:val="single" w:color="auto" w:sz="4" w:space="0"/>
              <w:right w:val="single" w:color="auto" w:sz="4" w:space="0"/>
            </w:tcBorders>
            <w:vAlign w:val="center"/>
          </w:tcPr>
          <w:p w14:paraId="002BC9AD">
            <w:pPr>
              <w:widowControl/>
              <w:jc w:val="left"/>
              <w:rPr>
                <w:rFonts w:ascii="宋体" w:hAnsi="宋体" w:cs="宋体"/>
                <w:kern w:val="0"/>
                <w:szCs w:val="21"/>
              </w:rPr>
            </w:pPr>
            <w:r>
              <w:rPr>
                <w:rFonts w:hint="eastAsia" w:ascii="宋体" w:hAnsi="宋体" w:cs="宋体"/>
                <w:kern w:val="0"/>
                <w:szCs w:val="21"/>
              </w:rPr>
              <w:t>100≤X＜1000</w:t>
            </w:r>
          </w:p>
        </w:tc>
        <w:tc>
          <w:tcPr>
            <w:tcW w:w="999" w:type="dxa"/>
            <w:tcBorders>
              <w:top w:val="nil"/>
              <w:left w:val="nil"/>
              <w:bottom w:val="single" w:color="auto" w:sz="4" w:space="0"/>
              <w:right w:val="single" w:color="auto" w:sz="4" w:space="0"/>
            </w:tcBorders>
            <w:vAlign w:val="center"/>
          </w:tcPr>
          <w:p w14:paraId="17C38CE1">
            <w:pPr>
              <w:widowControl/>
              <w:jc w:val="left"/>
              <w:rPr>
                <w:rFonts w:ascii="宋体" w:hAnsi="宋体" w:cs="宋体"/>
                <w:kern w:val="0"/>
                <w:szCs w:val="21"/>
              </w:rPr>
            </w:pPr>
            <w:r>
              <w:rPr>
                <w:rFonts w:hint="eastAsia" w:ascii="宋体" w:hAnsi="宋体" w:cs="宋体"/>
                <w:kern w:val="0"/>
                <w:szCs w:val="21"/>
              </w:rPr>
              <w:t>X＜100</w:t>
            </w:r>
          </w:p>
        </w:tc>
      </w:tr>
      <w:tr w14:paraId="01923F18">
        <w:tblPrEx>
          <w:tblCellMar>
            <w:top w:w="0" w:type="dxa"/>
            <w:left w:w="108" w:type="dxa"/>
            <w:bottom w:w="0" w:type="dxa"/>
            <w:right w:w="108" w:type="dxa"/>
          </w:tblCellMar>
        </w:tblPrEx>
        <w:trPr>
          <w:trHeight w:val="225" w:hRule="atLeast"/>
          <w:jc w:val="center"/>
        </w:trPr>
        <w:tc>
          <w:tcPr>
            <w:tcW w:w="1807" w:type="dxa"/>
            <w:vMerge w:val="continue"/>
            <w:tcBorders>
              <w:top w:val="nil"/>
              <w:left w:val="single" w:color="auto" w:sz="4" w:space="0"/>
              <w:bottom w:val="single" w:color="auto" w:sz="4" w:space="0"/>
              <w:right w:val="single" w:color="auto" w:sz="4" w:space="0"/>
            </w:tcBorders>
            <w:vAlign w:val="center"/>
          </w:tcPr>
          <w:p w14:paraId="76FF497A">
            <w:pPr>
              <w:widowControl/>
              <w:jc w:val="left"/>
              <w:rPr>
                <w:rFonts w:ascii="宋体" w:hAnsi="宋体" w:cs="宋体"/>
                <w:b/>
                <w:bCs/>
                <w:kern w:val="0"/>
                <w:szCs w:val="21"/>
              </w:rPr>
            </w:pPr>
          </w:p>
        </w:tc>
        <w:tc>
          <w:tcPr>
            <w:tcW w:w="1559" w:type="dxa"/>
            <w:tcBorders>
              <w:top w:val="nil"/>
              <w:left w:val="nil"/>
              <w:bottom w:val="single" w:color="auto" w:sz="4" w:space="0"/>
              <w:right w:val="single" w:color="auto" w:sz="4" w:space="0"/>
            </w:tcBorders>
            <w:vAlign w:val="center"/>
          </w:tcPr>
          <w:p w14:paraId="4AF62733">
            <w:pPr>
              <w:widowControl/>
              <w:jc w:val="left"/>
              <w:rPr>
                <w:rFonts w:ascii="宋体" w:hAnsi="宋体" w:cs="宋体"/>
                <w:kern w:val="0"/>
                <w:szCs w:val="21"/>
              </w:rPr>
            </w:pPr>
            <w:r>
              <w:rPr>
                <w:rFonts w:hint="eastAsia" w:ascii="宋体" w:hAnsi="宋体" w:cs="宋体"/>
                <w:kern w:val="0"/>
                <w:szCs w:val="21"/>
              </w:rPr>
              <w:t>资产总额（Z）</w:t>
            </w:r>
          </w:p>
        </w:tc>
        <w:tc>
          <w:tcPr>
            <w:tcW w:w="709" w:type="dxa"/>
            <w:tcBorders>
              <w:top w:val="nil"/>
              <w:left w:val="nil"/>
              <w:bottom w:val="single" w:color="auto" w:sz="4" w:space="0"/>
              <w:right w:val="single" w:color="auto" w:sz="4" w:space="0"/>
            </w:tcBorders>
            <w:vAlign w:val="center"/>
          </w:tcPr>
          <w:p w14:paraId="236A80A5">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565C409C">
            <w:pPr>
              <w:widowControl/>
              <w:jc w:val="left"/>
              <w:rPr>
                <w:rFonts w:ascii="宋体" w:hAnsi="宋体" w:cs="宋体"/>
                <w:kern w:val="0"/>
                <w:szCs w:val="21"/>
              </w:rPr>
            </w:pPr>
            <w:r>
              <w:rPr>
                <w:rFonts w:hint="eastAsia" w:ascii="宋体" w:hAnsi="宋体" w:cs="宋体"/>
                <w:kern w:val="0"/>
                <w:szCs w:val="21"/>
              </w:rPr>
              <w:t>5000≤Z＜10000</w:t>
            </w:r>
          </w:p>
        </w:tc>
        <w:tc>
          <w:tcPr>
            <w:tcW w:w="1836" w:type="dxa"/>
            <w:tcBorders>
              <w:top w:val="nil"/>
              <w:left w:val="nil"/>
              <w:bottom w:val="single" w:color="auto" w:sz="4" w:space="0"/>
              <w:right w:val="single" w:color="auto" w:sz="4" w:space="0"/>
            </w:tcBorders>
            <w:vAlign w:val="center"/>
          </w:tcPr>
          <w:p w14:paraId="2AD4465B">
            <w:pPr>
              <w:widowControl/>
              <w:jc w:val="left"/>
              <w:rPr>
                <w:rFonts w:ascii="宋体" w:hAnsi="宋体" w:cs="宋体"/>
                <w:kern w:val="0"/>
                <w:szCs w:val="21"/>
              </w:rPr>
            </w:pPr>
            <w:r>
              <w:rPr>
                <w:rFonts w:hint="eastAsia" w:ascii="宋体" w:hAnsi="宋体" w:cs="宋体"/>
                <w:kern w:val="0"/>
                <w:szCs w:val="21"/>
              </w:rPr>
              <w:t>2000≤Y＜5000</w:t>
            </w:r>
          </w:p>
        </w:tc>
        <w:tc>
          <w:tcPr>
            <w:tcW w:w="999" w:type="dxa"/>
            <w:tcBorders>
              <w:top w:val="nil"/>
              <w:left w:val="nil"/>
              <w:bottom w:val="single" w:color="auto" w:sz="4" w:space="0"/>
              <w:right w:val="single" w:color="auto" w:sz="4" w:space="0"/>
            </w:tcBorders>
            <w:vAlign w:val="center"/>
          </w:tcPr>
          <w:p w14:paraId="4699FC9D">
            <w:pPr>
              <w:widowControl/>
              <w:jc w:val="left"/>
              <w:rPr>
                <w:rFonts w:ascii="宋体" w:hAnsi="宋体" w:cs="宋体"/>
                <w:kern w:val="0"/>
                <w:szCs w:val="21"/>
              </w:rPr>
            </w:pPr>
            <w:r>
              <w:rPr>
                <w:rFonts w:hint="eastAsia" w:ascii="宋体" w:hAnsi="宋体" w:cs="宋体"/>
                <w:kern w:val="0"/>
                <w:szCs w:val="21"/>
              </w:rPr>
              <w:t>Y＜2000</w:t>
            </w:r>
          </w:p>
        </w:tc>
      </w:tr>
      <w:tr w14:paraId="39301A6E">
        <w:tblPrEx>
          <w:tblCellMar>
            <w:top w:w="0" w:type="dxa"/>
            <w:left w:w="108" w:type="dxa"/>
            <w:bottom w:w="0" w:type="dxa"/>
            <w:right w:w="108" w:type="dxa"/>
          </w:tblCellMar>
        </w:tblPrEx>
        <w:trPr>
          <w:trHeight w:val="225" w:hRule="atLeast"/>
          <w:jc w:val="center"/>
        </w:trPr>
        <w:tc>
          <w:tcPr>
            <w:tcW w:w="1807" w:type="dxa"/>
            <w:vMerge w:val="restart"/>
            <w:tcBorders>
              <w:top w:val="nil"/>
              <w:left w:val="single" w:color="auto" w:sz="4" w:space="0"/>
              <w:bottom w:val="single" w:color="auto" w:sz="4" w:space="0"/>
              <w:right w:val="single" w:color="auto" w:sz="4" w:space="0"/>
            </w:tcBorders>
            <w:vAlign w:val="bottom"/>
          </w:tcPr>
          <w:p w14:paraId="21CA00EC">
            <w:pPr>
              <w:widowControl/>
              <w:jc w:val="center"/>
              <w:rPr>
                <w:rFonts w:ascii="宋体" w:hAnsi="宋体" w:cs="宋体"/>
                <w:b/>
                <w:bCs/>
                <w:kern w:val="0"/>
                <w:szCs w:val="21"/>
              </w:rPr>
            </w:pPr>
            <w:r>
              <w:rPr>
                <w:rFonts w:hint="eastAsia" w:ascii="宋体" w:hAnsi="宋体" w:cs="宋体"/>
                <w:b/>
                <w:bCs/>
                <w:kern w:val="0"/>
                <w:szCs w:val="21"/>
              </w:rPr>
              <w:t>物业管理</w:t>
            </w:r>
          </w:p>
        </w:tc>
        <w:tc>
          <w:tcPr>
            <w:tcW w:w="1559" w:type="dxa"/>
            <w:tcBorders>
              <w:top w:val="nil"/>
              <w:left w:val="nil"/>
              <w:bottom w:val="single" w:color="auto" w:sz="4" w:space="0"/>
              <w:right w:val="single" w:color="auto" w:sz="4" w:space="0"/>
            </w:tcBorders>
            <w:vAlign w:val="center"/>
          </w:tcPr>
          <w:p w14:paraId="3D8D9012">
            <w:pPr>
              <w:widowControl/>
              <w:jc w:val="left"/>
              <w:rPr>
                <w:rFonts w:ascii="宋体" w:hAnsi="宋体" w:cs="宋体"/>
                <w:kern w:val="0"/>
                <w:szCs w:val="21"/>
              </w:rPr>
            </w:pPr>
            <w:r>
              <w:rPr>
                <w:rFonts w:hint="eastAsia" w:ascii="宋体" w:hAnsi="宋体" w:cs="宋体"/>
                <w:kern w:val="0"/>
                <w:szCs w:val="21"/>
              </w:rPr>
              <w:t>从业人员（X）</w:t>
            </w:r>
          </w:p>
        </w:tc>
        <w:tc>
          <w:tcPr>
            <w:tcW w:w="709" w:type="dxa"/>
            <w:tcBorders>
              <w:top w:val="nil"/>
              <w:left w:val="nil"/>
              <w:bottom w:val="single" w:color="auto" w:sz="4" w:space="0"/>
              <w:right w:val="single" w:color="auto" w:sz="4" w:space="0"/>
            </w:tcBorders>
            <w:vAlign w:val="center"/>
          </w:tcPr>
          <w:p w14:paraId="2708DD4D">
            <w:pPr>
              <w:widowControl/>
              <w:jc w:val="left"/>
              <w:rPr>
                <w:rFonts w:ascii="宋体" w:hAnsi="宋体" w:cs="宋体"/>
                <w:kern w:val="0"/>
                <w:szCs w:val="21"/>
              </w:rPr>
            </w:pPr>
            <w:r>
              <w:rPr>
                <w:rFonts w:hint="eastAsia" w:ascii="宋体" w:hAnsi="宋体" w:cs="宋体"/>
                <w:kern w:val="0"/>
                <w:szCs w:val="21"/>
              </w:rPr>
              <w:t>人</w:t>
            </w:r>
          </w:p>
        </w:tc>
        <w:tc>
          <w:tcPr>
            <w:tcW w:w="1842" w:type="dxa"/>
            <w:tcBorders>
              <w:top w:val="nil"/>
              <w:left w:val="nil"/>
              <w:bottom w:val="single" w:color="auto" w:sz="4" w:space="0"/>
              <w:right w:val="single" w:color="auto" w:sz="4" w:space="0"/>
            </w:tcBorders>
            <w:vAlign w:val="center"/>
          </w:tcPr>
          <w:p w14:paraId="3CFAB9F1">
            <w:pPr>
              <w:widowControl/>
              <w:jc w:val="left"/>
              <w:rPr>
                <w:rFonts w:ascii="宋体" w:hAnsi="宋体" w:cs="宋体"/>
                <w:kern w:val="0"/>
                <w:szCs w:val="21"/>
              </w:rPr>
            </w:pPr>
            <w:r>
              <w:rPr>
                <w:rFonts w:hint="eastAsia" w:ascii="宋体" w:hAnsi="宋体" w:cs="宋体"/>
                <w:kern w:val="0"/>
                <w:szCs w:val="21"/>
              </w:rPr>
              <w:t>300≤X＜1000</w:t>
            </w:r>
          </w:p>
        </w:tc>
        <w:tc>
          <w:tcPr>
            <w:tcW w:w="1836" w:type="dxa"/>
            <w:tcBorders>
              <w:top w:val="nil"/>
              <w:left w:val="nil"/>
              <w:bottom w:val="single" w:color="auto" w:sz="4" w:space="0"/>
              <w:right w:val="single" w:color="auto" w:sz="4" w:space="0"/>
            </w:tcBorders>
            <w:vAlign w:val="center"/>
          </w:tcPr>
          <w:p w14:paraId="7D2549CC">
            <w:pPr>
              <w:widowControl/>
              <w:jc w:val="left"/>
              <w:rPr>
                <w:rFonts w:ascii="宋体" w:hAnsi="宋体" w:cs="宋体"/>
                <w:kern w:val="0"/>
                <w:szCs w:val="21"/>
              </w:rPr>
            </w:pPr>
            <w:r>
              <w:rPr>
                <w:rFonts w:hint="eastAsia" w:ascii="宋体" w:hAnsi="宋体" w:cs="宋体"/>
                <w:kern w:val="0"/>
                <w:szCs w:val="21"/>
              </w:rPr>
              <w:t>100≤×＜300</w:t>
            </w:r>
          </w:p>
        </w:tc>
        <w:tc>
          <w:tcPr>
            <w:tcW w:w="999" w:type="dxa"/>
            <w:tcBorders>
              <w:top w:val="nil"/>
              <w:left w:val="nil"/>
              <w:bottom w:val="single" w:color="auto" w:sz="4" w:space="0"/>
              <w:right w:val="single" w:color="auto" w:sz="4" w:space="0"/>
            </w:tcBorders>
            <w:vAlign w:val="center"/>
          </w:tcPr>
          <w:p w14:paraId="60880BC6">
            <w:pPr>
              <w:widowControl/>
              <w:jc w:val="left"/>
              <w:rPr>
                <w:rFonts w:ascii="宋体" w:hAnsi="宋体" w:cs="宋体"/>
                <w:kern w:val="0"/>
                <w:szCs w:val="21"/>
              </w:rPr>
            </w:pPr>
            <w:r>
              <w:rPr>
                <w:rFonts w:hint="eastAsia" w:ascii="宋体" w:hAnsi="宋体" w:cs="宋体"/>
                <w:kern w:val="0"/>
                <w:szCs w:val="21"/>
              </w:rPr>
              <w:t>X＜100</w:t>
            </w:r>
          </w:p>
        </w:tc>
      </w:tr>
      <w:tr w14:paraId="572057C5">
        <w:tblPrEx>
          <w:tblCellMar>
            <w:top w:w="0" w:type="dxa"/>
            <w:left w:w="108" w:type="dxa"/>
            <w:bottom w:w="0" w:type="dxa"/>
            <w:right w:w="108" w:type="dxa"/>
          </w:tblCellMar>
        </w:tblPrEx>
        <w:trPr>
          <w:trHeight w:val="225" w:hRule="atLeast"/>
          <w:jc w:val="center"/>
        </w:trPr>
        <w:tc>
          <w:tcPr>
            <w:tcW w:w="1807" w:type="dxa"/>
            <w:vMerge w:val="continue"/>
            <w:tcBorders>
              <w:top w:val="nil"/>
              <w:left w:val="single" w:color="auto" w:sz="4" w:space="0"/>
              <w:bottom w:val="single" w:color="auto" w:sz="4" w:space="0"/>
              <w:right w:val="single" w:color="auto" w:sz="4" w:space="0"/>
            </w:tcBorders>
            <w:vAlign w:val="center"/>
          </w:tcPr>
          <w:p w14:paraId="47F4CAFC">
            <w:pPr>
              <w:widowControl/>
              <w:jc w:val="left"/>
              <w:rPr>
                <w:rFonts w:ascii="宋体" w:hAnsi="宋体" w:cs="宋体"/>
                <w:b/>
                <w:bCs/>
                <w:kern w:val="0"/>
                <w:szCs w:val="21"/>
              </w:rPr>
            </w:pPr>
          </w:p>
        </w:tc>
        <w:tc>
          <w:tcPr>
            <w:tcW w:w="1559" w:type="dxa"/>
            <w:tcBorders>
              <w:top w:val="nil"/>
              <w:left w:val="nil"/>
              <w:bottom w:val="single" w:color="auto" w:sz="4" w:space="0"/>
              <w:right w:val="single" w:color="auto" w:sz="4" w:space="0"/>
            </w:tcBorders>
            <w:vAlign w:val="center"/>
          </w:tcPr>
          <w:p w14:paraId="68757D96">
            <w:pPr>
              <w:widowControl/>
              <w:jc w:val="left"/>
              <w:rPr>
                <w:rFonts w:ascii="宋体" w:hAnsi="宋体" w:cs="宋体"/>
                <w:kern w:val="0"/>
                <w:szCs w:val="21"/>
              </w:rPr>
            </w:pPr>
            <w:r>
              <w:rPr>
                <w:rFonts w:hint="eastAsia" w:ascii="宋体" w:hAnsi="宋体" w:cs="宋体"/>
                <w:kern w:val="0"/>
                <w:szCs w:val="21"/>
              </w:rPr>
              <w:t>营业收入（Y）</w:t>
            </w:r>
          </w:p>
        </w:tc>
        <w:tc>
          <w:tcPr>
            <w:tcW w:w="709" w:type="dxa"/>
            <w:tcBorders>
              <w:top w:val="nil"/>
              <w:left w:val="nil"/>
              <w:bottom w:val="single" w:color="auto" w:sz="4" w:space="0"/>
              <w:right w:val="single" w:color="auto" w:sz="4" w:space="0"/>
            </w:tcBorders>
            <w:vAlign w:val="center"/>
          </w:tcPr>
          <w:p w14:paraId="605D93EA">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51920F97">
            <w:pPr>
              <w:widowControl/>
              <w:jc w:val="left"/>
              <w:rPr>
                <w:rFonts w:ascii="宋体" w:hAnsi="宋体" w:cs="宋体"/>
                <w:kern w:val="0"/>
                <w:szCs w:val="21"/>
              </w:rPr>
            </w:pPr>
            <w:r>
              <w:rPr>
                <w:rFonts w:hint="eastAsia" w:ascii="宋体" w:hAnsi="宋体" w:cs="宋体"/>
                <w:kern w:val="0"/>
                <w:szCs w:val="21"/>
              </w:rPr>
              <w:t>1000≤Y＜5000</w:t>
            </w:r>
          </w:p>
        </w:tc>
        <w:tc>
          <w:tcPr>
            <w:tcW w:w="1836" w:type="dxa"/>
            <w:tcBorders>
              <w:top w:val="nil"/>
              <w:left w:val="nil"/>
              <w:bottom w:val="single" w:color="auto" w:sz="4" w:space="0"/>
              <w:right w:val="single" w:color="auto" w:sz="4" w:space="0"/>
            </w:tcBorders>
            <w:vAlign w:val="center"/>
          </w:tcPr>
          <w:p w14:paraId="19AFE19E">
            <w:pPr>
              <w:widowControl/>
              <w:jc w:val="left"/>
              <w:rPr>
                <w:rFonts w:ascii="宋体" w:hAnsi="宋体" w:cs="宋体"/>
                <w:kern w:val="0"/>
                <w:szCs w:val="21"/>
              </w:rPr>
            </w:pPr>
            <w:r>
              <w:rPr>
                <w:rFonts w:hint="eastAsia" w:ascii="宋体" w:hAnsi="宋体" w:cs="宋体"/>
                <w:kern w:val="0"/>
                <w:szCs w:val="21"/>
              </w:rPr>
              <w:t>500≤Y＜1000</w:t>
            </w:r>
          </w:p>
        </w:tc>
        <w:tc>
          <w:tcPr>
            <w:tcW w:w="999" w:type="dxa"/>
            <w:tcBorders>
              <w:top w:val="nil"/>
              <w:left w:val="nil"/>
              <w:bottom w:val="single" w:color="auto" w:sz="4" w:space="0"/>
              <w:right w:val="single" w:color="auto" w:sz="4" w:space="0"/>
            </w:tcBorders>
            <w:vAlign w:val="center"/>
          </w:tcPr>
          <w:p w14:paraId="1DA0D172">
            <w:pPr>
              <w:widowControl/>
              <w:jc w:val="left"/>
              <w:rPr>
                <w:rFonts w:ascii="宋体" w:hAnsi="宋体" w:cs="宋体"/>
                <w:kern w:val="0"/>
                <w:szCs w:val="21"/>
              </w:rPr>
            </w:pPr>
            <w:r>
              <w:rPr>
                <w:rFonts w:hint="eastAsia" w:ascii="宋体" w:hAnsi="宋体" w:cs="宋体"/>
                <w:kern w:val="0"/>
                <w:szCs w:val="21"/>
              </w:rPr>
              <w:t>Y＜500</w:t>
            </w:r>
          </w:p>
        </w:tc>
      </w:tr>
      <w:tr w14:paraId="6BB470C9">
        <w:tblPrEx>
          <w:tblCellMar>
            <w:top w:w="0" w:type="dxa"/>
            <w:left w:w="108" w:type="dxa"/>
            <w:bottom w:w="0" w:type="dxa"/>
            <w:right w:w="108" w:type="dxa"/>
          </w:tblCellMar>
        </w:tblPrEx>
        <w:trPr>
          <w:trHeight w:val="225" w:hRule="atLeast"/>
          <w:jc w:val="center"/>
        </w:trPr>
        <w:tc>
          <w:tcPr>
            <w:tcW w:w="1807" w:type="dxa"/>
            <w:vMerge w:val="restart"/>
            <w:tcBorders>
              <w:top w:val="nil"/>
              <w:left w:val="single" w:color="auto" w:sz="4" w:space="0"/>
              <w:bottom w:val="single" w:color="auto" w:sz="4" w:space="0"/>
              <w:right w:val="single" w:color="auto" w:sz="4" w:space="0"/>
            </w:tcBorders>
            <w:vAlign w:val="bottom"/>
          </w:tcPr>
          <w:p w14:paraId="6F6AC51A">
            <w:pPr>
              <w:widowControl/>
              <w:jc w:val="center"/>
              <w:rPr>
                <w:rFonts w:ascii="宋体" w:hAnsi="宋体" w:cs="宋体"/>
                <w:b/>
                <w:bCs/>
                <w:kern w:val="0"/>
                <w:szCs w:val="21"/>
              </w:rPr>
            </w:pPr>
            <w:r>
              <w:rPr>
                <w:rFonts w:hint="eastAsia" w:ascii="宋体" w:hAnsi="宋体" w:cs="宋体"/>
                <w:b/>
                <w:bCs/>
                <w:kern w:val="0"/>
                <w:szCs w:val="21"/>
              </w:rPr>
              <w:t>租赁和商务服务业</w:t>
            </w:r>
          </w:p>
        </w:tc>
        <w:tc>
          <w:tcPr>
            <w:tcW w:w="1559" w:type="dxa"/>
            <w:tcBorders>
              <w:top w:val="nil"/>
              <w:left w:val="nil"/>
              <w:bottom w:val="single" w:color="auto" w:sz="4" w:space="0"/>
              <w:right w:val="single" w:color="auto" w:sz="4" w:space="0"/>
            </w:tcBorders>
            <w:vAlign w:val="center"/>
          </w:tcPr>
          <w:p w14:paraId="451E6526">
            <w:pPr>
              <w:widowControl/>
              <w:jc w:val="left"/>
              <w:rPr>
                <w:rFonts w:ascii="宋体" w:hAnsi="宋体" w:cs="宋体"/>
                <w:kern w:val="0"/>
                <w:szCs w:val="21"/>
              </w:rPr>
            </w:pPr>
            <w:r>
              <w:rPr>
                <w:rFonts w:hint="eastAsia" w:ascii="宋体" w:hAnsi="宋体" w:cs="宋体"/>
                <w:kern w:val="0"/>
                <w:szCs w:val="21"/>
              </w:rPr>
              <w:t>从业人员（X）</w:t>
            </w:r>
          </w:p>
        </w:tc>
        <w:tc>
          <w:tcPr>
            <w:tcW w:w="709" w:type="dxa"/>
            <w:tcBorders>
              <w:top w:val="nil"/>
              <w:left w:val="nil"/>
              <w:bottom w:val="single" w:color="auto" w:sz="4" w:space="0"/>
              <w:right w:val="single" w:color="auto" w:sz="4" w:space="0"/>
            </w:tcBorders>
            <w:vAlign w:val="center"/>
          </w:tcPr>
          <w:p w14:paraId="63A44A9C">
            <w:pPr>
              <w:widowControl/>
              <w:jc w:val="left"/>
              <w:rPr>
                <w:rFonts w:ascii="宋体" w:hAnsi="宋体" w:cs="宋体"/>
                <w:kern w:val="0"/>
                <w:szCs w:val="21"/>
              </w:rPr>
            </w:pPr>
            <w:r>
              <w:rPr>
                <w:rFonts w:hint="eastAsia" w:ascii="宋体" w:hAnsi="宋体" w:cs="宋体"/>
                <w:kern w:val="0"/>
                <w:szCs w:val="21"/>
              </w:rPr>
              <w:t>人</w:t>
            </w:r>
          </w:p>
        </w:tc>
        <w:tc>
          <w:tcPr>
            <w:tcW w:w="1842" w:type="dxa"/>
            <w:tcBorders>
              <w:top w:val="nil"/>
              <w:left w:val="nil"/>
              <w:bottom w:val="single" w:color="auto" w:sz="4" w:space="0"/>
              <w:right w:val="single" w:color="auto" w:sz="4" w:space="0"/>
            </w:tcBorders>
            <w:vAlign w:val="center"/>
          </w:tcPr>
          <w:p w14:paraId="26DD2A9B">
            <w:pPr>
              <w:widowControl/>
              <w:jc w:val="left"/>
              <w:rPr>
                <w:rFonts w:ascii="宋体" w:hAnsi="宋体" w:cs="宋体"/>
                <w:kern w:val="0"/>
                <w:szCs w:val="21"/>
              </w:rPr>
            </w:pPr>
            <w:r>
              <w:rPr>
                <w:rFonts w:hint="eastAsia" w:ascii="宋体" w:hAnsi="宋体" w:cs="宋体"/>
                <w:kern w:val="0"/>
                <w:szCs w:val="21"/>
              </w:rPr>
              <w:t>100≤X＜300</w:t>
            </w:r>
          </w:p>
        </w:tc>
        <w:tc>
          <w:tcPr>
            <w:tcW w:w="1836" w:type="dxa"/>
            <w:tcBorders>
              <w:top w:val="nil"/>
              <w:left w:val="nil"/>
              <w:bottom w:val="single" w:color="auto" w:sz="4" w:space="0"/>
              <w:right w:val="single" w:color="auto" w:sz="4" w:space="0"/>
            </w:tcBorders>
            <w:vAlign w:val="center"/>
          </w:tcPr>
          <w:p w14:paraId="16DAA52F">
            <w:pPr>
              <w:widowControl/>
              <w:jc w:val="left"/>
              <w:rPr>
                <w:rFonts w:ascii="宋体" w:hAnsi="宋体" w:cs="宋体"/>
                <w:kern w:val="0"/>
                <w:szCs w:val="21"/>
              </w:rPr>
            </w:pPr>
            <w:r>
              <w:rPr>
                <w:rFonts w:hint="eastAsia" w:ascii="宋体" w:hAnsi="宋体" w:cs="宋体"/>
                <w:kern w:val="0"/>
                <w:szCs w:val="21"/>
              </w:rPr>
              <w:t>10≤X＜100</w:t>
            </w:r>
          </w:p>
        </w:tc>
        <w:tc>
          <w:tcPr>
            <w:tcW w:w="999" w:type="dxa"/>
            <w:tcBorders>
              <w:top w:val="nil"/>
              <w:left w:val="nil"/>
              <w:bottom w:val="single" w:color="auto" w:sz="4" w:space="0"/>
              <w:right w:val="single" w:color="auto" w:sz="4" w:space="0"/>
            </w:tcBorders>
            <w:vAlign w:val="center"/>
          </w:tcPr>
          <w:p w14:paraId="1A841206">
            <w:pPr>
              <w:widowControl/>
              <w:jc w:val="left"/>
              <w:rPr>
                <w:rFonts w:ascii="宋体" w:hAnsi="宋体" w:cs="宋体"/>
                <w:kern w:val="0"/>
                <w:szCs w:val="21"/>
              </w:rPr>
            </w:pPr>
            <w:r>
              <w:rPr>
                <w:rFonts w:hint="eastAsia" w:ascii="宋体" w:hAnsi="宋体" w:cs="宋体"/>
                <w:kern w:val="0"/>
                <w:szCs w:val="21"/>
              </w:rPr>
              <w:t>X＜10</w:t>
            </w:r>
          </w:p>
        </w:tc>
      </w:tr>
      <w:tr w14:paraId="0D751FEF">
        <w:tblPrEx>
          <w:tblCellMar>
            <w:top w:w="0" w:type="dxa"/>
            <w:left w:w="108" w:type="dxa"/>
            <w:bottom w:w="0" w:type="dxa"/>
            <w:right w:w="108" w:type="dxa"/>
          </w:tblCellMar>
        </w:tblPrEx>
        <w:trPr>
          <w:trHeight w:val="225" w:hRule="atLeast"/>
          <w:jc w:val="center"/>
        </w:trPr>
        <w:tc>
          <w:tcPr>
            <w:tcW w:w="1807" w:type="dxa"/>
            <w:vMerge w:val="continue"/>
            <w:tcBorders>
              <w:top w:val="nil"/>
              <w:left w:val="single" w:color="auto" w:sz="4" w:space="0"/>
              <w:bottom w:val="single" w:color="auto" w:sz="4" w:space="0"/>
              <w:right w:val="single" w:color="auto" w:sz="4" w:space="0"/>
            </w:tcBorders>
            <w:vAlign w:val="center"/>
          </w:tcPr>
          <w:p w14:paraId="6923CD63">
            <w:pPr>
              <w:widowControl/>
              <w:jc w:val="left"/>
              <w:rPr>
                <w:rFonts w:ascii="宋体" w:hAnsi="宋体" w:cs="宋体"/>
                <w:b/>
                <w:bCs/>
                <w:kern w:val="0"/>
                <w:szCs w:val="21"/>
              </w:rPr>
            </w:pPr>
          </w:p>
        </w:tc>
        <w:tc>
          <w:tcPr>
            <w:tcW w:w="1559" w:type="dxa"/>
            <w:tcBorders>
              <w:top w:val="nil"/>
              <w:left w:val="nil"/>
              <w:bottom w:val="single" w:color="auto" w:sz="4" w:space="0"/>
              <w:right w:val="single" w:color="auto" w:sz="4" w:space="0"/>
            </w:tcBorders>
            <w:vAlign w:val="center"/>
          </w:tcPr>
          <w:p w14:paraId="7D35A967">
            <w:pPr>
              <w:widowControl/>
              <w:jc w:val="left"/>
              <w:rPr>
                <w:rFonts w:ascii="宋体" w:hAnsi="宋体" w:cs="宋体"/>
                <w:kern w:val="0"/>
                <w:szCs w:val="21"/>
              </w:rPr>
            </w:pPr>
            <w:r>
              <w:rPr>
                <w:rFonts w:hint="eastAsia" w:ascii="宋体" w:hAnsi="宋体" w:cs="宋体"/>
                <w:kern w:val="0"/>
                <w:szCs w:val="21"/>
              </w:rPr>
              <w:t>资产总额（Z）</w:t>
            </w:r>
          </w:p>
        </w:tc>
        <w:tc>
          <w:tcPr>
            <w:tcW w:w="709" w:type="dxa"/>
            <w:tcBorders>
              <w:top w:val="nil"/>
              <w:left w:val="nil"/>
              <w:bottom w:val="single" w:color="auto" w:sz="4" w:space="0"/>
              <w:right w:val="single" w:color="auto" w:sz="4" w:space="0"/>
            </w:tcBorders>
            <w:vAlign w:val="center"/>
          </w:tcPr>
          <w:p w14:paraId="023A2FF8">
            <w:pPr>
              <w:widowControl/>
              <w:jc w:val="left"/>
              <w:rPr>
                <w:rFonts w:ascii="宋体" w:hAnsi="宋体" w:cs="宋体"/>
                <w:kern w:val="0"/>
                <w:szCs w:val="21"/>
              </w:rPr>
            </w:pPr>
            <w:r>
              <w:rPr>
                <w:rFonts w:hint="eastAsia" w:ascii="宋体" w:hAnsi="宋体" w:cs="宋体"/>
                <w:kern w:val="0"/>
                <w:szCs w:val="21"/>
              </w:rPr>
              <w:t>万元</w:t>
            </w:r>
          </w:p>
        </w:tc>
        <w:tc>
          <w:tcPr>
            <w:tcW w:w="1842" w:type="dxa"/>
            <w:tcBorders>
              <w:top w:val="nil"/>
              <w:left w:val="nil"/>
              <w:bottom w:val="single" w:color="auto" w:sz="4" w:space="0"/>
              <w:right w:val="single" w:color="auto" w:sz="4" w:space="0"/>
            </w:tcBorders>
            <w:vAlign w:val="center"/>
          </w:tcPr>
          <w:p w14:paraId="12E53603">
            <w:pPr>
              <w:widowControl/>
              <w:jc w:val="left"/>
              <w:rPr>
                <w:rFonts w:ascii="宋体" w:hAnsi="宋体" w:cs="宋体"/>
                <w:kern w:val="0"/>
                <w:szCs w:val="21"/>
              </w:rPr>
            </w:pPr>
            <w:r>
              <w:rPr>
                <w:rFonts w:hint="eastAsia" w:ascii="宋体" w:hAnsi="宋体" w:cs="宋体"/>
                <w:kern w:val="0"/>
                <w:szCs w:val="21"/>
              </w:rPr>
              <w:t>8000≤Z＜120000</w:t>
            </w:r>
          </w:p>
        </w:tc>
        <w:tc>
          <w:tcPr>
            <w:tcW w:w="1836" w:type="dxa"/>
            <w:tcBorders>
              <w:top w:val="nil"/>
              <w:left w:val="nil"/>
              <w:bottom w:val="single" w:color="auto" w:sz="4" w:space="0"/>
              <w:right w:val="single" w:color="auto" w:sz="4" w:space="0"/>
            </w:tcBorders>
            <w:vAlign w:val="center"/>
          </w:tcPr>
          <w:p w14:paraId="4B7497D5">
            <w:pPr>
              <w:widowControl/>
              <w:jc w:val="left"/>
              <w:rPr>
                <w:rFonts w:ascii="宋体" w:hAnsi="宋体" w:cs="宋体"/>
                <w:kern w:val="0"/>
                <w:szCs w:val="21"/>
              </w:rPr>
            </w:pPr>
            <w:r>
              <w:rPr>
                <w:rFonts w:hint="eastAsia" w:ascii="宋体" w:hAnsi="宋体" w:cs="宋体"/>
                <w:kern w:val="0"/>
                <w:szCs w:val="21"/>
              </w:rPr>
              <w:t>100≤Z＜8000</w:t>
            </w:r>
          </w:p>
        </w:tc>
        <w:tc>
          <w:tcPr>
            <w:tcW w:w="999" w:type="dxa"/>
            <w:tcBorders>
              <w:top w:val="nil"/>
              <w:left w:val="nil"/>
              <w:bottom w:val="single" w:color="auto" w:sz="4" w:space="0"/>
              <w:right w:val="single" w:color="auto" w:sz="4" w:space="0"/>
            </w:tcBorders>
            <w:vAlign w:val="center"/>
          </w:tcPr>
          <w:p w14:paraId="2DE2C5AB">
            <w:pPr>
              <w:widowControl/>
              <w:jc w:val="left"/>
              <w:rPr>
                <w:rFonts w:ascii="宋体" w:hAnsi="宋体" w:cs="宋体"/>
                <w:kern w:val="0"/>
                <w:szCs w:val="21"/>
              </w:rPr>
            </w:pPr>
            <w:r>
              <w:rPr>
                <w:rFonts w:hint="eastAsia" w:ascii="宋体" w:hAnsi="宋体" w:cs="宋体"/>
                <w:kern w:val="0"/>
                <w:szCs w:val="21"/>
              </w:rPr>
              <w:t>Y＜100</w:t>
            </w:r>
          </w:p>
        </w:tc>
      </w:tr>
      <w:tr w14:paraId="73997AB0">
        <w:tblPrEx>
          <w:tblCellMar>
            <w:top w:w="0" w:type="dxa"/>
            <w:left w:w="108" w:type="dxa"/>
            <w:bottom w:w="0" w:type="dxa"/>
            <w:right w:w="108" w:type="dxa"/>
          </w:tblCellMar>
        </w:tblPrEx>
        <w:trPr>
          <w:trHeight w:val="225" w:hRule="atLeast"/>
          <w:jc w:val="center"/>
        </w:trPr>
        <w:tc>
          <w:tcPr>
            <w:tcW w:w="1807" w:type="dxa"/>
            <w:tcBorders>
              <w:top w:val="nil"/>
              <w:left w:val="single" w:color="auto" w:sz="4" w:space="0"/>
              <w:bottom w:val="single" w:color="auto" w:sz="4" w:space="0"/>
              <w:right w:val="single" w:color="auto" w:sz="4" w:space="0"/>
            </w:tcBorders>
            <w:vAlign w:val="bottom"/>
          </w:tcPr>
          <w:p w14:paraId="15045266">
            <w:pPr>
              <w:widowControl/>
              <w:jc w:val="center"/>
              <w:rPr>
                <w:rFonts w:ascii="宋体" w:hAnsi="宋体" w:cs="宋体"/>
                <w:b/>
                <w:bCs/>
                <w:kern w:val="0"/>
                <w:szCs w:val="21"/>
              </w:rPr>
            </w:pPr>
            <w:r>
              <w:rPr>
                <w:rFonts w:hint="eastAsia" w:ascii="宋体" w:hAnsi="宋体" w:cs="宋体"/>
                <w:b/>
                <w:bCs/>
                <w:kern w:val="0"/>
                <w:szCs w:val="21"/>
              </w:rPr>
              <w:t>其他未列明行业</w:t>
            </w:r>
          </w:p>
        </w:tc>
        <w:tc>
          <w:tcPr>
            <w:tcW w:w="1559" w:type="dxa"/>
            <w:tcBorders>
              <w:top w:val="nil"/>
              <w:left w:val="nil"/>
              <w:bottom w:val="single" w:color="auto" w:sz="4" w:space="0"/>
              <w:right w:val="single" w:color="auto" w:sz="4" w:space="0"/>
            </w:tcBorders>
            <w:vAlign w:val="center"/>
          </w:tcPr>
          <w:p w14:paraId="46A1B8C4">
            <w:pPr>
              <w:widowControl/>
              <w:jc w:val="left"/>
              <w:rPr>
                <w:rFonts w:ascii="宋体" w:hAnsi="宋体" w:cs="宋体"/>
                <w:kern w:val="0"/>
                <w:szCs w:val="21"/>
              </w:rPr>
            </w:pPr>
            <w:r>
              <w:rPr>
                <w:rFonts w:hint="eastAsia" w:ascii="宋体" w:hAnsi="宋体" w:cs="宋体"/>
                <w:kern w:val="0"/>
                <w:szCs w:val="21"/>
              </w:rPr>
              <w:t>从业人员（X）</w:t>
            </w:r>
          </w:p>
        </w:tc>
        <w:tc>
          <w:tcPr>
            <w:tcW w:w="709" w:type="dxa"/>
            <w:tcBorders>
              <w:top w:val="nil"/>
              <w:left w:val="nil"/>
              <w:bottom w:val="single" w:color="auto" w:sz="4" w:space="0"/>
              <w:right w:val="single" w:color="auto" w:sz="4" w:space="0"/>
            </w:tcBorders>
            <w:vAlign w:val="center"/>
          </w:tcPr>
          <w:p w14:paraId="0FD0CBF7">
            <w:pPr>
              <w:widowControl/>
              <w:jc w:val="left"/>
              <w:rPr>
                <w:rFonts w:ascii="宋体" w:hAnsi="宋体" w:cs="宋体"/>
                <w:kern w:val="0"/>
                <w:szCs w:val="21"/>
              </w:rPr>
            </w:pPr>
            <w:r>
              <w:rPr>
                <w:rFonts w:hint="eastAsia" w:ascii="宋体" w:hAnsi="宋体" w:cs="宋体"/>
                <w:kern w:val="0"/>
                <w:szCs w:val="21"/>
              </w:rPr>
              <w:t>人</w:t>
            </w:r>
          </w:p>
        </w:tc>
        <w:tc>
          <w:tcPr>
            <w:tcW w:w="1842" w:type="dxa"/>
            <w:tcBorders>
              <w:top w:val="nil"/>
              <w:left w:val="nil"/>
              <w:bottom w:val="single" w:color="auto" w:sz="4" w:space="0"/>
              <w:right w:val="single" w:color="auto" w:sz="4" w:space="0"/>
            </w:tcBorders>
            <w:vAlign w:val="center"/>
          </w:tcPr>
          <w:p w14:paraId="778A5C8F">
            <w:pPr>
              <w:widowControl/>
              <w:jc w:val="left"/>
              <w:rPr>
                <w:rFonts w:ascii="宋体" w:hAnsi="宋体" w:cs="宋体"/>
                <w:kern w:val="0"/>
                <w:szCs w:val="21"/>
              </w:rPr>
            </w:pPr>
            <w:r>
              <w:rPr>
                <w:rFonts w:hint="eastAsia" w:ascii="宋体" w:hAnsi="宋体" w:cs="宋体"/>
                <w:kern w:val="0"/>
                <w:szCs w:val="21"/>
              </w:rPr>
              <w:t>100≤X＜300</w:t>
            </w:r>
          </w:p>
        </w:tc>
        <w:tc>
          <w:tcPr>
            <w:tcW w:w="1836" w:type="dxa"/>
            <w:tcBorders>
              <w:top w:val="nil"/>
              <w:left w:val="nil"/>
              <w:bottom w:val="single" w:color="auto" w:sz="4" w:space="0"/>
              <w:right w:val="single" w:color="auto" w:sz="4" w:space="0"/>
            </w:tcBorders>
            <w:vAlign w:val="center"/>
          </w:tcPr>
          <w:p w14:paraId="7F1C3DD4">
            <w:pPr>
              <w:widowControl/>
              <w:jc w:val="left"/>
              <w:rPr>
                <w:rFonts w:ascii="宋体" w:hAnsi="宋体" w:cs="宋体"/>
                <w:kern w:val="0"/>
                <w:szCs w:val="21"/>
              </w:rPr>
            </w:pPr>
            <w:r>
              <w:rPr>
                <w:rFonts w:hint="eastAsia" w:ascii="宋体" w:hAnsi="宋体" w:cs="宋体"/>
                <w:kern w:val="0"/>
                <w:szCs w:val="21"/>
              </w:rPr>
              <w:t>10≤X＜100</w:t>
            </w:r>
          </w:p>
        </w:tc>
        <w:tc>
          <w:tcPr>
            <w:tcW w:w="999" w:type="dxa"/>
            <w:tcBorders>
              <w:top w:val="nil"/>
              <w:left w:val="nil"/>
              <w:bottom w:val="single" w:color="auto" w:sz="4" w:space="0"/>
              <w:right w:val="single" w:color="auto" w:sz="4" w:space="0"/>
            </w:tcBorders>
            <w:vAlign w:val="center"/>
          </w:tcPr>
          <w:p w14:paraId="607A9088">
            <w:pPr>
              <w:widowControl/>
              <w:jc w:val="left"/>
              <w:rPr>
                <w:rFonts w:ascii="宋体" w:hAnsi="宋体" w:cs="宋体"/>
                <w:kern w:val="0"/>
                <w:szCs w:val="21"/>
              </w:rPr>
            </w:pPr>
            <w:r>
              <w:rPr>
                <w:rFonts w:hint="eastAsia" w:ascii="宋体" w:hAnsi="宋体" w:cs="宋体"/>
                <w:kern w:val="0"/>
                <w:szCs w:val="21"/>
              </w:rPr>
              <w:t>X＜10</w:t>
            </w:r>
          </w:p>
        </w:tc>
      </w:tr>
    </w:tbl>
    <w:p w14:paraId="3BCC68EC">
      <w:pPr>
        <w:spacing w:line="360" w:lineRule="auto"/>
        <w:ind w:firstLine="525" w:firstLineChars="250"/>
        <w:rPr>
          <w:rFonts w:ascii="宋体" w:hAnsi="宋体" w:cs="宋体"/>
          <w:szCs w:val="21"/>
        </w:rPr>
      </w:pPr>
      <w:r>
        <w:rPr>
          <w:rFonts w:hint="eastAsia" w:ascii="宋体" w:hAnsi="宋体" w:cs="宋体"/>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6081665D">
      <w:pPr>
        <w:snapToGrid w:val="0"/>
        <w:spacing w:before="120" w:beforeLines="50" w:after="50"/>
        <w:ind w:left="142"/>
        <w:jc w:val="left"/>
        <w:rPr>
          <w:rFonts w:ascii="宋体" w:hAnsi="宋体" w:cs="宋体"/>
          <w:b/>
          <w:sz w:val="24"/>
        </w:rPr>
      </w:pPr>
    </w:p>
    <w:p w14:paraId="21D297BC">
      <w:pPr>
        <w:snapToGrid w:val="0"/>
        <w:spacing w:before="120" w:beforeLines="50" w:after="50"/>
        <w:ind w:left="142"/>
        <w:jc w:val="left"/>
        <w:rPr>
          <w:rFonts w:ascii="宋体" w:hAnsi="宋体" w:cs="宋体"/>
          <w:b/>
          <w:sz w:val="24"/>
        </w:rPr>
      </w:pPr>
      <w:r>
        <w:rPr>
          <w:rFonts w:hint="eastAsia" w:ascii="宋体" w:hAnsi="宋体" w:cs="宋体"/>
          <w:sz w:val="24"/>
        </w:rPr>
        <w:br w:type="page"/>
      </w:r>
      <w:r>
        <w:rPr>
          <w:rFonts w:hint="eastAsia" w:ascii="宋体" w:hAnsi="宋体" w:cs="宋体"/>
          <w:sz w:val="24"/>
        </w:rPr>
        <w:t>2</w:t>
      </w:r>
      <w:r>
        <w:rPr>
          <w:rFonts w:hint="eastAsia" w:ascii="宋体" w:hAnsi="宋体" w:cs="宋体"/>
          <w:b/>
          <w:sz w:val="24"/>
        </w:rPr>
        <w:t>.残疾人福利性单位声明函格式</w:t>
      </w:r>
    </w:p>
    <w:p w14:paraId="4E422165">
      <w:pPr>
        <w:spacing w:line="588" w:lineRule="exact"/>
        <w:jc w:val="center"/>
        <w:rPr>
          <w:rFonts w:ascii="宋体" w:hAnsi="宋体" w:cs="宋体"/>
          <w:b/>
          <w:spacing w:val="6"/>
          <w:sz w:val="32"/>
          <w:szCs w:val="32"/>
        </w:rPr>
      </w:pPr>
    </w:p>
    <w:p w14:paraId="3707E378">
      <w:pPr>
        <w:spacing w:line="588" w:lineRule="exact"/>
        <w:jc w:val="center"/>
        <w:rPr>
          <w:rFonts w:ascii="宋体" w:hAnsi="宋体" w:cs="宋体"/>
          <w:bCs/>
          <w:spacing w:val="6"/>
          <w:sz w:val="44"/>
          <w:szCs w:val="44"/>
        </w:rPr>
      </w:pPr>
      <w:r>
        <w:rPr>
          <w:rFonts w:hint="eastAsia" w:ascii="宋体" w:hAnsi="宋体" w:cs="宋体"/>
          <w:bCs/>
          <w:spacing w:val="6"/>
          <w:sz w:val="44"/>
          <w:szCs w:val="44"/>
        </w:rPr>
        <w:t>残疾人福利性单位声明函</w:t>
      </w:r>
    </w:p>
    <w:p w14:paraId="30DDADC2">
      <w:pPr>
        <w:spacing w:line="360" w:lineRule="auto"/>
        <w:contextualSpacing/>
        <w:rPr>
          <w:rFonts w:ascii="宋体" w:hAnsi="宋体" w:cs="宋体"/>
          <w:bCs/>
          <w:spacing w:val="6"/>
          <w:sz w:val="30"/>
          <w:szCs w:val="30"/>
        </w:rPr>
      </w:pPr>
    </w:p>
    <w:p w14:paraId="74E11D02">
      <w:pPr>
        <w:spacing w:line="360" w:lineRule="auto"/>
        <w:ind w:firstLine="504" w:firstLineChars="200"/>
        <w:contextualSpacing/>
        <w:rPr>
          <w:rFonts w:ascii="宋体" w:hAnsi="宋体" w:cs="宋体"/>
          <w:spacing w:val="6"/>
          <w:sz w:val="24"/>
        </w:rPr>
      </w:pPr>
      <w:r>
        <w:rPr>
          <w:rFonts w:hint="eastAsia" w:ascii="宋体" w:hAnsi="宋体" w:cs="宋体"/>
          <w:spacing w:val="6"/>
          <w:sz w:val="24"/>
        </w:rPr>
        <w:t>本单位郑重声明，根据《财政部 民政部 中国残疾人联合会关于促进残疾人就业政府采购政策的通知》（财库</w:t>
      </w:r>
      <w:r>
        <w:rPr>
          <w:rFonts w:hint="eastAsia" w:ascii="宋体" w:hAnsi="宋体" w:cs="宋体"/>
          <w:sz w:val="24"/>
        </w:rPr>
        <w:t>〔2017〕 141</w:t>
      </w:r>
      <w:r>
        <w:rPr>
          <w:rFonts w:hint="eastAsia" w:ascii="宋体" w:hAnsi="宋体" w:cs="宋体"/>
          <w:spacing w:val="6"/>
          <w:sz w:val="24"/>
        </w:rPr>
        <w:t>号）的规定，本单位为符合条件的残疾人福利性单位，且本单位参加____单位的____项目采购活动提供本单位制造的货物（由本单位承担工程/提供服务），或者提供其他残</w:t>
      </w:r>
      <w:r>
        <w:rPr>
          <w:rFonts w:hint="eastAsia" w:ascii="宋体" w:hAnsi="宋体" w:cs="宋体"/>
          <w:spacing w:val="-6"/>
          <w:sz w:val="24"/>
        </w:rPr>
        <w:t>疾人福利性单位制造的货物（不包括使用非残疾人福利性单位注册商标的货物）。</w:t>
      </w:r>
    </w:p>
    <w:p w14:paraId="20B7840D">
      <w:pPr>
        <w:spacing w:line="360" w:lineRule="auto"/>
        <w:ind w:firstLine="504" w:firstLineChars="200"/>
        <w:contextualSpacing/>
        <w:rPr>
          <w:rFonts w:ascii="宋体" w:hAnsi="宋体" w:cs="宋体"/>
          <w:spacing w:val="6"/>
          <w:sz w:val="24"/>
        </w:rPr>
      </w:pPr>
      <w:r>
        <w:rPr>
          <w:rFonts w:hint="eastAsia" w:ascii="宋体" w:hAnsi="宋体" w:cs="宋体"/>
          <w:spacing w:val="6"/>
          <w:sz w:val="24"/>
        </w:rPr>
        <w:t>本单位对上述声明的真实性负责。如有虚假，将依法承担相应责任。</w:t>
      </w:r>
    </w:p>
    <w:p w14:paraId="31749AB2">
      <w:pPr>
        <w:spacing w:line="360" w:lineRule="auto"/>
        <w:ind w:firstLine="504" w:firstLineChars="200"/>
        <w:contextualSpacing/>
        <w:rPr>
          <w:rFonts w:ascii="宋体" w:hAnsi="宋体" w:cs="宋体"/>
          <w:spacing w:val="6"/>
          <w:sz w:val="24"/>
        </w:rPr>
      </w:pPr>
    </w:p>
    <w:p w14:paraId="666FB2A0">
      <w:pPr>
        <w:spacing w:line="360" w:lineRule="auto"/>
        <w:ind w:firstLine="504" w:firstLineChars="200"/>
        <w:contextualSpacing/>
        <w:rPr>
          <w:rFonts w:ascii="宋体" w:hAnsi="宋体" w:cs="宋体"/>
          <w:spacing w:val="6"/>
          <w:sz w:val="24"/>
        </w:rPr>
      </w:pPr>
    </w:p>
    <w:p w14:paraId="07BA5E39">
      <w:pPr>
        <w:tabs>
          <w:tab w:val="left" w:pos="4860"/>
        </w:tabs>
        <w:spacing w:line="360" w:lineRule="auto"/>
        <w:ind w:right="1560" w:firstLine="504" w:firstLineChars="200"/>
        <w:contextualSpacing/>
        <w:jc w:val="center"/>
        <w:rPr>
          <w:rFonts w:ascii="宋体" w:hAnsi="宋体" w:cs="宋体"/>
          <w:spacing w:val="6"/>
          <w:sz w:val="24"/>
        </w:rPr>
      </w:pPr>
      <w:r>
        <w:rPr>
          <w:rFonts w:hint="eastAsia" w:ascii="宋体" w:hAnsi="宋体" w:cs="宋体"/>
          <w:spacing w:val="6"/>
          <w:sz w:val="24"/>
        </w:rPr>
        <w:t>单位名称（电子签章）：</w:t>
      </w:r>
    </w:p>
    <w:p w14:paraId="4ACA2180">
      <w:pPr>
        <w:tabs>
          <w:tab w:val="left" w:pos="4860"/>
        </w:tabs>
        <w:spacing w:line="360" w:lineRule="auto"/>
        <w:ind w:right="1560" w:firstLine="504" w:firstLineChars="200"/>
        <w:contextualSpacing/>
        <w:jc w:val="center"/>
        <w:rPr>
          <w:rFonts w:ascii="宋体" w:hAnsi="宋体" w:cs="宋体"/>
          <w:spacing w:val="6"/>
          <w:sz w:val="24"/>
        </w:rPr>
      </w:pPr>
      <w:r>
        <w:rPr>
          <w:rFonts w:hint="eastAsia" w:ascii="宋体" w:hAnsi="宋体" w:cs="宋体"/>
          <w:spacing w:val="6"/>
          <w:sz w:val="24"/>
        </w:rPr>
        <w:t>日  期：</w:t>
      </w:r>
    </w:p>
    <w:p w14:paraId="28EF4D6C">
      <w:pPr>
        <w:spacing w:line="360" w:lineRule="auto"/>
        <w:contextualSpacing/>
        <w:rPr>
          <w:rFonts w:ascii="宋体" w:hAnsi="宋体" w:cs="宋体"/>
          <w:sz w:val="24"/>
        </w:rPr>
      </w:pPr>
    </w:p>
    <w:p w14:paraId="2D9E09DD">
      <w:pPr>
        <w:spacing w:line="360" w:lineRule="auto"/>
        <w:contextualSpacing/>
        <w:rPr>
          <w:rFonts w:ascii="宋体" w:hAnsi="宋体" w:cs="宋体"/>
          <w:sz w:val="24"/>
        </w:rPr>
      </w:pPr>
    </w:p>
    <w:p w14:paraId="0A6592E6">
      <w:pPr>
        <w:spacing w:line="360" w:lineRule="auto"/>
        <w:contextualSpacing/>
        <w:rPr>
          <w:rFonts w:ascii="宋体" w:hAnsi="宋体" w:cs="宋体"/>
          <w:sz w:val="24"/>
        </w:rPr>
      </w:pPr>
    </w:p>
    <w:p w14:paraId="520499FA">
      <w:pPr>
        <w:spacing w:line="360" w:lineRule="auto"/>
        <w:contextualSpacing/>
        <w:rPr>
          <w:rFonts w:ascii="宋体" w:hAnsi="宋体" w:cs="宋体"/>
          <w:sz w:val="24"/>
        </w:rPr>
      </w:pPr>
      <w:r>
        <w:rPr>
          <w:rFonts w:hint="eastAsia" w:ascii="宋体" w:hAnsi="宋体" w:cs="宋体"/>
          <w:sz w:val="24"/>
        </w:rPr>
        <w:t>注：请根据自己的真实情况出具《残疾人福利性单位声明函》。依法享受中小企业优惠政策的，采购人或者采购代理机构在公告中标结果时，同时公告其《残疾人福利性单位声明函》，接受社会监督。</w:t>
      </w:r>
    </w:p>
    <w:p w14:paraId="3087D235">
      <w:pPr>
        <w:spacing w:line="720" w:lineRule="auto"/>
        <w:rPr>
          <w:rFonts w:ascii="宋体" w:hAnsi="宋体" w:cs="宋体"/>
          <w:b/>
          <w:sz w:val="24"/>
        </w:rPr>
      </w:pPr>
      <w:r>
        <w:rPr>
          <w:rFonts w:hint="eastAsia" w:ascii="宋体" w:hAnsi="宋体" w:cs="宋体"/>
          <w:sz w:val="24"/>
        </w:rPr>
        <w:br w:type="page"/>
      </w:r>
      <w:r>
        <w:rPr>
          <w:rFonts w:hint="eastAsia" w:ascii="宋体" w:hAnsi="宋体" w:cs="宋体"/>
          <w:b/>
          <w:sz w:val="24"/>
        </w:rPr>
        <w:t>3.《关于符合本国产品标准的声明函》或者财政部会同有关部门规定的有关证明文件</w:t>
      </w:r>
    </w:p>
    <w:p w14:paraId="7C23FC74">
      <w:pPr>
        <w:spacing w:line="720" w:lineRule="auto"/>
        <w:jc w:val="center"/>
        <w:rPr>
          <w:rFonts w:ascii="宋体" w:hAnsi="宋体" w:cs="宋体"/>
          <w:sz w:val="28"/>
          <w:szCs w:val="28"/>
        </w:rPr>
      </w:pPr>
      <w:r>
        <w:rPr>
          <w:rFonts w:hint="eastAsia" w:ascii="宋体" w:hAnsi="宋体" w:cs="宋体"/>
          <w:sz w:val="28"/>
          <w:szCs w:val="28"/>
        </w:rPr>
        <w:t>1）关于符合本国产品标准的声明函</w:t>
      </w:r>
    </w:p>
    <w:p w14:paraId="41CFB83C">
      <w:pPr>
        <w:pStyle w:val="43"/>
        <w:shd w:val="clear" w:color="auto" w:fill="FFFFFF"/>
        <w:spacing w:before="0" w:beforeAutospacing="0" w:after="0" w:afterAutospacing="0" w:line="480" w:lineRule="exact"/>
        <w:ind w:firstLine="420" w:firstLineChars="200"/>
        <w:rPr>
          <w:rFonts w:cs="宋体"/>
          <w:color w:val="333333"/>
          <w:sz w:val="21"/>
          <w:szCs w:val="21"/>
        </w:rPr>
      </w:pPr>
      <w:r>
        <w:rPr>
          <w:rFonts w:hint="eastAsia" w:cs="宋体"/>
          <w:color w:val="333333"/>
          <w:sz w:val="21"/>
          <w:szCs w:val="21"/>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1EAB71E">
      <w:pPr>
        <w:pStyle w:val="43"/>
        <w:shd w:val="clear" w:color="auto" w:fill="FFFFFF"/>
        <w:spacing w:before="0" w:beforeAutospacing="0" w:after="0" w:afterAutospacing="0" w:line="480" w:lineRule="exact"/>
        <w:ind w:firstLine="420" w:firstLineChars="200"/>
        <w:rPr>
          <w:rFonts w:cs="宋体"/>
          <w:color w:val="333333"/>
          <w:sz w:val="21"/>
          <w:szCs w:val="21"/>
        </w:rPr>
      </w:pPr>
      <w:r>
        <w:rPr>
          <w:rFonts w:hint="eastAsia" w:cs="宋体"/>
          <w:color w:val="333333"/>
          <w:sz w:val="21"/>
          <w:szCs w:val="21"/>
          <w:shd w:val="clear" w:color="auto" w:fill="FFFFFF"/>
        </w:rPr>
        <w:t>1.</w:t>
      </w:r>
      <w:r>
        <w:rPr>
          <w:rStyle w:val="55"/>
          <w:rFonts w:hint="eastAsia" w:cs="宋体"/>
          <w:color w:val="333333"/>
          <w:sz w:val="21"/>
          <w:szCs w:val="21"/>
          <w:shd w:val="clear" w:color="auto" w:fill="FFFFFF"/>
        </w:rPr>
        <w:t>（产品名称1）</w:t>
      </w:r>
      <w:r>
        <w:rPr>
          <w:rStyle w:val="55"/>
          <w:rFonts w:hint="eastAsia" w:cs="宋体"/>
          <w:color w:val="333333"/>
          <w:sz w:val="21"/>
          <w:szCs w:val="21"/>
          <w:shd w:val="clear" w:color="auto" w:fill="FFFFFF"/>
          <w:vertAlign w:val="superscript"/>
        </w:rPr>
        <w:t>1</w:t>
      </w:r>
      <w:r>
        <w:rPr>
          <w:rFonts w:hint="eastAsia" w:cs="宋体"/>
          <w:color w:val="333333"/>
          <w:sz w:val="21"/>
          <w:szCs w:val="21"/>
          <w:shd w:val="clear" w:color="auto" w:fill="FFFFFF"/>
        </w:rPr>
        <w:t>，生产厂为</w:t>
      </w:r>
      <w:r>
        <w:rPr>
          <w:rStyle w:val="55"/>
          <w:rFonts w:hint="eastAsia" w:cs="宋体"/>
          <w:color w:val="333333"/>
          <w:sz w:val="21"/>
          <w:szCs w:val="21"/>
          <w:shd w:val="clear" w:color="auto" w:fill="FFFFFF"/>
        </w:rPr>
        <w:t>（厂名）</w:t>
      </w:r>
      <w:r>
        <w:rPr>
          <w:rStyle w:val="55"/>
          <w:rFonts w:hint="eastAsia" w:cs="宋体"/>
          <w:color w:val="333333"/>
          <w:sz w:val="21"/>
          <w:szCs w:val="21"/>
          <w:shd w:val="clear" w:color="auto" w:fill="FFFFFF"/>
          <w:vertAlign w:val="superscript"/>
        </w:rPr>
        <w:t>2</w:t>
      </w:r>
      <w:r>
        <w:rPr>
          <w:rFonts w:hint="eastAsia" w:cs="宋体"/>
          <w:color w:val="333333"/>
          <w:sz w:val="21"/>
          <w:szCs w:val="21"/>
          <w:shd w:val="clear" w:color="auto" w:fill="FFFFFF"/>
        </w:rPr>
        <w:t>，厂址为</w:t>
      </w:r>
      <w:r>
        <w:rPr>
          <w:rStyle w:val="55"/>
          <w:rFonts w:hint="eastAsia" w:cs="宋体"/>
          <w:color w:val="333333"/>
          <w:sz w:val="21"/>
          <w:szCs w:val="21"/>
          <w:shd w:val="clear" w:color="auto" w:fill="FFFFFF"/>
        </w:rPr>
        <w:t>（生产厂址）</w:t>
      </w:r>
      <w:r>
        <w:rPr>
          <w:rFonts w:hint="eastAsia" w:cs="宋体"/>
          <w:color w:val="333333"/>
          <w:sz w:val="21"/>
          <w:szCs w:val="21"/>
          <w:shd w:val="clear" w:color="auto" w:fill="FFFFFF"/>
        </w:rPr>
        <w:t>。</w:t>
      </w:r>
      <w:r>
        <w:rPr>
          <w:rStyle w:val="55"/>
          <w:rFonts w:hint="eastAsia" w:cs="宋体"/>
          <w:color w:val="333333"/>
          <w:sz w:val="21"/>
          <w:szCs w:val="21"/>
          <w:shd w:val="clear" w:color="auto" w:fill="FFFFFF"/>
        </w:rPr>
        <w:t>（产品名称1）</w:t>
      </w:r>
      <w:r>
        <w:rPr>
          <w:rFonts w:hint="eastAsia" w:cs="宋体"/>
          <w:color w:val="333333"/>
          <w:sz w:val="21"/>
          <w:szCs w:val="21"/>
          <w:shd w:val="clear" w:color="auto" w:fill="FFFFFF"/>
        </w:rPr>
        <w:t>的中国境内生产的组件成本占比≥</w:t>
      </w:r>
      <w:r>
        <w:rPr>
          <w:rStyle w:val="55"/>
          <w:rFonts w:hint="eastAsia" w:cs="宋体"/>
          <w:color w:val="333333"/>
          <w:sz w:val="21"/>
          <w:szCs w:val="21"/>
          <w:shd w:val="clear" w:color="auto" w:fill="FFFFFF"/>
        </w:rPr>
        <w:t>（规定比例）</w:t>
      </w:r>
      <w:r>
        <w:rPr>
          <w:rStyle w:val="55"/>
          <w:rFonts w:hint="eastAsia" w:cs="宋体"/>
          <w:color w:val="333333"/>
          <w:sz w:val="21"/>
          <w:szCs w:val="21"/>
          <w:shd w:val="clear" w:color="auto" w:fill="FFFFFF"/>
          <w:vertAlign w:val="superscript"/>
        </w:rPr>
        <w:t>3</w:t>
      </w:r>
      <w:r>
        <w:rPr>
          <w:rFonts w:hint="eastAsia" w:cs="宋体"/>
          <w:color w:val="333333"/>
          <w:sz w:val="21"/>
          <w:szCs w:val="21"/>
          <w:shd w:val="clear" w:color="auto" w:fill="FFFFFF"/>
        </w:rPr>
        <w:t>。</w:t>
      </w:r>
      <w:r>
        <w:rPr>
          <w:rStyle w:val="55"/>
          <w:rFonts w:hint="eastAsia" w:cs="宋体"/>
          <w:color w:val="333333"/>
          <w:sz w:val="21"/>
          <w:szCs w:val="21"/>
          <w:shd w:val="clear" w:color="auto" w:fill="FFFFFF"/>
        </w:rPr>
        <w:t>（产品名称1）</w:t>
      </w:r>
      <w:r>
        <w:rPr>
          <w:rFonts w:hint="eastAsia" w:cs="宋体"/>
          <w:color w:val="333333"/>
          <w:sz w:val="21"/>
          <w:szCs w:val="21"/>
          <w:shd w:val="clear" w:color="auto" w:fill="FFFFFF"/>
        </w:rPr>
        <w:t>的</w:t>
      </w:r>
      <w:r>
        <w:rPr>
          <w:rStyle w:val="55"/>
          <w:rFonts w:hint="eastAsia" w:cs="宋体"/>
          <w:color w:val="333333"/>
          <w:sz w:val="21"/>
          <w:szCs w:val="21"/>
          <w:shd w:val="clear" w:color="auto" w:fill="FFFFFF"/>
        </w:rPr>
        <w:t>（关键组件）</w:t>
      </w:r>
      <w:r>
        <w:rPr>
          <w:rStyle w:val="55"/>
          <w:rFonts w:hint="eastAsia" w:cs="宋体"/>
          <w:color w:val="333333"/>
          <w:sz w:val="21"/>
          <w:szCs w:val="21"/>
          <w:shd w:val="clear" w:color="auto" w:fill="FFFFFF"/>
          <w:vertAlign w:val="superscript"/>
        </w:rPr>
        <w:t>4</w:t>
      </w:r>
      <w:r>
        <w:rPr>
          <w:rFonts w:hint="eastAsia" w:cs="宋体"/>
          <w:color w:val="333333"/>
          <w:sz w:val="21"/>
          <w:szCs w:val="21"/>
          <w:shd w:val="clear" w:color="auto" w:fill="FFFFFF"/>
        </w:rPr>
        <w:t>在中国境内生产。</w:t>
      </w:r>
      <w:r>
        <w:rPr>
          <w:rStyle w:val="55"/>
          <w:rFonts w:hint="eastAsia" w:cs="宋体"/>
          <w:color w:val="333333"/>
          <w:sz w:val="21"/>
          <w:szCs w:val="21"/>
          <w:shd w:val="clear" w:color="auto" w:fill="FFFFFF"/>
        </w:rPr>
        <w:t>（产品名称1）</w:t>
      </w:r>
      <w:r>
        <w:rPr>
          <w:rFonts w:hint="eastAsia" w:cs="宋体"/>
          <w:color w:val="333333"/>
          <w:sz w:val="21"/>
          <w:szCs w:val="21"/>
          <w:shd w:val="clear" w:color="auto" w:fill="FFFFFF"/>
        </w:rPr>
        <w:t>的</w:t>
      </w:r>
      <w:r>
        <w:rPr>
          <w:rStyle w:val="55"/>
          <w:rFonts w:hint="eastAsia" w:cs="宋体"/>
          <w:color w:val="333333"/>
          <w:sz w:val="21"/>
          <w:szCs w:val="21"/>
          <w:shd w:val="clear" w:color="auto" w:fill="FFFFFF"/>
        </w:rPr>
        <w:t>（关键工序）</w:t>
      </w:r>
      <w:r>
        <w:rPr>
          <w:rStyle w:val="55"/>
          <w:rFonts w:hint="eastAsia" w:cs="宋体"/>
          <w:color w:val="333333"/>
          <w:sz w:val="21"/>
          <w:szCs w:val="21"/>
          <w:shd w:val="clear" w:color="auto" w:fill="FFFFFF"/>
          <w:vertAlign w:val="superscript"/>
        </w:rPr>
        <w:t>5</w:t>
      </w:r>
      <w:r>
        <w:rPr>
          <w:rFonts w:hint="eastAsia" w:cs="宋体"/>
          <w:color w:val="333333"/>
          <w:sz w:val="21"/>
          <w:szCs w:val="21"/>
          <w:shd w:val="clear" w:color="auto" w:fill="FFFFFF"/>
        </w:rPr>
        <w:t>在中国境内完成。</w:t>
      </w:r>
    </w:p>
    <w:p w14:paraId="7961D29D">
      <w:pPr>
        <w:pStyle w:val="43"/>
        <w:shd w:val="clear" w:color="auto" w:fill="FFFFFF"/>
        <w:spacing w:before="0" w:beforeAutospacing="0" w:after="0" w:afterAutospacing="0" w:line="480" w:lineRule="exact"/>
        <w:ind w:firstLine="420" w:firstLineChars="200"/>
        <w:rPr>
          <w:rFonts w:cs="宋体"/>
          <w:color w:val="333333"/>
          <w:sz w:val="21"/>
          <w:szCs w:val="21"/>
        </w:rPr>
      </w:pPr>
      <w:r>
        <w:rPr>
          <w:rFonts w:hint="eastAsia" w:cs="宋体"/>
          <w:color w:val="333333"/>
          <w:sz w:val="21"/>
          <w:szCs w:val="21"/>
          <w:shd w:val="clear" w:color="auto" w:fill="FFFFFF"/>
        </w:rPr>
        <w:t>2.</w:t>
      </w:r>
      <w:r>
        <w:rPr>
          <w:rStyle w:val="55"/>
          <w:rFonts w:hint="eastAsia" w:cs="宋体"/>
          <w:color w:val="333333"/>
          <w:sz w:val="21"/>
          <w:szCs w:val="21"/>
          <w:shd w:val="clear" w:color="auto" w:fill="FFFFFF"/>
        </w:rPr>
        <w:t>（产品名称2）</w:t>
      </w:r>
      <w:r>
        <w:rPr>
          <w:rFonts w:hint="eastAsia" w:cs="宋体"/>
          <w:color w:val="333333"/>
          <w:sz w:val="21"/>
          <w:szCs w:val="21"/>
          <w:shd w:val="clear" w:color="auto" w:fill="FFFFFF"/>
        </w:rPr>
        <w:t>，生产厂为</w:t>
      </w:r>
      <w:r>
        <w:rPr>
          <w:rStyle w:val="55"/>
          <w:rFonts w:hint="eastAsia" w:cs="宋体"/>
          <w:color w:val="333333"/>
          <w:sz w:val="21"/>
          <w:szCs w:val="21"/>
          <w:shd w:val="clear" w:color="auto" w:fill="FFFFFF"/>
        </w:rPr>
        <w:t>（厂名）</w:t>
      </w:r>
      <w:r>
        <w:rPr>
          <w:rFonts w:hint="eastAsia" w:cs="宋体"/>
          <w:color w:val="333333"/>
          <w:sz w:val="21"/>
          <w:szCs w:val="21"/>
          <w:shd w:val="clear" w:color="auto" w:fill="FFFFFF"/>
        </w:rPr>
        <w:t>，厂址为</w:t>
      </w:r>
      <w:r>
        <w:rPr>
          <w:rStyle w:val="55"/>
          <w:rFonts w:hint="eastAsia" w:cs="宋体"/>
          <w:color w:val="333333"/>
          <w:sz w:val="21"/>
          <w:szCs w:val="21"/>
          <w:shd w:val="clear" w:color="auto" w:fill="FFFFFF"/>
        </w:rPr>
        <w:t>（生产厂址）</w:t>
      </w:r>
      <w:r>
        <w:rPr>
          <w:rFonts w:hint="eastAsia" w:cs="宋体"/>
          <w:color w:val="333333"/>
          <w:sz w:val="21"/>
          <w:szCs w:val="21"/>
          <w:shd w:val="clear" w:color="auto" w:fill="FFFFFF"/>
        </w:rPr>
        <w:t>。</w:t>
      </w:r>
      <w:r>
        <w:rPr>
          <w:rStyle w:val="55"/>
          <w:rFonts w:hint="eastAsia" w:cs="宋体"/>
          <w:color w:val="333333"/>
          <w:sz w:val="21"/>
          <w:szCs w:val="21"/>
          <w:shd w:val="clear" w:color="auto" w:fill="FFFFFF"/>
        </w:rPr>
        <w:t>（产品名称2）</w:t>
      </w:r>
      <w:r>
        <w:rPr>
          <w:rFonts w:hint="eastAsia" w:cs="宋体"/>
          <w:color w:val="333333"/>
          <w:sz w:val="21"/>
          <w:szCs w:val="21"/>
          <w:shd w:val="clear" w:color="auto" w:fill="FFFFFF"/>
        </w:rPr>
        <w:t>的中国境内生产的组件成本占比≥</w:t>
      </w:r>
      <w:r>
        <w:rPr>
          <w:rStyle w:val="55"/>
          <w:rFonts w:hint="eastAsia" w:cs="宋体"/>
          <w:color w:val="333333"/>
          <w:sz w:val="21"/>
          <w:szCs w:val="21"/>
          <w:shd w:val="clear" w:color="auto" w:fill="FFFFFF"/>
        </w:rPr>
        <w:t>（规定比例）</w:t>
      </w:r>
      <w:r>
        <w:rPr>
          <w:rFonts w:hint="eastAsia" w:cs="宋体"/>
          <w:color w:val="333333"/>
          <w:sz w:val="21"/>
          <w:szCs w:val="21"/>
          <w:shd w:val="clear" w:color="auto" w:fill="FFFFFF"/>
        </w:rPr>
        <w:t>。</w:t>
      </w:r>
      <w:r>
        <w:rPr>
          <w:rStyle w:val="55"/>
          <w:rFonts w:hint="eastAsia" w:cs="宋体"/>
          <w:color w:val="333333"/>
          <w:sz w:val="21"/>
          <w:szCs w:val="21"/>
          <w:shd w:val="clear" w:color="auto" w:fill="FFFFFF"/>
        </w:rPr>
        <w:t>（产品名称2）</w:t>
      </w:r>
      <w:r>
        <w:rPr>
          <w:rFonts w:hint="eastAsia" w:cs="宋体"/>
          <w:color w:val="333333"/>
          <w:sz w:val="21"/>
          <w:szCs w:val="21"/>
          <w:shd w:val="clear" w:color="auto" w:fill="FFFFFF"/>
        </w:rPr>
        <w:t>的</w:t>
      </w:r>
      <w:r>
        <w:rPr>
          <w:rStyle w:val="55"/>
          <w:rFonts w:hint="eastAsia" w:cs="宋体"/>
          <w:color w:val="333333"/>
          <w:sz w:val="21"/>
          <w:szCs w:val="21"/>
          <w:shd w:val="clear" w:color="auto" w:fill="FFFFFF"/>
        </w:rPr>
        <w:t>（关键组件）</w:t>
      </w:r>
      <w:r>
        <w:rPr>
          <w:rFonts w:hint="eastAsia" w:cs="宋体"/>
          <w:color w:val="333333"/>
          <w:sz w:val="21"/>
          <w:szCs w:val="21"/>
          <w:shd w:val="clear" w:color="auto" w:fill="FFFFFF"/>
        </w:rPr>
        <w:t>在中国境内生产。</w:t>
      </w:r>
      <w:r>
        <w:rPr>
          <w:rStyle w:val="55"/>
          <w:rFonts w:hint="eastAsia" w:cs="宋体"/>
          <w:color w:val="333333"/>
          <w:sz w:val="21"/>
          <w:szCs w:val="21"/>
          <w:shd w:val="clear" w:color="auto" w:fill="FFFFFF"/>
        </w:rPr>
        <w:t>（产品名称2）</w:t>
      </w:r>
      <w:r>
        <w:rPr>
          <w:rFonts w:hint="eastAsia" w:cs="宋体"/>
          <w:color w:val="333333"/>
          <w:sz w:val="21"/>
          <w:szCs w:val="21"/>
          <w:shd w:val="clear" w:color="auto" w:fill="FFFFFF"/>
        </w:rPr>
        <w:t>的</w:t>
      </w:r>
      <w:r>
        <w:rPr>
          <w:rStyle w:val="55"/>
          <w:rFonts w:hint="eastAsia" w:cs="宋体"/>
          <w:color w:val="333333"/>
          <w:sz w:val="21"/>
          <w:szCs w:val="21"/>
          <w:shd w:val="clear" w:color="auto" w:fill="FFFFFF"/>
        </w:rPr>
        <w:t>（关键工序）</w:t>
      </w:r>
      <w:r>
        <w:rPr>
          <w:rFonts w:hint="eastAsia" w:cs="宋体"/>
          <w:color w:val="333333"/>
          <w:sz w:val="21"/>
          <w:szCs w:val="21"/>
          <w:shd w:val="clear" w:color="auto" w:fill="FFFFFF"/>
        </w:rPr>
        <w:t>在中国境内完成。</w:t>
      </w:r>
    </w:p>
    <w:p w14:paraId="7A45C11A">
      <w:pPr>
        <w:pStyle w:val="43"/>
        <w:shd w:val="clear" w:color="auto" w:fill="FFFFFF"/>
        <w:spacing w:before="0" w:beforeAutospacing="0" w:after="0" w:afterAutospacing="0" w:line="480" w:lineRule="exact"/>
        <w:ind w:firstLine="420" w:firstLineChars="200"/>
        <w:rPr>
          <w:rFonts w:cs="宋体"/>
          <w:color w:val="333333"/>
          <w:sz w:val="21"/>
          <w:szCs w:val="21"/>
        </w:rPr>
      </w:pPr>
      <w:r>
        <w:rPr>
          <w:rFonts w:hint="eastAsia" w:cs="宋体"/>
          <w:color w:val="333333"/>
          <w:sz w:val="21"/>
          <w:szCs w:val="21"/>
          <w:shd w:val="clear" w:color="auto" w:fill="FFFFFF"/>
        </w:rPr>
        <w:t>……</w:t>
      </w:r>
    </w:p>
    <w:p w14:paraId="2C15AEA2">
      <w:pPr>
        <w:pStyle w:val="43"/>
        <w:shd w:val="clear" w:color="auto" w:fill="FFFFFF"/>
        <w:spacing w:before="0" w:beforeAutospacing="0" w:after="0" w:afterAutospacing="0" w:line="480" w:lineRule="exact"/>
        <w:ind w:firstLine="420" w:firstLineChars="200"/>
        <w:rPr>
          <w:rFonts w:cs="宋体"/>
          <w:color w:val="333333"/>
          <w:sz w:val="21"/>
          <w:szCs w:val="21"/>
        </w:rPr>
      </w:pPr>
      <w:r>
        <w:rPr>
          <w:rFonts w:hint="eastAsia" w:cs="宋体"/>
          <w:color w:val="333333"/>
          <w:sz w:val="21"/>
          <w:szCs w:val="21"/>
          <w:shd w:val="clear" w:color="auto" w:fill="FFFFFF"/>
        </w:rPr>
        <w:t>本公司（单位）对上述声明内容的真实性负责。如有虚假，愿承担相应法律责任。</w:t>
      </w:r>
    </w:p>
    <w:p w14:paraId="392C60DA">
      <w:pPr>
        <w:pStyle w:val="43"/>
        <w:shd w:val="clear" w:color="auto" w:fill="FFFFFF"/>
        <w:spacing w:before="0" w:beforeAutospacing="0" w:after="0" w:afterAutospacing="0" w:line="480" w:lineRule="exact"/>
        <w:ind w:firstLine="420" w:firstLineChars="200"/>
        <w:rPr>
          <w:rFonts w:cs="宋体"/>
          <w:color w:val="333333"/>
          <w:sz w:val="21"/>
          <w:szCs w:val="21"/>
          <w:shd w:val="clear" w:color="auto" w:fill="FFFFFF"/>
        </w:rPr>
      </w:pPr>
    </w:p>
    <w:p w14:paraId="5233B031">
      <w:pPr>
        <w:pStyle w:val="43"/>
        <w:shd w:val="clear" w:color="auto" w:fill="FFFFFF"/>
        <w:spacing w:before="0" w:beforeAutospacing="0" w:after="0" w:afterAutospacing="0" w:line="480" w:lineRule="exact"/>
        <w:ind w:firstLine="420" w:firstLineChars="200"/>
        <w:rPr>
          <w:rFonts w:cs="宋体"/>
          <w:color w:val="333333"/>
          <w:sz w:val="21"/>
          <w:szCs w:val="21"/>
        </w:rPr>
      </w:pPr>
      <w:r>
        <w:rPr>
          <w:rFonts w:hint="eastAsia" w:cs="宋体"/>
          <w:color w:val="333333"/>
          <w:sz w:val="21"/>
          <w:szCs w:val="21"/>
          <w:shd w:val="clear" w:color="auto" w:fill="FFFFFF"/>
        </w:rPr>
        <w:t>公司（单位）名称（盖章）：      </w:t>
      </w:r>
    </w:p>
    <w:p w14:paraId="66572A5B">
      <w:pPr>
        <w:pStyle w:val="43"/>
        <w:shd w:val="clear" w:color="auto" w:fill="FFFFFF"/>
        <w:spacing w:before="0" w:beforeAutospacing="0" w:after="0" w:afterAutospacing="0" w:line="480" w:lineRule="exact"/>
        <w:ind w:firstLine="420" w:firstLineChars="200"/>
        <w:rPr>
          <w:rFonts w:cs="宋体"/>
          <w:color w:val="333333"/>
          <w:sz w:val="21"/>
          <w:szCs w:val="21"/>
        </w:rPr>
      </w:pPr>
      <w:r>
        <w:rPr>
          <w:rFonts w:hint="eastAsia" w:cs="宋体"/>
          <w:color w:val="333333"/>
          <w:sz w:val="21"/>
          <w:szCs w:val="21"/>
          <w:shd w:val="clear" w:color="auto" w:fill="FFFFFF"/>
        </w:rPr>
        <w:t>日期：　　　年　　月　日    </w:t>
      </w:r>
    </w:p>
    <w:p w14:paraId="059C673F">
      <w:pPr>
        <w:spacing w:line="400" w:lineRule="exact"/>
        <w:ind w:firstLine="420" w:firstLineChars="200"/>
        <w:jc w:val="left"/>
        <w:rPr>
          <w:rFonts w:ascii="宋体" w:hAnsi="宋体" w:cs="宋体"/>
          <w:color w:val="000000"/>
          <w:szCs w:val="21"/>
        </w:rPr>
      </w:pPr>
    </w:p>
    <w:p w14:paraId="108463EB">
      <w:pPr>
        <w:spacing w:line="400" w:lineRule="exact"/>
        <w:ind w:firstLine="420" w:firstLineChars="200"/>
        <w:jc w:val="left"/>
        <w:rPr>
          <w:rFonts w:ascii="宋体" w:hAnsi="宋体" w:cs="宋体"/>
          <w:color w:val="000000"/>
          <w:szCs w:val="21"/>
        </w:rPr>
      </w:pPr>
    </w:p>
    <w:p w14:paraId="3A752816">
      <w:pPr>
        <w:spacing w:line="480" w:lineRule="exact"/>
        <w:ind w:firstLine="420" w:firstLineChars="200"/>
        <w:jc w:val="left"/>
        <w:rPr>
          <w:rFonts w:ascii="宋体" w:hAnsi="宋体" w:cs="宋体"/>
          <w:color w:val="000000"/>
          <w:szCs w:val="21"/>
        </w:rPr>
      </w:pPr>
      <w:r>
        <w:rPr>
          <w:rFonts w:hint="eastAsia" w:ascii="宋体" w:hAnsi="宋体" w:cs="宋体"/>
          <w:color w:val="000000"/>
          <w:szCs w:val="21"/>
        </w:rPr>
        <w:t xml:space="preserve">关于符合本国产品标准的声明函说明： </w:t>
      </w:r>
    </w:p>
    <w:p w14:paraId="2DA25176">
      <w:pPr>
        <w:pStyle w:val="43"/>
        <w:shd w:val="clear" w:color="auto" w:fill="FFFFFF"/>
        <w:spacing w:before="0" w:beforeAutospacing="0" w:after="0" w:afterAutospacing="0" w:line="480" w:lineRule="exact"/>
        <w:ind w:firstLine="420"/>
        <w:rPr>
          <w:rFonts w:cs="宋体"/>
          <w:color w:val="333333"/>
          <w:sz w:val="21"/>
          <w:szCs w:val="21"/>
        </w:rPr>
      </w:pPr>
      <w:r>
        <w:rPr>
          <w:rFonts w:hint="eastAsia" w:cs="宋体"/>
          <w:color w:val="333333"/>
          <w:sz w:val="21"/>
          <w:szCs w:val="21"/>
          <w:shd w:val="clear" w:color="auto" w:fill="FFFFFF"/>
        </w:rPr>
        <w:t>1.产品如有型号，请在“产品名称”栏一并填写。</w:t>
      </w:r>
    </w:p>
    <w:p w14:paraId="34B55C2A">
      <w:pPr>
        <w:pStyle w:val="43"/>
        <w:shd w:val="clear" w:color="auto" w:fill="FFFFFF"/>
        <w:spacing w:before="0" w:beforeAutospacing="0" w:after="0" w:afterAutospacing="0" w:line="480" w:lineRule="exact"/>
        <w:ind w:firstLine="420"/>
        <w:rPr>
          <w:rFonts w:cs="宋体"/>
          <w:color w:val="333333"/>
          <w:sz w:val="21"/>
          <w:szCs w:val="21"/>
        </w:rPr>
      </w:pPr>
      <w:r>
        <w:rPr>
          <w:rFonts w:hint="eastAsia" w:cs="宋体"/>
          <w:color w:val="333333"/>
          <w:sz w:val="21"/>
          <w:szCs w:val="21"/>
          <w:shd w:val="clear" w:color="auto" w:fill="FFFFFF"/>
        </w:rPr>
        <w:t>2.生产厂名与厂址应与生产厂营业执照载明的相关信息保持一致。</w:t>
      </w:r>
    </w:p>
    <w:p w14:paraId="26B57423">
      <w:pPr>
        <w:pStyle w:val="43"/>
        <w:shd w:val="clear" w:color="auto" w:fill="FFFFFF"/>
        <w:spacing w:before="0" w:beforeAutospacing="0" w:after="0" w:afterAutospacing="0" w:line="480" w:lineRule="exact"/>
        <w:ind w:firstLine="420"/>
        <w:rPr>
          <w:rFonts w:cs="宋体"/>
          <w:color w:val="333333"/>
          <w:sz w:val="21"/>
          <w:szCs w:val="21"/>
        </w:rPr>
      </w:pPr>
      <w:r>
        <w:rPr>
          <w:rFonts w:hint="eastAsia" w:cs="宋体"/>
          <w:color w:val="333333"/>
          <w:sz w:val="21"/>
          <w:szCs w:val="21"/>
          <w:shd w:val="clear" w:color="auto" w:fill="FFFFFF"/>
        </w:rPr>
        <w:t>3.该产品的中国境内生产的组件成本占比相关要求实施前，“规定比例”栏可不填，下同。</w:t>
      </w:r>
    </w:p>
    <w:p w14:paraId="57352D85">
      <w:pPr>
        <w:pStyle w:val="43"/>
        <w:shd w:val="clear" w:color="auto" w:fill="FFFFFF"/>
        <w:spacing w:before="0" w:beforeAutospacing="0" w:after="0" w:afterAutospacing="0" w:line="480" w:lineRule="exact"/>
        <w:ind w:firstLine="420"/>
        <w:rPr>
          <w:rFonts w:cs="宋体"/>
          <w:color w:val="333333"/>
          <w:sz w:val="21"/>
          <w:szCs w:val="21"/>
        </w:rPr>
      </w:pPr>
      <w:r>
        <w:rPr>
          <w:rFonts w:hint="eastAsia" w:cs="宋体"/>
          <w:color w:val="333333"/>
          <w:sz w:val="21"/>
          <w:szCs w:val="21"/>
          <w:shd w:val="clear" w:color="auto" w:fill="FFFFFF"/>
        </w:rPr>
        <w:t>4.该产品的关键组件要求实施前，“关键组件”栏可不填，下同。</w:t>
      </w:r>
    </w:p>
    <w:p w14:paraId="12987E39">
      <w:pPr>
        <w:pStyle w:val="43"/>
        <w:shd w:val="clear" w:color="auto" w:fill="FFFFFF"/>
        <w:spacing w:before="0" w:beforeAutospacing="0" w:after="0" w:afterAutospacing="0" w:line="480" w:lineRule="exact"/>
        <w:ind w:firstLine="420"/>
        <w:rPr>
          <w:rFonts w:cs="宋体"/>
          <w:color w:val="333333"/>
          <w:sz w:val="21"/>
          <w:szCs w:val="21"/>
        </w:rPr>
      </w:pPr>
      <w:r>
        <w:rPr>
          <w:rFonts w:hint="eastAsia" w:cs="宋体"/>
          <w:color w:val="333333"/>
          <w:sz w:val="21"/>
          <w:szCs w:val="21"/>
          <w:shd w:val="clear" w:color="auto" w:fill="FFFFFF"/>
        </w:rPr>
        <w:t>5.该产品的关键工序要求实施前，“关键工序”栏可不填，下同。</w:t>
      </w:r>
    </w:p>
    <w:p w14:paraId="53655D8A">
      <w:pPr>
        <w:spacing w:line="720" w:lineRule="auto"/>
        <w:jc w:val="center"/>
        <w:rPr>
          <w:rFonts w:ascii="宋体" w:hAnsi="宋体" w:cs="宋体"/>
          <w:b/>
          <w:bCs/>
          <w:color w:val="000000"/>
          <w:sz w:val="28"/>
          <w:szCs w:val="28"/>
        </w:rPr>
      </w:pPr>
      <w:r>
        <w:br w:type="page"/>
      </w:r>
      <w:r>
        <w:rPr>
          <w:rFonts w:hint="eastAsia" w:ascii="宋体" w:hAnsi="宋体" w:cs="宋体"/>
          <w:b/>
          <w:bCs/>
          <w:color w:val="000000"/>
          <w:sz w:val="28"/>
          <w:szCs w:val="28"/>
        </w:rPr>
        <w:t>2）</w:t>
      </w:r>
      <w:r>
        <w:rPr>
          <w:rFonts w:ascii="宋体" w:hAnsi="宋体" w:cs="宋体"/>
          <w:b/>
          <w:bCs/>
          <w:color w:val="000000"/>
          <w:sz w:val="28"/>
          <w:szCs w:val="28"/>
        </w:rPr>
        <w:t>关于本国产品比例的承诺函（如适用）</w:t>
      </w:r>
    </w:p>
    <w:p w14:paraId="1990BCF7">
      <w:pPr>
        <w:spacing w:line="400" w:lineRule="exact"/>
        <w:ind w:firstLine="420" w:firstLineChars="200"/>
        <w:jc w:val="left"/>
        <w:rPr>
          <w:rFonts w:ascii="宋体" w:hAnsi="宋体" w:cs="宋体"/>
          <w:color w:val="333333"/>
          <w:kern w:val="0"/>
          <w:szCs w:val="21"/>
          <w:shd w:val="clear" w:color="auto" w:fill="FFFFFF"/>
        </w:rPr>
      </w:pPr>
      <w:r>
        <w:rPr>
          <w:rFonts w:hint="eastAsia" w:ascii="宋体" w:hAnsi="宋体" w:cs="宋体"/>
          <w:color w:val="333333"/>
          <w:kern w:val="0"/>
          <w:szCs w:val="21"/>
          <w:shd w:val="clear" w:color="auto" w:fill="FFFFFF"/>
        </w:rPr>
        <w:t>本公司(单位)郑重声明，根据《国务院办公厅关于在政府采购中实施本国产品标准及相关政策的通知》(国办发(2025)34号)的规定，本公司(单位)提供的符合本国产品标准的产品成本之和占提供的全部产品成本之和的比例达到 80%以上。</w:t>
      </w:r>
    </w:p>
    <w:p w14:paraId="1B1D37D6">
      <w:pPr>
        <w:spacing w:line="400" w:lineRule="exact"/>
        <w:ind w:firstLine="420" w:firstLineChars="200"/>
        <w:jc w:val="left"/>
        <w:rPr>
          <w:rFonts w:ascii="宋体" w:hAnsi="宋体" w:cs="宋体"/>
          <w:color w:val="333333"/>
          <w:kern w:val="0"/>
          <w:szCs w:val="21"/>
          <w:shd w:val="clear" w:color="auto" w:fill="FFFFFF"/>
        </w:rPr>
      </w:pPr>
      <w:r>
        <w:rPr>
          <w:rFonts w:hint="eastAsia" w:ascii="宋体" w:hAnsi="宋体" w:cs="宋体"/>
          <w:color w:val="333333"/>
          <w:kern w:val="0"/>
          <w:szCs w:val="21"/>
          <w:shd w:val="clear" w:color="auto" w:fill="FFFFFF"/>
        </w:rPr>
        <w:t>本公司(单位)对上述承诺内容的真实性负责。如有虚假，愿承担相应法律责任。</w:t>
      </w:r>
    </w:p>
    <w:p w14:paraId="354DE4B5">
      <w:pPr>
        <w:pStyle w:val="43"/>
        <w:shd w:val="clear" w:color="auto" w:fill="FFFFFF"/>
        <w:spacing w:before="0" w:beforeAutospacing="0" w:after="0" w:afterAutospacing="0" w:line="480" w:lineRule="exact"/>
        <w:rPr>
          <w:rFonts w:cs="宋体"/>
          <w:color w:val="333333"/>
          <w:sz w:val="21"/>
          <w:szCs w:val="21"/>
          <w:shd w:val="clear" w:color="auto" w:fill="FFFFFF"/>
        </w:rPr>
      </w:pPr>
    </w:p>
    <w:p w14:paraId="7BCE06E9">
      <w:pPr>
        <w:pStyle w:val="43"/>
        <w:shd w:val="clear" w:color="auto" w:fill="FFFFFF"/>
        <w:spacing w:before="0" w:beforeAutospacing="0" w:after="0" w:afterAutospacing="0" w:line="480" w:lineRule="exact"/>
        <w:ind w:firstLine="210" w:firstLineChars="100"/>
        <w:rPr>
          <w:rFonts w:cs="宋体"/>
          <w:color w:val="333333"/>
          <w:sz w:val="21"/>
          <w:szCs w:val="21"/>
        </w:rPr>
      </w:pPr>
      <w:r>
        <w:rPr>
          <w:rFonts w:hint="eastAsia" w:cs="宋体"/>
          <w:color w:val="333333"/>
          <w:sz w:val="21"/>
          <w:szCs w:val="21"/>
          <w:shd w:val="clear" w:color="auto" w:fill="FFFFFF"/>
        </w:rPr>
        <w:t>公司（单位）名称（盖章）：      </w:t>
      </w:r>
    </w:p>
    <w:p w14:paraId="3EF6A6E5">
      <w:pPr>
        <w:spacing w:line="720" w:lineRule="auto"/>
        <w:ind w:firstLine="210" w:firstLineChars="100"/>
        <w:rPr>
          <w:rFonts w:ascii="宋体" w:hAnsi="宋体" w:cs="宋体"/>
          <w:color w:val="000000"/>
          <w:sz w:val="24"/>
        </w:rPr>
      </w:pPr>
      <w:r>
        <w:rPr>
          <w:rFonts w:hint="eastAsia" w:ascii="宋体" w:hAnsi="宋体" w:cs="宋体"/>
          <w:color w:val="333333"/>
          <w:szCs w:val="21"/>
          <w:shd w:val="clear" w:color="auto" w:fill="FFFFFF"/>
        </w:rPr>
        <w:t>日期：　　　年　　 月 　日   </w:t>
      </w:r>
    </w:p>
    <w:p w14:paraId="0FBF08B9">
      <w:pPr>
        <w:spacing w:line="360" w:lineRule="auto"/>
        <w:jc w:val="left"/>
        <w:rPr>
          <w:rFonts w:ascii="宋体" w:hAnsi="宋体" w:cs="宋体"/>
          <w:b/>
          <w:sz w:val="24"/>
        </w:rPr>
      </w:pPr>
      <w:r>
        <w:rPr>
          <w:rFonts w:hint="eastAsia" w:ascii="宋体" w:hAnsi="宋体" w:cs="宋体"/>
          <w:color w:val="333333"/>
          <w:kern w:val="0"/>
          <w:szCs w:val="21"/>
          <w:shd w:val="clear" w:color="auto" w:fill="FFFFFF"/>
        </w:rPr>
        <w:t>注：当采购项目或采购包中含有多种产品，符合有关政策的，供应商还应当提供本承诺函。</w:t>
      </w:r>
      <w:r>
        <w:br w:type="page"/>
      </w:r>
      <w:r>
        <w:rPr>
          <w:rFonts w:hint="eastAsia" w:ascii="宋体" w:hAnsi="宋体" w:cs="宋体"/>
          <w:b/>
          <w:sz w:val="24"/>
        </w:rPr>
        <w:t>4.质疑函（格式）</w:t>
      </w:r>
    </w:p>
    <w:p w14:paraId="37139764">
      <w:pPr>
        <w:spacing w:line="360" w:lineRule="auto"/>
        <w:jc w:val="center"/>
        <w:rPr>
          <w:rFonts w:ascii="宋体" w:hAnsi="宋体" w:cs="宋体"/>
          <w:sz w:val="44"/>
          <w:szCs w:val="44"/>
        </w:rPr>
      </w:pPr>
      <w:r>
        <w:rPr>
          <w:rFonts w:hint="eastAsia" w:ascii="宋体" w:hAnsi="宋体" w:cs="宋体"/>
          <w:sz w:val="44"/>
          <w:szCs w:val="44"/>
        </w:rPr>
        <w:t>质疑函（格式）</w:t>
      </w:r>
    </w:p>
    <w:p w14:paraId="01DE2CCA">
      <w:pPr>
        <w:pStyle w:val="25"/>
        <w:snapToGrid w:val="0"/>
        <w:spacing w:line="360" w:lineRule="auto"/>
        <w:ind w:firstLine="482" w:firstLineChars="200"/>
        <w:rPr>
          <w:rFonts w:hAnsi="宋体" w:cs="宋体"/>
          <w:b/>
          <w:bCs/>
          <w:sz w:val="24"/>
          <w:szCs w:val="24"/>
        </w:rPr>
      </w:pPr>
      <w:r>
        <w:rPr>
          <w:rFonts w:hint="eastAsia" w:hAnsi="宋体" w:cs="宋体"/>
          <w:b/>
          <w:bCs/>
          <w:sz w:val="24"/>
          <w:szCs w:val="24"/>
        </w:rPr>
        <w:t>一、质疑供应商基本信息：</w:t>
      </w:r>
    </w:p>
    <w:p w14:paraId="2226BB60">
      <w:pPr>
        <w:pStyle w:val="25"/>
        <w:snapToGrid w:val="0"/>
        <w:spacing w:line="360" w:lineRule="auto"/>
        <w:ind w:firstLine="480" w:firstLineChars="200"/>
        <w:rPr>
          <w:rFonts w:hAnsi="宋体" w:cs="宋体"/>
          <w:bCs/>
          <w:sz w:val="24"/>
          <w:szCs w:val="24"/>
          <w:u w:val="single"/>
        </w:rPr>
      </w:pPr>
      <w:r>
        <w:rPr>
          <w:rFonts w:hint="eastAsia" w:hAnsi="宋体" w:cs="宋体"/>
          <w:bCs/>
          <w:sz w:val="24"/>
          <w:szCs w:val="24"/>
        </w:rPr>
        <w:t>质疑供应商：</w:t>
      </w:r>
      <w:r>
        <w:rPr>
          <w:rFonts w:hint="eastAsia" w:hAnsi="宋体" w:cs="宋体"/>
          <w:bCs/>
          <w:sz w:val="24"/>
          <w:szCs w:val="24"/>
          <w:u w:val="single"/>
        </w:rPr>
        <w:t xml:space="preserve">                                      </w:t>
      </w:r>
      <w:r>
        <w:rPr>
          <w:rFonts w:hint="eastAsia" w:hAnsi="宋体" w:cs="宋体"/>
          <w:bCs/>
          <w:sz w:val="24"/>
          <w:szCs w:val="24"/>
        </w:rPr>
        <w:t xml:space="preserve">                 </w:t>
      </w:r>
    </w:p>
    <w:p w14:paraId="29BB550B">
      <w:pPr>
        <w:pStyle w:val="25"/>
        <w:snapToGrid w:val="0"/>
        <w:spacing w:line="360" w:lineRule="auto"/>
        <w:ind w:firstLine="480" w:firstLineChars="200"/>
        <w:rPr>
          <w:rFonts w:hAnsi="宋体" w:cs="宋体"/>
          <w:bCs/>
          <w:sz w:val="24"/>
          <w:szCs w:val="24"/>
        </w:rPr>
      </w:pPr>
      <w:r>
        <w:rPr>
          <w:rFonts w:hint="eastAsia" w:hAnsi="宋体" w:cs="宋体"/>
          <w:bCs/>
          <w:sz w:val="24"/>
          <w:szCs w:val="24"/>
        </w:rPr>
        <w:t>地址：</w:t>
      </w:r>
      <w:r>
        <w:rPr>
          <w:rFonts w:hint="eastAsia" w:hAnsi="宋体" w:cs="宋体"/>
          <w:bCs/>
          <w:sz w:val="24"/>
          <w:szCs w:val="24"/>
          <w:u w:val="single"/>
        </w:rPr>
        <w:t xml:space="preserve">                                         </w:t>
      </w: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69DE7624">
      <w:pPr>
        <w:pStyle w:val="25"/>
        <w:snapToGrid w:val="0"/>
        <w:spacing w:line="360" w:lineRule="auto"/>
        <w:ind w:firstLine="480" w:firstLineChars="200"/>
        <w:rPr>
          <w:rFonts w:hAnsi="宋体" w:cs="宋体"/>
          <w:bCs/>
          <w:sz w:val="24"/>
          <w:szCs w:val="24"/>
        </w:rPr>
      </w:pPr>
      <w:r>
        <w:rPr>
          <w:rFonts w:hint="eastAsia" w:hAnsi="宋体" w:cs="宋体"/>
          <w:bCs/>
          <w:sz w:val="24"/>
          <w:szCs w:val="24"/>
        </w:rPr>
        <w:t>联系人：</w:t>
      </w:r>
      <w:r>
        <w:rPr>
          <w:rFonts w:hint="eastAsia" w:hAnsi="宋体" w:cs="宋体"/>
          <w:bCs/>
          <w:sz w:val="24"/>
          <w:szCs w:val="24"/>
          <w:u w:val="single"/>
        </w:rPr>
        <w:t xml:space="preserve">                    </w:t>
      </w:r>
      <w:r>
        <w:rPr>
          <w:rFonts w:hint="eastAsia" w:hAnsi="宋体" w:cs="宋体"/>
          <w:bCs/>
          <w:sz w:val="24"/>
          <w:szCs w:val="24"/>
        </w:rPr>
        <w:t>联系电话：</w:t>
      </w:r>
      <w:r>
        <w:rPr>
          <w:rFonts w:hint="eastAsia" w:hAnsi="宋体" w:cs="宋体"/>
          <w:bCs/>
          <w:sz w:val="24"/>
          <w:szCs w:val="24"/>
          <w:u w:val="single"/>
        </w:rPr>
        <w:t xml:space="preserve">                </w:t>
      </w:r>
    </w:p>
    <w:p w14:paraId="7AB4EBC9">
      <w:pPr>
        <w:pStyle w:val="25"/>
        <w:snapToGrid w:val="0"/>
        <w:spacing w:line="360" w:lineRule="auto"/>
        <w:ind w:firstLine="480" w:firstLineChars="200"/>
        <w:rPr>
          <w:rFonts w:hAnsi="宋体" w:cs="宋体"/>
          <w:bCs/>
          <w:sz w:val="24"/>
          <w:szCs w:val="24"/>
        </w:rPr>
      </w:pPr>
      <w:r>
        <w:rPr>
          <w:rFonts w:hint="eastAsia" w:hAnsi="宋体" w:cs="宋体"/>
          <w:bCs/>
          <w:sz w:val="24"/>
          <w:szCs w:val="24"/>
        </w:rPr>
        <w:t>授权代表：</w:t>
      </w:r>
      <w:r>
        <w:rPr>
          <w:rFonts w:hint="eastAsia" w:hAnsi="宋体" w:cs="宋体"/>
          <w:bCs/>
          <w:sz w:val="24"/>
          <w:szCs w:val="24"/>
          <w:u w:val="single"/>
        </w:rPr>
        <w:t xml:space="preserve">                     </w:t>
      </w:r>
    </w:p>
    <w:p w14:paraId="3F5D04A8">
      <w:pPr>
        <w:pStyle w:val="25"/>
        <w:snapToGrid w:val="0"/>
        <w:spacing w:line="360" w:lineRule="auto"/>
        <w:ind w:firstLine="480" w:firstLineChars="200"/>
        <w:rPr>
          <w:rFonts w:hAnsi="宋体" w:cs="宋体"/>
          <w:bCs/>
          <w:sz w:val="24"/>
          <w:szCs w:val="24"/>
          <w:u w:val="single"/>
        </w:rPr>
      </w:pPr>
      <w:r>
        <w:rPr>
          <w:rFonts w:hint="eastAsia" w:hAnsi="宋体" w:cs="宋体"/>
          <w:bCs/>
          <w:sz w:val="24"/>
          <w:szCs w:val="24"/>
        </w:rPr>
        <w:t>联系电话：</w:t>
      </w:r>
      <w:r>
        <w:rPr>
          <w:rFonts w:hint="eastAsia" w:hAnsi="宋体" w:cs="宋体"/>
          <w:bCs/>
          <w:sz w:val="24"/>
          <w:szCs w:val="24"/>
          <w:u w:val="single"/>
        </w:rPr>
        <w:t xml:space="preserve">                     </w:t>
      </w:r>
    </w:p>
    <w:p w14:paraId="6C047E44">
      <w:pPr>
        <w:pStyle w:val="25"/>
        <w:snapToGrid w:val="0"/>
        <w:spacing w:line="360" w:lineRule="auto"/>
        <w:ind w:firstLine="480" w:firstLineChars="200"/>
        <w:rPr>
          <w:rFonts w:hAnsi="宋体" w:cs="宋体"/>
          <w:bCs/>
          <w:sz w:val="24"/>
          <w:szCs w:val="24"/>
        </w:rPr>
      </w:pPr>
      <w:r>
        <w:rPr>
          <w:rFonts w:hint="eastAsia" w:hAnsi="宋体" w:cs="宋体"/>
          <w:bCs/>
          <w:sz w:val="24"/>
          <w:szCs w:val="24"/>
        </w:rPr>
        <w:t>地址：</w:t>
      </w:r>
      <w:r>
        <w:rPr>
          <w:rFonts w:hint="eastAsia" w:hAnsi="宋体" w:cs="宋体"/>
          <w:bCs/>
          <w:sz w:val="24"/>
          <w:szCs w:val="24"/>
          <w:u w:val="single"/>
        </w:rPr>
        <w:t xml:space="preserve">                </w:t>
      </w: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7411A19A">
      <w:pPr>
        <w:pStyle w:val="25"/>
        <w:snapToGrid w:val="0"/>
        <w:spacing w:line="360" w:lineRule="auto"/>
        <w:ind w:firstLine="482" w:firstLineChars="200"/>
        <w:rPr>
          <w:rFonts w:hAnsi="宋体" w:cs="宋体"/>
          <w:b/>
          <w:bCs/>
          <w:sz w:val="24"/>
          <w:szCs w:val="24"/>
        </w:rPr>
      </w:pPr>
      <w:r>
        <w:rPr>
          <w:rFonts w:hint="eastAsia" w:hAnsi="宋体" w:cs="宋体"/>
          <w:b/>
          <w:bCs/>
          <w:sz w:val="24"/>
          <w:szCs w:val="24"/>
        </w:rPr>
        <w:t>二、质疑项目基本情况：</w:t>
      </w:r>
    </w:p>
    <w:p w14:paraId="349275D1">
      <w:pPr>
        <w:pStyle w:val="25"/>
        <w:spacing w:line="360" w:lineRule="auto"/>
        <w:ind w:left="25" w:leftChars="12" w:firstLine="472" w:firstLineChars="197"/>
        <w:rPr>
          <w:rFonts w:hAnsi="宋体" w:cs="宋体"/>
          <w:sz w:val="24"/>
          <w:szCs w:val="24"/>
        </w:rPr>
      </w:pPr>
      <w:r>
        <w:rPr>
          <w:rFonts w:hint="eastAsia" w:hAnsi="宋体" w:cs="宋体"/>
          <w:bCs/>
          <w:sz w:val="24"/>
          <w:szCs w:val="24"/>
        </w:rPr>
        <w:t>质疑</w:t>
      </w:r>
      <w:r>
        <w:rPr>
          <w:rFonts w:hint="eastAsia" w:hAnsi="宋体" w:cs="宋体"/>
          <w:sz w:val="24"/>
          <w:szCs w:val="24"/>
        </w:rPr>
        <w:t>项目的名称：</w:t>
      </w:r>
      <w:r>
        <w:rPr>
          <w:rFonts w:hint="eastAsia" w:hAnsi="宋体" w:cs="宋体"/>
          <w:bCs/>
          <w:sz w:val="24"/>
          <w:szCs w:val="24"/>
          <w:u w:val="single"/>
        </w:rPr>
        <w:t xml:space="preserve">                                    </w:t>
      </w:r>
    </w:p>
    <w:p w14:paraId="331A89CE">
      <w:pPr>
        <w:pStyle w:val="25"/>
        <w:spacing w:line="360" w:lineRule="auto"/>
        <w:ind w:left="25" w:leftChars="12" w:firstLine="472" w:firstLineChars="197"/>
        <w:rPr>
          <w:rFonts w:hAnsi="宋体" w:cs="宋体"/>
          <w:sz w:val="24"/>
          <w:szCs w:val="24"/>
        </w:rPr>
      </w:pPr>
      <w:r>
        <w:rPr>
          <w:rFonts w:hint="eastAsia" w:hAnsi="宋体" w:cs="宋体"/>
          <w:bCs/>
          <w:sz w:val="24"/>
          <w:szCs w:val="24"/>
        </w:rPr>
        <w:t>质疑</w:t>
      </w:r>
      <w:r>
        <w:rPr>
          <w:rFonts w:hint="eastAsia" w:hAnsi="宋体" w:cs="宋体"/>
          <w:sz w:val="24"/>
          <w:szCs w:val="24"/>
        </w:rPr>
        <w:t>项目的编号：</w:t>
      </w:r>
      <w:r>
        <w:rPr>
          <w:rFonts w:hint="eastAsia" w:hAnsi="宋体" w:cs="宋体"/>
          <w:bCs/>
          <w:sz w:val="24"/>
          <w:szCs w:val="24"/>
          <w:u w:val="single"/>
        </w:rPr>
        <w:t xml:space="preserve">                                    </w:t>
      </w:r>
    </w:p>
    <w:p w14:paraId="30AFFE5F">
      <w:pPr>
        <w:pStyle w:val="25"/>
        <w:spacing w:line="360" w:lineRule="auto"/>
        <w:ind w:left="25" w:leftChars="12" w:firstLine="472" w:firstLineChars="197"/>
        <w:rPr>
          <w:rFonts w:hAnsi="宋体" w:cs="宋体"/>
          <w:sz w:val="24"/>
          <w:szCs w:val="24"/>
        </w:rPr>
      </w:pPr>
      <w:r>
        <w:rPr>
          <w:rFonts w:hint="eastAsia" w:hAnsi="宋体" w:cs="宋体"/>
          <w:sz w:val="24"/>
          <w:szCs w:val="24"/>
        </w:rPr>
        <w:t>采购人名称：</w:t>
      </w:r>
      <w:r>
        <w:rPr>
          <w:rFonts w:hint="eastAsia" w:hAnsi="宋体" w:cs="宋体"/>
          <w:bCs/>
          <w:sz w:val="24"/>
          <w:szCs w:val="24"/>
          <w:u w:val="single"/>
        </w:rPr>
        <w:t xml:space="preserve">                                        </w:t>
      </w:r>
    </w:p>
    <w:p w14:paraId="416929D8">
      <w:pPr>
        <w:pStyle w:val="25"/>
        <w:spacing w:line="360" w:lineRule="auto"/>
        <w:ind w:left="25" w:leftChars="12" w:firstLine="472" w:firstLineChars="197"/>
        <w:rPr>
          <w:rFonts w:hAnsi="宋体" w:cs="宋体"/>
          <w:sz w:val="24"/>
          <w:szCs w:val="24"/>
        </w:rPr>
      </w:pPr>
      <w:r>
        <w:rPr>
          <w:rFonts w:hint="eastAsia" w:hAnsi="宋体" w:cs="宋体"/>
          <w:sz w:val="24"/>
          <w:szCs w:val="24"/>
        </w:rPr>
        <w:t>质疑事项：</w:t>
      </w:r>
    </w:p>
    <w:p w14:paraId="30EC7095">
      <w:pPr>
        <w:pStyle w:val="25"/>
        <w:spacing w:line="360" w:lineRule="auto"/>
        <w:ind w:left="25" w:leftChars="12" w:firstLine="352" w:firstLineChars="147"/>
        <w:rPr>
          <w:rFonts w:hAnsi="宋体" w:cs="宋体"/>
          <w:sz w:val="24"/>
          <w:szCs w:val="24"/>
        </w:rPr>
      </w:pPr>
      <w:r>
        <w:rPr>
          <w:rFonts w:hint="eastAsia" w:hAnsi="宋体" w:cs="宋体"/>
          <w:sz w:val="24"/>
          <w:szCs w:val="24"/>
        </w:rPr>
        <w:t>□采购文件   采购文件获取日期：</w:t>
      </w:r>
      <w:r>
        <w:rPr>
          <w:rFonts w:hint="eastAsia" w:hAnsi="宋体" w:cs="宋体"/>
          <w:bCs/>
          <w:sz w:val="24"/>
          <w:szCs w:val="24"/>
          <w:u w:val="single"/>
        </w:rPr>
        <w:t xml:space="preserve">                                  </w:t>
      </w:r>
    </w:p>
    <w:p w14:paraId="5386BA50">
      <w:pPr>
        <w:pStyle w:val="25"/>
        <w:spacing w:line="360" w:lineRule="auto"/>
        <w:ind w:left="25" w:leftChars="12" w:firstLine="352" w:firstLineChars="147"/>
        <w:rPr>
          <w:rFonts w:hAnsi="宋体" w:cs="宋体"/>
          <w:sz w:val="24"/>
          <w:szCs w:val="24"/>
        </w:rPr>
      </w:pPr>
      <w:r>
        <w:rPr>
          <w:rFonts w:hint="eastAsia" w:hAnsi="宋体" w:cs="宋体"/>
          <w:sz w:val="24"/>
          <w:szCs w:val="24"/>
        </w:rPr>
        <w:t xml:space="preserve">□采购过程   </w:t>
      </w:r>
    </w:p>
    <w:p w14:paraId="52C9715D">
      <w:pPr>
        <w:pStyle w:val="25"/>
        <w:spacing w:line="360" w:lineRule="auto"/>
        <w:ind w:left="25" w:leftChars="12" w:firstLine="352" w:firstLineChars="147"/>
        <w:rPr>
          <w:rFonts w:hAnsi="宋体" w:cs="宋体"/>
          <w:bCs/>
          <w:sz w:val="24"/>
          <w:szCs w:val="24"/>
          <w:u w:val="single"/>
        </w:rPr>
      </w:pPr>
      <w:r>
        <w:rPr>
          <w:rFonts w:hint="eastAsia" w:hAnsi="宋体" w:cs="宋体"/>
          <w:sz w:val="24"/>
          <w:szCs w:val="24"/>
        </w:rPr>
        <w:t xml:space="preserve">□采购结果   </w:t>
      </w:r>
    </w:p>
    <w:p w14:paraId="42F02B7A">
      <w:pPr>
        <w:pStyle w:val="25"/>
        <w:spacing w:line="360" w:lineRule="auto"/>
        <w:ind w:left="25" w:leftChars="12" w:firstLine="472" w:firstLineChars="196"/>
        <w:rPr>
          <w:rFonts w:hAnsi="宋体" w:cs="宋体"/>
          <w:b/>
          <w:sz w:val="24"/>
          <w:szCs w:val="24"/>
        </w:rPr>
      </w:pPr>
      <w:r>
        <w:rPr>
          <w:rFonts w:hint="eastAsia" w:hAnsi="宋体" w:cs="宋体"/>
          <w:b/>
          <w:sz w:val="24"/>
          <w:szCs w:val="24"/>
        </w:rPr>
        <w:t>三、质疑事项具体内容</w:t>
      </w:r>
    </w:p>
    <w:p w14:paraId="6E928530">
      <w:pPr>
        <w:pStyle w:val="25"/>
        <w:spacing w:line="360" w:lineRule="auto"/>
        <w:ind w:left="25" w:leftChars="12" w:firstLine="472" w:firstLineChars="197"/>
        <w:rPr>
          <w:rFonts w:hAnsi="宋体" w:cs="宋体"/>
          <w:sz w:val="24"/>
          <w:szCs w:val="24"/>
        </w:rPr>
      </w:pPr>
      <w:r>
        <w:rPr>
          <w:rFonts w:hint="eastAsia" w:hAnsi="宋体" w:cs="宋体"/>
          <w:sz w:val="24"/>
          <w:szCs w:val="24"/>
        </w:rPr>
        <w:t>质疑事项1：</w:t>
      </w:r>
      <w:r>
        <w:rPr>
          <w:rFonts w:hint="eastAsia" w:hAnsi="宋体" w:cs="宋体"/>
          <w:bCs/>
          <w:sz w:val="24"/>
          <w:szCs w:val="24"/>
          <w:u w:val="single"/>
        </w:rPr>
        <w:t xml:space="preserve">                                                                   </w:t>
      </w:r>
    </w:p>
    <w:p w14:paraId="57867DA3">
      <w:pPr>
        <w:pStyle w:val="25"/>
        <w:spacing w:line="360" w:lineRule="auto"/>
        <w:ind w:left="25" w:leftChars="12" w:firstLine="472" w:firstLineChars="197"/>
        <w:rPr>
          <w:rFonts w:hAnsi="宋体" w:cs="宋体"/>
          <w:sz w:val="24"/>
          <w:szCs w:val="24"/>
        </w:rPr>
      </w:pPr>
      <w:r>
        <w:rPr>
          <w:rFonts w:hint="eastAsia" w:hAnsi="宋体" w:cs="宋体"/>
          <w:sz w:val="24"/>
          <w:szCs w:val="24"/>
        </w:rPr>
        <w:t>事实依据：</w:t>
      </w:r>
      <w:r>
        <w:rPr>
          <w:rFonts w:hint="eastAsia" w:hAnsi="宋体" w:cs="宋体"/>
          <w:bCs/>
          <w:sz w:val="24"/>
          <w:szCs w:val="24"/>
          <w:u w:val="single"/>
        </w:rPr>
        <w:t xml:space="preserve">                                                                     </w:t>
      </w:r>
    </w:p>
    <w:p w14:paraId="287EB6CD">
      <w:pPr>
        <w:pStyle w:val="25"/>
        <w:spacing w:line="360" w:lineRule="auto"/>
        <w:ind w:left="25" w:leftChars="12" w:firstLine="472" w:firstLineChars="197"/>
        <w:rPr>
          <w:rFonts w:hAnsi="宋体" w:cs="宋体"/>
          <w:sz w:val="24"/>
          <w:szCs w:val="24"/>
        </w:rPr>
      </w:pPr>
      <w:r>
        <w:rPr>
          <w:rFonts w:hint="eastAsia" w:hAnsi="宋体" w:cs="宋体"/>
          <w:sz w:val="24"/>
          <w:szCs w:val="24"/>
        </w:rPr>
        <w:t>法律依据：</w:t>
      </w:r>
      <w:r>
        <w:rPr>
          <w:rFonts w:hint="eastAsia" w:hAnsi="宋体" w:cs="宋体"/>
          <w:sz w:val="24"/>
          <w:szCs w:val="24"/>
          <w:u w:val="single"/>
        </w:rPr>
        <w:t xml:space="preserve">                                                       </w:t>
      </w:r>
      <w:r>
        <w:rPr>
          <w:rFonts w:hint="eastAsia" w:hAnsi="宋体" w:cs="宋体"/>
          <w:bCs/>
          <w:sz w:val="24"/>
          <w:szCs w:val="24"/>
          <w:u w:val="single"/>
        </w:rPr>
        <w:t xml:space="preserve">               </w:t>
      </w:r>
    </w:p>
    <w:p w14:paraId="6571335E">
      <w:pPr>
        <w:pStyle w:val="25"/>
        <w:spacing w:line="360" w:lineRule="auto"/>
        <w:ind w:left="25" w:leftChars="12" w:firstLine="472" w:firstLineChars="197"/>
        <w:rPr>
          <w:rFonts w:hAnsi="宋体" w:cs="宋体"/>
          <w:sz w:val="24"/>
          <w:szCs w:val="24"/>
        </w:rPr>
      </w:pPr>
      <w:r>
        <w:rPr>
          <w:rFonts w:hint="eastAsia" w:hAnsi="宋体" w:cs="宋体"/>
          <w:sz w:val="24"/>
          <w:szCs w:val="24"/>
        </w:rPr>
        <w:t>质疑事项2</w:t>
      </w:r>
    </w:p>
    <w:p w14:paraId="1088C74B">
      <w:pPr>
        <w:pStyle w:val="25"/>
        <w:spacing w:line="360" w:lineRule="auto"/>
        <w:ind w:left="25" w:leftChars="12" w:firstLine="472" w:firstLineChars="197"/>
        <w:rPr>
          <w:rFonts w:hAnsi="宋体" w:cs="宋体"/>
          <w:sz w:val="24"/>
          <w:szCs w:val="24"/>
        </w:rPr>
      </w:pPr>
      <w:r>
        <w:rPr>
          <w:rFonts w:hint="eastAsia" w:hAnsi="宋体" w:cs="宋体"/>
          <w:sz w:val="24"/>
          <w:szCs w:val="24"/>
        </w:rPr>
        <w:t>……</w:t>
      </w:r>
    </w:p>
    <w:p w14:paraId="71E2B470">
      <w:pPr>
        <w:pStyle w:val="25"/>
        <w:spacing w:line="360" w:lineRule="auto"/>
        <w:ind w:left="25" w:leftChars="12" w:firstLine="472" w:firstLineChars="197"/>
        <w:rPr>
          <w:rFonts w:hAnsi="宋体" w:cs="宋体"/>
          <w:sz w:val="24"/>
          <w:szCs w:val="24"/>
        </w:rPr>
      </w:pPr>
      <w:r>
        <w:rPr>
          <w:rFonts w:hint="eastAsia" w:hAnsi="宋体" w:cs="宋体"/>
          <w:sz w:val="24"/>
          <w:szCs w:val="24"/>
        </w:rPr>
        <w:t>四、与质疑事项相关的质疑请求：</w:t>
      </w:r>
    </w:p>
    <w:p w14:paraId="025BF1E0">
      <w:pPr>
        <w:pStyle w:val="25"/>
        <w:spacing w:line="360" w:lineRule="auto"/>
        <w:ind w:left="25" w:leftChars="12" w:firstLine="472" w:firstLineChars="197"/>
        <w:rPr>
          <w:rFonts w:hAnsi="宋体" w:cs="宋体"/>
          <w:sz w:val="24"/>
          <w:szCs w:val="24"/>
        </w:rPr>
      </w:pPr>
      <w:r>
        <w:rPr>
          <w:rFonts w:hint="eastAsia" w:hAnsi="宋体" w:cs="宋体"/>
          <w:sz w:val="24"/>
          <w:szCs w:val="24"/>
        </w:rPr>
        <w:t>请求：</w:t>
      </w:r>
      <w:r>
        <w:rPr>
          <w:rFonts w:hint="eastAsia" w:hAnsi="宋体" w:cs="宋体"/>
          <w:bCs/>
          <w:sz w:val="24"/>
          <w:szCs w:val="24"/>
          <w:u w:val="single"/>
        </w:rPr>
        <w:t xml:space="preserve">                                                               </w:t>
      </w:r>
    </w:p>
    <w:p w14:paraId="797E818A">
      <w:pPr>
        <w:pStyle w:val="25"/>
        <w:spacing w:line="360" w:lineRule="auto"/>
        <w:ind w:left="25" w:leftChars="12" w:firstLine="352" w:firstLineChars="147"/>
        <w:rPr>
          <w:rFonts w:hAnsi="宋体" w:cs="宋体"/>
          <w:sz w:val="24"/>
          <w:szCs w:val="24"/>
        </w:rPr>
      </w:pPr>
    </w:p>
    <w:p w14:paraId="4BDAF1F2">
      <w:pPr>
        <w:pStyle w:val="25"/>
        <w:spacing w:line="360" w:lineRule="auto"/>
        <w:ind w:left="25" w:leftChars="12" w:firstLine="472" w:firstLineChars="197"/>
        <w:rPr>
          <w:rFonts w:hAnsi="宋体" w:cs="宋体"/>
          <w:sz w:val="24"/>
          <w:szCs w:val="24"/>
        </w:rPr>
      </w:pPr>
      <w:r>
        <w:rPr>
          <w:rFonts w:hint="eastAsia" w:hAnsi="宋体" w:cs="宋体"/>
          <w:sz w:val="24"/>
          <w:szCs w:val="24"/>
        </w:rPr>
        <w:t>签字（签章）：                                      公章：</w:t>
      </w:r>
    </w:p>
    <w:p w14:paraId="717493A1">
      <w:pPr>
        <w:pStyle w:val="25"/>
        <w:spacing w:line="360" w:lineRule="auto"/>
        <w:ind w:left="25" w:leftChars="12" w:firstLine="352" w:firstLineChars="147"/>
        <w:rPr>
          <w:rFonts w:hAnsi="宋体" w:cs="宋体"/>
          <w:sz w:val="24"/>
          <w:szCs w:val="24"/>
        </w:rPr>
      </w:pPr>
    </w:p>
    <w:p w14:paraId="394524FA">
      <w:pPr>
        <w:pStyle w:val="25"/>
        <w:spacing w:line="360" w:lineRule="auto"/>
        <w:ind w:left="25" w:leftChars="12" w:firstLine="472" w:firstLineChars="197"/>
        <w:rPr>
          <w:rFonts w:hAnsi="宋体" w:cs="宋体"/>
          <w:sz w:val="24"/>
          <w:szCs w:val="24"/>
        </w:rPr>
      </w:pPr>
      <w:r>
        <w:rPr>
          <w:rFonts w:hint="eastAsia" w:hAnsi="宋体" w:cs="宋体"/>
          <w:sz w:val="24"/>
          <w:szCs w:val="24"/>
        </w:rPr>
        <w:t>日期：</w:t>
      </w:r>
    </w:p>
    <w:p w14:paraId="312F9A59">
      <w:pPr>
        <w:pStyle w:val="25"/>
        <w:snapToGrid w:val="0"/>
        <w:spacing w:line="360" w:lineRule="auto"/>
        <w:rPr>
          <w:rFonts w:hAnsi="宋体" w:cs="宋体"/>
          <w:b/>
          <w:sz w:val="24"/>
          <w:szCs w:val="24"/>
        </w:rPr>
      </w:pPr>
    </w:p>
    <w:p w14:paraId="2BF824D8">
      <w:pPr>
        <w:pStyle w:val="25"/>
        <w:snapToGrid w:val="0"/>
        <w:spacing w:line="360" w:lineRule="auto"/>
        <w:rPr>
          <w:rFonts w:hAnsi="宋体" w:cs="宋体"/>
          <w:b/>
          <w:sz w:val="24"/>
          <w:szCs w:val="24"/>
        </w:rPr>
      </w:pPr>
      <w:r>
        <w:rPr>
          <w:rFonts w:hint="eastAsia" w:hAnsi="宋体" w:cs="宋体"/>
          <w:b/>
          <w:sz w:val="24"/>
          <w:szCs w:val="24"/>
        </w:rPr>
        <w:t>说明：</w:t>
      </w:r>
    </w:p>
    <w:p w14:paraId="69B568E9">
      <w:pPr>
        <w:pStyle w:val="25"/>
        <w:spacing w:line="360" w:lineRule="auto"/>
        <w:ind w:left="25" w:leftChars="12" w:firstLine="354" w:firstLineChars="147"/>
        <w:rPr>
          <w:rFonts w:hAnsi="宋体" w:cs="宋体"/>
          <w:b/>
          <w:bCs/>
          <w:sz w:val="24"/>
          <w:szCs w:val="24"/>
        </w:rPr>
      </w:pPr>
      <w:r>
        <w:rPr>
          <w:rFonts w:hint="eastAsia" w:hAnsi="宋体" w:cs="宋体"/>
          <w:b/>
          <w:sz w:val="24"/>
          <w:szCs w:val="24"/>
        </w:rPr>
        <w:t>1.供应商提出质疑时，应提交质疑函和必要的证明材料</w:t>
      </w:r>
      <w:r>
        <w:rPr>
          <w:rFonts w:hint="eastAsia" w:hAnsi="宋体" w:cs="宋体"/>
          <w:b/>
          <w:bCs/>
          <w:sz w:val="24"/>
          <w:szCs w:val="24"/>
        </w:rPr>
        <w:t>。</w:t>
      </w:r>
    </w:p>
    <w:p w14:paraId="25A850E1">
      <w:pPr>
        <w:pStyle w:val="25"/>
        <w:spacing w:line="360" w:lineRule="auto"/>
        <w:ind w:left="25" w:leftChars="12" w:firstLine="354" w:firstLineChars="147"/>
        <w:rPr>
          <w:rFonts w:hAnsi="宋体" w:cs="宋体"/>
          <w:b/>
          <w:sz w:val="24"/>
          <w:szCs w:val="24"/>
        </w:rPr>
      </w:pPr>
      <w:r>
        <w:rPr>
          <w:rFonts w:hint="eastAsia" w:hAnsi="宋体" w:cs="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EA088F5">
      <w:pPr>
        <w:pStyle w:val="25"/>
        <w:spacing w:line="360" w:lineRule="auto"/>
        <w:ind w:left="25" w:leftChars="12" w:firstLine="354" w:firstLineChars="147"/>
        <w:rPr>
          <w:rFonts w:hAnsi="宋体" w:cs="宋体"/>
          <w:b/>
          <w:sz w:val="24"/>
          <w:szCs w:val="24"/>
        </w:rPr>
      </w:pPr>
      <w:r>
        <w:rPr>
          <w:rFonts w:hint="eastAsia" w:hAnsi="宋体" w:cs="宋体"/>
          <w:b/>
          <w:sz w:val="24"/>
          <w:szCs w:val="24"/>
        </w:rPr>
        <w:t>3.质疑函的质疑事项应具体、明确，并有必要的事实依据和法律依据。</w:t>
      </w:r>
    </w:p>
    <w:p w14:paraId="319C9106">
      <w:pPr>
        <w:pStyle w:val="25"/>
        <w:spacing w:line="360" w:lineRule="auto"/>
        <w:ind w:left="25" w:leftChars="12" w:firstLine="354" w:firstLineChars="147"/>
        <w:rPr>
          <w:rFonts w:hAnsi="宋体" w:cs="宋体"/>
          <w:b/>
          <w:sz w:val="24"/>
          <w:szCs w:val="24"/>
        </w:rPr>
      </w:pPr>
      <w:r>
        <w:rPr>
          <w:rFonts w:hint="eastAsia" w:hAnsi="宋体" w:cs="宋体"/>
          <w:b/>
          <w:sz w:val="24"/>
          <w:szCs w:val="24"/>
        </w:rPr>
        <w:t>4.质疑函的质疑请求应与质疑事项相关。</w:t>
      </w:r>
    </w:p>
    <w:p w14:paraId="63D084B7">
      <w:pPr>
        <w:pStyle w:val="25"/>
        <w:spacing w:line="360" w:lineRule="auto"/>
        <w:ind w:left="25" w:leftChars="12" w:firstLine="354" w:firstLineChars="147"/>
        <w:rPr>
          <w:rFonts w:hAnsi="宋体" w:cs="宋体"/>
          <w:b/>
        </w:rPr>
      </w:pPr>
      <w:r>
        <w:rPr>
          <w:rFonts w:hint="eastAsia" w:hAnsi="宋体" w:cs="宋体"/>
          <w:b/>
          <w:sz w:val="24"/>
          <w:szCs w:val="24"/>
        </w:rPr>
        <w:t>5.质疑供应商为法人或者其他组织的，质疑函应由法定代表人、主要负责人，或者其授权代表签字或者盖章，并加盖公章。</w:t>
      </w:r>
    </w:p>
    <w:p w14:paraId="571C489C">
      <w:pPr>
        <w:pStyle w:val="25"/>
        <w:snapToGrid w:val="0"/>
        <w:rPr>
          <w:rFonts w:hAnsi="宋体" w:cs="宋体"/>
          <w:b/>
          <w:sz w:val="24"/>
          <w:szCs w:val="24"/>
        </w:rPr>
      </w:pPr>
    </w:p>
    <w:p w14:paraId="6AFA0A5E">
      <w:pPr>
        <w:spacing w:line="360" w:lineRule="auto"/>
        <w:jc w:val="left"/>
        <w:rPr>
          <w:rFonts w:ascii="宋体" w:hAnsi="宋体" w:cs="宋体"/>
          <w:b/>
          <w:sz w:val="24"/>
        </w:rPr>
      </w:pPr>
      <w:r>
        <w:rPr>
          <w:rFonts w:hint="eastAsia" w:ascii="宋体" w:hAnsi="宋体" w:cs="宋体"/>
          <w:sz w:val="44"/>
        </w:rPr>
        <w:br w:type="page"/>
      </w:r>
      <w:r>
        <w:rPr>
          <w:rFonts w:hint="eastAsia" w:ascii="宋体" w:hAnsi="宋体" w:cs="宋体"/>
          <w:b/>
          <w:sz w:val="24"/>
        </w:rPr>
        <w:t>5.投诉书（格式）</w:t>
      </w:r>
    </w:p>
    <w:p w14:paraId="1674ADF0">
      <w:pPr>
        <w:spacing w:line="360" w:lineRule="auto"/>
        <w:jc w:val="center"/>
        <w:rPr>
          <w:rFonts w:ascii="宋体" w:hAnsi="宋体" w:cs="宋体"/>
          <w:sz w:val="44"/>
          <w:szCs w:val="44"/>
        </w:rPr>
      </w:pPr>
      <w:r>
        <w:rPr>
          <w:rFonts w:hint="eastAsia" w:ascii="宋体" w:hAnsi="宋体" w:cs="宋体"/>
          <w:sz w:val="44"/>
          <w:szCs w:val="44"/>
        </w:rPr>
        <w:t>投诉书（格式）</w:t>
      </w:r>
    </w:p>
    <w:p w14:paraId="72A06DE4">
      <w:pPr>
        <w:pStyle w:val="25"/>
        <w:snapToGrid w:val="0"/>
        <w:spacing w:line="360" w:lineRule="auto"/>
        <w:ind w:firstLine="482" w:firstLineChars="200"/>
        <w:rPr>
          <w:rFonts w:hAnsi="宋体" w:cs="宋体"/>
          <w:b/>
          <w:bCs/>
          <w:sz w:val="24"/>
          <w:szCs w:val="24"/>
        </w:rPr>
      </w:pPr>
      <w:r>
        <w:rPr>
          <w:rFonts w:hint="eastAsia" w:hAnsi="宋体" w:cs="宋体"/>
          <w:b/>
          <w:bCs/>
          <w:sz w:val="24"/>
          <w:szCs w:val="24"/>
        </w:rPr>
        <w:t>一、投诉相关主体基本情况：</w:t>
      </w:r>
    </w:p>
    <w:p w14:paraId="4514BBED">
      <w:pPr>
        <w:pStyle w:val="25"/>
        <w:snapToGrid w:val="0"/>
        <w:spacing w:line="360" w:lineRule="auto"/>
        <w:ind w:firstLine="480" w:firstLineChars="200"/>
        <w:jc w:val="left"/>
        <w:rPr>
          <w:rFonts w:hAnsi="宋体" w:cs="宋体"/>
          <w:bCs/>
          <w:sz w:val="24"/>
          <w:szCs w:val="24"/>
          <w:u w:val="single"/>
        </w:rPr>
      </w:pPr>
      <w:r>
        <w:rPr>
          <w:rFonts w:hint="eastAsia" w:hAnsi="宋体" w:cs="宋体"/>
          <w:bCs/>
          <w:sz w:val="24"/>
          <w:szCs w:val="24"/>
        </w:rPr>
        <w:t>投标人：</w:t>
      </w:r>
      <w:r>
        <w:rPr>
          <w:rFonts w:hint="eastAsia" w:hAnsi="宋体" w:cs="宋体"/>
          <w:bCs/>
          <w:sz w:val="24"/>
          <w:szCs w:val="24"/>
          <w:u w:val="single"/>
        </w:rPr>
        <w:t xml:space="preserve">                                                                       </w:t>
      </w:r>
      <w:r>
        <w:rPr>
          <w:rFonts w:hint="eastAsia" w:hAnsi="宋体" w:cs="宋体"/>
          <w:bCs/>
          <w:sz w:val="24"/>
          <w:szCs w:val="24"/>
        </w:rPr>
        <w:t xml:space="preserve">                 </w:t>
      </w:r>
    </w:p>
    <w:p w14:paraId="12ED59AB">
      <w:pPr>
        <w:pStyle w:val="25"/>
        <w:snapToGrid w:val="0"/>
        <w:spacing w:line="360" w:lineRule="auto"/>
        <w:ind w:firstLine="480" w:firstLineChars="200"/>
        <w:jc w:val="left"/>
        <w:rPr>
          <w:rFonts w:hAnsi="宋体" w:cs="宋体"/>
          <w:bCs/>
          <w:sz w:val="24"/>
          <w:szCs w:val="24"/>
        </w:rPr>
      </w:pPr>
      <w:r>
        <w:rPr>
          <w:rFonts w:hint="eastAsia" w:hAnsi="宋体" w:cs="宋体"/>
          <w:bCs/>
          <w:sz w:val="24"/>
          <w:szCs w:val="24"/>
        </w:rPr>
        <w:t>地址：</w:t>
      </w:r>
      <w:r>
        <w:rPr>
          <w:rFonts w:hint="eastAsia" w:hAnsi="宋体" w:cs="宋体"/>
          <w:bCs/>
          <w:sz w:val="24"/>
          <w:szCs w:val="24"/>
          <w:u w:val="single"/>
        </w:rPr>
        <w:t xml:space="preserve">                                         </w:t>
      </w: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7DABDDDD">
      <w:pPr>
        <w:pStyle w:val="25"/>
        <w:snapToGrid w:val="0"/>
        <w:spacing w:line="360" w:lineRule="auto"/>
        <w:ind w:firstLine="480" w:firstLineChars="200"/>
        <w:jc w:val="left"/>
        <w:rPr>
          <w:rFonts w:hAnsi="宋体" w:cs="宋体"/>
          <w:bCs/>
          <w:sz w:val="24"/>
          <w:szCs w:val="24"/>
          <w:u w:val="single"/>
        </w:rPr>
      </w:pPr>
      <w:r>
        <w:rPr>
          <w:rFonts w:hint="eastAsia" w:hAnsi="宋体" w:cs="宋体"/>
          <w:bCs/>
          <w:sz w:val="24"/>
          <w:szCs w:val="24"/>
        </w:rPr>
        <w:t>法定代表人/主要负责人：</w:t>
      </w:r>
      <w:r>
        <w:rPr>
          <w:rFonts w:hint="eastAsia" w:hAnsi="宋体" w:cs="宋体"/>
          <w:bCs/>
          <w:sz w:val="24"/>
          <w:szCs w:val="24"/>
          <w:u w:val="single"/>
        </w:rPr>
        <w:t xml:space="preserve">                                                        </w:t>
      </w:r>
    </w:p>
    <w:p w14:paraId="657F0194">
      <w:pPr>
        <w:pStyle w:val="25"/>
        <w:snapToGrid w:val="0"/>
        <w:spacing w:line="360" w:lineRule="auto"/>
        <w:ind w:firstLine="480" w:firstLineChars="200"/>
        <w:jc w:val="left"/>
        <w:rPr>
          <w:rFonts w:hAnsi="宋体" w:cs="宋体"/>
          <w:bCs/>
          <w:sz w:val="24"/>
          <w:szCs w:val="24"/>
        </w:rPr>
      </w:pPr>
      <w:r>
        <w:rPr>
          <w:rFonts w:hint="eastAsia" w:hAnsi="宋体" w:cs="宋体"/>
          <w:bCs/>
          <w:sz w:val="24"/>
          <w:szCs w:val="24"/>
        </w:rPr>
        <w:t>联系电话：</w:t>
      </w:r>
      <w:r>
        <w:rPr>
          <w:rFonts w:hint="eastAsia" w:hAnsi="宋体" w:cs="宋体"/>
          <w:bCs/>
          <w:sz w:val="24"/>
          <w:szCs w:val="24"/>
          <w:u w:val="single"/>
        </w:rPr>
        <w:t xml:space="preserve">                                        </w:t>
      </w:r>
    </w:p>
    <w:p w14:paraId="2B590E47">
      <w:pPr>
        <w:pStyle w:val="25"/>
        <w:snapToGrid w:val="0"/>
        <w:spacing w:line="360" w:lineRule="auto"/>
        <w:ind w:firstLine="480" w:firstLineChars="200"/>
        <w:jc w:val="left"/>
        <w:rPr>
          <w:rFonts w:hAnsi="宋体" w:cs="宋体"/>
          <w:bCs/>
          <w:sz w:val="24"/>
          <w:szCs w:val="24"/>
          <w:u w:val="single"/>
        </w:rPr>
      </w:pPr>
      <w:r>
        <w:rPr>
          <w:rFonts w:hint="eastAsia" w:hAnsi="宋体" w:cs="宋体"/>
          <w:bCs/>
          <w:sz w:val="24"/>
          <w:szCs w:val="24"/>
        </w:rPr>
        <w:t>授权代表：</w:t>
      </w:r>
      <w:r>
        <w:rPr>
          <w:rFonts w:hint="eastAsia" w:hAnsi="宋体" w:cs="宋体"/>
          <w:bCs/>
          <w:sz w:val="24"/>
          <w:szCs w:val="24"/>
          <w:u w:val="single"/>
        </w:rPr>
        <w:t xml:space="preserve">                                        </w:t>
      </w:r>
      <w:r>
        <w:rPr>
          <w:rFonts w:hint="eastAsia" w:hAnsi="宋体" w:cs="宋体"/>
          <w:bCs/>
          <w:sz w:val="24"/>
          <w:szCs w:val="24"/>
        </w:rPr>
        <w:t>联系电话：</w:t>
      </w:r>
      <w:r>
        <w:rPr>
          <w:rFonts w:hint="eastAsia" w:hAnsi="宋体" w:cs="宋体"/>
          <w:bCs/>
          <w:sz w:val="24"/>
          <w:szCs w:val="24"/>
          <w:u w:val="single"/>
        </w:rPr>
        <w:t xml:space="preserve">                  </w:t>
      </w:r>
    </w:p>
    <w:p w14:paraId="3C7E4EFB">
      <w:pPr>
        <w:pStyle w:val="25"/>
        <w:snapToGrid w:val="0"/>
        <w:spacing w:line="360" w:lineRule="auto"/>
        <w:ind w:firstLine="480" w:firstLineChars="200"/>
        <w:jc w:val="left"/>
        <w:rPr>
          <w:rFonts w:hAnsi="宋体" w:cs="宋体"/>
          <w:bCs/>
          <w:sz w:val="24"/>
          <w:szCs w:val="24"/>
          <w:u w:val="single"/>
        </w:rPr>
      </w:pPr>
      <w:r>
        <w:rPr>
          <w:rFonts w:hint="eastAsia" w:hAnsi="宋体" w:cs="宋体"/>
          <w:bCs/>
          <w:sz w:val="24"/>
          <w:szCs w:val="24"/>
        </w:rPr>
        <w:t>地址：</w:t>
      </w:r>
      <w:r>
        <w:rPr>
          <w:rFonts w:hint="eastAsia" w:hAnsi="宋体" w:cs="宋体"/>
          <w:bCs/>
          <w:sz w:val="24"/>
          <w:szCs w:val="24"/>
          <w:u w:val="single"/>
        </w:rPr>
        <w:t xml:space="preserve">                                                           </w:t>
      </w:r>
    </w:p>
    <w:p w14:paraId="57BED0C2">
      <w:pPr>
        <w:pStyle w:val="25"/>
        <w:snapToGrid w:val="0"/>
        <w:spacing w:line="360" w:lineRule="auto"/>
        <w:ind w:firstLine="480" w:firstLineChars="200"/>
        <w:jc w:val="left"/>
        <w:rPr>
          <w:rFonts w:hAnsi="宋体" w:cs="宋体"/>
          <w:bCs/>
          <w:sz w:val="24"/>
          <w:szCs w:val="24"/>
        </w:rPr>
      </w:pP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04B0B87A">
      <w:pPr>
        <w:pStyle w:val="25"/>
        <w:snapToGrid w:val="0"/>
        <w:spacing w:line="360" w:lineRule="auto"/>
        <w:ind w:firstLine="480" w:firstLineChars="200"/>
        <w:jc w:val="left"/>
        <w:rPr>
          <w:rFonts w:hAnsi="宋体" w:cs="宋体"/>
          <w:bCs/>
          <w:sz w:val="24"/>
          <w:szCs w:val="24"/>
        </w:rPr>
      </w:pPr>
      <w:r>
        <w:rPr>
          <w:rFonts w:hint="eastAsia" w:hAnsi="宋体" w:cs="宋体"/>
          <w:bCs/>
          <w:sz w:val="24"/>
          <w:szCs w:val="24"/>
        </w:rPr>
        <w:t>被投诉人1：</w:t>
      </w:r>
    </w:p>
    <w:p w14:paraId="1C2877AB">
      <w:pPr>
        <w:pStyle w:val="25"/>
        <w:snapToGrid w:val="0"/>
        <w:spacing w:line="360" w:lineRule="auto"/>
        <w:ind w:firstLine="480" w:firstLineChars="200"/>
        <w:jc w:val="left"/>
        <w:rPr>
          <w:rFonts w:hAnsi="宋体" w:cs="宋体"/>
          <w:bCs/>
          <w:sz w:val="24"/>
          <w:szCs w:val="24"/>
          <w:u w:val="single"/>
        </w:rPr>
      </w:pPr>
      <w:r>
        <w:rPr>
          <w:rFonts w:hint="eastAsia" w:hAnsi="宋体" w:cs="宋体"/>
          <w:bCs/>
          <w:sz w:val="24"/>
          <w:szCs w:val="24"/>
        </w:rPr>
        <w:t>地址：</w:t>
      </w:r>
      <w:r>
        <w:rPr>
          <w:rFonts w:hint="eastAsia" w:hAnsi="宋体" w:cs="宋体"/>
          <w:bCs/>
          <w:sz w:val="24"/>
          <w:szCs w:val="24"/>
          <w:u w:val="single"/>
        </w:rPr>
        <w:t xml:space="preserve">                                                           </w:t>
      </w:r>
    </w:p>
    <w:p w14:paraId="208001E9">
      <w:pPr>
        <w:pStyle w:val="25"/>
        <w:snapToGrid w:val="0"/>
        <w:spacing w:line="360" w:lineRule="auto"/>
        <w:ind w:firstLine="480" w:firstLineChars="200"/>
        <w:jc w:val="left"/>
        <w:rPr>
          <w:rFonts w:hAnsi="宋体" w:cs="宋体"/>
          <w:bCs/>
          <w:sz w:val="24"/>
          <w:szCs w:val="24"/>
        </w:rPr>
      </w:pP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0198740D">
      <w:pPr>
        <w:pStyle w:val="25"/>
        <w:snapToGrid w:val="0"/>
        <w:spacing w:line="360" w:lineRule="auto"/>
        <w:ind w:firstLine="480" w:firstLineChars="200"/>
        <w:jc w:val="left"/>
        <w:rPr>
          <w:rFonts w:hAnsi="宋体" w:cs="宋体"/>
          <w:bCs/>
          <w:sz w:val="24"/>
          <w:szCs w:val="24"/>
          <w:u w:val="single"/>
        </w:rPr>
      </w:pPr>
      <w:r>
        <w:rPr>
          <w:rFonts w:hint="eastAsia" w:hAnsi="宋体" w:cs="宋体"/>
          <w:bCs/>
          <w:sz w:val="24"/>
          <w:szCs w:val="24"/>
        </w:rPr>
        <w:t>联系人：</w:t>
      </w:r>
      <w:r>
        <w:rPr>
          <w:rFonts w:hint="eastAsia" w:hAnsi="宋体" w:cs="宋体"/>
          <w:bCs/>
          <w:sz w:val="24"/>
          <w:szCs w:val="24"/>
          <w:u w:val="single"/>
        </w:rPr>
        <w:t xml:space="preserve">                           </w:t>
      </w:r>
      <w:r>
        <w:rPr>
          <w:rFonts w:hint="eastAsia" w:hAnsi="宋体" w:cs="宋体"/>
          <w:bCs/>
          <w:sz w:val="24"/>
          <w:szCs w:val="24"/>
        </w:rPr>
        <w:t>联系电话：</w:t>
      </w:r>
      <w:r>
        <w:rPr>
          <w:rFonts w:hint="eastAsia" w:hAnsi="宋体" w:cs="宋体"/>
          <w:bCs/>
          <w:sz w:val="24"/>
          <w:szCs w:val="24"/>
          <w:u w:val="single"/>
        </w:rPr>
        <w:t xml:space="preserve">               </w:t>
      </w:r>
    </w:p>
    <w:p w14:paraId="67428212">
      <w:pPr>
        <w:pStyle w:val="25"/>
        <w:snapToGrid w:val="0"/>
        <w:spacing w:line="360" w:lineRule="auto"/>
        <w:ind w:firstLine="480" w:firstLineChars="200"/>
        <w:jc w:val="left"/>
        <w:rPr>
          <w:rFonts w:hAnsi="宋体" w:cs="宋体"/>
          <w:bCs/>
          <w:sz w:val="24"/>
          <w:szCs w:val="24"/>
        </w:rPr>
      </w:pPr>
      <w:r>
        <w:rPr>
          <w:rFonts w:hint="eastAsia" w:hAnsi="宋体" w:cs="宋体"/>
          <w:bCs/>
          <w:sz w:val="24"/>
          <w:szCs w:val="24"/>
        </w:rPr>
        <w:t>被投诉人2：</w:t>
      </w:r>
    </w:p>
    <w:p w14:paraId="06A24803">
      <w:pPr>
        <w:pStyle w:val="25"/>
        <w:snapToGrid w:val="0"/>
        <w:spacing w:line="360" w:lineRule="auto"/>
        <w:ind w:firstLine="480" w:firstLineChars="200"/>
        <w:jc w:val="left"/>
        <w:rPr>
          <w:rFonts w:hAnsi="宋体" w:cs="宋体"/>
          <w:bCs/>
          <w:sz w:val="24"/>
          <w:szCs w:val="24"/>
        </w:rPr>
      </w:pPr>
      <w:r>
        <w:rPr>
          <w:rFonts w:hint="eastAsia" w:hAnsi="宋体" w:cs="宋体"/>
          <w:bCs/>
          <w:sz w:val="24"/>
          <w:szCs w:val="24"/>
        </w:rPr>
        <w:t>……</w:t>
      </w:r>
    </w:p>
    <w:p w14:paraId="2272D6D4">
      <w:pPr>
        <w:pStyle w:val="25"/>
        <w:snapToGrid w:val="0"/>
        <w:spacing w:line="360" w:lineRule="auto"/>
        <w:ind w:firstLine="480" w:firstLineChars="200"/>
        <w:jc w:val="left"/>
        <w:rPr>
          <w:rFonts w:hAnsi="宋体" w:cs="宋体"/>
          <w:bCs/>
          <w:sz w:val="24"/>
          <w:szCs w:val="24"/>
          <w:u w:val="single"/>
        </w:rPr>
      </w:pPr>
      <w:r>
        <w:rPr>
          <w:rFonts w:hint="eastAsia" w:hAnsi="宋体" w:cs="宋体"/>
          <w:bCs/>
          <w:sz w:val="24"/>
          <w:szCs w:val="24"/>
        </w:rPr>
        <w:t>相关供应商：</w:t>
      </w:r>
      <w:r>
        <w:rPr>
          <w:rFonts w:hint="eastAsia" w:hAnsi="宋体" w:cs="宋体"/>
          <w:bCs/>
          <w:sz w:val="24"/>
          <w:szCs w:val="24"/>
          <w:u w:val="single"/>
        </w:rPr>
        <w:t xml:space="preserve">                                                                      </w:t>
      </w:r>
    </w:p>
    <w:p w14:paraId="63AB782D">
      <w:pPr>
        <w:pStyle w:val="25"/>
        <w:snapToGrid w:val="0"/>
        <w:spacing w:line="360" w:lineRule="auto"/>
        <w:ind w:firstLine="480" w:firstLineChars="200"/>
        <w:jc w:val="left"/>
        <w:rPr>
          <w:rFonts w:hAnsi="宋体" w:cs="宋体"/>
          <w:bCs/>
          <w:sz w:val="24"/>
          <w:szCs w:val="24"/>
          <w:u w:val="single"/>
        </w:rPr>
      </w:pPr>
      <w:r>
        <w:rPr>
          <w:rFonts w:hint="eastAsia" w:hAnsi="宋体" w:cs="宋体"/>
          <w:bCs/>
          <w:sz w:val="24"/>
          <w:szCs w:val="24"/>
        </w:rPr>
        <w:t>地址：</w:t>
      </w:r>
      <w:r>
        <w:rPr>
          <w:rFonts w:hint="eastAsia" w:hAnsi="宋体" w:cs="宋体"/>
          <w:bCs/>
          <w:sz w:val="24"/>
          <w:szCs w:val="24"/>
          <w:u w:val="single"/>
        </w:rPr>
        <w:t xml:space="preserve">                                             </w:t>
      </w:r>
      <w:r>
        <w:rPr>
          <w:rFonts w:hint="eastAsia" w:hAnsi="宋体" w:cs="宋体"/>
          <w:bCs/>
          <w:sz w:val="24"/>
          <w:szCs w:val="24"/>
        </w:rPr>
        <w:t>邮编：</w:t>
      </w:r>
      <w:r>
        <w:rPr>
          <w:rFonts w:hint="eastAsia" w:hAnsi="宋体" w:cs="宋体"/>
          <w:bCs/>
          <w:sz w:val="24"/>
          <w:szCs w:val="24"/>
          <w:u w:val="single"/>
        </w:rPr>
        <w:t xml:space="preserve">                        </w:t>
      </w:r>
    </w:p>
    <w:p w14:paraId="21D65E6A">
      <w:pPr>
        <w:pStyle w:val="25"/>
        <w:snapToGrid w:val="0"/>
        <w:spacing w:line="360" w:lineRule="auto"/>
        <w:ind w:firstLine="480" w:firstLineChars="200"/>
        <w:jc w:val="left"/>
        <w:rPr>
          <w:rFonts w:hAnsi="宋体" w:cs="宋体"/>
          <w:bCs/>
          <w:sz w:val="24"/>
          <w:szCs w:val="24"/>
        </w:rPr>
      </w:pPr>
      <w:r>
        <w:rPr>
          <w:rFonts w:hint="eastAsia" w:hAnsi="宋体" w:cs="宋体"/>
          <w:bCs/>
          <w:sz w:val="24"/>
          <w:szCs w:val="24"/>
        </w:rPr>
        <w:t>联系人：</w:t>
      </w:r>
      <w:r>
        <w:rPr>
          <w:rFonts w:hint="eastAsia" w:hAnsi="宋体" w:cs="宋体"/>
          <w:bCs/>
          <w:sz w:val="24"/>
          <w:szCs w:val="24"/>
          <w:u w:val="single"/>
        </w:rPr>
        <w:t xml:space="preserve">                                           </w:t>
      </w:r>
      <w:r>
        <w:rPr>
          <w:rFonts w:hint="eastAsia" w:hAnsi="宋体" w:cs="宋体"/>
          <w:bCs/>
          <w:sz w:val="24"/>
          <w:szCs w:val="24"/>
        </w:rPr>
        <w:t>联系电话：</w:t>
      </w:r>
      <w:r>
        <w:rPr>
          <w:rFonts w:hint="eastAsia" w:hAnsi="宋体" w:cs="宋体"/>
          <w:bCs/>
          <w:sz w:val="24"/>
          <w:szCs w:val="24"/>
          <w:u w:val="single"/>
        </w:rPr>
        <w:t xml:space="preserve">                    </w:t>
      </w:r>
      <w:r>
        <w:rPr>
          <w:rFonts w:hint="eastAsia" w:hAnsi="宋体" w:cs="宋体"/>
          <w:bCs/>
          <w:sz w:val="24"/>
          <w:szCs w:val="24"/>
        </w:rPr>
        <w:t xml:space="preserve">                </w:t>
      </w:r>
    </w:p>
    <w:p w14:paraId="6C59F489">
      <w:pPr>
        <w:pStyle w:val="25"/>
        <w:snapToGrid w:val="0"/>
        <w:spacing w:line="360" w:lineRule="auto"/>
        <w:ind w:firstLine="482" w:firstLineChars="200"/>
        <w:rPr>
          <w:rFonts w:hAnsi="宋体" w:cs="宋体"/>
          <w:b/>
          <w:bCs/>
          <w:sz w:val="24"/>
          <w:szCs w:val="24"/>
        </w:rPr>
      </w:pPr>
      <w:r>
        <w:rPr>
          <w:rFonts w:hint="eastAsia" w:hAnsi="宋体" w:cs="宋体"/>
          <w:b/>
          <w:bCs/>
          <w:sz w:val="24"/>
          <w:szCs w:val="24"/>
        </w:rPr>
        <w:t>二、投诉项目基本情况：</w:t>
      </w:r>
    </w:p>
    <w:p w14:paraId="53A072B6">
      <w:pPr>
        <w:pStyle w:val="25"/>
        <w:spacing w:line="360" w:lineRule="auto"/>
        <w:ind w:left="25" w:leftChars="12" w:firstLine="472" w:firstLineChars="197"/>
        <w:rPr>
          <w:rFonts w:hAnsi="宋体" w:cs="宋体"/>
          <w:sz w:val="24"/>
          <w:szCs w:val="24"/>
        </w:rPr>
      </w:pPr>
      <w:r>
        <w:rPr>
          <w:rFonts w:hint="eastAsia" w:hAnsi="宋体" w:cs="宋体"/>
          <w:bCs/>
          <w:sz w:val="24"/>
          <w:szCs w:val="24"/>
        </w:rPr>
        <w:t>采购</w:t>
      </w:r>
      <w:r>
        <w:rPr>
          <w:rFonts w:hint="eastAsia" w:hAnsi="宋体" w:cs="宋体"/>
          <w:sz w:val="24"/>
          <w:szCs w:val="24"/>
        </w:rPr>
        <w:t>项目的名称：</w:t>
      </w:r>
      <w:r>
        <w:rPr>
          <w:rFonts w:hint="eastAsia" w:hAnsi="宋体" w:cs="宋体"/>
          <w:bCs/>
          <w:sz w:val="24"/>
          <w:szCs w:val="24"/>
          <w:u w:val="single"/>
        </w:rPr>
        <w:t xml:space="preserve">                                                                  </w:t>
      </w:r>
    </w:p>
    <w:p w14:paraId="385945FA">
      <w:pPr>
        <w:pStyle w:val="25"/>
        <w:spacing w:line="360" w:lineRule="auto"/>
        <w:ind w:left="25" w:leftChars="12" w:firstLine="472" w:firstLineChars="197"/>
        <w:rPr>
          <w:rFonts w:hAnsi="宋体" w:cs="宋体"/>
          <w:sz w:val="24"/>
          <w:szCs w:val="24"/>
        </w:rPr>
      </w:pPr>
      <w:r>
        <w:rPr>
          <w:rFonts w:hint="eastAsia" w:hAnsi="宋体" w:cs="宋体"/>
          <w:bCs/>
          <w:sz w:val="24"/>
          <w:szCs w:val="24"/>
        </w:rPr>
        <w:t>采购</w:t>
      </w:r>
      <w:r>
        <w:rPr>
          <w:rFonts w:hint="eastAsia" w:hAnsi="宋体" w:cs="宋体"/>
          <w:sz w:val="24"/>
          <w:szCs w:val="24"/>
        </w:rPr>
        <w:t>项目的编号：</w:t>
      </w:r>
      <w:r>
        <w:rPr>
          <w:rFonts w:hint="eastAsia" w:hAnsi="宋体" w:cs="宋体"/>
          <w:bCs/>
          <w:sz w:val="24"/>
          <w:szCs w:val="24"/>
          <w:u w:val="single"/>
        </w:rPr>
        <w:t xml:space="preserve">                                         </w:t>
      </w:r>
    </w:p>
    <w:p w14:paraId="08390197">
      <w:pPr>
        <w:pStyle w:val="25"/>
        <w:spacing w:line="360" w:lineRule="auto"/>
        <w:ind w:left="25" w:leftChars="12" w:firstLine="472" w:firstLineChars="197"/>
        <w:rPr>
          <w:rFonts w:hAnsi="宋体" w:cs="宋体"/>
          <w:bCs/>
          <w:sz w:val="24"/>
          <w:szCs w:val="24"/>
          <w:u w:val="single"/>
        </w:rPr>
      </w:pPr>
      <w:r>
        <w:rPr>
          <w:rFonts w:hint="eastAsia" w:hAnsi="宋体" w:cs="宋体"/>
          <w:sz w:val="24"/>
          <w:szCs w:val="24"/>
        </w:rPr>
        <w:t>采购人名称：</w:t>
      </w:r>
      <w:r>
        <w:rPr>
          <w:rFonts w:hint="eastAsia" w:hAnsi="宋体" w:cs="宋体"/>
          <w:bCs/>
          <w:sz w:val="24"/>
          <w:szCs w:val="24"/>
          <w:u w:val="single"/>
        </w:rPr>
        <w:t xml:space="preserve">                                                                       </w:t>
      </w:r>
    </w:p>
    <w:p w14:paraId="12888373">
      <w:pPr>
        <w:pStyle w:val="25"/>
        <w:spacing w:line="360" w:lineRule="auto"/>
        <w:ind w:left="25" w:leftChars="12" w:firstLine="472" w:firstLineChars="197"/>
        <w:rPr>
          <w:rFonts w:hAnsi="宋体" w:cs="宋体"/>
          <w:bCs/>
          <w:sz w:val="24"/>
          <w:szCs w:val="24"/>
          <w:u w:val="single"/>
        </w:rPr>
      </w:pPr>
      <w:r>
        <w:rPr>
          <w:rFonts w:hint="eastAsia" w:hAnsi="宋体" w:cs="宋体"/>
          <w:sz w:val="24"/>
          <w:szCs w:val="24"/>
        </w:rPr>
        <w:t>代理机构名称：</w:t>
      </w:r>
      <w:r>
        <w:rPr>
          <w:rFonts w:hint="eastAsia" w:hAnsi="宋体" w:cs="宋体"/>
          <w:bCs/>
          <w:sz w:val="24"/>
          <w:szCs w:val="24"/>
          <w:u w:val="single"/>
        </w:rPr>
        <w:t xml:space="preserve">                                                                     </w:t>
      </w:r>
    </w:p>
    <w:p w14:paraId="742CA80E">
      <w:pPr>
        <w:pStyle w:val="25"/>
        <w:spacing w:line="360" w:lineRule="auto"/>
        <w:ind w:left="25" w:leftChars="12" w:firstLine="472" w:firstLineChars="197"/>
        <w:rPr>
          <w:rFonts w:hAnsi="宋体" w:cs="宋体"/>
          <w:bCs/>
          <w:sz w:val="24"/>
          <w:szCs w:val="24"/>
          <w:u w:val="single"/>
        </w:rPr>
      </w:pPr>
      <w:r>
        <w:rPr>
          <w:rFonts w:hint="eastAsia" w:hAnsi="宋体" w:cs="宋体"/>
          <w:bCs/>
          <w:sz w:val="24"/>
          <w:szCs w:val="24"/>
        </w:rPr>
        <w:t>采购文件公告：</w:t>
      </w:r>
      <w:r>
        <w:rPr>
          <w:rFonts w:hint="eastAsia" w:hAnsi="宋体" w:cs="宋体"/>
          <w:bCs/>
          <w:sz w:val="24"/>
          <w:szCs w:val="24"/>
          <w:u w:val="single"/>
        </w:rPr>
        <w:t>是/否</w:t>
      </w:r>
      <w:r>
        <w:rPr>
          <w:rFonts w:hint="eastAsia" w:hAnsi="宋体" w:cs="宋体"/>
          <w:bCs/>
          <w:sz w:val="24"/>
          <w:szCs w:val="24"/>
        </w:rPr>
        <w:t>公告期限：</w:t>
      </w:r>
      <w:r>
        <w:rPr>
          <w:rFonts w:hint="eastAsia" w:hAnsi="宋体" w:cs="宋体"/>
          <w:bCs/>
          <w:sz w:val="24"/>
          <w:szCs w:val="24"/>
          <w:u w:val="single"/>
        </w:rPr>
        <w:t xml:space="preserve">                                                      </w:t>
      </w:r>
    </w:p>
    <w:p w14:paraId="39E5B35A">
      <w:pPr>
        <w:pStyle w:val="25"/>
        <w:spacing w:line="360" w:lineRule="auto"/>
        <w:ind w:left="25" w:leftChars="12" w:firstLine="472" w:firstLineChars="197"/>
        <w:rPr>
          <w:rFonts w:hAnsi="宋体" w:cs="宋体"/>
          <w:b/>
          <w:sz w:val="24"/>
          <w:szCs w:val="24"/>
        </w:rPr>
      </w:pPr>
      <w:r>
        <w:rPr>
          <w:rFonts w:hint="eastAsia" w:hAnsi="宋体" w:cs="宋体"/>
          <w:bCs/>
          <w:sz w:val="24"/>
          <w:szCs w:val="24"/>
        </w:rPr>
        <w:t>采购结果公告：</w:t>
      </w:r>
      <w:r>
        <w:rPr>
          <w:rFonts w:hint="eastAsia" w:hAnsi="宋体" w:cs="宋体"/>
          <w:bCs/>
          <w:sz w:val="24"/>
          <w:szCs w:val="24"/>
          <w:u w:val="single"/>
        </w:rPr>
        <w:t>是/否</w:t>
      </w:r>
      <w:r>
        <w:rPr>
          <w:rFonts w:hint="eastAsia" w:hAnsi="宋体" w:cs="宋体"/>
          <w:bCs/>
          <w:sz w:val="24"/>
          <w:szCs w:val="24"/>
        </w:rPr>
        <w:t>公告期限：</w:t>
      </w:r>
      <w:r>
        <w:rPr>
          <w:rFonts w:hint="eastAsia" w:hAnsi="宋体" w:cs="宋体"/>
          <w:bCs/>
          <w:sz w:val="24"/>
          <w:szCs w:val="24"/>
          <w:u w:val="single"/>
        </w:rPr>
        <w:t xml:space="preserve">                                                      </w:t>
      </w:r>
    </w:p>
    <w:p w14:paraId="1E11F4C1">
      <w:pPr>
        <w:pStyle w:val="25"/>
        <w:spacing w:line="360" w:lineRule="auto"/>
        <w:ind w:left="25" w:leftChars="12" w:firstLine="472" w:firstLineChars="196"/>
        <w:rPr>
          <w:rFonts w:hAnsi="宋体" w:cs="宋体"/>
          <w:b/>
          <w:sz w:val="24"/>
          <w:szCs w:val="24"/>
        </w:rPr>
      </w:pPr>
      <w:r>
        <w:rPr>
          <w:rFonts w:hint="eastAsia" w:hAnsi="宋体" w:cs="宋体"/>
          <w:b/>
          <w:sz w:val="24"/>
          <w:szCs w:val="24"/>
        </w:rPr>
        <w:t>三、质疑基本情况</w:t>
      </w:r>
    </w:p>
    <w:p w14:paraId="00DCB08C">
      <w:pPr>
        <w:pStyle w:val="25"/>
        <w:spacing w:line="360" w:lineRule="auto"/>
        <w:ind w:left="25" w:leftChars="12" w:firstLine="480" w:firstLineChars="200"/>
        <w:rPr>
          <w:rFonts w:hAnsi="宋体" w:cs="宋体"/>
          <w:sz w:val="24"/>
          <w:szCs w:val="24"/>
        </w:rPr>
      </w:pPr>
      <w:r>
        <w:rPr>
          <w:rFonts w:hint="eastAsia" w:hAnsi="宋体" w:cs="宋体"/>
          <w:sz w:val="24"/>
          <w:szCs w:val="24"/>
        </w:rPr>
        <w:t>投诉人于</w:t>
      </w:r>
      <w:r>
        <w:rPr>
          <w:rFonts w:hint="eastAsia" w:hAnsi="宋体" w:cs="宋体"/>
          <w:sz w:val="24"/>
          <w:szCs w:val="24"/>
          <w:u w:val="single"/>
        </w:rPr>
        <w:t xml:space="preserve">      </w:t>
      </w:r>
      <w:r>
        <w:rPr>
          <w:rFonts w:hint="eastAsia" w:hAnsi="宋体" w:cs="宋体"/>
          <w:sz w:val="24"/>
          <w:szCs w:val="24"/>
        </w:rPr>
        <w:t>年</w:t>
      </w:r>
      <w:r>
        <w:rPr>
          <w:rFonts w:hint="eastAsia" w:hAnsi="宋体" w:cs="宋体"/>
          <w:sz w:val="24"/>
          <w:szCs w:val="24"/>
          <w:u w:val="single"/>
        </w:rPr>
        <w:t xml:space="preserve">   </w:t>
      </w:r>
      <w:r>
        <w:rPr>
          <w:rFonts w:hint="eastAsia" w:hAnsi="宋体" w:cs="宋体"/>
          <w:sz w:val="24"/>
          <w:szCs w:val="24"/>
        </w:rPr>
        <w:t>月</w:t>
      </w:r>
      <w:r>
        <w:rPr>
          <w:rFonts w:hint="eastAsia" w:hAnsi="宋体" w:cs="宋体"/>
          <w:sz w:val="24"/>
          <w:szCs w:val="24"/>
          <w:u w:val="single"/>
        </w:rPr>
        <w:t xml:space="preserve">   </w:t>
      </w:r>
      <w:r>
        <w:rPr>
          <w:rFonts w:hint="eastAsia" w:hAnsi="宋体" w:cs="宋体"/>
          <w:sz w:val="24"/>
          <w:szCs w:val="24"/>
        </w:rPr>
        <w:t>日，向</w:t>
      </w:r>
      <w:r>
        <w:rPr>
          <w:rFonts w:hint="eastAsia" w:hAnsi="宋体" w:cs="宋体"/>
          <w:sz w:val="24"/>
          <w:szCs w:val="24"/>
          <w:u w:val="single"/>
        </w:rPr>
        <w:t xml:space="preserve">                                </w:t>
      </w:r>
      <w:r>
        <w:rPr>
          <w:rFonts w:hint="eastAsia" w:hAnsi="宋体" w:cs="宋体"/>
          <w:sz w:val="24"/>
          <w:szCs w:val="24"/>
        </w:rPr>
        <w:t>提出质疑，质疑事项为：</w:t>
      </w:r>
    </w:p>
    <w:p w14:paraId="69E34552">
      <w:pPr>
        <w:pStyle w:val="25"/>
        <w:spacing w:line="360" w:lineRule="auto"/>
        <w:ind w:firstLine="241"/>
        <w:rPr>
          <w:rFonts w:hAnsi="宋体" w:cs="宋体"/>
          <w:bCs/>
          <w:sz w:val="24"/>
          <w:szCs w:val="24"/>
          <w:u w:val="single"/>
        </w:rPr>
      </w:pPr>
      <w:r>
        <w:rPr>
          <w:rFonts w:hint="eastAsia" w:hAnsi="宋体" w:cs="宋体"/>
          <w:sz w:val="24"/>
          <w:szCs w:val="24"/>
        </w:rPr>
        <w:t xml:space="preserve">    </w:t>
      </w:r>
      <w:r>
        <w:rPr>
          <w:rFonts w:hint="eastAsia" w:hAnsi="宋体" w:cs="宋体"/>
          <w:bCs/>
          <w:sz w:val="24"/>
          <w:szCs w:val="24"/>
          <w:u w:val="single"/>
        </w:rPr>
        <w:t xml:space="preserve">                                                                                      </w:t>
      </w:r>
    </w:p>
    <w:p w14:paraId="2F1B5FEE">
      <w:pPr>
        <w:pStyle w:val="25"/>
        <w:spacing w:line="360" w:lineRule="auto"/>
        <w:ind w:firstLine="241"/>
        <w:rPr>
          <w:rFonts w:hAnsi="宋体" w:cs="宋体"/>
          <w:bCs/>
          <w:sz w:val="24"/>
          <w:szCs w:val="24"/>
          <w:u w:val="single"/>
        </w:rPr>
      </w:pPr>
      <w:r>
        <w:rPr>
          <w:rFonts w:hint="eastAsia" w:hAnsi="宋体" w:cs="宋体"/>
          <w:bCs/>
          <w:sz w:val="24"/>
          <w:szCs w:val="24"/>
        </w:rPr>
        <w:t xml:space="preserve">    </w:t>
      </w:r>
      <w:r>
        <w:rPr>
          <w:rFonts w:hint="eastAsia" w:hAnsi="宋体" w:cs="宋体"/>
          <w:bCs/>
          <w:sz w:val="24"/>
          <w:szCs w:val="24"/>
          <w:u w:val="single"/>
        </w:rPr>
        <w:t xml:space="preserve">                                                                                      </w:t>
      </w:r>
    </w:p>
    <w:p w14:paraId="5F803E2F">
      <w:pPr>
        <w:pStyle w:val="25"/>
        <w:spacing w:line="360" w:lineRule="auto"/>
        <w:ind w:firstLine="480" w:firstLineChars="200"/>
        <w:rPr>
          <w:rFonts w:hAnsi="宋体" w:cs="宋体"/>
          <w:sz w:val="24"/>
          <w:szCs w:val="24"/>
        </w:rPr>
      </w:pPr>
      <w:r>
        <w:rPr>
          <w:rFonts w:hint="eastAsia" w:hAnsi="宋体" w:cs="宋体"/>
          <w:bCs/>
          <w:sz w:val="24"/>
          <w:szCs w:val="24"/>
          <w:u w:val="single"/>
        </w:rPr>
        <w:t>采购人/代理机构</w:t>
      </w:r>
      <w:r>
        <w:rPr>
          <w:rFonts w:hint="eastAsia" w:hAnsi="宋体" w:cs="宋体"/>
          <w:bCs/>
          <w:sz w:val="24"/>
          <w:szCs w:val="24"/>
        </w:rPr>
        <w:t>于</w:t>
      </w:r>
      <w:r>
        <w:rPr>
          <w:rFonts w:hint="eastAsia" w:hAnsi="宋体" w:cs="宋体"/>
          <w:sz w:val="24"/>
          <w:szCs w:val="24"/>
          <w:u w:val="single"/>
        </w:rPr>
        <w:t xml:space="preserve">      </w:t>
      </w:r>
      <w:r>
        <w:rPr>
          <w:rFonts w:hint="eastAsia" w:hAnsi="宋体" w:cs="宋体"/>
          <w:sz w:val="24"/>
          <w:szCs w:val="24"/>
        </w:rPr>
        <w:t>年</w:t>
      </w:r>
      <w:r>
        <w:rPr>
          <w:rFonts w:hint="eastAsia" w:hAnsi="宋体" w:cs="宋体"/>
          <w:sz w:val="24"/>
          <w:szCs w:val="24"/>
          <w:u w:val="single"/>
        </w:rPr>
        <w:t xml:space="preserve">   </w:t>
      </w:r>
      <w:r>
        <w:rPr>
          <w:rFonts w:hint="eastAsia" w:hAnsi="宋体" w:cs="宋体"/>
          <w:sz w:val="24"/>
          <w:szCs w:val="24"/>
        </w:rPr>
        <w:t>月</w:t>
      </w:r>
      <w:r>
        <w:rPr>
          <w:rFonts w:hint="eastAsia" w:hAnsi="宋体" w:cs="宋体"/>
          <w:sz w:val="24"/>
          <w:szCs w:val="24"/>
          <w:u w:val="single"/>
        </w:rPr>
        <w:t xml:space="preserve">   </w:t>
      </w:r>
      <w:r>
        <w:rPr>
          <w:rFonts w:hint="eastAsia" w:hAnsi="宋体" w:cs="宋体"/>
          <w:sz w:val="24"/>
          <w:szCs w:val="24"/>
        </w:rPr>
        <w:t>日，</w:t>
      </w:r>
      <w:r>
        <w:rPr>
          <w:rFonts w:hint="eastAsia" w:hAnsi="宋体" w:cs="宋体"/>
          <w:bCs/>
          <w:sz w:val="24"/>
          <w:szCs w:val="24"/>
        </w:rPr>
        <w:t xml:space="preserve">就质疑事项作出了答复/没有在法定期限内作出答复。                                                                                             </w:t>
      </w:r>
    </w:p>
    <w:p w14:paraId="2A6CA3C1">
      <w:pPr>
        <w:pStyle w:val="25"/>
        <w:spacing w:line="360" w:lineRule="auto"/>
        <w:ind w:left="25" w:leftChars="12" w:firstLine="472" w:firstLineChars="196"/>
        <w:rPr>
          <w:rFonts w:hAnsi="宋体" w:cs="宋体"/>
          <w:b/>
          <w:sz w:val="24"/>
          <w:szCs w:val="24"/>
        </w:rPr>
      </w:pPr>
      <w:r>
        <w:rPr>
          <w:rFonts w:hint="eastAsia" w:hAnsi="宋体" w:cs="宋体"/>
          <w:b/>
          <w:sz w:val="24"/>
          <w:szCs w:val="24"/>
        </w:rPr>
        <w:t>四、投诉事项具体内容</w:t>
      </w:r>
    </w:p>
    <w:p w14:paraId="669A4A3A">
      <w:pPr>
        <w:pStyle w:val="25"/>
        <w:spacing w:line="360" w:lineRule="auto"/>
        <w:ind w:left="25" w:leftChars="12" w:firstLine="472" w:firstLineChars="197"/>
        <w:rPr>
          <w:rFonts w:hAnsi="宋体" w:cs="宋体"/>
          <w:bCs/>
          <w:sz w:val="24"/>
          <w:szCs w:val="24"/>
          <w:u w:val="single"/>
        </w:rPr>
      </w:pPr>
      <w:r>
        <w:rPr>
          <w:rFonts w:hint="eastAsia" w:hAnsi="宋体" w:cs="宋体"/>
          <w:sz w:val="24"/>
          <w:szCs w:val="24"/>
        </w:rPr>
        <w:t>投诉事项1：</w:t>
      </w:r>
      <w:r>
        <w:rPr>
          <w:rFonts w:hint="eastAsia" w:hAnsi="宋体" w:cs="宋体"/>
          <w:bCs/>
          <w:sz w:val="24"/>
          <w:szCs w:val="24"/>
          <w:u w:val="single"/>
        </w:rPr>
        <w:t xml:space="preserve">                                                                          </w:t>
      </w:r>
    </w:p>
    <w:p w14:paraId="23B871D0">
      <w:pPr>
        <w:pStyle w:val="25"/>
        <w:spacing w:line="360" w:lineRule="auto"/>
        <w:ind w:firstLine="480" w:firstLineChars="200"/>
        <w:rPr>
          <w:rFonts w:hAnsi="宋体" w:cs="宋体"/>
          <w:bCs/>
          <w:sz w:val="24"/>
          <w:szCs w:val="24"/>
          <w:u w:val="single"/>
        </w:rPr>
      </w:pPr>
      <w:r>
        <w:rPr>
          <w:rFonts w:hint="eastAsia" w:hAnsi="宋体" w:cs="宋体"/>
          <w:bCs/>
          <w:sz w:val="24"/>
          <w:szCs w:val="24"/>
        </w:rPr>
        <w:t>事实依据：</w:t>
      </w:r>
      <w:r>
        <w:rPr>
          <w:rFonts w:hint="eastAsia" w:hAnsi="宋体" w:cs="宋体"/>
          <w:bCs/>
          <w:sz w:val="24"/>
          <w:szCs w:val="24"/>
          <w:u w:val="single"/>
        </w:rPr>
        <w:t xml:space="preserve">                                                                                      </w:t>
      </w:r>
    </w:p>
    <w:p w14:paraId="7A924DCB">
      <w:pPr>
        <w:pStyle w:val="25"/>
        <w:spacing w:line="360" w:lineRule="auto"/>
        <w:ind w:left="25" w:leftChars="12" w:firstLine="472" w:firstLineChars="197"/>
        <w:rPr>
          <w:rFonts w:hAnsi="宋体" w:cs="宋体"/>
          <w:sz w:val="24"/>
          <w:szCs w:val="24"/>
        </w:rPr>
      </w:pPr>
      <w:r>
        <w:rPr>
          <w:rFonts w:hint="eastAsia" w:hAnsi="宋体" w:cs="宋体"/>
          <w:bCs/>
          <w:sz w:val="24"/>
          <w:szCs w:val="24"/>
          <w:u w:val="single"/>
        </w:rPr>
        <w:t xml:space="preserve">                                                                                        </w:t>
      </w:r>
    </w:p>
    <w:p w14:paraId="3B7ABD94">
      <w:pPr>
        <w:pStyle w:val="25"/>
        <w:spacing w:line="360" w:lineRule="auto"/>
        <w:ind w:firstLine="480" w:firstLineChars="200"/>
        <w:rPr>
          <w:rFonts w:hAnsi="宋体" w:cs="宋体"/>
          <w:bCs/>
          <w:sz w:val="24"/>
          <w:szCs w:val="24"/>
          <w:u w:val="single"/>
        </w:rPr>
      </w:pPr>
      <w:r>
        <w:rPr>
          <w:rFonts w:hint="eastAsia" w:hAnsi="宋体" w:cs="宋体"/>
          <w:bCs/>
          <w:sz w:val="24"/>
          <w:szCs w:val="24"/>
        </w:rPr>
        <w:t>法律依据：</w:t>
      </w:r>
      <w:r>
        <w:rPr>
          <w:rFonts w:hint="eastAsia" w:hAnsi="宋体" w:cs="宋体"/>
          <w:bCs/>
          <w:sz w:val="24"/>
          <w:szCs w:val="24"/>
          <w:u w:val="single"/>
        </w:rPr>
        <w:t xml:space="preserve">                                                                                      </w:t>
      </w:r>
    </w:p>
    <w:p w14:paraId="447516F1">
      <w:pPr>
        <w:pStyle w:val="25"/>
        <w:spacing w:line="360" w:lineRule="auto"/>
        <w:ind w:left="25" w:leftChars="12" w:firstLine="352" w:firstLineChars="147"/>
        <w:rPr>
          <w:rFonts w:hAnsi="宋体" w:cs="宋体"/>
          <w:bCs/>
          <w:sz w:val="24"/>
          <w:szCs w:val="24"/>
          <w:u w:val="single"/>
        </w:rPr>
      </w:pPr>
      <w:r>
        <w:rPr>
          <w:rFonts w:hint="eastAsia" w:hAnsi="宋体" w:cs="宋体"/>
          <w:bCs/>
          <w:sz w:val="24"/>
          <w:szCs w:val="24"/>
        </w:rPr>
        <w:t xml:space="preserve"> </w:t>
      </w:r>
      <w:r>
        <w:rPr>
          <w:rFonts w:hint="eastAsia" w:hAnsi="宋体" w:cs="宋体"/>
          <w:bCs/>
          <w:sz w:val="24"/>
          <w:szCs w:val="24"/>
          <w:u w:val="single"/>
        </w:rPr>
        <w:t xml:space="preserve">                                                                                        </w:t>
      </w:r>
    </w:p>
    <w:p w14:paraId="3545B1C9">
      <w:pPr>
        <w:pStyle w:val="25"/>
        <w:spacing w:line="360" w:lineRule="auto"/>
        <w:ind w:left="25" w:leftChars="12" w:firstLine="472" w:firstLineChars="197"/>
        <w:rPr>
          <w:rFonts w:hAnsi="宋体" w:cs="宋体"/>
          <w:bCs/>
          <w:sz w:val="24"/>
          <w:szCs w:val="24"/>
        </w:rPr>
      </w:pPr>
      <w:r>
        <w:rPr>
          <w:rFonts w:hint="eastAsia" w:hAnsi="宋体" w:cs="宋体"/>
          <w:sz w:val="24"/>
          <w:szCs w:val="24"/>
        </w:rPr>
        <w:t xml:space="preserve">投诉事项2  </w:t>
      </w:r>
      <w:r>
        <w:rPr>
          <w:rFonts w:hint="eastAsia" w:hAnsi="宋体" w:cs="宋体"/>
          <w:bCs/>
          <w:sz w:val="24"/>
          <w:szCs w:val="24"/>
        </w:rPr>
        <w:t xml:space="preserve">   </w:t>
      </w:r>
    </w:p>
    <w:p w14:paraId="24625FD6">
      <w:pPr>
        <w:pStyle w:val="25"/>
        <w:spacing w:line="360" w:lineRule="auto"/>
        <w:ind w:left="25" w:leftChars="12" w:firstLine="472" w:firstLineChars="197"/>
        <w:rPr>
          <w:rFonts w:hAnsi="宋体" w:cs="宋体"/>
          <w:bCs/>
          <w:sz w:val="24"/>
          <w:szCs w:val="24"/>
        </w:rPr>
      </w:pPr>
      <w:r>
        <w:rPr>
          <w:rFonts w:hint="eastAsia" w:hAnsi="宋体" w:cs="宋体"/>
          <w:bCs/>
          <w:sz w:val="24"/>
          <w:szCs w:val="24"/>
        </w:rPr>
        <w:t>……</w:t>
      </w:r>
    </w:p>
    <w:p w14:paraId="4076D5B3">
      <w:pPr>
        <w:pStyle w:val="25"/>
        <w:spacing w:line="360" w:lineRule="auto"/>
        <w:ind w:left="25" w:leftChars="12" w:firstLine="472" w:firstLineChars="196"/>
        <w:rPr>
          <w:rFonts w:hAnsi="宋体" w:cs="宋体"/>
          <w:b/>
          <w:sz w:val="24"/>
          <w:szCs w:val="24"/>
        </w:rPr>
      </w:pPr>
      <w:r>
        <w:rPr>
          <w:rFonts w:hint="eastAsia" w:hAnsi="宋体" w:cs="宋体"/>
          <w:b/>
          <w:sz w:val="24"/>
          <w:szCs w:val="24"/>
        </w:rPr>
        <w:t>五、与投诉事项相关的投诉请求：</w:t>
      </w:r>
    </w:p>
    <w:p w14:paraId="5BCEF406">
      <w:pPr>
        <w:pStyle w:val="25"/>
        <w:spacing w:line="360" w:lineRule="auto"/>
        <w:ind w:left="25" w:leftChars="12" w:firstLine="472" w:firstLineChars="197"/>
        <w:rPr>
          <w:rFonts w:hAnsi="宋体" w:cs="宋体"/>
          <w:sz w:val="24"/>
          <w:szCs w:val="24"/>
        </w:rPr>
      </w:pPr>
      <w:r>
        <w:rPr>
          <w:rFonts w:hint="eastAsia" w:hAnsi="宋体" w:cs="宋体"/>
          <w:sz w:val="24"/>
          <w:szCs w:val="24"/>
        </w:rPr>
        <w:t>请求：</w:t>
      </w:r>
      <w:r>
        <w:rPr>
          <w:rFonts w:hint="eastAsia" w:hAnsi="宋体" w:cs="宋体"/>
          <w:bCs/>
          <w:sz w:val="24"/>
          <w:szCs w:val="24"/>
          <w:u w:val="single"/>
        </w:rPr>
        <w:t xml:space="preserve">                                                                                </w:t>
      </w:r>
    </w:p>
    <w:p w14:paraId="09AAEE51">
      <w:pPr>
        <w:pStyle w:val="25"/>
        <w:spacing w:line="360" w:lineRule="auto"/>
        <w:ind w:left="25" w:leftChars="12" w:firstLine="352" w:firstLineChars="147"/>
        <w:rPr>
          <w:rFonts w:hAnsi="宋体" w:cs="宋体"/>
          <w:sz w:val="24"/>
          <w:szCs w:val="24"/>
        </w:rPr>
      </w:pPr>
    </w:p>
    <w:p w14:paraId="45CA44D2">
      <w:pPr>
        <w:pStyle w:val="25"/>
        <w:spacing w:line="360" w:lineRule="auto"/>
        <w:ind w:left="25" w:leftChars="12" w:firstLine="472" w:firstLineChars="197"/>
        <w:rPr>
          <w:rFonts w:hAnsi="宋体" w:cs="宋体"/>
          <w:sz w:val="24"/>
          <w:szCs w:val="24"/>
        </w:rPr>
      </w:pPr>
      <w:r>
        <w:rPr>
          <w:rFonts w:hint="eastAsia" w:hAnsi="宋体" w:cs="宋体"/>
          <w:sz w:val="24"/>
          <w:szCs w:val="24"/>
        </w:rPr>
        <w:t>签字（签章）：                                      公章：</w:t>
      </w:r>
    </w:p>
    <w:p w14:paraId="7DCFFDA1">
      <w:pPr>
        <w:pStyle w:val="25"/>
        <w:spacing w:line="360" w:lineRule="auto"/>
        <w:ind w:left="25" w:leftChars="12" w:firstLine="352" w:firstLineChars="147"/>
        <w:rPr>
          <w:rFonts w:hAnsi="宋体" w:cs="宋体"/>
          <w:sz w:val="24"/>
          <w:szCs w:val="24"/>
        </w:rPr>
      </w:pPr>
    </w:p>
    <w:p w14:paraId="3D06B434">
      <w:pPr>
        <w:pStyle w:val="25"/>
        <w:spacing w:line="360" w:lineRule="auto"/>
        <w:ind w:left="25" w:leftChars="12" w:firstLine="472" w:firstLineChars="197"/>
        <w:rPr>
          <w:rFonts w:hAnsi="宋体" w:cs="宋体"/>
          <w:sz w:val="24"/>
          <w:szCs w:val="24"/>
        </w:rPr>
      </w:pPr>
      <w:r>
        <w:rPr>
          <w:rFonts w:hint="eastAsia" w:hAnsi="宋体" w:cs="宋体"/>
          <w:sz w:val="24"/>
          <w:szCs w:val="24"/>
        </w:rPr>
        <w:t>日期：</w:t>
      </w:r>
    </w:p>
    <w:p w14:paraId="6D8D418E">
      <w:pPr>
        <w:pStyle w:val="25"/>
        <w:snapToGrid w:val="0"/>
        <w:spacing w:line="360" w:lineRule="auto"/>
        <w:rPr>
          <w:rFonts w:hAnsi="宋体" w:cs="宋体"/>
          <w:b/>
          <w:sz w:val="24"/>
          <w:szCs w:val="24"/>
        </w:rPr>
      </w:pPr>
      <w:r>
        <w:rPr>
          <w:rFonts w:hint="eastAsia" w:hAnsi="宋体" w:cs="宋体"/>
          <w:b/>
          <w:sz w:val="24"/>
          <w:szCs w:val="24"/>
        </w:rPr>
        <w:t>说明：</w:t>
      </w:r>
    </w:p>
    <w:p w14:paraId="277A48A8">
      <w:pPr>
        <w:pStyle w:val="25"/>
        <w:spacing w:line="360" w:lineRule="auto"/>
        <w:ind w:left="25" w:leftChars="12" w:firstLine="354" w:firstLineChars="147"/>
        <w:rPr>
          <w:rFonts w:hAnsi="宋体" w:cs="宋体"/>
          <w:b/>
          <w:bCs/>
          <w:sz w:val="24"/>
          <w:szCs w:val="24"/>
        </w:rPr>
      </w:pPr>
      <w:r>
        <w:rPr>
          <w:rFonts w:hint="eastAsia" w:hAnsi="宋体" w:cs="宋体"/>
          <w:b/>
          <w:sz w:val="24"/>
          <w:szCs w:val="24"/>
        </w:rPr>
        <w:t>1.投诉人提起投诉时，应当提交投诉书和必要的证明材料，并按照被投诉人和与投诉事项有关的供应商数量提供投诉书副本</w:t>
      </w:r>
      <w:r>
        <w:rPr>
          <w:rFonts w:hint="eastAsia" w:hAnsi="宋体" w:cs="宋体"/>
          <w:b/>
          <w:bCs/>
          <w:sz w:val="24"/>
          <w:szCs w:val="24"/>
        </w:rPr>
        <w:t>。</w:t>
      </w:r>
    </w:p>
    <w:p w14:paraId="3A74D0BF">
      <w:pPr>
        <w:pStyle w:val="25"/>
        <w:spacing w:line="360" w:lineRule="auto"/>
        <w:ind w:left="25" w:leftChars="12" w:firstLine="354" w:firstLineChars="147"/>
        <w:rPr>
          <w:rFonts w:hAnsi="宋体" w:cs="宋体"/>
          <w:b/>
          <w:sz w:val="24"/>
          <w:szCs w:val="24"/>
        </w:rPr>
      </w:pPr>
      <w:r>
        <w:rPr>
          <w:rFonts w:hint="eastAsia" w:hAnsi="宋体" w:cs="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3080DF8">
      <w:pPr>
        <w:pStyle w:val="25"/>
        <w:spacing w:line="360" w:lineRule="auto"/>
        <w:ind w:left="25" w:leftChars="12" w:firstLine="354" w:firstLineChars="147"/>
        <w:rPr>
          <w:rFonts w:hAnsi="宋体" w:cs="宋体"/>
          <w:b/>
          <w:sz w:val="24"/>
          <w:szCs w:val="24"/>
        </w:rPr>
      </w:pPr>
      <w:r>
        <w:rPr>
          <w:rFonts w:hint="eastAsia" w:hAnsi="宋体" w:cs="宋体"/>
          <w:b/>
          <w:sz w:val="24"/>
          <w:szCs w:val="24"/>
        </w:rPr>
        <w:t>3.投诉书应简要列明质疑事项，质疑函、质疑答复等作为附件材料提供。</w:t>
      </w:r>
    </w:p>
    <w:p w14:paraId="662F98FD">
      <w:pPr>
        <w:pStyle w:val="25"/>
        <w:spacing w:line="360" w:lineRule="auto"/>
        <w:ind w:left="25" w:leftChars="12" w:firstLine="354" w:firstLineChars="147"/>
        <w:rPr>
          <w:rFonts w:hAnsi="宋体" w:cs="宋体"/>
          <w:b/>
          <w:sz w:val="24"/>
          <w:szCs w:val="24"/>
        </w:rPr>
      </w:pPr>
      <w:r>
        <w:rPr>
          <w:rFonts w:hint="eastAsia" w:hAnsi="宋体" w:cs="宋体"/>
          <w:b/>
          <w:sz w:val="24"/>
          <w:szCs w:val="24"/>
        </w:rPr>
        <w:t>4.投诉书的投诉事项应具体、明确，并有必要的事实依据和法律依据。</w:t>
      </w:r>
    </w:p>
    <w:p w14:paraId="53FEE154">
      <w:pPr>
        <w:pStyle w:val="25"/>
        <w:spacing w:line="360" w:lineRule="auto"/>
        <w:ind w:left="25" w:leftChars="12" w:firstLine="354" w:firstLineChars="147"/>
        <w:rPr>
          <w:rFonts w:hAnsi="宋体" w:cs="宋体"/>
          <w:b/>
          <w:sz w:val="24"/>
          <w:szCs w:val="24"/>
        </w:rPr>
      </w:pPr>
      <w:r>
        <w:rPr>
          <w:rFonts w:hint="eastAsia" w:hAnsi="宋体" w:cs="宋体"/>
          <w:b/>
          <w:sz w:val="24"/>
          <w:szCs w:val="24"/>
        </w:rPr>
        <w:t>5.投诉书的投诉请求应与投诉事项相关。</w:t>
      </w:r>
    </w:p>
    <w:p w14:paraId="1685B2BE">
      <w:pPr>
        <w:pStyle w:val="25"/>
        <w:spacing w:line="440" w:lineRule="exact"/>
        <w:ind w:left="25" w:leftChars="12" w:firstLine="354" w:firstLineChars="147"/>
        <w:rPr>
          <w:rFonts w:hAnsi="宋体" w:cs="宋体"/>
          <w:b/>
          <w:sz w:val="24"/>
          <w:szCs w:val="24"/>
        </w:rPr>
      </w:pPr>
      <w:r>
        <w:rPr>
          <w:rFonts w:hint="eastAsia" w:hAnsi="宋体" w:cs="宋体"/>
          <w:b/>
          <w:sz w:val="24"/>
          <w:szCs w:val="24"/>
        </w:rPr>
        <w:t>6.投诉人为法人或者其他组织的，投诉书应由法定代表人、主要负责人，或者其授权代表签字或者盖章，并加盖公章。</w:t>
      </w:r>
    </w:p>
    <w:p w14:paraId="3CF32D27">
      <w:pPr>
        <w:pStyle w:val="25"/>
        <w:spacing w:line="440" w:lineRule="exact"/>
        <w:ind w:left="25" w:leftChars="12" w:firstLine="354" w:firstLineChars="147"/>
        <w:rPr>
          <w:rFonts w:hAnsi="宋体" w:cs="宋体"/>
          <w:b/>
          <w:sz w:val="24"/>
          <w:szCs w:val="24"/>
        </w:rPr>
      </w:pPr>
    </w:p>
    <w:p w14:paraId="368ECDD0">
      <w:pPr>
        <w:pStyle w:val="25"/>
        <w:spacing w:line="440" w:lineRule="exact"/>
        <w:jc w:val="left"/>
        <w:rPr>
          <w:rFonts w:hAnsi="宋体" w:cs="宋体"/>
          <w:b/>
          <w:kern w:val="2"/>
          <w:sz w:val="24"/>
          <w:szCs w:val="24"/>
        </w:rPr>
      </w:pPr>
      <w:r>
        <w:rPr>
          <w:rFonts w:hint="eastAsia" w:hAnsi="宋体" w:cs="宋体"/>
          <w:b/>
          <w:sz w:val="24"/>
          <w:szCs w:val="24"/>
        </w:rPr>
        <w:br w:type="page"/>
      </w:r>
      <w:r>
        <w:rPr>
          <w:rFonts w:hint="eastAsia" w:hAnsi="宋体" w:cs="宋体"/>
          <w:b/>
          <w:sz w:val="24"/>
          <w:szCs w:val="24"/>
        </w:rPr>
        <w:t>5</w:t>
      </w:r>
      <w:r>
        <w:rPr>
          <w:rFonts w:hint="eastAsia" w:hAnsi="宋体" w:cs="宋体"/>
          <w:b/>
          <w:kern w:val="2"/>
          <w:sz w:val="24"/>
          <w:szCs w:val="24"/>
        </w:rPr>
        <w:t>.</w:t>
      </w:r>
      <w:r>
        <w:rPr>
          <w:rFonts w:hint="eastAsia" w:hAnsi="宋体" w:cs="宋体"/>
        </w:rPr>
        <w:t xml:space="preserve"> </w:t>
      </w:r>
      <w:r>
        <w:rPr>
          <w:rFonts w:hint="eastAsia" w:hAnsi="宋体" w:cs="宋体"/>
          <w:b/>
          <w:kern w:val="2"/>
          <w:sz w:val="24"/>
          <w:szCs w:val="24"/>
        </w:rPr>
        <w:t>“政采贷”</w:t>
      </w:r>
    </w:p>
    <w:p w14:paraId="3D654DCE">
      <w:pPr>
        <w:pStyle w:val="25"/>
        <w:spacing w:line="440" w:lineRule="exact"/>
        <w:jc w:val="left"/>
        <w:rPr>
          <w:rFonts w:hAnsi="宋体" w:cs="宋体"/>
          <w:b/>
          <w:kern w:val="2"/>
          <w:sz w:val="24"/>
          <w:szCs w:val="24"/>
        </w:rPr>
      </w:pPr>
      <w:r>
        <w:rPr>
          <w:rFonts w:hint="eastAsia" w:hAnsi="宋体" w:cs="宋体"/>
          <w:b/>
          <w:kern w:val="2"/>
          <w:sz w:val="24"/>
          <w:szCs w:val="24"/>
        </w:rPr>
        <w:t>附件2</w:t>
      </w:r>
    </w:p>
    <w:p w14:paraId="3E717658">
      <w:pPr>
        <w:suppressAutoHyphens/>
        <w:rPr>
          <w:rFonts w:ascii="宋体" w:hAnsi="宋体" w:cs="宋体"/>
        </w:rPr>
      </w:pPr>
    </w:p>
    <w:p w14:paraId="18B8E80F">
      <w:pPr>
        <w:spacing w:line="580" w:lineRule="exact"/>
        <w:jc w:val="center"/>
        <w:rPr>
          <w:rFonts w:ascii="宋体" w:hAnsi="宋体" w:cs="宋体"/>
          <w:sz w:val="28"/>
          <w:szCs w:val="28"/>
        </w:rPr>
      </w:pPr>
      <w:r>
        <w:rPr>
          <w:rFonts w:hint="eastAsia" w:ascii="宋体" w:hAnsi="宋体" w:cs="宋体"/>
          <w:sz w:val="28"/>
          <w:szCs w:val="28"/>
        </w:rPr>
        <w:t>崇左市线上“政采贷”政策告知函</w:t>
      </w:r>
    </w:p>
    <w:p w14:paraId="6CDAC214">
      <w:pPr>
        <w:spacing w:line="580" w:lineRule="exact"/>
        <w:ind w:firstLine="560" w:firstLineChars="200"/>
        <w:rPr>
          <w:rFonts w:ascii="宋体" w:hAnsi="宋体" w:cs="宋体"/>
          <w:sz w:val="28"/>
          <w:szCs w:val="28"/>
        </w:rPr>
      </w:pPr>
    </w:p>
    <w:p w14:paraId="0942E1F0">
      <w:pPr>
        <w:spacing w:line="580" w:lineRule="exact"/>
        <w:rPr>
          <w:rFonts w:ascii="宋体" w:hAnsi="宋体" w:cs="宋体"/>
          <w:sz w:val="28"/>
          <w:szCs w:val="28"/>
        </w:rPr>
      </w:pPr>
      <w:r>
        <w:rPr>
          <w:rFonts w:hint="eastAsia" w:ascii="宋体" w:hAnsi="宋体" w:cs="宋体"/>
          <w:sz w:val="28"/>
          <w:szCs w:val="28"/>
        </w:rPr>
        <w:t>各供应商：</w:t>
      </w:r>
    </w:p>
    <w:p w14:paraId="55A16714">
      <w:pPr>
        <w:spacing w:line="580" w:lineRule="exact"/>
        <w:ind w:firstLine="560" w:firstLineChars="200"/>
        <w:rPr>
          <w:rFonts w:ascii="宋体" w:hAnsi="宋体" w:cs="宋体"/>
          <w:sz w:val="28"/>
          <w:szCs w:val="28"/>
        </w:rPr>
      </w:pPr>
      <w:r>
        <w:rPr>
          <w:rFonts w:hint="eastAsia" w:ascii="宋体" w:hAnsi="宋体" w:cs="宋体"/>
          <w:sz w:val="28"/>
          <w:szCs w:val="28"/>
        </w:rPr>
        <w:t>欢迎贵公司参与崇左市政府采购活动！</w:t>
      </w:r>
    </w:p>
    <w:p w14:paraId="22BB66C4">
      <w:pPr>
        <w:spacing w:line="580" w:lineRule="exact"/>
        <w:ind w:firstLine="560" w:firstLineChars="200"/>
        <w:rPr>
          <w:rFonts w:ascii="宋体" w:hAnsi="宋体" w:cs="宋体"/>
          <w:sz w:val="28"/>
          <w:szCs w:val="28"/>
        </w:rPr>
      </w:pPr>
      <w:r>
        <w:rPr>
          <w:rFonts w:hint="eastAsia" w:ascii="宋体" w:hAnsi="宋体" w:cs="宋体"/>
          <w:sz w:val="28"/>
          <w:szCs w:val="28"/>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4E5C8CB4">
      <w:pPr>
        <w:spacing w:line="580" w:lineRule="exact"/>
        <w:ind w:firstLine="560" w:firstLineChars="200"/>
        <w:rPr>
          <w:rFonts w:ascii="宋体" w:hAnsi="宋体" w:cs="宋体"/>
          <w:sz w:val="28"/>
          <w:szCs w:val="28"/>
        </w:rPr>
      </w:pPr>
      <w:r>
        <w:rPr>
          <w:rFonts w:hint="eastAsia" w:ascii="宋体" w:hAnsi="宋体" w:cs="宋体"/>
          <w:sz w:val="28"/>
          <w:szCs w:val="28"/>
        </w:rPr>
        <w:t>相关金融产品和银行业金融机构联系方式，可在中征应收账款融资服务平台查询（网址：</w:t>
      </w:r>
      <w:r>
        <w:fldChar w:fldCharType="begin"/>
      </w:r>
      <w:r>
        <w:instrText xml:space="preserve"> HYPERLINK "https://www.crcrfsp.com/" </w:instrText>
      </w:r>
      <w:r>
        <w:fldChar w:fldCharType="separate"/>
      </w:r>
      <w:r>
        <w:rPr>
          <w:rFonts w:hint="eastAsia" w:ascii="宋体" w:hAnsi="宋体" w:cs="宋体"/>
          <w:sz w:val="28"/>
          <w:szCs w:val="28"/>
          <w:u w:val="single"/>
        </w:rPr>
        <w:t>https：//www.crcrfsp.com/</w:t>
      </w:r>
      <w:r>
        <w:rPr>
          <w:rFonts w:hint="eastAsia" w:ascii="宋体" w:hAnsi="宋体" w:cs="宋体"/>
          <w:sz w:val="28"/>
          <w:szCs w:val="28"/>
          <w:u w:val="single"/>
        </w:rPr>
        <w:fldChar w:fldCharType="end"/>
      </w:r>
      <w:r>
        <w:rPr>
          <w:rFonts w:hint="eastAsia" w:ascii="宋体" w:hAnsi="宋体" w:cs="宋体"/>
          <w:sz w:val="28"/>
          <w:szCs w:val="28"/>
        </w:rPr>
        <w:t>，客服电话：400-009-0001）。</w:t>
      </w:r>
    </w:p>
    <w:p w14:paraId="0D1896DC">
      <w:pPr>
        <w:suppressAutoHyphens/>
        <w:rPr>
          <w:rFonts w:ascii="宋体" w:hAnsi="宋体" w:cs="宋体"/>
          <w:sz w:val="28"/>
          <w:szCs w:val="28"/>
        </w:rPr>
      </w:pPr>
    </w:p>
    <w:p w14:paraId="5D4D0E4E">
      <w:pPr>
        <w:rPr>
          <w:rFonts w:ascii="宋体" w:hAnsi="宋体" w:cs="宋体"/>
          <w:sz w:val="28"/>
          <w:szCs w:val="28"/>
        </w:rPr>
      </w:pPr>
    </w:p>
    <w:p w14:paraId="00DE1B15">
      <w:pPr>
        <w:suppressAutoHyphens/>
        <w:rPr>
          <w:rFonts w:ascii="宋体" w:hAnsi="宋体" w:cs="宋体"/>
          <w:sz w:val="28"/>
          <w:szCs w:val="28"/>
        </w:rPr>
      </w:pPr>
    </w:p>
    <w:p w14:paraId="16DF6767">
      <w:pPr>
        <w:rPr>
          <w:rFonts w:ascii="宋体" w:hAnsi="宋体" w:cs="宋体"/>
          <w:sz w:val="28"/>
          <w:szCs w:val="28"/>
        </w:rPr>
      </w:pPr>
    </w:p>
    <w:p w14:paraId="3BAE8770">
      <w:pPr>
        <w:rPr>
          <w:rFonts w:ascii="宋体" w:hAnsi="宋体" w:cs="宋体"/>
          <w:sz w:val="28"/>
          <w:szCs w:val="28"/>
        </w:rPr>
      </w:pPr>
    </w:p>
    <w:p w14:paraId="1F84562E">
      <w:pPr>
        <w:suppressAutoHyphens/>
        <w:rPr>
          <w:rFonts w:ascii="宋体" w:hAnsi="宋体" w:cs="宋体"/>
          <w:sz w:val="28"/>
          <w:szCs w:val="28"/>
        </w:rPr>
      </w:pPr>
    </w:p>
    <w:p w14:paraId="2EB97C2C">
      <w:pPr>
        <w:spacing w:line="540" w:lineRule="exact"/>
        <w:rPr>
          <w:rFonts w:ascii="宋体" w:hAnsi="宋体" w:cs="宋体"/>
          <w:sz w:val="28"/>
          <w:szCs w:val="28"/>
        </w:rPr>
      </w:pPr>
    </w:p>
    <w:p w14:paraId="72EA30C5">
      <w:pPr>
        <w:spacing w:line="540" w:lineRule="exact"/>
        <w:rPr>
          <w:rFonts w:ascii="宋体" w:hAnsi="宋体" w:cs="宋体"/>
          <w:sz w:val="32"/>
          <w:szCs w:val="32"/>
        </w:rPr>
      </w:pPr>
    </w:p>
    <w:p w14:paraId="2C51D8F7">
      <w:pPr>
        <w:spacing w:line="540" w:lineRule="exact"/>
        <w:rPr>
          <w:rFonts w:ascii="宋体" w:hAnsi="宋体" w:cs="宋体"/>
          <w:b/>
          <w:sz w:val="24"/>
        </w:rPr>
      </w:pPr>
    </w:p>
    <w:p w14:paraId="4114CB99">
      <w:pPr>
        <w:spacing w:line="540" w:lineRule="exact"/>
        <w:rPr>
          <w:rFonts w:ascii="宋体" w:hAnsi="宋体" w:cs="宋体"/>
          <w:sz w:val="32"/>
          <w:szCs w:val="32"/>
        </w:rPr>
      </w:pPr>
      <w:r>
        <w:rPr>
          <w:rFonts w:hint="eastAsia" w:ascii="宋体" w:hAnsi="宋体" w:cs="宋体"/>
          <w:b/>
          <w:sz w:val="24"/>
        </w:rPr>
        <w:br w:type="page"/>
      </w:r>
      <w:r>
        <w:rPr>
          <w:rFonts w:hint="eastAsia" w:ascii="宋体" w:hAnsi="宋体" w:cs="宋体"/>
          <w:b/>
          <w:sz w:val="24"/>
        </w:rPr>
        <w:t>附件3</w:t>
      </w:r>
    </w:p>
    <w:p w14:paraId="601F27E5">
      <w:pPr>
        <w:suppressAutoHyphens/>
        <w:rPr>
          <w:rFonts w:ascii="宋体" w:hAnsi="宋体" w:cs="宋体"/>
        </w:rPr>
      </w:pPr>
    </w:p>
    <w:p w14:paraId="5FD2D68A">
      <w:pPr>
        <w:spacing w:line="600" w:lineRule="exact"/>
        <w:jc w:val="center"/>
        <w:rPr>
          <w:rFonts w:ascii="宋体" w:hAnsi="宋体" w:cs="宋体"/>
          <w:sz w:val="28"/>
          <w:szCs w:val="28"/>
        </w:rPr>
      </w:pPr>
      <w:r>
        <w:rPr>
          <w:rFonts w:hint="eastAsia" w:ascii="宋体" w:hAnsi="宋体" w:cs="宋体"/>
          <w:sz w:val="28"/>
          <w:szCs w:val="28"/>
        </w:rPr>
        <w:t>崇左市线上“政采贷”业务流程图</w:t>
      </w:r>
    </w:p>
    <w:p w14:paraId="2F53E9F0">
      <w:pPr>
        <w:jc w:val="center"/>
        <w:rPr>
          <w:rFonts w:ascii="宋体" w:hAnsi="宋体" w:cs="宋体"/>
          <w:sz w:val="32"/>
          <w:szCs w:val="32"/>
        </w:rPr>
      </w:pPr>
      <w:r>
        <w:rPr>
          <w:rFonts w:hint="eastAsia" w:ascii="宋体" w:hAnsi="宋体" w:cs="宋体"/>
          <w:sz w:val="32"/>
          <w:szCs w:val="32"/>
        </w:rPr>
        <w:drawing>
          <wp:inline distT="0" distB="0" distL="114300" distR="114300">
            <wp:extent cx="4926965" cy="7002780"/>
            <wp:effectExtent l="0" t="0" r="6985" b="7620"/>
            <wp:docPr id="2"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流程图1011"/>
                    <pic:cNvPicPr>
                      <a:picLocks noChangeAspect="1"/>
                    </pic:cNvPicPr>
                  </pic:nvPicPr>
                  <pic:blipFill>
                    <a:blip r:embed="rId18"/>
                    <a:stretch>
                      <a:fillRect/>
                    </a:stretch>
                  </pic:blipFill>
                  <pic:spPr>
                    <a:xfrm>
                      <a:off x="0" y="0"/>
                      <a:ext cx="4926965" cy="7002780"/>
                    </a:xfrm>
                    <a:prstGeom prst="rect">
                      <a:avLst/>
                    </a:prstGeom>
                    <a:noFill/>
                    <a:ln>
                      <a:noFill/>
                    </a:ln>
                  </pic:spPr>
                </pic:pic>
              </a:graphicData>
            </a:graphic>
          </wp:inline>
        </w:drawing>
      </w:r>
    </w:p>
    <w:p w14:paraId="1E396CF7">
      <w:pPr>
        <w:widowControl/>
        <w:ind w:firstLine="640" w:firstLineChars="200"/>
        <w:rPr>
          <w:rFonts w:ascii="宋体" w:hAnsi="宋体" w:cs="宋体"/>
          <w:sz w:val="32"/>
          <w:szCs w:val="32"/>
        </w:rPr>
      </w:pPr>
    </w:p>
    <w:p w14:paraId="25572240">
      <w:pPr>
        <w:widowControl/>
        <w:spacing w:line="720" w:lineRule="exact"/>
        <w:jc w:val="left"/>
        <w:rPr>
          <w:rFonts w:ascii="宋体" w:hAnsi="宋体" w:cs="宋体"/>
          <w:b/>
          <w:sz w:val="24"/>
        </w:rPr>
      </w:pPr>
    </w:p>
    <w:p w14:paraId="76EBD383">
      <w:pPr>
        <w:widowControl/>
        <w:spacing w:line="720" w:lineRule="exact"/>
        <w:jc w:val="left"/>
        <w:rPr>
          <w:rFonts w:ascii="宋体" w:hAnsi="宋体" w:cs="宋体"/>
          <w:sz w:val="32"/>
          <w:szCs w:val="32"/>
        </w:rPr>
      </w:pPr>
      <w:r>
        <w:rPr>
          <w:rFonts w:hint="eastAsia" w:ascii="宋体" w:hAnsi="宋体" w:cs="宋体"/>
          <w:b/>
          <w:sz w:val="24"/>
        </w:rPr>
        <w:br w:type="page"/>
      </w:r>
      <w:r>
        <w:rPr>
          <w:rFonts w:hint="eastAsia" w:ascii="宋体" w:hAnsi="宋体" w:cs="宋体"/>
          <w:b/>
          <w:sz w:val="24"/>
        </w:rPr>
        <w:t>附件4</w:t>
      </w:r>
    </w:p>
    <w:p w14:paraId="6B66D89B">
      <w:pPr>
        <w:suppressAutoHyphens/>
        <w:rPr>
          <w:rFonts w:ascii="宋体" w:hAnsi="宋体" w:cs="宋体"/>
        </w:rPr>
      </w:pPr>
    </w:p>
    <w:p w14:paraId="62083DEA">
      <w:pPr>
        <w:suppressAutoHyphens/>
        <w:jc w:val="center"/>
        <w:rPr>
          <w:rFonts w:ascii="宋体" w:hAnsi="宋体" w:cs="宋体"/>
          <w:sz w:val="28"/>
          <w:szCs w:val="28"/>
        </w:rPr>
      </w:pPr>
      <w:r>
        <w:rPr>
          <w:rFonts w:hint="eastAsia" w:ascii="宋体" w:hAnsi="宋体" w:cs="宋体"/>
          <w:sz w:val="28"/>
          <w:szCs w:val="28"/>
        </w:rPr>
        <w:t>崇左市金融机构线上“政采贷”业务办理联络表</w:t>
      </w:r>
    </w:p>
    <w:tbl>
      <w:tblPr>
        <w:tblStyle w:val="48"/>
        <w:tblW w:w="8314" w:type="dxa"/>
        <w:jc w:val="center"/>
        <w:tblLayout w:type="fixed"/>
        <w:tblCellMar>
          <w:top w:w="0" w:type="dxa"/>
          <w:left w:w="108" w:type="dxa"/>
          <w:bottom w:w="0" w:type="dxa"/>
          <w:right w:w="108" w:type="dxa"/>
        </w:tblCellMar>
      </w:tblPr>
      <w:tblGrid>
        <w:gridCol w:w="2674"/>
        <w:gridCol w:w="3515"/>
        <w:gridCol w:w="2125"/>
      </w:tblGrid>
      <w:tr w14:paraId="2847A409">
        <w:tblPrEx>
          <w:tblCellMar>
            <w:top w:w="0" w:type="dxa"/>
            <w:left w:w="108" w:type="dxa"/>
            <w:bottom w:w="0" w:type="dxa"/>
            <w:right w:w="108" w:type="dxa"/>
          </w:tblCellMar>
        </w:tblPrEx>
        <w:trPr>
          <w:trHeight w:val="90" w:hRule="atLeast"/>
          <w:jc w:val="center"/>
        </w:trPr>
        <w:tc>
          <w:tcPr>
            <w:tcW w:w="2674" w:type="dxa"/>
            <w:tcBorders>
              <w:top w:val="single" w:color="000000" w:sz="4" w:space="0"/>
              <w:left w:val="single" w:color="000000" w:sz="4" w:space="0"/>
              <w:bottom w:val="single" w:color="000000" w:sz="4" w:space="0"/>
              <w:right w:val="single" w:color="000000" w:sz="4" w:space="0"/>
            </w:tcBorders>
            <w:vAlign w:val="center"/>
          </w:tcPr>
          <w:p w14:paraId="5B6AD105">
            <w:pPr>
              <w:widowControl/>
              <w:spacing w:line="400" w:lineRule="exact"/>
              <w:jc w:val="center"/>
              <w:textAlignment w:val="center"/>
              <w:rPr>
                <w:rFonts w:ascii="宋体" w:hAnsi="宋体" w:cs="宋体"/>
                <w:b/>
                <w:bCs/>
                <w:sz w:val="28"/>
                <w:szCs w:val="28"/>
              </w:rPr>
            </w:pPr>
            <w:r>
              <w:rPr>
                <w:rFonts w:hint="eastAsia" w:ascii="宋体" w:hAnsi="宋体" w:cs="宋体"/>
                <w:b/>
                <w:bCs/>
                <w:kern w:val="0"/>
                <w:sz w:val="28"/>
                <w:szCs w:val="28"/>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0097ECD0">
            <w:pPr>
              <w:widowControl/>
              <w:spacing w:line="400" w:lineRule="exact"/>
              <w:jc w:val="center"/>
              <w:textAlignment w:val="center"/>
              <w:rPr>
                <w:rFonts w:ascii="宋体" w:hAnsi="宋体" w:cs="宋体"/>
                <w:b/>
                <w:bCs/>
                <w:sz w:val="28"/>
                <w:szCs w:val="28"/>
              </w:rPr>
            </w:pPr>
            <w:r>
              <w:rPr>
                <w:rFonts w:hint="eastAsia" w:ascii="宋体" w:hAnsi="宋体" w:cs="宋体"/>
                <w:b/>
                <w:bCs/>
                <w:kern w:val="0"/>
                <w:sz w:val="28"/>
                <w:szCs w:val="28"/>
                <w:lang w:bidi="ar"/>
              </w:rPr>
              <w:t>地址</w:t>
            </w:r>
          </w:p>
        </w:tc>
        <w:tc>
          <w:tcPr>
            <w:tcW w:w="2125" w:type="dxa"/>
            <w:tcBorders>
              <w:top w:val="single" w:color="000000" w:sz="4" w:space="0"/>
              <w:left w:val="single" w:color="000000" w:sz="4" w:space="0"/>
              <w:bottom w:val="single" w:color="000000" w:sz="4" w:space="0"/>
              <w:right w:val="single" w:color="000000" w:sz="4" w:space="0"/>
            </w:tcBorders>
            <w:vAlign w:val="center"/>
          </w:tcPr>
          <w:p w14:paraId="56A4905A">
            <w:pPr>
              <w:widowControl/>
              <w:spacing w:line="400" w:lineRule="exact"/>
              <w:jc w:val="center"/>
              <w:textAlignment w:val="center"/>
              <w:rPr>
                <w:rFonts w:ascii="宋体" w:hAnsi="宋体" w:cs="宋体"/>
                <w:b/>
                <w:bCs/>
                <w:sz w:val="28"/>
                <w:szCs w:val="28"/>
              </w:rPr>
            </w:pPr>
            <w:r>
              <w:rPr>
                <w:rFonts w:hint="eastAsia" w:ascii="宋体" w:hAnsi="宋体" w:cs="宋体"/>
                <w:b/>
                <w:bCs/>
                <w:kern w:val="0"/>
                <w:sz w:val="28"/>
                <w:szCs w:val="28"/>
                <w:lang w:bidi="ar"/>
              </w:rPr>
              <w:t>业务咨询电话</w:t>
            </w:r>
          </w:p>
        </w:tc>
      </w:tr>
      <w:tr w14:paraId="50E384A5">
        <w:trPr>
          <w:trHeight w:val="365"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48645A9D">
            <w:pPr>
              <w:widowControl/>
              <w:jc w:val="left"/>
              <w:textAlignment w:val="center"/>
              <w:rPr>
                <w:rFonts w:ascii="宋体" w:hAnsi="宋体" w:cs="宋体"/>
                <w:szCs w:val="21"/>
              </w:rPr>
            </w:pPr>
            <w:r>
              <w:rPr>
                <w:rFonts w:hint="eastAsia" w:ascii="宋体" w:hAnsi="宋体" w:cs="宋体"/>
                <w:b/>
                <w:bCs/>
                <w:szCs w:val="21"/>
              </w:rPr>
              <w:t>崇左市本级及江州区</w:t>
            </w:r>
          </w:p>
        </w:tc>
      </w:tr>
      <w:tr w14:paraId="79307EE9">
        <w:trPr>
          <w:trHeight w:val="35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510B6C9">
            <w:pPr>
              <w:widowControl/>
              <w:jc w:val="left"/>
              <w:textAlignment w:val="center"/>
              <w:rPr>
                <w:rFonts w:ascii="宋体" w:hAnsi="宋体" w:cs="宋体"/>
                <w:szCs w:val="21"/>
              </w:rPr>
            </w:pPr>
            <w:r>
              <w:rPr>
                <w:rFonts w:hint="eastAsia" w:ascii="宋体" w:hAnsi="宋体" w:cs="宋体"/>
                <w:szCs w:val="21"/>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EE854EE">
            <w:pPr>
              <w:widowControl/>
              <w:jc w:val="left"/>
              <w:textAlignment w:val="center"/>
              <w:rPr>
                <w:rFonts w:ascii="宋体" w:hAnsi="宋体" w:cs="宋体"/>
                <w:szCs w:val="21"/>
              </w:rPr>
            </w:pPr>
            <w:r>
              <w:rPr>
                <w:rFonts w:hint="eastAsia" w:ascii="宋体" w:hAnsi="宋体" w:cs="宋体"/>
                <w:szCs w:val="21"/>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6EF03408">
            <w:pPr>
              <w:widowControl/>
              <w:jc w:val="center"/>
              <w:textAlignment w:val="center"/>
              <w:rPr>
                <w:rFonts w:ascii="宋体" w:hAnsi="宋体" w:cs="宋体"/>
                <w:szCs w:val="21"/>
              </w:rPr>
            </w:pPr>
            <w:r>
              <w:rPr>
                <w:rFonts w:hint="eastAsia" w:ascii="宋体" w:hAnsi="宋体" w:cs="宋体"/>
                <w:szCs w:val="21"/>
              </w:rPr>
              <w:t>0771-7820436 0771-7820439</w:t>
            </w:r>
          </w:p>
        </w:tc>
      </w:tr>
      <w:tr w14:paraId="7083C00E">
        <w:tblPrEx>
          <w:tblCellMar>
            <w:top w:w="0" w:type="dxa"/>
            <w:left w:w="108" w:type="dxa"/>
            <w:bottom w:w="0" w:type="dxa"/>
            <w:right w:w="108" w:type="dxa"/>
          </w:tblCellMar>
        </w:tblPrEx>
        <w:trPr>
          <w:trHeight w:val="9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618B4A">
            <w:pPr>
              <w:widowControl/>
              <w:jc w:val="left"/>
              <w:textAlignment w:val="center"/>
              <w:rPr>
                <w:rFonts w:ascii="宋体" w:hAnsi="宋体" w:cs="宋体"/>
                <w:szCs w:val="21"/>
              </w:rPr>
            </w:pPr>
            <w:r>
              <w:rPr>
                <w:rFonts w:hint="eastAsia" w:ascii="宋体" w:hAnsi="宋体" w:cs="宋体"/>
                <w:szCs w:val="21"/>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C8DE273">
            <w:pPr>
              <w:widowControl/>
              <w:jc w:val="left"/>
              <w:textAlignment w:val="center"/>
              <w:rPr>
                <w:rFonts w:ascii="宋体" w:hAnsi="宋体" w:cs="宋体"/>
                <w:szCs w:val="21"/>
              </w:rPr>
            </w:pPr>
            <w:r>
              <w:rPr>
                <w:rFonts w:hint="eastAsia" w:ascii="宋体" w:hAnsi="宋体" w:cs="宋体"/>
                <w:szCs w:val="21"/>
              </w:rPr>
              <w:t>江州区友谊大道26号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35F2CCF">
            <w:pPr>
              <w:widowControl/>
              <w:jc w:val="center"/>
              <w:textAlignment w:val="center"/>
              <w:rPr>
                <w:rFonts w:ascii="宋体" w:hAnsi="宋体" w:cs="宋体"/>
                <w:szCs w:val="21"/>
              </w:rPr>
            </w:pPr>
            <w:r>
              <w:rPr>
                <w:rFonts w:hint="eastAsia" w:ascii="宋体" w:hAnsi="宋体" w:cs="宋体"/>
                <w:szCs w:val="21"/>
              </w:rPr>
              <w:t>0771-7917212</w:t>
            </w:r>
          </w:p>
        </w:tc>
      </w:tr>
      <w:tr w14:paraId="1781D67F">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C964C80">
            <w:pPr>
              <w:widowControl/>
              <w:jc w:val="left"/>
              <w:textAlignment w:val="center"/>
              <w:rPr>
                <w:rFonts w:ascii="宋体" w:hAnsi="宋体" w:cs="宋体"/>
                <w:szCs w:val="21"/>
              </w:rPr>
            </w:pPr>
            <w:r>
              <w:rPr>
                <w:rFonts w:hint="eastAsia" w:ascii="宋体" w:hAnsi="宋体" w:cs="宋体"/>
                <w:szCs w:val="21"/>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E544C20">
            <w:pPr>
              <w:widowControl/>
              <w:jc w:val="left"/>
              <w:textAlignment w:val="center"/>
              <w:rPr>
                <w:rFonts w:ascii="宋体" w:hAnsi="宋体" w:cs="宋体"/>
                <w:szCs w:val="21"/>
              </w:rPr>
            </w:pPr>
            <w:r>
              <w:rPr>
                <w:rFonts w:hint="eastAsia" w:ascii="宋体" w:hAnsi="宋体" w:cs="宋体"/>
                <w:szCs w:val="21"/>
              </w:rPr>
              <w:t>江州区江南路48号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3EC447B">
            <w:pPr>
              <w:widowControl/>
              <w:jc w:val="center"/>
              <w:textAlignment w:val="center"/>
              <w:rPr>
                <w:rFonts w:ascii="宋体" w:hAnsi="宋体" w:cs="宋体"/>
                <w:szCs w:val="21"/>
              </w:rPr>
            </w:pPr>
            <w:r>
              <w:rPr>
                <w:rFonts w:hint="eastAsia" w:ascii="宋体" w:hAnsi="宋体" w:cs="宋体"/>
                <w:szCs w:val="21"/>
              </w:rPr>
              <w:t>0771-7917054</w:t>
            </w:r>
          </w:p>
        </w:tc>
      </w:tr>
      <w:tr w14:paraId="316AF0FA">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E731B86">
            <w:pPr>
              <w:widowControl/>
              <w:jc w:val="left"/>
              <w:textAlignment w:val="center"/>
              <w:rPr>
                <w:rFonts w:ascii="宋体" w:hAnsi="宋体" w:cs="宋体"/>
                <w:szCs w:val="21"/>
              </w:rPr>
            </w:pPr>
            <w:r>
              <w:rPr>
                <w:rFonts w:hint="eastAsia" w:ascii="宋体" w:hAnsi="宋体" w:cs="宋体"/>
                <w:szCs w:val="21"/>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FFB52B0">
            <w:pPr>
              <w:widowControl/>
              <w:jc w:val="left"/>
              <w:textAlignment w:val="center"/>
              <w:rPr>
                <w:rFonts w:ascii="宋体" w:hAnsi="宋体" w:cs="宋体"/>
                <w:szCs w:val="21"/>
              </w:rPr>
            </w:pPr>
            <w:r>
              <w:rPr>
                <w:rFonts w:hint="eastAsia" w:ascii="宋体" w:hAnsi="宋体" w:cs="宋体"/>
                <w:szCs w:val="21"/>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vAlign w:val="center"/>
          </w:tcPr>
          <w:p w14:paraId="56AD9CC8">
            <w:pPr>
              <w:widowControl/>
              <w:jc w:val="center"/>
              <w:textAlignment w:val="center"/>
              <w:rPr>
                <w:rFonts w:ascii="宋体" w:hAnsi="宋体" w:cs="宋体"/>
                <w:szCs w:val="21"/>
              </w:rPr>
            </w:pPr>
            <w:r>
              <w:rPr>
                <w:rFonts w:hint="eastAsia" w:ascii="宋体" w:hAnsi="宋体" w:cs="宋体"/>
                <w:szCs w:val="21"/>
              </w:rPr>
              <w:t>0771-7831103</w:t>
            </w:r>
          </w:p>
        </w:tc>
      </w:tr>
      <w:tr w14:paraId="257B71F3">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7B96C1D">
            <w:pPr>
              <w:widowControl/>
              <w:jc w:val="left"/>
              <w:textAlignment w:val="center"/>
              <w:rPr>
                <w:rFonts w:ascii="宋体" w:hAnsi="宋体" w:cs="宋体"/>
                <w:szCs w:val="21"/>
              </w:rPr>
            </w:pPr>
            <w:r>
              <w:rPr>
                <w:rFonts w:hint="eastAsia" w:ascii="宋体" w:hAnsi="宋体" w:cs="宋体"/>
                <w:szCs w:val="21"/>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4073745">
            <w:pPr>
              <w:widowControl/>
              <w:jc w:val="left"/>
              <w:textAlignment w:val="center"/>
              <w:rPr>
                <w:rFonts w:ascii="宋体" w:hAnsi="宋体" w:cs="宋体"/>
                <w:szCs w:val="21"/>
              </w:rPr>
            </w:pPr>
            <w:r>
              <w:rPr>
                <w:rFonts w:hint="eastAsia" w:ascii="宋体" w:hAnsi="宋体" w:cs="宋体"/>
                <w:szCs w:val="21"/>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3E0B1F82">
            <w:pPr>
              <w:widowControl/>
              <w:jc w:val="center"/>
              <w:textAlignment w:val="center"/>
              <w:rPr>
                <w:rFonts w:ascii="宋体" w:hAnsi="宋体" w:cs="宋体"/>
                <w:szCs w:val="21"/>
              </w:rPr>
            </w:pPr>
            <w:r>
              <w:rPr>
                <w:rFonts w:hint="eastAsia" w:ascii="宋体" w:hAnsi="宋体" w:cs="宋体"/>
                <w:szCs w:val="21"/>
              </w:rPr>
              <w:t>0771-7928650 0771-7920613</w:t>
            </w:r>
          </w:p>
        </w:tc>
      </w:tr>
      <w:tr w14:paraId="149547BC">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2022E7C">
            <w:pPr>
              <w:widowControl/>
              <w:jc w:val="left"/>
              <w:textAlignment w:val="center"/>
              <w:rPr>
                <w:rFonts w:ascii="宋体" w:hAnsi="宋体" w:cs="宋体"/>
                <w:szCs w:val="21"/>
              </w:rPr>
            </w:pPr>
            <w:r>
              <w:rPr>
                <w:rFonts w:hint="eastAsia" w:ascii="宋体" w:hAnsi="宋体" w:cs="宋体"/>
                <w:szCs w:val="21"/>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6ED1ECD">
            <w:pPr>
              <w:widowControl/>
              <w:jc w:val="left"/>
              <w:textAlignment w:val="center"/>
              <w:rPr>
                <w:rFonts w:ascii="宋体" w:hAnsi="宋体" w:cs="宋体"/>
                <w:szCs w:val="21"/>
              </w:rPr>
            </w:pPr>
            <w:r>
              <w:rPr>
                <w:rFonts w:hint="eastAsia" w:ascii="宋体" w:hAnsi="宋体" w:cs="宋体"/>
                <w:szCs w:val="21"/>
              </w:rPr>
              <w:t>崇左市城西路109号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E1CAC69">
            <w:pPr>
              <w:widowControl/>
              <w:jc w:val="center"/>
              <w:textAlignment w:val="center"/>
              <w:rPr>
                <w:rFonts w:ascii="宋体" w:hAnsi="宋体" w:cs="宋体"/>
                <w:szCs w:val="21"/>
              </w:rPr>
            </w:pPr>
            <w:r>
              <w:rPr>
                <w:rFonts w:hint="eastAsia" w:ascii="宋体" w:hAnsi="宋体" w:cs="宋体"/>
                <w:szCs w:val="21"/>
              </w:rPr>
              <w:t>0771-7925660</w:t>
            </w:r>
          </w:p>
        </w:tc>
      </w:tr>
      <w:tr w14:paraId="3A53D2F8">
        <w:tblPrEx>
          <w:tblCellMar>
            <w:top w:w="0" w:type="dxa"/>
            <w:left w:w="108" w:type="dxa"/>
            <w:bottom w:w="0" w:type="dxa"/>
            <w:right w:w="108" w:type="dxa"/>
          </w:tblCellMar>
        </w:tblPrEx>
        <w:trPr>
          <w:trHeight w:val="9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11F1606">
            <w:pPr>
              <w:widowControl/>
              <w:jc w:val="left"/>
              <w:textAlignment w:val="center"/>
              <w:rPr>
                <w:rFonts w:ascii="宋体" w:hAnsi="宋体" w:cs="宋体"/>
                <w:szCs w:val="21"/>
              </w:rPr>
            </w:pPr>
            <w:r>
              <w:rPr>
                <w:rFonts w:hint="eastAsia" w:ascii="宋体" w:hAnsi="宋体" w:cs="宋体"/>
                <w:szCs w:val="21"/>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6AB6AF9">
            <w:pPr>
              <w:widowControl/>
              <w:jc w:val="left"/>
              <w:textAlignment w:val="center"/>
              <w:rPr>
                <w:rFonts w:ascii="宋体" w:hAnsi="宋体" w:cs="宋体"/>
                <w:szCs w:val="21"/>
              </w:rPr>
            </w:pPr>
            <w:r>
              <w:rPr>
                <w:rFonts w:hint="eastAsia" w:ascii="宋体" w:hAnsi="宋体" w:cs="宋体"/>
                <w:szCs w:val="21"/>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2599EF8">
            <w:pPr>
              <w:widowControl/>
              <w:jc w:val="center"/>
              <w:textAlignment w:val="center"/>
              <w:rPr>
                <w:rFonts w:ascii="宋体" w:hAnsi="宋体" w:cs="宋体"/>
                <w:szCs w:val="21"/>
              </w:rPr>
            </w:pPr>
            <w:r>
              <w:rPr>
                <w:rFonts w:hint="eastAsia" w:ascii="宋体" w:hAnsi="宋体" w:cs="宋体"/>
                <w:szCs w:val="21"/>
              </w:rPr>
              <w:t>0771-7968699</w:t>
            </w:r>
          </w:p>
        </w:tc>
      </w:tr>
      <w:tr w14:paraId="18DEC31D">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597339B">
            <w:pPr>
              <w:widowControl/>
              <w:jc w:val="left"/>
              <w:textAlignment w:val="center"/>
              <w:rPr>
                <w:rFonts w:ascii="宋体" w:hAnsi="宋体" w:cs="宋体"/>
                <w:szCs w:val="21"/>
              </w:rPr>
            </w:pPr>
            <w:r>
              <w:rPr>
                <w:rFonts w:hint="eastAsia" w:ascii="宋体" w:hAnsi="宋体" w:cs="宋体"/>
                <w:szCs w:val="21"/>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5F3FAC02">
            <w:pPr>
              <w:widowControl/>
              <w:jc w:val="left"/>
              <w:textAlignment w:val="center"/>
              <w:rPr>
                <w:rFonts w:ascii="宋体" w:hAnsi="宋体" w:cs="宋体"/>
                <w:szCs w:val="21"/>
              </w:rPr>
            </w:pPr>
            <w:r>
              <w:rPr>
                <w:rFonts w:hint="eastAsia" w:ascii="宋体" w:hAnsi="宋体" w:cs="宋体"/>
                <w:szCs w:val="21"/>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vAlign w:val="center"/>
          </w:tcPr>
          <w:p w14:paraId="4B9C31DD">
            <w:pPr>
              <w:widowControl/>
              <w:jc w:val="center"/>
              <w:textAlignment w:val="center"/>
              <w:rPr>
                <w:rFonts w:ascii="宋体" w:hAnsi="宋体" w:cs="宋体"/>
                <w:szCs w:val="21"/>
              </w:rPr>
            </w:pPr>
            <w:r>
              <w:rPr>
                <w:rFonts w:hint="eastAsia" w:ascii="宋体" w:hAnsi="宋体" w:cs="宋体"/>
                <w:szCs w:val="21"/>
              </w:rPr>
              <w:t>0771-7916636</w:t>
            </w:r>
          </w:p>
        </w:tc>
      </w:tr>
      <w:tr w14:paraId="381438D7">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8A4CE61">
            <w:pPr>
              <w:widowControl/>
              <w:jc w:val="left"/>
              <w:textAlignment w:val="center"/>
              <w:rPr>
                <w:rFonts w:ascii="宋体" w:hAnsi="宋体" w:cs="宋体"/>
                <w:szCs w:val="21"/>
              </w:rPr>
            </w:pPr>
            <w:r>
              <w:rPr>
                <w:rFonts w:hint="eastAsia" w:ascii="宋体" w:hAnsi="宋体" w:cs="宋体"/>
                <w:szCs w:val="21"/>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D7FB6B0">
            <w:pPr>
              <w:widowControl/>
              <w:jc w:val="left"/>
              <w:textAlignment w:val="center"/>
              <w:rPr>
                <w:rFonts w:ascii="宋体" w:hAnsi="宋体" w:cs="宋体"/>
                <w:szCs w:val="21"/>
              </w:rPr>
            </w:pPr>
            <w:r>
              <w:rPr>
                <w:rFonts w:hint="eastAsia" w:ascii="宋体" w:hAnsi="宋体" w:cs="宋体"/>
                <w:szCs w:val="21"/>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114A26F9">
            <w:pPr>
              <w:widowControl/>
              <w:jc w:val="center"/>
              <w:textAlignment w:val="center"/>
              <w:rPr>
                <w:rFonts w:ascii="宋体" w:hAnsi="宋体" w:cs="宋体"/>
                <w:szCs w:val="21"/>
              </w:rPr>
            </w:pPr>
            <w:r>
              <w:rPr>
                <w:rFonts w:hint="eastAsia" w:ascii="宋体" w:hAnsi="宋体" w:cs="宋体"/>
                <w:szCs w:val="21"/>
              </w:rPr>
              <w:t>0771-7988895</w:t>
            </w:r>
          </w:p>
        </w:tc>
      </w:tr>
      <w:tr w14:paraId="13CC7E2F">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985B494">
            <w:pPr>
              <w:widowControl/>
              <w:jc w:val="left"/>
              <w:textAlignment w:val="center"/>
              <w:rPr>
                <w:rFonts w:ascii="宋体" w:hAnsi="宋体" w:cs="宋体"/>
                <w:szCs w:val="21"/>
              </w:rPr>
            </w:pPr>
            <w:r>
              <w:rPr>
                <w:rFonts w:hint="eastAsia" w:ascii="宋体" w:hAnsi="宋体" w:cs="宋体"/>
                <w:szCs w:val="21"/>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3614A32">
            <w:pPr>
              <w:widowControl/>
              <w:jc w:val="left"/>
              <w:textAlignment w:val="center"/>
              <w:rPr>
                <w:rFonts w:ascii="宋体" w:hAnsi="宋体" w:cs="宋体"/>
                <w:szCs w:val="21"/>
              </w:rPr>
            </w:pPr>
            <w:r>
              <w:rPr>
                <w:rFonts w:hint="eastAsia" w:ascii="宋体" w:hAnsi="宋体" w:cs="宋体"/>
                <w:szCs w:val="21"/>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40CC0FE5">
            <w:pPr>
              <w:widowControl/>
              <w:jc w:val="center"/>
              <w:textAlignment w:val="center"/>
              <w:rPr>
                <w:rFonts w:ascii="宋体" w:hAnsi="宋体" w:cs="宋体"/>
                <w:szCs w:val="21"/>
              </w:rPr>
            </w:pPr>
            <w:r>
              <w:rPr>
                <w:rFonts w:hint="eastAsia" w:ascii="宋体" w:hAnsi="宋体" w:cs="宋体"/>
                <w:szCs w:val="21"/>
              </w:rPr>
              <w:t>0771-7960855</w:t>
            </w:r>
          </w:p>
        </w:tc>
      </w:tr>
      <w:tr w14:paraId="355167D4">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22D4A92">
            <w:pPr>
              <w:widowControl/>
              <w:jc w:val="left"/>
              <w:textAlignment w:val="center"/>
              <w:rPr>
                <w:rFonts w:ascii="宋体" w:hAnsi="宋体" w:cs="宋体"/>
                <w:szCs w:val="21"/>
              </w:rPr>
            </w:pPr>
            <w:r>
              <w:rPr>
                <w:rFonts w:hint="eastAsia" w:ascii="宋体" w:hAnsi="宋体" w:cs="宋体"/>
                <w:szCs w:val="21"/>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001AA3E">
            <w:pPr>
              <w:widowControl/>
              <w:jc w:val="left"/>
              <w:textAlignment w:val="center"/>
              <w:rPr>
                <w:rFonts w:ascii="宋体" w:hAnsi="宋体" w:cs="宋体"/>
                <w:szCs w:val="21"/>
              </w:rPr>
            </w:pPr>
            <w:r>
              <w:rPr>
                <w:rFonts w:hint="eastAsia" w:ascii="宋体" w:hAnsi="宋体" w:cs="宋体"/>
                <w:szCs w:val="21"/>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35D6FD32">
            <w:pPr>
              <w:widowControl/>
              <w:jc w:val="center"/>
              <w:textAlignment w:val="center"/>
              <w:rPr>
                <w:rFonts w:ascii="宋体" w:hAnsi="宋体" w:cs="宋体"/>
                <w:szCs w:val="21"/>
              </w:rPr>
            </w:pPr>
            <w:r>
              <w:rPr>
                <w:rFonts w:hint="eastAsia" w:ascii="宋体" w:hAnsi="宋体" w:cs="宋体"/>
                <w:szCs w:val="21"/>
              </w:rPr>
              <w:t>0771-7821126</w:t>
            </w:r>
          </w:p>
        </w:tc>
      </w:tr>
      <w:tr w14:paraId="3CCEB2C3">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896B9C8">
            <w:pPr>
              <w:widowControl/>
              <w:jc w:val="left"/>
              <w:textAlignment w:val="center"/>
              <w:rPr>
                <w:rFonts w:ascii="宋体" w:hAnsi="宋体" w:cs="宋体"/>
                <w:szCs w:val="21"/>
              </w:rPr>
            </w:pPr>
            <w:r>
              <w:rPr>
                <w:rFonts w:hint="eastAsia" w:ascii="宋体" w:hAnsi="宋体" w:cs="宋体"/>
                <w:szCs w:val="21"/>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953AF6D">
            <w:pPr>
              <w:widowControl/>
              <w:jc w:val="left"/>
              <w:textAlignment w:val="center"/>
              <w:rPr>
                <w:rFonts w:ascii="宋体" w:hAnsi="宋体" w:cs="宋体"/>
                <w:szCs w:val="21"/>
              </w:rPr>
            </w:pPr>
            <w:r>
              <w:rPr>
                <w:rFonts w:hint="eastAsia" w:ascii="宋体" w:hAnsi="宋体" w:cs="宋体"/>
                <w:szCs w:val="21"/>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744ADC75">
            <w:pPr>
              <w:widowControl/>
              <w:jc w:val="center"/>
              <w:textAlignment w:val="center"/>
              <w:rPr>
                <w:rFonts w:ascii="宋体" w:hAnsi="宋体" w:cs="宋体"/>
                <w:szCs w:val="21"/>
              </w:rPr>
            </w:pPr>
            <w:r>
              <w:rPr>
                <w:rFonts w:hint="eastAsia" w:ascii="宋体" w:hAnsi="宋体" w:cs="宋体"/>
                <w:szCs w:val="21"/>
              </w:rPr>
              <w:t>0771-7831866</w:t>
            </w:r>
          </w:p>
        </w:tc>
      </w:tr>
      <w:tr w14:paraId="684D7435">
        <w:tblPrEx>
          <w:tblCellMar>
            <w:top w:w="0" w:type="dxa"/>
            <w:left w:w="108" w:type="dxa"/>
            <w:bottom w:w="0" w:type="dxa"/>
            <w:right w:w="108" w:type="dxa"/>
          </w:tblCellMar>
        </w:tblPrEx>
        <w:trPr>
          <w:trHeight w:val="350"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5F3A8E80">
            <w:pPr>
              <w:widowControl/>
              <w:jc w:val="left"/>
              <w:textAlignment w:val="center"/>
              <w:rPr>
                <w:rFonts w:ascii="宋体" w:hAnsi="宋体" w:cs="宋体"/>
                <w:szCs w:val="21"/>
              </w:rPr>
            </w:pPr>
            <w:r>
              <w:rPr>
                <w:rFonts w:hint="eastAsia" w:ascii="宋体" w:hAnsi="宋体" w:cs="宋体"/>
                <w:b/>
                <w:bCs/>
                <w:szCs w:val="21"/>
              </w:rPr>
              <w:t>扶绥县</w:t>
            </w:r>
          </w:p>
        </w:tc>
      </w:tr>
      <w:tr w14:paraId="749C523E">
        <w:trPr>
          <w:trHeight w:val="38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4334AC">
            <w:pPr>
              <w:widowControl/>
              <w:jc w:val="left"/>
              <w:textAlignment w:val="center"/>
              <w:rPr>
                <w:rFonts w:ascii="宋体" w:hAnsi="宋体" w:cs="宋体"/>
                <w:szCs w:val="21"/>
              </w:rPr>
            </w:pPr>
            <w:r>
              <w:rPr>
                <w:rFonts w:hint="eastAsia" w:ascii="宋体" w:hAnsi="宋体" w:cs="宋体"/>
                <w:szCs w:val="21"/>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C5BAAA5">
            <w:pPr>
              <w:widowControl/>
              <w:jc w:val="left"/>
              <w:textAlignment w:val="center"/>
              <w:rPr>
                <w:rFonts w:ascii="宋体" w:hAnsi="宋体" w:cs="宋体"/>
                <w:szCs w:val="21"/>
              </w:rPr>
            </w:pPr>
            <w:r>
              <w:rPr>
                <w:rFonts w:hint="eastAsia" w:ascii="宋体" w:hAnsi="宋体" w:cs="宋体"/>
                <w:szCs w:val="21"/>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05BC756">
            <w:pPr>
              <w:widowControl/>
              <w:jc w:val="center"/>
              <w:textAlignment w:val="center"/>
              <w:rPr>
                <w:rFonts w:ascii="宋体" w:hAnsi="宋体" w:cs="宋体"/>
                <w:szCs w:val="21"/>
              </w:rPr>
            </w:pPr>
            <w:r>
              <w:rPr>
                <w:rFonts w:hint="eastAsia" w:ascii="宋体" w:hAnsi="宋体" w:cs="宋体"/>
                <w:szCs w:val="21"/>
              </w:rPr>
              <w:t>0771-7535612</w:t>
            </w:r>
          </w:p>
        </w:tc>
      </w:tr>
      <w:tr w14:paraId="1490DED9">
        <w:tblPrEx>
          <w:tblCellMar>
            <w:top w:w="0" w:type="dxa"/>
            <w:left w:w="108" w:type="dxa"/>
            <w:bottom w:w="0" w:type="dxa"/>
            <w:right w:w="108" w:type="dxa"/>
          </w:tblCellMar>
        </w:tblPrEx>
        <w:trPr>
          <w:trHeight w:val="44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524071">
            <w:pPr>
              <w:widowControl/>
              <w:jc w:val="left"/>
              <w:textAlignment w:val="center"/>
              <w:rPr>
                <w:rFonts w:ascii="宋体" w:hAnsi="宋体" w:cs="宋体"/>
                <w:szCs w:val="21"/>
              </w:rPr>
            </w:pPr>
            <w:r>
              <w:rPr>
                <w:rFonts w:hint="eastAsia" w:ascii="宋体" w:hAnsi="宋体" w:cs="宋体"/>
                <w:szCs w:val="21"/>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38C7B6F">
            <w:pPr>
              <w:widowControl/>
              <w:jc w:val="left"/>
              <w:textAlignment w:val="center"/>
              <w:rPr>
                <w:rFonts w:ascii="宋体" w:hAnsi="宋体" w:cs="宋体"/>
                <w:szCs w:val="21"/>
              </w:rPr>
            </w:pPr>
            <w:r>
              <w:rPr>
                <w:rFonts w:hint="eastAsia" w:ascii="宋体" w:hAnsi="宋体" w:cs="宋体"/>
                <w:szCs w:val="21"/>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BBE29C2">
            <w:pPr>
              <w:widowControl/>
              <w:jc w:val="center"/>
              <w:textAlignment w:val="center"/>
              <w:rPr>
                <w:rFonts w:ascii="宋体" w:hAnsi="宋体" w:cs="宋体"/>
                <w:szCs w:val="21"/>
              </w:rPr>
            </w:pPr>
            <w:r>
              <w:rPr>
                <w:rFonts w:hint="eastAsia" w:ascii="宋体" w:hAnsi="宋体" w:cs="宋体"/>
                <w:szCs w:val="21"/>
              </w:rPr>
              <w:t>0771-7917330</w:t>
            </w:r>
          </w:p>
        </w:tc>
      </w:tr>
      <w:tr w14:paraId="07456B68">
        <w:tblPrEx>
          <w:tblCellMar>
            <w:top w:w="0" w:type="dxa"/>
            <w:left w:w="108" w:type="dxa"/>
            <w:bottom w:w="0" w:type="dxa"/>
            <w:right w:w="108" w:type="dxa"/>
          </w:tblCellMar>
        </w:tblPrEx>
        <w:trPr>
          <w:trHeight w:val="749"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C15FDF">
            <w:pPr>
              <w:widowControl/>
              <w:jc w:val="left"/>
              <w:textAlignment w:val="center"/>
              <w:rPr>
                <w:rFonts w:ascii="宋体" w:hAnsi="宋体" w:cs="宋体"/>
                <w:szCs w:val="21"/>
              </w:rPr>
            </w:pPr>
            <w:r>
              <w:rPr>
                <w:rFonts w:hint="eastAsia" w:ascii="宋体" w:hAnsi="宋体" w:cs="宋体"/>
                <w:szCs w:val="21"/>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4907EE">
            <w:pPr>
              <w:widowControl/>
              <w:jc w:val="left"/>
              <w:textAlignment w:val="center"/>
              <w:rPr>
                <w:rFonts w:ascii="宋体" w:hAnsi="宋体" w:cs="宋体"/>
                <w:szCs w:val="21"/>
              </w:rPr>
            </w:pPr>
            <w:r>
              <w:rPr>
                <w:rFonts w:hint="eastAsia" w:ascii="宋体" w:hAnsi="宋体" w:cs="宋体"/>
                <w:szCs w:val="21"/>
              </w:rPr>
              <w:t>扶绥县南密路6号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6A67E62">
            <w:pPr>
              <w:widowControl/>
              <w:jc w:val="center"/>
              <w:textAlignment w:val="center"/>
              <w:rPr>
                <w:rFonts w:ascii="宋体" w:hAnsi="宋体" w:cs="宋体"/>
                <w:szCs w:val="21"/>
              </w:rPr>
            </w:pPr>
            <w:r>
              <w:rPr>
                <w:rFonts w:hint="eastAsia" w:ascii="宋体" w:hAnsi="宋体" w:cs="宋体"/>
                <w:szCs w:val="21"/>
              </w:rPr>
              <w:t>0771-7516511 0771-7531157</w:t>
            </w:r>
          </w:p>
        </w:tc>
      </w:tr>
      <w:tr w14:paraId="24486C34">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29DEB2F">
            <w:pPr>
              <w:widowControl/>
              <w:jc w:val="left"/>
              <w:textAlignment w:val="center"/>
              <w:rPr>
                <w:rFonts w:ascii="宋体" w:hAnsi="宋体" w:cs="宋体"/>
                <w:szCs w:val="21"/>
              </w:rPr>
            </w:pPr>
            <w:r>
              <w:rPr>
                <w:rFonts w:hint="eastAsia" w:ascii="宋体" w:hAnsi="宋体" w:cs="宋体"/>
                <w:szCs w:val="21"/>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5770131">
            <w:pPr>
              <w:widowControl/>
              <w:jc w:val="left"/>
              <w:textAlignment w:val="center"/>
              <w:rPr>
                <w:rFonts w:ascii="宋体" w:hAnsi="宋体" w:cs="宋体"/>
                <w:szCs w:val="21"/>
              </w:rPr>
            </w:pPr>
            <w:r>
              <w:rPr>
                <w:rFonts w:hint="eastAsia" w:ascii="宋体" w:hAnsi="宋体" w:cs="宋体"/>
                <w:szCs w:val="21"/>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vAlign w:val="center"/>
          </w:tcPr>
          <w:p w14:paraId="3C1F6E9F">
            <w:pPr>
              <w:widowControl/>
              <w:jc w:val="center"/>
              <w:textAlignment w:val="center"/>
              <w:rPr>
                <w:rFonts w:ascii="宋体" w:hAnsi="宋体" w:cs="宋体"/>
                <w:szCs w:val="21"/>
              </w:rPr>
            </w:pPr>
            <w:r>
              <w:rPr>
                <w:rFonts w:hint="eastAsia" w:ascii="宋体" w:hAnsi="宋体" w:cs="宋体"/>
                <w:szCs w:val="21"/>
              </w:rPr>
              <w:t>0771-7525822</w:t>
            </w:r>
          </w:p>
        </w:tc>
      </w:tr>
      <w:tr w14:paraId="20B49A72">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C7B8768">
            <w:pPr>
              <w:widowControl/>
              <w:jc w:val="left"/>
              <w:textAlignment w:val="center"/>
              <w:rPr>
                <w:rFonts w:ascii="宋体" w:hAnsi="宋体" w:cs="宋体"/>
                <w:szCs w:val="21"/>
              </w:rPr>
            </w:pPr>
            <w:r>
              <w:rPr>
                <w:rFonts w:hint="eastAsia" w:ascii="宋体" w:hAnsi="宋体" w:cs="宋体"/>
                <w:szCs w:val="21"/>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76FB53F">
            <w:pPr>
              <w:widowControl/>
              <w:jc w:val="left"/>
              <w:textAlignment w:val="center"/>
              <w:rPr>
                <w:rFonts w:ascii="宋体" w:hAnsi="宋体" w:cs="宋体"/>
                <w:szCs w:val="21"/>
              </w:rPr>
            </w:pPr>
            <w:r>
              <w:rPr>
                <w:rFonts w:hint="eastAsia" w:ascii="宋体" w:hAnsi="宋体" w:cs="宋体"/>
                <w:szCs w:val="21"/>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2289858A">
            <w:pPr>
              <w:widowControl/>
              <w:jc w:val="center"/>
              <w:textAlignment w:val="center"/>
              <w:rPr>
                <w:rFonts w:ascii="宋体" w:hAnsi="宋体" w:cs="宋体"/>
                <w:szCs w:val="21"/>
              </w:rPr>
            </w:pPr>
            <w:r>
              <w:rPr>
                <w:rFonts w:hint="eastAsia" w:ascii="宋体" w:hAnsi="宋体" w:cs="宋体"/>
                <w:szCs w:val="21"/>
              </w:rPr>
              <w:t>0771-5025887</w:t>
            </w:r>
          </w:p>
        </w:tc>
      </w:tr>
      <w:tr w14:paraId="29515395">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2F8FF12">
            <w:pPr>
              <w:widowControl/>
              <w:jc w:val="left"/>
              <w:textAlignment w:val="center"/>
              <w:rPr>
                <w:rFonts w:ascii="宋体" w:hAnsi="宋体" w:cs="宋体"/>
                <w:szCs w:val="21"/>
              </w:rPr>
            </w:pPr>
            <w:r>
              <w:rPr>
                <w:rFonts w:hint="eastAsia" w:ascii="宋体" w:hAnsi="宋体" w:cs="宋体"/>
                <w:szCs w:val="21"/>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CFB3913">
            <w:pPr>
              <w:widowControl/>
              <w:jc w:val="left"/>
              <w:textAlignment w:val="center"/>
              <w:rPr>
                <w:rFonts w:ascii="宋体" w:hAnsi="宋体" w:cs="宋体"/>
                <w:szCs w:val="21"/>
              </w:rPr>
            </w:pPr>
            <w:r>
              <w:rPr>
                <w:rFonts w:hint="eastAsia" w:ascii="宋体" w:hAnsi="宋体" w:cs="宋体"/>
                <w:szCs w:val="21"/>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66E63B9">
            <w:pPr>
              <w:widowControl/>
              <w:jc w:val="center"/>
              <w:textAlignment w:val="center"/>
              <w:rPr>
                <w:rFonts w:ascii="宋体" w:hAnsi="宋体" w:cs="宋体"/>
                <w:szCs w:val="21"/>
              </w:rPr>
            </w:pPr>
            <w:r>
              <w:rPr>
                <w:rFonts w:hint="eastAsia" w:ascii="宋体" w:hAnsi="宋体" w:cs="宋体"/>
                <w:szCs w:val="21"/>
              </w:rPr>
              <w:t>0771-7533041</w:t>
            </w:r>
          </w:p>
        </w:tc>
      </w:tr>
      <w:tr w14:paraId="29C93353">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8040B17">
            <w:pPr>
              <w:widowControl/>
              <w:jc w:val="left"/>
              <w:textAlignment w:val="center"/>
              <w:rPr>
                <w:rFonts w:ascii="宋体" w:hAnsi="宋体" w:cs="宋体"/>
                <w:szCs w:val="21"/>
              </w:rPr>
            </w:pPr>
            <w:r>
              <w:rPr>
                <w:rFonts w:hint="eastAsia" w:ascii="宋体" w:hAnsi="宋体" w:cs="宋体"/>
                <w:szCs w:val="21"/>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69CA499">
            <w:pPr>
              <w:widowControl/>
              <w:jc w:val="left"/>
              <w:textAlignment w:val="center"/>
              <w:rPr>
                <w:rFonts w:ascii="宋体" w:hAnsi="宋体" w:cs="宋体"/>
                <w:szCs w:val="21"/>
              </w:rPr>
            </w:pPr>
            <w:r>
              <w:rPr>
                <w:rFonts w:hint="eastAsia" w:ascii="宋体" w:hAnsi="宋体" w:cs="宋体"/>
                <w:szCs w:val="21"/>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764F17B0">
            <w:pPr>
              <w:widowControl/>
              <w:jc w:val="center"/>
              <w:textAlignment w:val="center"/>
              <w:rPr>
                <w:rFonts w:ascii="宋体" w:hAnsi="宋体" w:cs="宋体"/>
                <w:szCs w:val="21"/>
              </w:rPr>
            </w:pPr>
            <w:r>
              <w:rPr>
                <w:rFonts w:hint="eastAsia" w:ascii="宋体" w:hAnsi="宋体" w:cs="宋体"/>
                <w:szCs w:val="21"/>
              </w:rPr>
              <w:t>0771-7536178 0771-7536177</w:t>
            </w:r>
          </w:p>
        </w:tc>
      </w:tr>
      <w:tr w14:paraId="7FACD75B">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6ED2ABD">
            <w:pPr>
              <w:widowControl/>
              <w:jc w:val="left"/>
              <w:textAlignment w:val="center"/>
              <w:rPr>
                <w:rFonts w:ascii="宋体" w:hAnsi="宋体" w:cs="宋体"/>
                <w:szCs w:val="21"/>
              </w:rPr>
            </w:pPr>
            <w:r>
              <w:rPr>
                <w:rFonts w:hint="eastAsia" w:ascii="宋体" w:hAnsi="宋体" w:cs="宋体"/>
                <w:szCs w:val="21"/>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5E7EA21">
            <w:pPr>
              <w:widowControl/>
              <w:jc w:val="left"/>
              <w:textAlignment w:val="center"/>
              <w:rPr>
                <w:rFonts w:ascii="宋体" w:hAnsi="宋体" w:cs="宋体"/>
                <w:szCs w:val="21"/>
              </w:rPr>
            </w:pPr>
            <w:r>
              <w:rPr>
                <w:rFonts w:hint="eastAsia" w:ascii="宋体" w:hAnsi="宋体" w:cs="宋体"/>
                <w:szCs w:val="21"/>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6072CE66">
            <w:pPr>
              <w:widowControl/>
              <w:jc w:val="center"/>
              <w:textAlignment w:val="center"/>
              <w:rPr>
                <w:rFonts w:ascii="宋体" w:hAnsi="宋体" w:cs="宋体"/>
                <w:szCs w:val="21"/>
              </w:rPr>
            </w:pPr>
            <w:r>
              <w:rPr>
                <w:rFonts w:hint="eastAsia" w:ascii="宋体" w:hAnsi="宋体" w:cs="宋体"/>
                <w:szCs w:val="21"/>
              </w:rPr>
              <w:t>0771-7661101</w:t>
            </w:r>
          </w:p>
        </w:tc>
      </w:tr>
      <w:tr w14:paraId="59243AF9">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90665A3">
            <w:pPr>
              <w:widowControl/>
              <w:jc w:val="left"/>
              <w:textAlignment w:val="center"/>
              <w:rPr>
                <w:rFonts w:ascii="宋体" w:hAnsi="宋体" w:cs="宋体"/>
                <w:szCs w:val="21"/>
              </w:rPr>
            </w:pPr>
            <w:r>
              <w:rPr>
                <w:rFonts w:hint="eastAsia" w:ascii="宋体" w:hAnsi="宋体" w:cs="宋体"/>
                <w:szCs w:val="21"/>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AB57E25">
            <w:pPr>
              <w:widowControl/>
              <w:jc w:val="left"/>
              <w:textAlignment w:val="center"/>
              <w:rPr>
                <w:rFonts w:ascii="宋体" w:hAnsi="宋体" w:cs="宋体"/>
                <w:szCs w:val="21"/>
              </w:rPr>
            </w:pPr>
            <w:r>
              <w:rPr>
                <w:rFonts w:hint="eastAsia" w:ascii="宋体" w:hAnsi="宋体" w:cs="宋体"/>
                <w:szCs w:val="21"/>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4036E4B3">
            <w:pPr>
              <w:widowControl/>
              <w:jc w:val="center"/>
              <w:textAlignment w:val="center"/>
              <w:rPr>
                <w:rFonts w:ascii="宋体" w:hAnsi="宋体" w:cs="宋体"/>
                <w:szCs w:val="21"/>
              </w:rPr>
            </w:pPr>
            <w:r>
              <w:rPr>
                <w:rFonts w:hint="eastAsia" w:ascii="宋体" w:hAnsi="宋体" w:cs="宋体"/>
                <w:szCs w:val="21"/>
              </w:rPr>
              <w:t>0771-7500768</w:t>
            </w:r>
          </w:p>
        </w:tc>
      </w:tr>
      <w:tr w14:paraId="367B5172">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9B74EAA">
            <w:pPr>
              <w:widowControl/>
              <w:jc w:val="left"/>
              <w:textAlignment w:val="center"/>
              <w:rPr>
                <w:rFonts w:ascii="宋体" w:hAnsi="宋体" w:cs="宋体"/>
                <w:szCs w:val="21"/>
              </w:rPr>
            </w:pPr>
            <w:r>
              <w:rPr>
                <w:rFonts w:hint="eastAsia" w:ascii="宋体" w:hAnsi="宋体" w:cs="宋体"/>
                <w:szCs w:val="21"/>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50C9AEA2">
            <w:pPr>
              <w:widowControl/>
              <w:jc w:val="left"/>
              <w:textAlignment w:val="center"/>
              <w:rPr>
                <w:rFonts w:ascii="宋体" w:hAnsi="宋体" w:cs="宋体"/>
                <w:szCs w:val="21"/>
              </w:rPr>
            </w:pPr>
            <w:r>
              <w:rPr>
                <w:rFonts w:hint="eastAsia" w:ascii="宋体" w:hAnsi="宋体" w:cs="宋体"/>
                <w:szCs w:val="21"/>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vAlign w:val="center"/>
          </w:tcPr>
          <w:p w14:paraId="3358B882">
            <w:pPr>
              <w:widowControl/>
              <w:jc w:val="center"/>
              <w:textAlignment w:val="center"/>
              <w:rPr>
                <w:rFonts w:ascii="宋体" w:hAnsi="宋体" w:cs="宋体"/>
                <w:szCs w:val="21"/>
              </w:rPr>
            </w:pPr>
            <w:r>
              <w:rPr>
                <w:rFonts w:hint="eastAsia" w:ascii="宋体" w:hAnsi="宋体" w:cs="宋体"/>
                <w:szCs w:val="21"/>
              </w:rPr>
              <w:t>0771-7525678</w:t>
            </w:r>
          </w:p>
        </w:tc>
      </w:tr>
      <w:tr w14:paraId="7BFAFA0E">
        <w:tblPrEx>
          <w:tblCellMar>
            <w:top w:w="0" w:type="dxa"/>
            <w:left w:w="108" w:type="dxa"/>
            <w:bottom w:w="0" w:type="dxa"/>
            <w:right w:w="108" w:type="dxa"/>
          </w:tblCellMar>
        </w:tblPrEx>
        <w:trPr>
          <w:trHeight w:val="47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48966DC">
            <w:pPr>
              <w:widowControl/>
              <w:jc w:val="left"/>
              <w:textAlignment w:val="center"/>
              <w:rPr>
                <w:rFonts w:ascii="宋体" w:hAnsi="宋体" w:cs="宋体"/>
                <w:szCs w:val="21"/>
              </w:rPr>
            </w:pPr>
            <w:r>
              <w:rPr>
                <w:rFonts w:hint="eastAsia" w:ascii="宋体" w:hAnsi="宋体" w:cs="宋体"/>
                <w:b/>
                <w:bCs/>
                <w:szCs w:val="21"/>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5C4804E0">
            <w:pPr>
              <w:widowControl/>
              <w:jc w:val="left"/>
              <w:textAlignment w:val="center"/>
              <w:rPr>
                <w:rFonts w:ascii="宋体" w:hAnsi="宋体" w:cs="宋体"/>
                <w:szCs w:val="21"/>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08CB5823">
            <w:pPr>
              <w:widowControl/>
              <w:jc w:val="center"/>
              <w:textAlignment w:val="center"/>
              <w:rPr>
                <w:rFonts w:ascii="宋体" w:hAnsi="宋体" w:cs="宋体"/>
                <w:szCs w:val="21"/>
              </w:rPr>
            </w:pPr>
          </w:p>
        </w:tc>
      </w:tr>
      <w:tr w14:paraId="7A9B9012">
        <w:tblPrEx>
          <w:tblCellMar>
            <w:top w:w="0" w:type="dxa"/>
            <w:left w:w="108" w:type="dxa"/>
            <w:bottom w:w="0" w:type="dxa"/>
            <w:right w:w="108" w:type="dxa"/>
          </w:tblCellMar>
        </w:tblPrEx>
        <w:trPr>
          <w:trHeight w:val="36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CC9875D">
            <w:pPr>
              <w:widowControl/>
              <w:jc w:val="left"/>
              <w:textAlignment w:val="center"/>
              <w:rPr>
                <w:rFonts w:ascii="宋体" w:hAnsi="宋体" w:cs="宋体"/>
                <w:szCs w:val="21"/>
              </w:rPr>
            </w:pPr>
            <w:r>
              <w:rPr>
                <w:rFonts w:hint="eastAsia" w:ascii="宋体" w:hAnsi="宋体" w:cs="宋体"/>
                <w:szCs w:val="21"/>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FCA50DE">
            <w:pPr>
              <w:widowControl/>
              <w:jc w:val="left"/>
              <w:textAlignment w:val="center"/>
              <w:rPr>
                <w:rFonts w:ascii="宋体" w:hAnsi="宋体" w:cs="宋体"/>
                <w:szCs w:val="21"/>
              </w:rPr>
            </w:pPr>
            <w:r>
              <w:rPr>
                <w:rFonts w:hint="eastAsia" w:ascii="宋体" w:hAnsi="宋体" w:cs="宋体"/>
                <w:szCs w:val="21"/>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AF26C91">
            <w:pPr>
              <w:widowControl/>
              <w:jc w:val="center"/>
              <w:textAlignment w:val="center"/>
              <w:rPr>
                <w:rFonts w:ascii="宋体" w:hAnsi="宋体" w:cs="宋体"/>
                <w:szCs w:val="21"/>
              </w:rPr>
            </w:pPr>
            <w:r>
              <w:rPr>
                <w:rFonts w:hint="eastAsia" w:ascii="宋体" w:hAnsi="宋体" w:cs="宋体"/>
                <w:szCs w:val="21"/>
              </w:rPr>
              <w:t>0771-8620729</w:t>
            </w:r>
          </w:p>
        </w:tc>
      </w:tr>
      <w:tr w14:paraId="45F175B4">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9D683C">
            <w:pPr>
              <w:widowControl/>
              <w:jc w:val="left"/>
              <w:textAlignment w:val="center"/>
              <w:rPr>
                <w:rFonts w:ascii="宋体" w:hAnsi="宋体" w:cs="宋体"/>
                <w:szCs w:val="21"/>
              </w:rPr>
            </w:pPr>
            <w:r>
              <w:rPr>
                <w:rFonts w:hint="eastAsia" w:ascii="宋体" w:hAnsi="宋体" w:cs="宋体"/>
                <w:szCs w:val="21"/>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578DE74">
            <w:pPr>
              <w:widowControl/>
              <w:jc w:val="left"/>
              <w:textAlignment w:val="center"/>
              <w:rPr>
                <w:rFonts w:ascii="宋体" w:hAnsi="宋体" w:cs="宋体"/>
                <w:szCs w:val="21"/>
              </w:rPr>
            </w:pPr>
            <w:r>
              <w:rPr>
                <w:rFonts w:hint="eastAsia" w:ascii="宋体" w:hAnsi="宋体" w:cs="宋体"/>
                <w:szCs w:val="21"/>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0947906">
            <w:pPr>
              <w:widowControl/>
              <w:jc w:val="center"/>
              <w:textAlignment w:val="center"/>
              <w:rPr>
                <w:rFonts w:ascii="宋体" w:hAnsi="宋体" w:cs="宋体"/>
                <w:szCs w:val="21"/>
              </w:rPr>
            </w:pPr>
            <w:r>
              <w:rPr>
                <w:rFonts w:hint="eastAsia" w:ascii="宋体" w:hAnsi="宋体" w:cs="宋体"/>
                <w:szCs w:val="21"/>
              </w:rPr>
              <w:t>0771-7917093</w:t>
            </w:r>
          </w:p>
        </w:tc>
      </w:tr>
      <w:tr w14:paraId="6A1CD6FA">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52A48FE">
            <w:pPr>
              <w:widowControl/>
              <w:jc w:val="left"/>
              <w:textAlignment w:val="center"/>
              <w:rPr>
                <w:rFonts w:ascii="宋体" w:hAnsi="宋体" w:cs="宋体"/>
                <w:szCs w:val="21"/>
              </w:rPr>
            </w:pPr>
            <w:r>
              <w:rPr>
                <w:rFonts w:hint="eastAsia" w:ascii="宋体" w:hAnsi="宋体" w:cs="宋体"/>
                <w:szCs w:val="21"/>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B0BE1CF">
            <w:pPr>
              <w:widowControl/>
              <w:spacing w:after="90" w:line="23" w:lineRule="atLeast"/>
              <w:jc w:val="left"/>
              <w:rPr>
                <w:rFonts w:ascii="宋体" w:hAnsi="宋体" w:cs="宋体"/>
                <w:szCs w:val="21"/>
              </w:rPr>
            </w:pPr>
            <w:r>
              <w:rPr>
                <w:rFonts w:hint="eastAsia" w:ascii="宋体" w:hAnsi="宋体" w:cs="宋体"/>
                <w:kern w:val="0"/>
                <w:szCs w:val="21"/>
                <w:lang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D1F90E7">
            <w:pPr>
              <w:widowControl/>
              <w:jc w:val="center"/>
              <w:textAlignment w:val="center"/>
              <w:rPr>
                <w:rFonts w:ascii="宋体" w:hAnsi="宋体" w:cs="宋体"/>
                <w:szCs w:val="21"/>
              </w:rPr>
            </w:pPr>
            <w:r>
              <w:rPr>
                <w:rFonts w:hint="eastAsia" w:ascii="宋体" w:hAnsi="宋体" w:cs="宋体"/>
                <w:szCs w:val="21"/>
              </w:rPr>
              <w:t>0771-8629006</w:t>
            </w:r>
          </w:p>
        </w:tc>
      </w:tr>
      <w:tr w14:paraId="2D2C7149">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9CDF16E">
            <w:pPr>
              <w:widowControl/>
              <w:jc w:val="left"/>
              <w:textAlignment w:val="center"/>
              <w:rPr>
                <w:rFonts w:ascii="宋体" w:hAnsi="宋体" w:cs="宋体"/>
                <w:szCs w:val="21"/>
              </w:rPr>
            </w:pPr>
            <w:r>
              <w:rPr>
                <w:rFonts w:hint="eastAsia" w:ascii="宋体" w:hAnsi="宋体" w:cs="宋体"/>
                <w:szCs w:val="21"/>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F386DD5">
            <w:pPr>
              <w:widowControl/>
              <w:jc w:val="left"/>
              <w:textAlignment w:val="center"/>
              <w:rPr>
                <w:rFonts w:ascii="宋体" w:hAnsi="宋体" w:cs="宋体"/>
                <w:szCs w:val="21"/>
              </w:rPr>
            </w:pPr>
            <w:r>
              <w:rPr>
                <w:rFonts w:hint="eastAsia" w:ascii="宋体" w:hAnsi="宋体" w:cs="宋体"/>
                <w:szCs w:val="21"/>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928930A">
            <w:pPr>
              <w:widowControl/>
              <w:jc w:val="center"/>
              <w:textAlignment w:val="center"/>
              <w:rPr>
                <w:rFonts w:ascii="宋体" w:hAnsi="宋体" w:cs="宋体"/>
                <w:szCs w:val="21"/>
              </w:rPr>
            </w:pPr>
            <w:r>
              <w:rPr>
                <w:rFonts w:hint="eastAsia" w:ascii="宋体" w:hAnsi="宋体" w:cs="宋体"/>
                <w:szCs w:val="21"/>
              </w:rPr>
              <w:t>0771-8628166</w:t>
            </w:r>
          </w:p>
        </w:tc>
      </w:tr>
      <w:tr w14:paraId="6A49193B">
        <w:tblPrEx>
          <w:tblCellMar>
            <w:top w:w="0" w:type="dxa"/>
            <w:left w:w="108" w:type="dxa"/>
            <w:bottom w:w="0" w:type="dxa"/>
            <w:right w:w="108" w:type="dxa"/>
          </w:tblCellMar>
        </w:tblPrEx>
        <w:trPr>
          <w:trHeight w:val="439"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FCDBBD0">
            <w:pPr>
              <w:widowControl/>
              <w:jc w:val="left"/>
              <w:textAlignment w:val="center"/>
              <w:rPr>
                <w:rFonts w:ascii="宋体" w:hAnsi="宋体" w:cs="宋体"/>
                <w:szCs w:val="21"/>
              </w:rPr>
            </w:pPr>
            <w:r>
              <w:rPr>
                <w:rFonts w:hint="eastAsia" w:ascii="宋体" w:hAnsi="宋体" w:cs="宋体"/>
                <w:szCs w:val="21"/>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0C1975C">
            <w:pPr>
              <w:widowControl/>
              <w:jc w:val="left"/>
              <w:textAlignment w:val="center"/>
              <w:rPr>
                <w:rFonts w:ascii="宋体" w:hAnsi="宋体" w:cs="宋体"/>
                <w:szCs w:val="21"/>
              </w:rPr>
            </w:pPr>
            <w:r>
              <w:rPr>
                <w:rFonts w:hint="eastAsia" w:ascii="宋体" w:hAnsi="宋体" w:cs="宋体"/>
                <w:szCs w:val="21"/>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184F945">
            <w:pPr>
              <w:widowControl/>
              <w:jc w:val="center"/>
              <w:textAlignment w:val="center"/>
              <w:rPr>
                <w:rFonts w:ascii="宋体" w:hAnsi="宋体" w:cs="宋体"/>
                <w:szCs w:val="21"/>
              </w:rPr>
            </w:pPr>
            <w:r>
              <w:rPr>
                <w:rFonts w:hint="eastAsia" w:ascii="宋体" w:hAnsi="宋体" w:cs="宋体"/>
                <w:szCs w:val="21"/>
              </w:rPr>
              <w:t>0771-8630787</w:t>
            </w:r>
          </w:p>
        </w:tc>
      </w:tr>
      <w:tr w14:paraId="20C8F141">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A6A33FB">
            <w:pPr>
              <w:widowControl/>
              <w:jc w:val="left"/>
              <w:textAlignment w:val="center"/>
              <w:rPr>
                <w:rFonts w:ascii="宋体" w:hAnsi="宋体" w:cs="宋体"/>
                <w:szCs w:val="21"/>
              </w:rPr>
            </w:pPr>
            <w:r>
              <w:rPr>
                <w:rFonts w:hint="eastAsia" w:ascii="宋体" w:hAnsi="宋体" w:cs="宋体"/>
                <w:szCs w:val="21"/>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F7C7519">
            <w:pPr>
              <w:widowControl/>
              <w:jc w:val="left"/>
              <w:textAlignment w:val="center"/>
              <w:rPr>
                <w:rFonts w:ascii="宋体" w:hAnsi="宋体" w:cs="宋体"/>
                <w:szCs w:val="21"/>
              </w:rPr>
            </w:pPr>
            <w:r>
              <w:rPr>
                <w:rFonts w:hint="eastAsia" w:ascii="宋体" w:hAnsi="宋体" w:cs="宋体"/>
                <w:szCs w:val="21"/>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74BF08D8">
            <w:pPr>
              <w:widowControl/>
              <w:jc w:val="center"/>
              <w:textAlignment w:val="center"/>
              <w:rPr>
                <w:rFonts w:ascii="宋体" w:hAnsi="宋体" w:cs="宋体"/>
                <w:szCs w:val="21"/>
              </w:rPr>
            </w:pPr>
            <w:r>
              <w:rPr>
                <w:rFonts w:hint="eastAsia" w:ascii="宋体" w:hAnsi="宋体" w:cs="宋体"/>
                <w:szCs w:val="21"/>
              </w:rPr>
              <w:t>0771-8622237</w:t>
            </w:r>
          </w:p>
        </w:tc>
      </w:tr>
      <w:tr w14:paraId="516E371A">
        <w:tblPrEx>
          <w:tblCellMar>
            <w:top w:w="0" w:type="dxa"/>
            <w:left w:w="108" w:type="dxa"/>
            <w:bottom w:w="0" w:type="dxa"/>
            <w:right w:w="108" w:type="dxa"/>
          </w:tblCellMar>
        </w:tblPrEx>
        <w:trPr>
          <w:trHeight w:val="377"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74DFDB16">
            <w:pPr>
              <w:widowControl/>
              <w:jc w:val="left"/>
              <w:textAlignment w:val="center"/>
              <w:rPr>
                <w:rFonts w:ascii="宋体" w:hAnsi="宋体" w:cs="宋体"/>
                <w:szCs w:val="21"/>
              </w:rPr>
            </w:pPr>
            <w:r>
              <w:rPr>
                <w:rFonts w:hint="eastAsia" w:ascii="宋体" w:hAnsi="宋体" w:cs="宋体"/>
                <w:b/>
                <w:bCs/>
                <w:szCs w:val="21"/>
              </w:rPr>
              <w:t>大新县</w:t>
            </w:r>
          </w:p>
        </w:tc>
      </w:tr>
      <w:tr w14:paraId="1CDCA6AD">
        <w:tblPrEx>
          <w:tblCellMar>
            <w:top w:w="0" w:type="dxa"/>
            <w:left w:w="108" w:type="dxa"/>
            <w:bottom w:w="0" w:type="dxa"/>
            <w:right w:w="108" w:type="dxa"/>
          </w:tblCellMar>
        </w:tblPrEx>
        <w:trPr>
          <w:trHeight w:val="391"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CD8D130">
            <w:pPr>
              <w:widowControl/>
              <w:jc w:val="left"/>
              <w:textAlignment w:val="center"/>
              <w:rPr>
                <w:rFonts w:ascii="宋体" w:hAnsi="宋体" w:cs="宋体"/>
                <w:kern w:val="0"/>
                <w:szCs w:val="21"/>
                <w:lang w:bidi="ar"/>
              </w:rPr>
            </w:pPr>
            <w:r>
              <w:rPr>
                <w:rFonts w:hint="eastAsia" w:ascii="宋体" w:hAnsi="宋体" w:cs="宋体"/>
                <w:szCs w:val="21"/>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1C97260">
            <w:pPr>
              <w:widowControl/>
              <w:jc w:val="left"/>
              <w:textAlignment w:val="center"/>
              <w:rPr>
                <w:rFonts w:ascii="宋体" w:hAnsi="宋体" w:cs="宋体"/>
                <w:kern w:val="0"/>
                <w:szCs w:val="21"/>
                <w:lang w:bidi="ar"/>
              </w:rPr>
            </w:pPr>
            <w:r>
              <w:rPr>
                <w:rFonts w:hint="eastAsia" w:ascii="宋体" w:hAnsi="宋体" w:cs="宋体"/>
                <w:kern w:val="0"/>
                <w:szCs w:val="21"/>
                <w:lang w:bidi="ar"/>
              </w:rPr>
              <w:t>大新县桃城镇民生街98号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99CBA91">
            <w:pPr>
              <w:widowControl/>
              <w:jc w:val="center"/>
              <w:textAlignment w:val="center"/>
              <w:rPr>
                <w:rFonts w:ascii="宋体" w:hAnsi="宋体" w:cs="宋体"/>
                <w:kern w:val="0"/>
                <w:szCs w:val="21"/>
                <w:lang w:bidi="ar"/>
              </w:rPr>
            </w:pPr>
            <w:r>
              <w:rPr>
                <w:rFonts w:hint="eastAsia" w:ascii="宋体" w:hAnsi="宋体" w:cs="宋体"/>
                <w:kern w:val="0"/>
                <w:szCs w:val="21"/>
                <w:lang w:bidi="ar"/>
              </w:rPr>
              <w:t>0771-3628078</w:t>
            </w:r>
          </w:p>
        </w:tc>
      </w:tr>
      <w:tr w14:paraId="3D940D2B">
        <w:tblPrEx>
          <w:tblCellMar>
            <w:top w:w="0" w:type="dxa"/>
            <w:left w:w="108" w:type="dxa"/>
            <w:bottom w:w="0" w:type="dxa"/>
            <w:right w:w="108" w:type="dxa"/>
          </w:tblCellMar>
        </w:tblPrEx>
        <w:trPr>
          <w:trHeight w:val="458"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A3D5AA1">
            <w:pPr>
              <w:widowControl/>
              <w:jc w:val="left"/>
              <w:textAlignment w:val="center"/>
              <w:rPr>
                <w:rFonts w:ascii="宋体" w:hAnsi="宋体" w:cs="宋体"/>
                <w:kern w:val="0"/>
                <w:szCs w:val="21"/>
                <w:lang w:bidi="ar"/>
              </w:rPr>
            </w:pPr>
            <w:r>
              <w:rPr>
                <w:rFonts w:hint="eastAsia" w:ascii="宋体" w:hAnsi="宋体" w:cs="宋体"/>
                <w:szCs w:val="21"/>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18F3942">
            <w:pPr>
              <w:widowControl/>
              <w:jc w:val="left"/>
              <w:textAlignment w:val="center"/>
              <w:rPr>
                <w:rFonts w:ascii="宋体" w:hAnsi="宋体" w:cs="宋体"/>
                <w:kern w:val="0"/>
                <w:szCs w:val="21"/>
                <w:lang w:bidi="ar"/>
              </w:rPr>
            </w:pPr>
            <w:r>
              <w:rPr>
                <w:rFonts w:hint="eastAsia" w:ascii="宋体" w:hAnsi="宋体" w:cs="宋体"/>
                <w:szCs w:val="21"/>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60438A4">
            <w:pPr>
              <w:widowControl/>
              <w:jc w:val="center"/>
              <w:textAlignment w:val="center"/>
              <w:rPr>
                <w:rFonts w:ascii="宋体" w:hAnsi="宋体" w:cs="宋体"/>
                <w:kern w:val="0"/>
                <w:szCs w:val="21"/>
                <w:lang w:bidi="ar"/>
              </w:rPr>
            </w:pPr>
            <w:r>
              <w:rPr>
                <w:rFonts w:hint="eastAsia" w:ascii="宋体" w:hAnsi="宋体" w:cs="宋体"/>
                <w:kern w:val="0"/>
                <w:szCs w:val="21"/>
                <w:lang w:bidi="ar"/>
              </w:rPr>
              <w:t>0771-</w:t>
            </w:r>
            <w:r>
              <w:rPr>
                <w:rFonts w:hint="eastAsia" w:ascii="宋体" w:hAnsi="宋体" w:cs="宋体"/>
                <w:szCs w:val="21"/>
              </w:rPr>
              <w:t>7917015</w:t>
            </w:r>
          </w:p>
        </w:tc>
      </w:tr>
      <w:tr w14:paraId="1D7850A1">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16D8395">
            <w:pPr>
              <w:widowControl/>
              <w:jc w:val="left"/>
              <w:textAlignment w:val="center"/>
              <w:rPr>
                <w:rFonts w:ascii="宋体" w:hAnsi="宋体" w:cs="宋体"/>
                <w:kern w:val="0"/>
                <w:szCs w:val="21"/>
                <w:lang w:bidi="ar"/>
              </w:rPr>
            </w:pPr>
            <w:r>
              <w:rPr>
                <w:rFonts w:hint="eastAsia" w:ascii="宋体" w:hAnsi="宋体" w:cs="宋体"/>
                <w:kern w:val="0"/>
                <w:szCs w:val="21"/>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ED6983B">
            <w:pPr>
              <w:widowControl/>
              <w:jc w:val="left"/>
              <w:textAlignment w:val="center"/>
              <w:rPr>
                <w:rFonts w:ascii="宋体" w:hAnsi="宋体" w:cs="宋体"/>
                <w:kern w:val="0"/>
                <w:szCs w:val="21"/>
                <w:lang w:bidi="ar"/>
              </w:rPr>
            </w:pPr>
            <w:r>
              <w:rPr>
                <w:rFonts w:hint="eastAsia" w:ascii="宋体" w:hAnsi="宋体" w:cs="宋体"/>
                <w:kern w:val="0"/>
                <w:szCs w:val="21"/>
                <w:lang w:bidi="ar"/>
              </w:rPr>
              <w:t>大新县民生街7号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6316993">
            <w:pPr>
              <w:widowControl/>
              <w:jc w:val="center"/>
              <w:textAlignment w:val="center"/>
              <w:rPr>
                <w:rFonts w:ascii="宋体" w:hAnsi="宋体" w:cs="宋体"/>
                <w:kern w:val="0"/>
                <w:szCs w:val="21"/>
                <w:lang w:bidi="ar"/>
              </w:rPr>
            </w:pPr>
            <w:r>
              <w:rPr>
                <w:rFonts w:hint="eastAsia" w:ascii="宋体" w:hAnsi="宋体" w:cs="宋体"/>
                <w:kern w:val="0"/>
                <w:szCs w:val="21"/>
                <w:lang w:bidi="ar"/>
              </w:rPr>
              <w:t>0771-3689766</w:t>
            </w:r>
          </w:p>
        </w:tc>
      </w:tr>
      <w:tr w14:paraId="7E3CABBC">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1CE1BD">
            <w:pPr>
              <w:widowControl/>
              <w:jc w:val="left"/>
              <w:textAlignment w:val="center"/>
              <w:rPr>
                <w:rFonts w:ascii="宋体" w:hAnsi="宋体" w:cs="宋体"/>
                <w:kern w:val="0"/>
                <w:szCs w:val="21"/>
                <w:lang w:bidi="ar"/>
              </w:rPr>
            </w:pPr>
            <w:r>
              <w:rPr>
                <w:rFonts w:hint="eastAsia" w:ascii="宋体" w:hAnsi="宋体" w:cs="宋体"/>
                <w:kern w:val="0"/>
                <w:szCs w:val="21"/>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22268DA">
            <w:pPr>
              <w:widowControl/>
              <w:jc w:val="left"/>
              <w:textAlignment w:val="center"/>
              <w:rPr>
                <w:rFonts w:ascii="宋体" w:hAnsi="宋体" w:cs="宋体"/>
                <w:kern w:val="0"/>
                <w:szCs w:val="21"/>
                <w:lang w:bidi="ar"/>
              </w:rPr>
            </w:pPr>
            <w:r>
              <w:rPr>
                <w:rFonts w:hint="eastAsia" w:ascii="宋体" w:hAnsi="宋体" w:cs="宋体"/>
                <w:kern w:val="0"/>
                <w:szCs w:val="21"/>
                <w:lang w:bidi="ar"/>
              </w:rPr>
              <w:t>大新县城养利路131号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85694A3">
            <w:pPr>
              <w:widowControl/>
              <w:jc w:val="center"/>
              <w:textAlignment w:val="center"/>
              <w:rPr>
                <w:rFonts w:ascii="宋体" w:hAnsi="宋体" w:cs="宋体"/>
                <w:kern w:val="0"/>
                <w:szCs w:val="21"/>
                <w:lang w:bidi="ar"/>
              </w:rPr>
            </w:pPr>
            <w:r>
              <w:rPr>
                <w:rFonts w:hint="eastAsia" w:ascii="宋体" w:hAnsi="宋体" w:cs="宋体"/>
                <w:kern w:val="0"/>
                <w:szCs w:val="21"/>
                <w:lang w:bidi="ar"/>
              </w:rPr>
              <w:t>0771-3623887</w:t>
            </w:r>
          </w:p>
        </w:tc>
      </w:tr>
      <w:tr w14:paraId="0CF170EC">
        <w:tblPrEx>
          <w:tblCellMar>
            <w:top w:w="0" w:type="dxa"/>
            <w:left w:w="108" w:type="dxa"/>
            <w:bottom w:w="0" w:type="dxa"/>
            <w:right w:w="108" w:type="dxa"/>
          </w:tblCellMar>
        </w:tblPrEx>
        <w:trPr>
          <w:trHeight w:val="6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8F5F133">
            <w:pPr>
              <w:widowControl/>
              <w:jc w:val="left"/>
              <w:textAlignment w:val="center"/>
              <w:rPr>
                <w:rFonts w:ascii="宋体" w:hAnsi="宋体" w:cs="宋体"/>
                <w:kern w:val="0"/>
                <w:szCs w:val="21"/>
                <w:lang w:bidi="ar"/>
              </w:rPr>
            </w:pPr>
            <w:r>
              <w:rPr>
                <w:rFonts w:hint="eastAsia" w:ascii="宋体" w:hAnsi="宋体" w:cs="宋体"/>
                <w:szCs w:val="21"/>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3FF3893">
            <w:pPr>
              <w:widowControl/>
              <w:jc w:val="left"/>
              <w:textAlignment w:val="center"/>
              <w:rPr>
                <w:rFonts w:ascii="宋体" w:hAnsi="宋体" w:cs="宋体"/>
                <w:kern w:val="0"/>
                <w:szCs w:val="21"/>
                <w:lang w:bidi="ar"/>
              </w:rPr>
            </w:pPr>
            <w:r>
              <w:rPr>
                <w:rFonts w:hint="eastAsia" w:ascii="宋体" w:hAnsi="宋体" w:cs="宋体"/>
                <w:kern w:val="0"/>
                <w:szCs w:val="21"/>
                <w:lang w:bidi="ar"/>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16AAEA1A">
            <w:pPr>
              <w:widowControl/>
              <w:jc w:val="center"/>
              <w:textAlignment w:val="center"/>
              <w:rPr>
                <w:rFonts w:ascii="宋体" w:hAnsi="宋体" w:cs="宋体"/>
                <w:kern w:val="0"/>
                <w:szCs w:val="21"/>
                <w:lang w:bidi="ar"/>
              </w:rPr>
            </w:pPr>
            <w:r>
              <w:rPr>
                <w:rFonts w:hint="eastAsia" w:ascii="宋体" w:hAnsi="宋体" w:cs="宋体"/>
                <w:kern w:val="0"/>
                <w:szCs w:val="21"/>
                <w:lang w:bidi="ar"/>
              </w:rPr>
              <w:t>0771-3621996</w:t>
            </w:r>
          </w:p>
        </w:tc>
      </w:tr>
      <w:tr w14:paraId="4F68B92B">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F0CE2E5">
            <w:pPr>
              <w:widowControl/>
              <w:jc w:val="left"/>
              <w:textAlignment w:val="center"/>
              <w:rPr>
                <w:rFonts w:ascii="宋体" w:hAnsi="宋体" w:cs="宋体"/>
                <w:kern w:val="0"/>
                <w:szCs w:val="21"/>
                <w:lang w:bidi="ar"/>
              </w:rPr>
            </w:pPr>
            <w:r>
              <w:rPr>
                <w:rFonts w:hint="eastAsia" w:ascii="宋体" w:hAnsi="宋体" w:cs="宋体"/>
                <w:szCs w:val="21"/>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8CD9CB2">
            <w:pPr>
              <w:widowControl/>
              <w:jc w:val="left"/>
              <w:textAlignment w:val="center"/>
              <w:rPr>
                <w:rFonts w:ascii="宋体" w:hAnsi="宋体" w:cs="宋体"/>
                <w:kern w:val="0"/>
                <w:szCs w:val="21"/>
                <w:lang w:bidi="ar"/>
              </w:rPr>
            </w:pPr>
            <w:r>
              <w:rPr>
                <w:rFonts w:hint="eastAsia" w:ascii="宋体" w:hAnsi="宋体" w:cs="宋体"/>
                <w:kern w:val="0"/>
                <w:szCs w:val="21"/>
                <w:lang w:bidi="ar"/>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24F1C225">
            <w:pPr>
              <w:widowControl/>
              <w:jc w:val="center"/>
              <w:textAlignment w:val="center"/>
              <w:rPr>
                <w:rFonts w:ascii="宋体" w:hAnsi="宋体" w:cs="宋体"/>
                <w:kern w:val="0"/>
                <w:szCs w:val="21"/>
                <w:lang w:bidi="ar"/>
              </w:rPr>
            </w:pPr>
            <w:r>
              <w:rPr>
                <w:rFonts w:hint="eastAsia" w:ascii="宋体" w:hAnsi="宋体" w:cs="宋体"/>
                <w:szCs w:val="21"/>
              </w:rPr>
              <w:t>0771-3628366</w:t>
            </w:r>
          </w:p>
        </w:tc>
      </w:tr>
      <w:tr w14:paraId="1F8B2089">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C4D9DC4">
            <w:pPr>
              <w:widowControl/>
              <w:jc w:val="left"/>
              <w:textAlignment w:val="center"/>
              <w:rPr>
                <w:rFonts w:ascii="宋体" w:hAnsi="宋体" w:cs="宋体"/>
                <w:kern w:val="0"/>
                <w:szCs w:val="21"/>
                <w:lang w:bidi="ar"/>
              </w:rPr>
            </w:pPr>
            <w:r>
              <w:rPr>
                <w:rFonts w:hint="eastAsia" w:ascii="宋体" w:hAnsi="宋体" w:cs="宋体"/>
                <w:kern w:val="0"/>
                <w:szCs w:val="21"/>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FA03674">
            <w:pPr>
              <w:widowControl/>
              <w:jc w:val="left"/>
              <w:textAlignment w:val="center"/>
              <w:rPr>
                <w:rFonts w:ascii="宋体" w:hAnsi="宋体" w:cs="宋体"/>
                <w:kern w:val="0"/>
                <w:szCs w:val="21"/>
                <w:lang w:bidi="ar"/>
              </w:rPr>
            </w:pPr>
            <w:r>
              <w:rPr>
                <w:rFonts w:hint="eastAsia" w:ascii="宋体" w:hAnsi="宋体" w:cs="宋体"/>
                <w:kern w:val="0"/>
                <w:szCs w:val="21"/>
                <w:lang w:bidi="ar"/>
              </w:rPr>
              <w:t>大新县桃城镇德天大道74-1号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01F0828">
            <w:pPr>
              <w:widowControl/>
              <w:jc w:val="center"/>
              <w:textAlignment w:val="center"/>
              <w:rPr>
                <w:rFonts w:ascii="宋体" w:hAnsi="宋体" w:cs="宋体"/>
                <w:kern w:val="0"/>
                <w:szCs w:val="21"/>
                <w:lang w:bidi="ar"/>
              </w:rPr>
            </w:pPr>
            <w:r>
              <w:rPr>
                <w:rFonts w:hint="eastAsia" w:ascii="宋体" w:hAnsi="宋体" w:cs="宋体"/>
                <w:kern w:val="0"/>
                <w:szCs w:val="21"/>
                <w:lang w:bidi="ar"/>
              </w:rPr>
              <w:t>0771-3698002</w:t>
            </w:r>
          </w:p>
        </w:tc>
      </w:tr>
      <w:tr w14:paraId="5947A466">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7878099">
            <w:pPr>
              <w:widowControl/>
              <w:jc w:val="left"/>
              <w:textAlignment w:val="center"/>
              <w:rPr>
                <w:rFonts w:ascii="宋体" w:hAnsi="宋体" w:cs="宋体"/>
                <w:kern w:val="0"/>
                <w:szCs w:val="21"/>
                <w:lang w:bidi="ar"/>
              </w:rPr>
            </w:pPr>
            <w:r>
              <w:rPr>
                <w:rFonts w:hint="eastAsia" w:ascii="宋体" w:hAnsi="宋体" w:cs="宋体"/>
                <w:kern w:val="0"/>
                <w:szCs w:val="21"/>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2118CBC">
            <w:pPr>
              <w:widowControl/>
              <w:jc w:val="left"/>
              <w:textAlignment w:val="center"/>
              <w:rPr>
                <w:rFonts w:ascii="宋体" w:hAnsi="宋体" w:cs="宋体"/>
                <w:kern w:val="0"/>
                <w:szCs w:val="21"/>
                <w:lang w:bidi="ar"/>
              </w:rPr>
            </w:pPr>
            <w:r>
              <w:rPr>
                <w:rFonts w:hint="eastAsia" w:ascii="宋体" w:hAnsi="宋体" w:cs="宋体"/>
                <w:kern w:val="0"/>
                <w:szCs w:val="21"/>
                <w:lang w:bidi="ar"/>
              </w:rPr>
              <w:t>大新县桃城镇伦那路8号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CDB943C">
            <w:pPr>
              <w:widowControl/>
              <w:jc w:val="center"/>
              <w:textAlignment w:val="center"/>
              <w:rPr>
                <w:rFonts w:ascii="宋体" w:hAnsi="宋体" w:cs="宋体"/>
                <w:szCs w:val="21"/>
              </w:rPr>
            </w:pPr>
            <w:r>
              <w:rPr>
                <w:rFonts w:hint="eastAsia" w:ascii="宋体" w:hAnsi="宋体" w:cs="宋体"/>
                <w:kern w:val="0"/>
                <w:szCs w:val="21"/>
                <w:lang w:bidi="ar"/>
              </w:rPr>
              <w:t>0771-3626199</w:t>
            </w:r>
          </w:p>
        </w:tc>
      </w:tr>
      <w:tr w14:paraId="3EAA8E7C">
        <w:tblPrEx>
          <w:tblCellMar>
            <w:top w:w="0" w:type="dxa"/>
            <w:left w:w="108" w:type="dxa"/>
            <w:bottom w:w="0" w:type="dxa"/>
            <w:right w:w="108" w:type="dxa"/>
          </w:tblCellMar>
        </w:tblPrEx>
        <w:trPr>
          <w:trHeight w:val="35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E1D8C0A">
            <w:pPr>
              <w:widowControl/>
              <w:jc w:val="left"/>
              <w:textAlignment w:val="center"/>
              <w:rPr>
                <w:rFonts w:ascii="宋体" w:hAnsi="宋体" w:cs="宋体"/>
                <w:szCs w:val="21"/>
              </w:rPr>
            </w:pPr>
            <w:r>
              <w:rPr>
                <w:rFonts w:hint="eastAsia" w:ascii="宋体" w:hAnsi="宋体" w:cs="宋体"/>
                <w:b/>
                <w:bCs/>
                <w:szCs w:val="21"/>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5B70C4B2">
            <w:pPr>
              <w:widowControl/>
              <w:jc w:val="left"/>
              <w:textAlignment w:val="center"/>
              <w:rPr>
                <w:rFonts w:ascii="宋体" w:hAnsi="宋体" w:cs="宋体"/>
                <w:szCs w:val="21"/>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54E36844">
            <w:pPr>
              <w:widowControl/>
              <w:jc w:val="center"/>
              <w:textAlignment w:val="center"/>
              <w:rPr>
                <w:rFonts w:ascii="宋体" w:hAnsi="宋体" w:cs="宋体"/>
                <w:szCs w:val="21"/>
              </w:rPr>
            </w:pPr>
          </w:p>
        </w:tc>
      </w:tr>
      <w:tr w14:paraId="31079B69">
        <w:tblPrEx>
          <w:tblCellMar>
            <w:top w:w="0" w:type="dxa"/>
            <w:left w:w="108" w:type="dxa"/>
            <w:bottom w:w="0" w:type="dxa"/>
            <w:right w:w="108" w:type="dxa"/>
          </w:tblCellMar>
        </w:tblPrEx>
        <w:trPr>
          <w:trHeight w:val="428"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10DF212">
            <w:pPr>
              <w:widowControl/>
              <w:jc w:val="left"/>
              <w:textAlignment w:val="center"/>
              <w:rPr>
                <w:rFonts w:ascii="宋体" w:hAnsi="宋体" w:cs="宋体"/>
                <w:szCs w:val="21"/>
              </w:rPr>
            </w:pPr>
            <w:r>
              <w:rPr>
                <w:rFonts w:hint="eastAsia" w:ascii="宋体" w:hAnsi="宋体" w:cs="宋体"/>
                <w:szCs w:val="21"/>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35C6651">
            <w:pPr>
              <w:widowControl/>
              <w:jc w:val="left"/>
              <w:textAlignment w:val="center"/>
              <w:rPr>
                <w:rFonts w:ascii="宋体" w:hAnsi="宋体" w:cs="宋体"/>
                <w:szCs w:val="21"/>
              </w:rPr>
            </w:pPr>
            <w:r>
              <w:rPr>
                <w:rFonts w:hint="eastAsia" w:ascii="宋体" w:hAnsi="宋体" w:cs="宋体"/>
                <w:szCs w:val="21"/>
              </w:rPr>
              <w:t>龙州县龙江街60号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A047DCC">
            <w:pPr>
              <w:widowControl/>
              <w:jc w:val="center"/>
              <w:textAlignment w:val="center"/>
              <w:rPr>
                <w:rFonts w:ascii="宋体" w:hAnsi="宋体" w:cs="宋体"/>
                <w:szCs w:val="21"/>
              </w:rPr>
            </w:pPr>
            <w:r>
              <w:rPr>
                <w:rFonts w:hint="eastAsia" w:ascii="宋体" w:hAnsi="宋体" w:cs="宋体"/>
                <w:szCs w:val="21"/>
              </w:rPr>
              <w:t>0771-8868619</w:t>
            </w:r>
          </w:p>
        </w:tc>
      </w:tr>
      <w:tr w14:paraId="184B0B99">
        <w:tblPrEx>
          <w:tblCellMar>
            <w:top w:w="0" w:type="dxa"/>
            <w:left w:w="108" w:type="dxa"/>
            <w:bottom w:w="0" w:type="dxa"/>
            <w:right w:w="108" w:type="dxa"/>
          </w:tblCellMar>
        </w:tblPrEx>
        <w:trPr>
          <w:trHeight w:val="544"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0B41C9A">
            <w:pPr>
              <w:widowControl/>
              <w:jc w:val="left"/>
              <w:textAlignment w:val="center"/>
              <w:rPr>
                <w:rFonts w:ascii="宋体" w:hAnsi="宋体" w:cs="宋体"/>
                <w:szCs w:val="21"/>
              </w:rPr>
            </w:pPr>
            <w:r>
              <w:rPr>
                <w:rFonts w:hint="eastAsia" w:ascii="宋体" w:hAnsi="宋体" w:cs="宋体"/>
                <w:szCs w:val="21"/>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B384E83">
            <w:pPr>
              <w:widowControl/>
              <w:jc w:val="left"/>
              <w:textAlignment w:val="center"/>
              <w:rPr>
                <w:rFonts w:ascii="宋体" w:hAnsi="宋体" w:cs="宋体"/>
                <w:szCs w:val="21"/>
              </w:rPr>
            </w:pPr>
            <w:r>
              <w:rPr>
                <w:rFonts w:hint="eastAsia" w:ascii="宋体" w:hAnsi="宋体" w:cs="宋体"/>
                <w:szCs w:val="21"/>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2DBDF2B">
            <w:pPr>
              <w:widowControl/>
              <w:jc w:val="center"/>
              <w:textAlignment w:val="center"/>
              <w:rPr>
                <w:rFonts w:ascii="宋体" w:hAnsi="宋体" w:cs="宋体"/>
                <w:szCs w:val="21"/>
              </w:rPr>
            </w:pPr>
            <w:r>
              <w:rPr>
                <w:rFonts w:hint="eastAsia" w:ascii="宋体" w:hAnsi="宋体" w:cs="宋体"/>
                <w:szCs w:val="21"/>
              </w:rPr>
              <w:t>0771-8812504</w:t>
            </w:r>
          </w:p>
        </w:tc>
      </w:tr>
      <w:tr w14:paraId="6C3C4512">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5887DDB">
            <w:pPr>
              <w:widowControl/>
              <w:jc w:val="left"/>
              <w:textAlignment w:val="center"/>
              <w:rPr>
                <w:rFonts w:ascii="宋体" w:hAnsi="宋体" w:cs="宋体"/>
                <w:szCs w:val="21"/>
              </w:rPr>
            </w:pPr>
            <w:r>
              <w:rPr>
                <w:rFonts w:hint="eastAsia" w:ascii="宋体" w:hAnsi="宋体" w:cs="宋体"/>
                <w:szCs w:val="21"/>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A75B156">
            <w:pPr>
              <w:widowControl/>
              <w:jc w:val="left"/>
              <w:textAlignment w:val="center"/>
              <w:rPr>
                <w:rFonts w:ascii="宋体" w:hAnsi="宋体" w:cs="宋体"/>
                <w:szCs w:val="21"/>
              </w:rPr>
            </w:pPr>
            <w:r>
              <w:rPr>
                <w:rFonts w:hint="eastAsia" w:ascii="宋体" w:hAnsi="宋体" w:cs="宋体"/>
                <w:szCs w:val="21"/>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C67279F">
            <w:pPr>
              <w:widowControl/>
              <w:jc w:val="center"/>
              <w:textAlignment w:val="center"/>
              <w:rPr>
                <w:rFonts w:ascii="宋体" w:hAnsi="宋体" w:cs="宋体"/>
                <w:szCs w:val="21"/>
              </w:rPr>
            </w:pPr>
            <w:r>
              <w:rPr>
                <w:rFonts w:hint="eastAsia" w:ascii="宋体" w:hAnsi="宋体" w:cs="宋体"/>
                <w:szCs w:val="21"/>
              </w:rPr>
              <w:t>0771-8820525</w:t>
            </w:r>
          </w:p>
        </w:tc>
      </w:tr>
      <w:tr w14:paraId="393401F9">
        <w:trPr>
          <w:trHeight w:val="41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47CA857">
            <w:pPr>
              <w:widowControl/>
              <w:jc w:val="left"/>
              <w:textAlignment w:val="center"/>
              <w:rPr>
                <w:rFonts w:ascii="宋体" w:hAnsi="宋体" w:cs="宋体"/>
                <w:szCs w:val="21"/>
              </w:rPr>
            </w:pPr>
            <w:r>
              <w:rPr>
                <w:rFonts w:hint="eastAsia" w:ascii="宋体" w:hAnsi="宋体" w:cs="宋体"/>
                <w:szCs w:val="21"/>
              </w:rPr>
              <w:t>龙州农商行公司机构金融部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29CD4A0">
            <w:pPr>
              <w:widowControl/>
              <w:jc w:val="left"/>
              <w:textAlignment w:val="center"/>
              <w:rPr>
                <w:rFonts w:ascii="宋体" w:hAnsi="宋体" w:cs="宋体"/>
                <w:szCs w:val="21"/>
              </w:rPr>
            </w:pPr>
            <w:r>
              <w:rPr>
                <w:rFonts w:hint="eastAsia" w:ascii="宋体" w:hAnsi="宋体" w:cs="宋体"/>
                <w:szCs w:val="21"/>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7008706">
            <w:pPr>
              <w:widowControl/>
              <w:jc w:val="center"/>
              <w:textAlignment w:val="center"/>
              <w:rPr>
                <w:rFonts w:ascii="宋体" w:hAnsi="宋体" w:cs="宋体"/>
                <w:szCs w:val="21"/>
              </w:rPr>
            </w:pPr>
            <w:r>
              <w:rPr>
                <w:rFonts w:hint="eastAsia" w:ascii="宋体" w:hAnsi="宋体" w:cs="宋体"/>
                <w:szCs w:val="21"/>
              </w:rPr>
              <w:t>0771-8813013</w:t>
            </w:r>
          </w:p>
        </w:tc>
      </w:tr>
      <w:tr w14:paraId="0F172023">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299F52">
            <w:pPr>
              <w:widowControl/>
              <w:jc w:val="left"/>
              <w:textAlignment w:val="center"/>
              <w:rPr>
                <w:rFonts w:ascii="宋体" w:hAnsi="宋体" w:cs="宋体"/>
                <w:szCs w:val="21"/>
              </w:rPr>
            </w:pPr>
            <w:r>
              <w:rPr>
                <w:rFonts w:hint="eastAsia" w:ascii="宋体" w:hAnsi="宋体" w:cs="宋体"/>
                <w:szCs w:val="21"/>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FD77DBF">
            <w:pPr>
              <w:widowControl/>
              <w:jc w:val="left"/>
              <w:textAlignment w:val="center"/>
              <w:rPr>
                <w:rFonts w:ascii="宋体" w:hAnsi="宋体" w:cs="宋体"/>
                <w:szCs w:val="21"/>
              </w:rPr>
            </w:pPr>
            <w:r>
              <w:rPr>
                <w:rFonts w:hint="eastAsia" w:ascii="宋体" w:hAnsi="宋体" w:cs="宋体"/>
                <w:szCs w:val="21"/>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vAlign w:val="center"/>
          </w:tcPr>
          <w:p w14:paraId="49F8F5A6">
            <w:pPr>
              <w:widowControl/>
              <w:jc w:val="center"/>
              <w:textAlignment w:val="center"/>
              <w:rPr>
                <w:rFonts w:ascii="宋体" w:hAnsi="宋体" w:cs="宋体"/>
                <w:szCs w:val="21"/>
              </w:rPr>
            </w:pPr>
            <w:r>
              <w:rPr>
                <w:rFonts w:hint="eastAsia" w:ascii="宋体" w:hAnsi="宋体" w:cs="宋体"/>
                <w:szCs w:val="21"/>
              </w:rPr>
              <w:t>0771-8871021</w:t>
            </w:r>
          </w:p>
        </w:tc>
      </w:tr>
      <w:tr w14:paraId="5E3D38EB">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A1F8A9A">
            <w:pPr>
              <w:widowControl/>
              <w:jc w:val="left"/>
              <w:textAlignment w:val="center"/>
              <w:rPr>
                <w:rFonts w:ascii="宋体" w:hAnsi="宋体" w:cs="宋体"/>
                <w:szCs w:val="21"/>
              </w:rPr>
            </w:pPr>
            <w:r>
              <w:rPr>
                <w:rFonts w:hint="eastAsia" w:ascii="宋体" w:hAnsi="宋体" w:cs="宋体"/>
                <w:szCs w:val="21"/>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144168">
            <w:pPr>
              <w:widowControl/>
              <w:jc w:val="left"/>
              <w:textAlignment w:val="center"/>
              <w:rPr>
                <w:rFonts w:ascii="宋体" w:hAnsi="宋体" w:cs="宋体"/>
                <w:szCs w:val="21"/>
              </w:rPr>
            </w:pPr>
            <w:r>
              <w:rPr>
                <w:rFonts w:hint="eastAsia" w:ascii="宋体" w:hAnsi="宋体" w:cs="宋体"/>
                <w:szCs w:val="21"/>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2E0381C7">
            <w:pPr>
              <w:widowControl/>
              <w:jc w:val="center"/>
              <w:textAlignment w:val="center"/>
              <w:rPr>
                <w:rFonts w:ascii="宋体" w:hAnsi="宋体" w:cs="宋体"/>
                <w:szCs w:val="21"/>
              </w:rPr>
            </w:pPr>
            <w:r>
              <w:rPr>
                <w:rFonts w:hint="eastAsia" w:ascii="宋体" w:hAnsi="宋体" w:cs="宋体"/>
                <w:szCs w:val="21"/>
              </w:rPr>
              <w:t>0771-8811533</w:t>
            </w:r>
          </w:p>
        </w:tc>
      </w:tr>
      <w:tr w14:paraId="509B70E2">
        <w:tblPrEx>
          <w:tblCellMar>
            <w:top w:w="0" w:type="dxa"/>
            <w:left w:w="108" w:type="dxa"/>
            <w:bottom w:w="0" w:type="dxa"/>
            <w:right w:w="108" w:type="dxa"/>
          </w:tblCellMar>
        </w:tblPrEx>
        <w:trPr>
          <w:trHeight w:val="48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8E9A040">
            <w:pPr>
              <w:widowControl/>
              <w:textAlignment w:val="center"/>
              <w:rPr>
                <w:rFonts w:ascii="宋体" w:hAnsi="宋体" w:cs="宋体"/>
                <w:szCs w:val="21"/>
              </w:rPr>
            </w:pPr>
            <w:r>
              <w:rPr>
                <w:rFonts w:hint="eastAsia" w:ascii="宋体" w:hAnsi="宋体" w:cs="宋体"/>
                <w:b/>
                <w:bCs/>
                <w:szCs w:val="21"/>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2F06EB41">
            <w:pPr>
              <w:widowControl/>
              <w:jc w:val="left"/>
              <w:textAlignment w:val="center"/>
              <w:rPr>
                <w:rFonts w:ascii="宋体" w:hAnsi="宋体" w:cs="宋体"/>
                <w:szCs w:val="21"/>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0ABF6A23">
            <w:pPr>
              <w:widowControl/>
              <w:jc w:val="center"/>
              <w:textAlignment w:val="center"/>
              <w:rPr>
                <w:rFonts w:ascii="宋体" w:hAnsi="宋体" w:cs="宋体"/>
                <w:szCs w:val="21"/>
              </w:rPr>
            </w:pPr>
          </w:p>
        </w:tc>
      </w:tr>
      <w:tr w14:paraId="24DCD340">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6D23730">
            <w:pPr>
              <w:widowControl/>
              <w:jc w:val="left"/>
              <w:textAlignment w:val="center"/>
              <w:rPr>
                <w:rFonts w:ascii="宋体" w:hAnsi="宋体" w:cs="宋体"/>
                <w:szCs w:val="21"/>
              </w:rPr>
            </w:pPr>
            <w:r>
              <w:rPr>
                <w:rFonts w:hint="eastAsia" w:ascii="宋体" w:hAnsi="宋体" w:cs="宋体"/>
                <w:szCs w:val="21"/>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97D7CBF">
            <w:pPr>
              <w:widowControl/>
              <w:jc w:val="left"/>
              <w:textAlignment w:val="center"/>
              <w:rPr>
                <w:rFonts w:ascii="宋体" w:hAnsi="宋体" w:cs="宋体"/>
                <w:szCs w:val="21"/>
              </w:rPr>
            </w:pPr>
            <w:r>
              <w:rPr>
                <w:rFonts w:hint="eastAsia" w:ascii="宋体" w:hAnsi="宋体" w:cs="宋体"/>
                <w:szCs w:val="21"/>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A26A87D">
            <w:pPr>
              <w:widowControl/>
              <w:jc w:val="center"/>
              <w:textAlignment w:val="center"/>
              <w:rPr>
                <w:rFonts w:ascii="宋体" w:hAnsi="宋体" w:cs="宋体"/>
                <w:szCs w:val="21"/>
              </w:rPr>
            </w:pPr>
            <w:r>
              <w:rPr>
                <w:rFonts w:hint="eastAsia" w:ascii="宋体" w:hAnsi="宋体" w:cs="宋体"/>
                <w:szCs w:val="21"/>
              </w:rPr>
              <w:t>0771-3532211</w:t>
            </w:r>
          </w:p>
        </w:tc>
      </w:tr>
      <w:tr w14:paraId="0F375ABB">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AEA7255">
            <w:pPr>
              <w:widowControl/>
              <w:jc w:val="left"/>
              <w:textAlignment w:val="center"/>
              <w:rPr>
                <w:rFonts w:ascii="宋体" w:hAnsi="宋体" w:cs="宋体"/>
                <w:szCs w:val="21"/>
              </w:rPr>
            </w:pPr>
            <w:r>
              <w:rPr>
                <w:rFonts w:hint="eastAsia" w:ascii="宋体" w:hAnsi="宋体" w:cs="宋体"/>
                <w:szCs w:val="21"/>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5A26302">
            <w:pPr>
              <w:widowControl/>
              <w:jc w:val="left"/>
              <w:textAlignment w:val="center"/>
              <w:rPr>
                <w:rFonts w:ascii="宋体" w:hAnsi="宋体" w:cs="宋体"/>
                <w:szCs w:val="21"/>
              </w:rPr>
            </w:pPr>
            <w:r>
              <w:rPr>
                <w:rFonts w:hint="eastAsia" w:ascii="宋体" w:hAnsi="宋体" w:cs="宋体"/>
                <w:szCs w:val="21"/>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7D71686">
            <w:pPr>
              <w:widowControl/>
              <w:jc w:val="center"/>
              <w:textAlignment w:val="center"/>
              <w:rPr>
                <w:rFonts w:ascii="宋体" w:hAnsi="宋体" w:cs="宋体"/>
                <w:szCs w:val="21"/>
              </w:rPr>
            </w:pPr>
            <w:r>
              <w:rPr>
                <w:rFonts w:hint="eastAsia" w:ascii="宋体" w:hAnsi="宋体" w:cs="宋体"/>
                <w:szCs w:val="21"/>
              </w:rPr>
              <w:t>0771-7917046</w:t>
            </w:r>
          </w:p>
        </w:tc>
      </w:tr>
      <w:tr w14:paraId="74307AC6">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81D20E9">
            <w:pPr>
              <w:widowControl/>
              <w:jc w:val="left"/>
              <w:textAlignment w:val="center"/>
              <w:rPr>
                <w:rFonts w:ascii="宋体" w:hAnsi="宋体" w:cs="宋体"/>
                <w:szCs w:val="21"/>
              </w:rPr>
            </w:pPr>
            <w:r>
              <w:rPr>
                <w:rFonts w:hint="eastAsia" w:ascii="宋体" w:hAnsi="宋体" w:cs="宋体"/>
                <w:szCs w:val="21"/>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18E97F0">
            <w:pPr>
              <w:widowControl/>
              <w:jc w:val="left"/>
              <w:textAlignment w:val="center"/>
              <w:rPr>
                <w:rFonts w:ascii="宋体" w:hAnsi="宋体" w:cs="宋体"/>
                <w:szCs w:val="21"/>
              </w:rPr>
            </w:pPr>
            <w:r>
              <w:rPr>
                <w:rFonts w:hint="eastAsia" w:ascii="宋体" w:hAnsi="宋体" w:cs="宋体"/>
                <w:szCs w:val="21"/>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B2A659F">
            <w:pPr>
              <w:widowControl/>
              <w:jc w:val="center"/>
              <w:textAlignment w:val="center"/>
              <w:rPr>
                <w:rFonts w:ascii="宋体" w:hAnsi="宋体" w:cs="宋体"/>
                <w:szCs w:val="21"/>
              </w:rPr>
            </w:pPr>
            <w:r>
              <w:rPr>
                <w:rFonts w:hint="eastAsia" w:ascii="宋体" w:hAnsi="宋体" w:cs="宋体"/>
                <w:szCs w:val="21"/>
              </w:rPr>
              <w:t>0771-3521361</w:t>
            </w:r>
          </w:p>
        </w:tc>
      </w:tr>
      <w:tr w14:paraId="3BF4874C">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7CBE073">
            <w:pPr>
              <w:widowControl/>
              <w:jc w:val="left"/>
              <w:textAlignment w:val="center"/>
              <w:rPr>
                <w:rFonts w:ascii="宋体" w:hAnsi="宋体" w:cs="宋体"/>
                <w:szCs w:val="21"/>
              </w:rPr>
            </w:pPr>
            <w:r>
              <w:rPr>
                <w:rFonts w:hint="eastAsia" w:ascii="宋体" w:hAnsi="宋体" w:cs="宋体"/>
                <w:szCs w:val="21"/>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FF18155">
            <w:pPr>
              <w:widowControl/>
              <w:jc w:val="left"/>
              <w:textAlignment w:val="center"/>
              <w:rPr>
                <w:rFonts w:ascii="宋体" w:hAnsi="宋体" w:cs="宋体"/>
                <w:szCs w:val="21"/>
              </w:rPr>
            </w:pPr>
            <w:r>
              <w:rPr>
                <w:rFonts w:hint="eastAsia" w:ascii="宋体" w:hAnsi="宋体" w:cs="宋体"/>
                <w:szCs w:val="21"/>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F3C6AB6">
            <w:pPr>
              <w:widowControl/>
              <w:jc w:val="center"/>
              <w:textAlignment w:val="center"/>
              <w:rPr>
                <w:rFonts w:ascii="宋体" w:hAnsi="宋体" w:cs="宋体"/>
                <w:szCs w:val="21"/>
              </w:rPr>
            </w:pPr>
            <w:r>
              <w:rPr>
                <w:rFonts w:hint="eastAsia" w:ascii="宋体" w:hAnsi="宋体" w:cs="宋体"/>
                <w:szCs w:val="21"/>
              </w:rPr>
              <w:t>0771-3522157</w:t>
            </w:r>
          </w:p>
        </w:tc>
      </w:tr>
      <w:tr w14:paraId="0A49B33B">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DE240DD">
            <w:pPr>
              <w:widowControl/>
              <w:jc w:val="left"/>
              <w:textAlignment w:val="center"/>
              <w:rPr>
                <w:rFonts w:ascii="宋体" w:hAnsi="宋体" w:cs="宋体"/>
                <w:szCs w:val="21"/>
              </w:rPr>
            </w:pPr>
            <w:r>
              <w:rPr>
                <w:rFonts w:hint="eastAsia" w:ascii="宋体" w:hAnsi="宋体" w:cs="宋体"/>
                <w:szCs w:val="21"/>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CACBE3E">
            <w:pPr>
              <w:widowControl/>
              <w:jc w:val="left"/>
              <w:textAlignment w:val="center"/>
              <w:rPr>
                <w:rFonts w:ascii="宋体" w:hAnsi="宋体" w:cs="宋体"/>
                <w:szCs w:val="21"/>
              </w:rPr>
            </w:pPr>
            <w:r>
              <w:rPr>
                <w:rFonts w:hint="eastAsia" w:ascii="宋体" w:hAnsi="宋体" w:cs="宋体"/>
                <w:szCs w:val="21"/>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5BF2785">
            <w:pPr>
              <w:widowControl/>
              <w:jc w:val="center"/>
              <w:textAlignment w:val="center"/>
              <w:rPr>
                <w:rFonts w:ascii="宋体" w:hAnsi="宋体" w:cs="宋体"/>
                <w:szCs w:val="21"/>
              </w:rPr>
            </w:pPr>
            <w:r>
              <w:rPr>
                <w:rFonts w:hint="eastAsia" w:ascii="宋体" w:hAnsi="宋体" w:cs="宋体"/>
                <w:szCs w:val="21"/>
              </w:rPr>
              <w:t>0771-3528688</w:t>
            </w:r>
          </w:p>
        </w:tc>
      </w:tr>
      <w:tr w14:paraId="5DEA15BC">
        <w:tblPrEx>
          <w:tblCellMar>
            <w:top w:w="0" w:type="dxa"/>
            <w:left w:w="108" w:type="dxa"/>
            <w:bottom w:w="0" w:type="dxa"/>
            <w:right w:w="108" w:type="dxa"/>
          </w:tblCellMar>
        </w:tblPrEx>
        <w:trPr>
          <w:trHeight w:val="335"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37839213">
            <w:pPr>
              <w:widowControl/>
              <w:jc w:val="left"/>
              <w:textAlignment w:val="center"/>
              <w:rPr>
                <w:rFonts w:ascii="宋体" w:hAnsi="宋体" w:cs="宋体"/>
                <w:szCs w:val="21"/>
              </w:rPr>
            </w:pPr>
            <w:r>
              <w:rPr>
                <w:rFonts w:hint="eastAsia" w:ascii="宋体" w:hAnsi="宋体" w:cs="宋体"/>
                <w:b/>
                <w:bCs/>
                <w:szCs w:val="21"/>
              </w:rPr>
              <w:t>凭祥市</w:t>
            </w:r>
          </w:p>
        </w:tc>
      </w:tr>
      <w:tr w14:paraId="19DD04B3">
        <w:tblPrEx>
          <w:tblCellMar>
            <w:top w:w="0" w:type="dxa"/>
            <w:left w:w="108" w:type="dxa"/>
            <w:bottom w:w="0" w:type="dxa"/>
            <w:right w:w="108" w:type="dxa"/>
          </w:tblCellMar>
        </w:tblPrEx>
        <w:trPr>
          <w:trHeight w:val="44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1F6106">
            <w:pPr>
              <w:widowControl/>
              <w:jc w:val="left"/>
              <w:textAlignment w:val="center"/>
              <w:rPr>
                <w:rFonts w:ascii="宋体" w:hAnsi="宋体" w:cs="宋体"/>
                <w:szCs w:val="21"/>
              </w:rPr>
            </w:pPr>
            <w:r>
              <w:rPr>
                <w:rFonts w:hint="eastAsia" w:ascii="宋体" w:hAnsi="宋体" w:cs="宋体"/>
                <w:szCs w:val="21"/>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5230229">
            <w:pPr>
              <w:widowControl/>
              <w:jc w:val="left"/>
              <w:textAlignment w:val="center"/>
              <w:rPr>
                <w:rFonts w:ascii="宋体" w:hAnsi="宋体" w:cs="宋体"/>
                <w:szCs w:val="21"/>
              </w:rPr>
            </w:pPr>
            <w:r>
              <w:rPr>
                <w:rFonts w:hint="eastAsia" w:ascii="宋体" w:hAnsi="宋体" w:cs="宋体"/>
                <w:szCs w:val="21"/>
              </w:rPr>
              <w:t>凭祥市新华路5号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D7CB16B">
            <w:pPr>
              <w:widowControl/>
              <w:jc w:val="center"/>
              <w:textAlignment w:val="center"/>
              <w:rPr>
                <w:rFonts w:ascii="宋体" w:hAnsi="宋体" w:cs="宋体"/>
                <w:szCs w:val="21"/>
              </w:rPr>
            </w:pPr>
            <w:r>
              <w:rPr>
                <w:rFonts w:hint="eastAsia" w:ascii="宋体" w:hAnsi="宋体" w:cs="宋体"/>
                <w:szCs w:val="21"/>
              </w:rPr>
              <w:t>0771-8529259</w:t>
            </w:r>
          </w:p>
        </w:tc>
      </w:tr>
      <w:tr w14:paraId="437C91CC">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F0CAAC5">
            <w:pPr>
              <w:widowControl/>
              <w:jc w:val="left"/>
              <w:textAlignment w:val="center"/>
              <w:rPr>
                <w:rFonts w:ascii="宋体" w:hAnsi="宋体" w:cs="宋体"/>
                <w:szCs w:val="21"/>
              </w:rPr>
            </w:pPr>
            <w:r>
              <w:rPr>
                <w:rFonts w:hint="eastAsia" w:ascii="宋体" w:hAnsi="宋体" w:cs="宋体"/>
                <w:szCs w:val="21"/>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B8E4B1">
            <w:pPr>
              <w:widowControl/>
              <w:jc w:val="left"/>
              <w:textAlignment w:val="center"/>
              <w:rPr>
                <w:rFonts w:ascii="宋体" w:hAnsi="宋体" w:cs="宋体"/>
                <w:szCs w:val="21"/>
              </w:rPr>
            </w:pPr>
            <w:r>
              <w:rPr>
                <w:rFonts w:hint="eastAsia" w:ascii="宋体" w:hAnsi="宋体" w:cs="宋体"/>
                <w:szCs w:val="21"/>
              </w:rPr>
              <w:t>凭祥市北大路216号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F84041F">
            <w:pPr>
              <w:widowControl/>
              <w:jc w:val="center"/>
              <w:textAlignment w:val="center"/>
              <w:rPr>
                <w:rFonts w:ascii="宋体" w:hAnsi="宋体" w:cs="宋体"/>
                <w:szCs w:val="21"/>
              </w:rPr>
            </w:pPr>
            <w:r>
              <w:rPr>
                <w:rFonts w:hint="eastAsia" w:ascii="宋体" w:hAnsi="宋体" w:cs="宋体"/>
                <w:szCs w:val="21"/>
              </w:rPr>
              <w:t>0771-7917258</w:t>
            </w:r>
          </w:p>
        </w:tc>
      </w:tr>
      <w:tr w14:paraId="7DAA74A7">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96D2FF7">
            <w:pPr>
              <w:widowControl/>
              <w:jc w:val="left"/>
              <w:textAlignment w:val="center"/>
              <w:rPr>
                <w:rFonts w:ascii="宋体" w:hAnsi="宋体" w:cs="宋体"/>
                <w:szCs w:val="21"/>
              </w:rPr>
            </w:pPr>
            <w:r>
              <w:rPr>
                <w:rFonts w:hint="eastAsia" w:ascii="宋体" w:hAnsi="宋体" w:cs="宋体"/>
                <w:szCs w:val="21"/>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A58FBCF">
            <w:pPr>
              <w:widowControl/>
              <w:jc w:val="left"/>
              <w:textAlignment w:val="center"/>
              <w:rPr>
                <w:rFonts w:ascii="宋体" w:hAnsi="宋体" w:cs="宋体"/>
                <w:szCs w:val="21"/>
              </w:rPr>
            </w:pPr>
            <w:r>
              <w:rPr>
                <w:rFonts w:hint="eastAsia" w:ascii="宋体" w:hAnsi="宋体" w:cs="宋体"/>
                <w:szCs w:val="21"/>
              </w:rPr>
              <w:t>凭祥市屏山路138号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F5AEC86">
            <w:pPr>
              <w:widowControl/>
              <w:jc w:val="center"/>
              <w:textAlignment w:val="center"/>
              <w:rPr>
                <w:rFonts w:ascii="宋体" w:hAnsi="宋体" w:cs="宋体"/>
                <w:szCs w:val="21"/>
              </w:rPr>
            </w:pPr>
            <w:r>
              <w:rPr>
                <w:rFonts w:hint="eastAsia" w:ascii="宋体" w:hAnsi="宋体" w:cs="宋体"/>
                <w:szCs w:val="21"/>
              </w:rPr>
              <w:t>0771-8525068 0771-8536852</w:t>
            </w:r>
          </w:p>
        </w:tc>
      </w:tr>
      <w:tr w14:paraId="756A7646">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08D3034">
            <w:pPr>
              <w:widowControl/>
              <w:jc w:val="left"/>
              <w:textAlignment w:val="center"/>
              <w:rPr>
                <w:rFonts w:ascii="宋体" w:hAnsi="宋体" w:cs="宋体"/>
                <w:szCs w:val="21"/>
              </w:rPr>
            </w:pPr>
            <w:r>
              <w:rPr>
                <w:rFonts w:hint="eastAsia" w:ascii="宋体" w:hAnsi="宋体" w:cs="宋体"/>
                <w:szCs w:val="21"/>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3710D62">
            <w:pPr>
              <w:widowControl/>
              <w:jc w:val="left"/>
              <w:textAlignment w:val="center"/>
              <w:rPr>
                <w:rFonts w:ascii="宋体" w:hAnsi="宋体" w:cs="宋体"/>
                <w:szCs w:val="21"/>
              </w:rPr>
            </w:pPr>
            <w:r>
              <w:rPr>
                <w:rFonts w:hint="eastAsia" w:ascii="宋体" w:hAnsi="宋体" w:cs="宋体"/>
                <w:szCs w:val="21"/>
              </w:rPr>
              <w:t>凭祥市金象大道香格里拉3幢3-01至3-03号商铺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392A27D4">
            <w:pPr>
              <w:widowControl/>
              <w:jc w:val="center"/>
              <w:textAlignment w:val="center"/>
              <w:rPr>
                <w:rFonts w:ascii="宋体" w:hAnsi="宋体" w:cs="宋体"/>
                <w:szCs w:val="21"/>
              </w:rPr>
            </w:pPr>
            <w:r>
              <w:rPr>
                <w:rFonts w:hint="eastAsia" w:ascii="宋体" w:hAnsi="宋体" w:cs="宋体"/>
                <w:szCs w:val="21"/>
              </w:rPr>
              <w:t>0771-8551161</w:t>
            </w:r>
          </w:p>
        </w:tc>
      </w:tr>
      <w:tr w14:paraId="67450819">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5176037">
            <w:pPr>
              <w:widowControl/>
              <w:jc w:val="left"/>
              <w:textAlignment w:val="center"/>
              <w:rPr>
                <w:rFonts w:ascii="宋体" w:hAnsi="宋体" w:cs="宋体"/>
                <w:szCs w:val="21"/>
              </w:rPr>
            </w:pPr>
            <w:r>
              <w:rPr>
                <w:rFonts w:hint="eastAsia" w:ascii="宋体" w:hAnsi="宋体" w:cs="宋体"/>
                <w:szCs w:val="21"/>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53DC656">
            <w:pPr>
              <w:widowControl/>
              <w:jc w:val="left"/>
              <w:textAlignment w:val="center"/>
              <w:rPr>
                <w:rFonts w:ascii="宋体" w:hAnsi="宋体" w:cs="宋体"/>
                <w:szCs w:val="21"/>
              </w:rPr>
            </w:pPr>
            <w:r>
              <w:rPr>
                <w:rFonts w:hint="eastAsia" w:ascii="宋体" w:hAnsi="宋体" w:cs="宋体"/>
                <w:szCs w:val="21"/>
              </w:rPr>
              <w:t>凭祥市浦寨商业城万泰一楼8-9号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E84AD2D">
            <w:pPr>
              <w:widowControl/>
              <w:jc w:val="center"/>
              <w:textAlignment w:val="center"/>
              <w:rPr>
                <w:rFonts w:ascii="宋体" w:hAnsi="宋体" w:cs="宋体"/>
                <w:szCs w:val="21"/>
              </w:rPr>
            </w:pPr>
            <w:r>
              <w:rPr>
                <w:rFonts w:hint="eastAsia" w:ascii="宋体" w:hAnsi="宋体" w:cs="宋体"/>
                <w:szCs w:val="21"/>
              </w:rPr>
              <w:t>0771-8561665</w:t>
            </w:r>
          </w:p>
        </w:tc>
      </w:tr>
      <w:tr w14:paraId="609B32B4">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6E21111">
            <w:pPr>
              <w:widowControl/>
              <w:jc w:val="left"/>
              <w:textAlignment w:val="center"/>
              <w:rPr>
                <w:rFonts w:ascii="宋体" w:hAnsi="宋体" w:cs="宋体"/>
                <w:szCs w:val="21"/>
              </w:rPr>
            </w:pPr>
            <w:r>
              <w:rPr>
                <w:rFonts w:hint="eastAsia" w:ascii="宋体" w:hAnsi="宋体" w:cs="宋体"/>
                <w:szCs w:val="21"/>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420BBE2">
            <w:pPr>
              <w:widowControl/>
              <w:jc w:val="left"/>
              <w:textAlignment w:val="center"/>
              <w:rPr>
                <w:rFonts w:ascii="宋体" w:hAnsi="宋体" w:cs="宋体"/>
                <w:szCs w:val="21"/>
              </w:rPr>
            </w:pPr>
            <w:r>
              <w:rPr>
                <w:rFonts w:hint="eastAsia" w:ascii="宋体" w:hAnsi="宋体" w:cs="宋体"/>
                <w:szCs w:val="21"/>
              </w:rPr>
              <w:t>凭祥市-北环路112号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B68ACCD">
            <w:pPr>
              <w:widowControl/>
              <w:jc w:val="center"/>
              <w:textAlignment w:val="center"/>
              <w:rPr>
                <w:rFonts w:ascii="宋体" w:hAnsi="宋体" w:cs="宋体"/>
                <w:szCs w:val="21"/>
              </w:rPr>
            </w:pPr>
            <w:r>
              <w:rPr>
                <w:rFonts w:hint="eastAsia" w:ascii="宋体" w:hAnsi="宋体" w:cs="宋体"/>
                <w:szCs w:val="21"/>
              </w:rPr>
              <w:t>0771-8520356</w:t>
            </w:r>
          </w:p>
        </w:tc>
      </w:tr>
      <w:tr w14:paraId="17C78E89">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1CCD341">
            <w:pPr>
              <w:widowControl/>
              <w:jc w:val="left"/>
              <w:textAlignment w:val="center"/>
              <w:rPr>
                <w:rFonts w:ascii="宋体" w:hAnsi="宋体" w:cs="宋体"/>
                <w:szCs w:val="21"/>
              </w:rPr>
            </w:pPr>
            <w:r>
              <w:rPr>
                <w:rFonts w:hint="eastAsia" w:ascii="宋体" w:hAnsi="宋体" w:cs="宋体"/>
                <w:szCs w:val="21"/>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638DACD">
            <w:pPr>
              <w:widowControl/>
              <w:jc w:val="left"/>
              <w:textAlignment w:val="center"/>
              <w:rPr>
                <w:rFonts w:ascii="宋体" w:hAnsi="宋体" w:cs="宋体"/>
                <w:szCs w:val="21"/>
              </w:rPr>
            </w:pPr>
            <w:r>
              <w:rPr>
                <w:rFonts w:hint="eastAsia" w:ascii="宋体" w:hAnsi="宋体" w:cs="宋体"/>
                <w:szCs w:val="21"/>
              </w:rPr>
              <w:t>凭祥市友谊关大道13号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67BDBD7">
            <w:pPr>
              <w:widowControl/>
              <w:jc w:val="center"/>
              <w:textAlignment w:val="center"/>
              <w:rPr>
                <w:rFonts w:ascii="宋体" w:hAnsi="宋体" w:cs="宋体"/>
                <w:szCs w:val="21"/>
              </w:rPr>
            </w:pPr>
            <w:r>
              <w:rPr>
                <w:rFonts w:hint="eastAsia" w:ascii="宋体" w:hAnsi="宋体" w:cs="宋体"/>
                <w:szCs w:val="21"/>
              </w:rPr>
              <w:t>0771-8535667</w:t>
            </w:r>
          </w:p>
        </w:tc>
      </w:tr>
      <w:tr w14:paraId="4BB7E1C5">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17EF357">
            <w:pPr>
              <w:widowControl/>
              <w:jc w:val="left"/>
              <w:textAlignment w:val="center"/>
              <w:rPr>
                <w:rFonts w:ascii="宋体" w:hAnsi="宋体" w:cs="宋体"/>
                <w:szCs w:val="21"/>
              </w:rPr>
            </w:pPr>
            <w:r>
              <w:rPr>
                <w:rFonts w:hint="eastAsia" w:ascii="宋体" w:hAnsi="宋体" w:cs="宋体"/>
                <w:szCs w:val="21"/>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115E8C9">
            <w:pPr>
              <w:widowControl/>
              <w:jc w:val="left"/>
              <w:textAlignment w:val="center"/>
              <w:rPr>
                <w:rFonts w:ascii="宋体" w:hAnsi="宋体" w:cs="宋体"/>
                <w:szCs w:val="21"/>
              </w:rPr>
            </w:pPr>
            <w:r>
              <w:rPr>
                <w:rFonts w:hint="eastAsia" w:ascii="宋体" w:hAnsi="宋体" w:cs="宋体"/>
                <w:szCs w:val="21"/>
              </w:rPr>
              <w:t>凭祥市北大路一支40号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D334AEC">
            <w:pPr>
              <w:widowControl/>
              <w:jc w:val="center"/>
              <w:textAlignment w:val="center"/>
              <w:rPr>
                <w:rFonts w:ascii="宋体" w:hAnsi="宋体" w:cs="宋体"/>
                <w:szCs w:val="21"/>
              </w:rPr>
            </w:pPr>
            <w:r>
              <w:rPr>
                <w:rFonts w:hint="eastAsia" w:ascii="宋体" w:hAnsi="宋体" w:cs="宋体"/>
                <w:szCs w:val="21"/>
              </w:rPr>
              <w:t>0771-8520550</w:t>
            </w:r>
          </w:p>
        </w:tc>
      </w:tr>
      <w:tr w14:paraId="2E43F2DD">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4569B52">
            <w:pPr>
              <w:widowControl/>
              <w:jc w:val="left"/>
              <w:textAlignment w:val="center"/>
              <w:rPr>
                <w:rFonts w:ascii="宋体" w:hAnsi="宋体" w:cs="宋体"/>
                <w:szCs w:val="21"/>
              </w:rPr>
            </w:pPr>
            <w:r>
              <w:rPr>
                <w:rFonts w:hint="eastAsia" w:ascii="宋体" w:hAnsi="宋体" w:cs="宋体"/>
                <w:szCs w:val="21"/>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3E631C9">
            <w:pPr>
              <w:widowControl/>
              <w:jc w:val="left"/>
              <w:textAlignment w:val="center"/>
              <w:rPr>
                <w:rFonts w:ascii="宋体" w:hAnsi="宋体" w:cs="宋体"/>
                <w:szCs w:val="21"/>
              </w:rPr>
            </w:pPr>
            <w:r>
              <w:rPr>
                <w:rFonts w:hint="eastAsia" w:ascii="宋体" w:hAnsi="宋体" w:cs="宋体"/>
                <w:szCs w:val="21"/>
              </w:rPr>
              <w:t>凭祥市北大路一支60-1号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A7C49B8">
            <w:pPr>
              <w:widowControl/>
              <w:jc w:val="center"/>
              <w:textAlignment w:val="center"/>
              <w:rPr>
                <w:rFonts w:ascii="宋体" w:hAnsi="宋体" w:cs="宋体"/>
                <w:szCs w:val="21"/>
              </w:rPr>
            </w:pPr>
            <w:r>
              <w:rPr>
                <w:rFonts w:hint="eastAsia" w:ascii="宋体" w:hAnsi="宋体" w:cs="宋体"/>
                <w:szCs w:val="21"/>
              </w:rPr>
              <w:t>0771-8556667</w:t>
            </w:r>
          </w:p>
        </w:tc>
      </w:tr>
    </w:tbl>
    <w:p w14:paraId="74C9C2D2">
      <w:pPr>
        <w:jc w:val="left"/>
        <w:rPr>
          <w:rFonts w:ascii="宋体" w:hAnsi="宋体" w:cs="宋体"/>
          <w:szCs w:val="21"/>
        </w:rPr>
      </w:pPr>
    </w:p>
    <w:p w14:paraId="09B89798">
      <w:pPr>
        <w:jc w:val="left"/>
        <w:rPr>
          <w:rFonts w:ascii="宋体" w:hAnsi="宋体" w:cs="宋体"/>
          <w:szCs w:val="21"/>
        </w:rPr>
      </w:pPr>
    </w:p>
    <w:p w14:paraId="5D933D5E">
      <w:pPr>
        <w:rPr>
          <w:rFonts w:ascii="宋体" w:hAnsi="宋体" w:cs="宋体"/>
          <w:sz w:val="32"/>
          <w:szCs w:val="32"/>
        </w:rPr>
      </w:pPr>
    </w:p>
    <w:p w14:paraId="1968FDCF">
      <w:pPr>
        <w:pStyle w:val="25"/>
        <w:spacing w:line="440" w:lineRule="exact"/>
        <w:jc w:val="left"/>
        <w:rPr>
          <w:rFonts w:hAnsi="宋体" w:cs="宋体"/>
          <w:b/>
          <w:kern w:val="2"/>
          <w:sz w:val="24"/>
          <w:szCs w:val="24"/>
        </w:rPr>
      </w:pPr>
    </w:p>
    <w:p w14:paraId="2B6E5780">
      <w:pPr>
        <w:pStyle w:val="25"/>
        <w:spacing w:line="440" w:lineRule="exact"/>
        <w:ind w:left="25" w:leftChars="12" w:firstLine="295" w:firstLineChars="147"/>
        <w:rPr>
          <w:rFonts w:hAnsi="宋体" w:cs="宋体"/>
          <w:b/>
        </w:rPr>
      </w:pPr>
    </w:p>
    <w:p w14:paraId="0EC308A5">
      <w:pPr>
        <w:pStyle w:val="25"/>
        <w:spacing w:line="440" w:lineRule="exact"/>
        <w:ind w:left="25" w:leftChars="12" w:firstLine="354" w:firstLineChars="147"/>
        <w:rPr>
          <w:rFonts w:hAnsi="宋体" w:cs="宋体"/>
          <w:b/>
          <w:sz w:val="24"/>
          <w:szCs w:val="24"/>
        </w:rPr>
      </w:pPr>
    </w:p>
    <w:sectPr>
      <w:footerReference r:id="rId14" w:type="first"/>
      <w:headerReference r:id="rId11" w:type="default"/>
      <w:footerReference r:id="rId12" w:type="default"/>
      <w:footerReference r:id="rId13" w:type="even"/>
      <w:pgSz w:w="11906" w:h="16838"/>
      <w:pgMar w:top="1134" w:right="1134" w:bottom="1134" w:left="1134"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1644CA3-713C-406D-B5CC-15145AEF2399}"/>
  </w:font>
  <w:font w:name="黑体">
    <w:panose1 w:val="02010609060101010101"/>
    <w:charset w:val="86"/>
    <w:family w:val="auto"/>
    <w:pitch w:val="default"/>
    <w:sig w:usb0="800002BF" w:usb1="38CF7CFA" w:usb2="00000016" w:usb3="00000000" w:csb0="00040001" w:csb1="00000000"/>
    <w:embedRegular r:id="rId2" w:fontKey="{7217A8D1-5298-4802-A943-F8F4EEB3412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525034F0-353E-4491-8500-3787F096AC24}"/>
  </w:font>
  <w:font w:name="Cambria">
    <w:panose1 w:val="02040503050406030204"/>
    <w:charset w:val="00"/>
    <w:family w:val="roman"/>
    <w:pitch w:val="default"/>
    <w:sig w:usb0="E00006FF" w:usb1="420024FF" w:usb2="02000000" w:usb3="00000000" w:csb0="2000019F" w:csb1="00000000"/>
  </w:font>
  <w:font w:name="_x000B__x000C_">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Century">
    <w:panose1 w:val="02040604050505020304"/>
    <w:charset w:val="00"/>
    <w:family w:val="roman"/>
    <w:pitch w:val="default"/>
    <w:sig w:usb0="00000287" w:usb1="00000000" w:usb2="00000000" w:usb3="00000000" w:csb0="2000009F" w:csb1="DFD70000"/>
  </w:font>
  <w:font w:name="Arial Unicode MS">
    <w:panose1 w:val="020B0604020202020204"/>
    <w:charset w:val="86"/>
    <w:family w:val="swiss"/>
    <w:pitch w:val="default"/>
    <w:sig w:usb0="FFFFFFFF" w:usb1="E9FFFFFF" w:usb2="0000003F" w:usb3="00000000" w:csb0="603F01FF" w:csb1="FFFF0000"/>
  </w:font>
  <w:font w:name="隶书">
    <w:panose1 w:val="0201050906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embedRegular r:id="rId4" w:fontKey="{340F4BA8-BE61-4553-A653-25F673AA2911}"/>
  </w:font>
  <w:font w:name="楷体">
    <w:panose1 w:val="02010609060101010101"/>
    <w:charset w:val="86"/>
    <w:family w:val="modern"/>
    <w:pitch w:val="default"/>
    <w:sig w:usb0="800002BF" w:usb1="38CF7CFA" w:usb2="00000016" w:usb3="00000000" w:csb0="00040001" w:csb1="00000000"/>
    <w:embedRegular r:id="rId5" w:fontKey="{56109DCF-02CE-4BD2-92D5-45492DFD9A5C}"/>
  </w:font>
  <w:font w:name="MS Gothic">
    <w:panose1 w:val="020B0609070205080204"/>
    <w:charset w:val="80"/>
    <w:family w:val="modern"/>
    <w:pitch w:val="default"/>
    <w:sig w:usb0="E00002FF" w:usb1="6AC7FDFB" w:usb2="08000012" w:usb3="00000000" w:csb0="4002009F" w:csb1="DFD70000"/>
    <w:embedRegular r:id="rId6" w:fontKey="{638AA8C6-13D2-4901-8E51-CFDD903AFEB9}"/>
  </w:font>
  <w:font w:name="WPSEMBED13">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B7199">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75722D">
                          <w:pPr>
                            <w:pStyle w:val="31"/>
                          </w:pPr>
                          <w:r>
                            <w:fldChar w:fldCharType="begin"/>
                          </w:r>
                          <w:r>
                            <w:instrText xml:space="preserve"> PAGE  \* MERGEFORMAT </w:instrText>
                          </w:r>
                          <w:r>
                            <w:fldChar w:fldCharType="separate"/>
                          </w:r>
                          <w:r>
                            <w:t>2</w:t>
                          </w:r>
                          <w:r>
                            <w:fldChar w:fldCharType="end"/>
                          </w:r>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liYzMIBAACNAwAADgAAAGRycy9lMm9Eb2MueG1srVPNjtMwEL4j8Q6W&#10;79TZg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eUOG5x4OefP86//px/fydv&#10;sjx9gBqzbgPmpeG9H3BpZj+gM7MeVLT5i3wIxlHc00VcOSQi8qPVcrWqMCQwNl8Qn90/DxHSB+kt&#10;yUZDI06viMqPnyCNqXNKrub8jTamTNC4/xyImT0s9z72mK007IaJ0M63J+TT4+Ab6nDPKTEfHeqa&#10;d2Q24mzsJiPXgPDukLBw6SejjlBTMZxSYTRtVF6Df+8l6/4v2vw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FJYmMzCAQAAjQMAAA4AAAAAAAAAAQAgAAAAHgEAAGRycy9lMm9Eb2MueG1sUEsF&#10;BgAAAAAGAAYAWQEAAFIFAAAAAA==&#10;">
              <v:fill on="f" focussize="0,0"/>
              <v:stroke on="f"/>
              <v:imagedata o:title=""/>
              <o:lock v:ext="edit" aspectratio="f"/>
              <v:textbox inset="0mm,0mm,0mm,0mm" style="mso-fit-shape-to-text:t;">
                <w:txbxContent>
                  <w:p w14:paraId="1D75722D">
                    <w:pPr>
                      <w:pStyle w:val="3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93227">
    <w:pPr>
      <w:pStyle w:val="31"/>
      <w:framePr w:wrap="around" w:vAnchor="text" w:hAnchor="margin" w:xAlign="center" w:y="1"/>
      <w:rPr>
        <w:rStyle w:val="53"/>
      </w:rPr>
    </w:pPr>
    <w:r>
      <w:fldChar w:fldCharType="begin"/>
    </w:r>
    <w:r>
      <w:rPr>
        <w:rStyle w:val="53"/>
        <w:sz w:val="21"/>
        <w:szCs w:val="24"/>
      </w:rPr>
      <w:instrText xml:space="preserve">PAGE  </w:instrText>
    </w:r>
    <w:r>
      <w:fldChar w:fldCharType="separate"/>
    </w:r>
    <w:r>
      <w:t xml:space="preserve"> </w:t>
    </w:r>
    <w:r>
      <w:fldChar w:fldCharType="end"/>
    </w:r>
  </w:p>
  <w:p w14:paraId="53F4BE1D">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4160B">
    <w:pPr>
      <w:pStyle w:val="31"/>
      <w:ind w:right="360"/>
      <w:jc w:val="both"/>
    </w:pP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C2514">
    <w:pPr>
      <w:pStyle w:val="31"/>
      <w:spacing w:after="120"/>
      <w:ind w:firstLine="480"/>
      <w:jc w:val="center"/>
    </w:pPr>
    <w:bookmarkStart w:id="115" w:name="OLE_LINK36"/>
    <w:r>
      <w:fldChar w:fldCharType="begin"/>
    </w:r>
    <w:r>
      <w:instrText xml:space="preserve"> PAGE   \* MERGEFORMAT </w:instrText>
    </w:r>
    <w:r>
      <w:fldChar w:fldCharType="separate"/>
    </w:r>
    <w:r>
      <w:rPr>
        <w:lang w:val="zh-CN"/>
      </w:rPr>
      <w:t>3</w:t>
    </w:r>
    <w:r>
      <w:fldChar w:fldCharType="end"/>
    </w:r>
  </w:p>
  <w:bookmarkEnd w:id="115"/>
  <w:p w14:paraId="1B311E65">
    <w:pPr>
      <w:pStyle w:val="3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097BF">
    <w:pPr>
      <w:pStyle w:val="31"/>
      <w:jc w:val="center"/>
    </w:pPr>
    <w:r>
      <w:fldChar w:fldCharType="begin"/>
    </w:r>
    <w:r>
      <w:instrText xml:space="preserve"> PAGE   \* MERGEFORMAT </w:instrText>
    </w:r>
    <w:r>
      <w:fldChar w:fldCharType="separate"/>
    </w:r>
    <w:r>
      <w:rPr>
        <w:lang w:val="zh-CN"/>
      </w:rPr>
      <w:t>5</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EA701">
    <w:pPr>
      <w:pStyle w:val="31"/>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4C73CC8">
                          <w:pPr>
                            <w:pStyle w:val="31"/>
                            <w:jc w:val="center"/>
                          </w:pPr>
                          <w:r>
                            <w:fldChar w:fldCharType="begin"/>
                          </w:r>
                          <w:r>
                            <w:instrText xml:space="preserve"> PAGE   \* MERGEFORMAT </w:instrText>
                          </w:r>
                          <w:r>
                            <w:fldChar w:fldCharType="separate"/>
                          </w:r>
                          <w:r>
                            <w:rPr>
                              <w:lang w:val="zh-CN"/>
                            </w:rPr>
                            <w:t>108</w:t>
                          </w:r>
                          <w: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8g0Z8IBAACNAwAADgAAAGRycy9lMm9Eb2MueG1srVPNjtMwEL4j8Q6W&#10;79TZg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DeUOG5x4OefP86//px/fyev&#10;szx9gBqzbgPmpeG9H3BpZj+gM7MeVLT5i3wIxlHc00VcOSQi8qPVcrWqMCQwNl8Qn90/DxHSB+kt&#10;yUZDI06viMqPnyCNqXNKrub8jTamTNC4/xyImT0s9z72mK007IaJ0M63J+TT4+Ab6nDPKTEfHeqa&#10;d2Q24mzsJiPXgPDukLBw6SejjlBTMZxSYTRtVF6Df+8l6/4v2vw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INGfCAQAAjQMAAA4AAAAAAAAAAQAgAAAAHgEAAGRycy9lMm9Eb2MueG1sUEsF&#10;BgAAAAAGAAYAWQEAAFIFAAAAAA==&#10;">
              <v:fill on="f" focussize="0,0"/>
              <v:stroke on="f"/>
              <v:imagedata o:title=""/>
              <o:lock v:ext="edit" aspectratio="f"/>
              <v:textbox inset="0mm,0mm,0mm,0mm" style="mso-fit-shape-to-text:t;">
                <w:txbxContent>
                  <w:p w14:paraId="24C73CC8">
                    <w:pPr>
                      <w:pStyle w:val="31"/>
                      <w:jc w:val="center"/>
                    </w:pPr>
                    <w:r>
                      <w:fldChar w:fldCharType="begin"/>
                    </w:r>
                    <w:r>
                      <w:instrText xml:space="preserve"> PAGE   \* MERGEFORMAT </w:instrText>
                    </w:r>
                    <w:r>
                      <w:fldChar w:fldCharType="separate"/>
                    </w:r>
                    <w:r>
                      <w:rPr>
                        <w:lang w:val="zh-CN"/>
                      </w:rPr>
                      <w:t>108</w:t>
                    </w:r>
                    <w:r>
                      <w:fldChar w:fldCharType="end"/>
                    </w:r>
                  </w:p>
                </w:txbxContent>
              </v:textbox>
            </v:shape>
          </w:pict>
        </mc:Fallback>
      </mc:AlternateContent>
    </w:r>
  </w:p>
  <w:p w14:paraId="1774C420">
    <w:pPr>
      <w:pStyle w:val="3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59D54">
    <w:pPr>
      <w:pStyle w:val="31"/>
      <w:framePr w:wrap="around" w:vAnchor="text" w:hAnchor="margin" w:xAlign="center" w:y="1"/>
      <w:rPr>
        <w:rStyle w:val="53"/>
      </w:rPr>
    </w:pPr>
    <w:r>
      <w:fldChar w:fldCharType="begin"/>
    </w:r>
    <w:r>
      <w:rPr>
        <w:rStyle w:val="53"/>
      </w:rPr>
      <w:instrText xml:space="preserve">PAGE  </w:instrText>
    </w:r>
    <w:r>
      <w:fldChar w:fldCharType="end"/>
    </w:r>
  </w:p>
  <w:p w14:paraId="43772894">
    <w:pPr>
      <w:pStyle w:val="31"/>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F8A3A">
    <w:pPr>
      <w:pStyle w:val="31"/>
      <w:ind w:right="360"/>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1598F">
    <w:pPr>
      <w:pStyle w:val="33"/>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A96AC">
    <w:pPr>
      <w:pStyle w:val="3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6A0F7">
    <w:pPr>
      <w:pStyle w:val="33"/>
      <w:tabs>
        <w:tab w:val="center" w:pos="4153"/>
        <w:tab w:val="right" w:pos="8306"/>
        <w:tab w:val="clear" w:pos="0"/>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95A1B">
    <w:pPr>
      <w:pStyle w:val="3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3D771E"/>
    <w:multiLevelType w:val="singleLevel"/>
    <w:tmpl w:val="8A3D771E"/>
    <w:lvl w:ilvl="0" w:tentative="0">
      <w:start w:val="1"/>
      <w:numFmt w:val="decimal"/>
      <w:lvlText w:val="%1."/>
      <w:lvlJc w:val="left"/>
      <w:pPr>
        <w:tabs>
          <w:tab w:val="left" w:pos="312"/>
        </w:tabs>
      </w:pPr>
    </w:lvl>
  </w:abstractNum>
  <w:abstractNum w:abstractNumId="1">
    <w:nsid w:val="00000005"/>
    <w:multiLevelType w:val="singleLevel"/>
    <w:tmpl w:val="00000005"/>
    <w:lvl w:ilvl="0" w:tentative="0">
      <w:start w:val="1"/>
      <w:numFmt w:val="decimal"/>
      <w:pStyle w:val="21"/>
      <w:lvlText w:val="%1."/>
      <w:lvlJc w:val="left"/>
      <w:pPr>
        <w:tabs>
          <w:tab w:val="left" w:pos="1200"/>
        </w:tabs>
        <w:ind w:left="1200" w:hanging="360"/>
      </w:pPr>
    </w:lvl>
  </w:abstractNum>
  <w:abstractNum w:abstractNumId="2">
    <w:nsid w:val="00000007"/>
    <w:multiLevelType w:val="multilevel"/>
    <w:tmpl w:val="00000007"/>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7"/>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3">
    <w:nsid w:val="0000000A"/>
    <w:multiLevelType w:val="multilevel"/>
    <w:tmpl w:val="0000000A"/>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b/>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4">
    <w:nsid w:val="0053208E"/>
    <w:multiLevelType w:val="singleLevel"/>
    <w:tmpl w:val="0053208E"/>
    <w:lvl w:ilvl="0" w:tentative="0">
      <w:start w:val="1"/>
      <w:numFmt w:val="decimal"/>
      <w:lvlText w:val="%1"/>
      <w:lvlJc w:val="left"/>
      <w:pPr>
        <w:tabs>
          <w:tab w:val="left" w:pos="420"/>
        </w:tabs>
        <w:ind w:left="425" w:hanging="425"/>
      </w:pPr>
      <w:rPr>
        <w:rFonts w:hint="default"/>
      </w:rPr>
    </w:lvl>
  </w:abstractNum>
  <w:num w:numId="1">
    <w:abstractNumId w:val="2"/>
  </w:num>
  <w:num w:numId="2">
    <w:abstractNumId w:val="1"/>
  </w:num>
  <w:num w:numId="3">
    <w:abstractNumId w:val="4"/>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hideSpellingErrors/>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ocumentProtection w:enforcement="0"/>
  <w:defaultTabStop w:val="420"/>
  <w:drawingGridHorizontalSpacing w:val="105"/>
  <w:drawingGridVerticalSpacing w:val="156"/>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zMzM3MmZmZDU3YjkxOGFjMWFkOTU5ZDg4NGUwZmIifQ=="/>
  </w:docVars>
  <w:rsids>
    <w:rsidRoot w:val="00172A27"/>
    <w:rsid w:val="0000010C"/>
    <w:rsid w:val="000004FE"/>
    <w:rsid w:val="0000063A"/>
    <w:rsid w:val="00000FE0"/>
    <w:rsid w:val="00001068"/>
    <w:rsid w:val="0000114A"/>
    <w:rsid w:val="00001731"/>
    <w:rsid w:val="00001C2D"/>
    <w:rsid w:val="00001C55"/>
    <w:rsid w:val="00001CA8"/>
    <w:rsid w:val="00001FAE"/>
    <w:rsid w:val="00002291"/>
    <w:rsid w:val="00002DBF"/>
    <w:rsid w:val="00002EC0"/>
    <w:rsid w:val="00003224"/>
    <w:rsid w:val="000033F5"/>
    <w:rsid w:val="0000358C"/>
    <w:rsid w:val="0000361D"/>
    <w:rsid w:val="00003BEF"/>
    <w:rsid w:val="00004047"/>
    <w:rsid w:val="00004130"/>
    <w:rsid w:val="0000431F"/>
    <w:rsid w:val="00004634"/>
    <w:rsid w:val="00004D8B"/>
    <w:rsid w:val="000053DC"/>
    <w:rsid w:val="000059E2"/>
    <w:rsid w:val="000061EA"/>
    <w:rsid w:val="00006AE7"/>
    <w:rsid w:val="00006B9B"/>
    <w:rsid w:val="00006BCA"/>
    <w:rsid w:val="00006C35"/>
    <w:rsid w:val="000072B1"/>
    <w:rsid w:val="00007329"/>
    <w:rsid w:val="00007758"/>
    <w:rsid w:val="00007E28"/>
    <w:rsid w:val="00007E84"/>
    <w:rsid w:val="00010401"/>
    <w:rsid w:val="000105A1"/>
    <w:rsid w:val="000107AD"/>
    <w:rsid w:val="00010835"/>
    <w:rsid w:val="00010999"/>
    <w:rsid w:val="000117D5"/>
    <w:rsid w:val="00011842"/>
    <w:rsid w:val="00012137"/>
    <w:rsid w:val="000121FF"/>
    <w:rsid w:val="00012456"/>
    <w:rsid w:val="000125B8"/>
    <w:rsid w:val="00012692"/>
    <w:rsid w:val="00012705"/>
    <w:rsid w:val="0001319B"/>
    <w:rsid w:val="00013446"/>
    <w:rsid w:val="00013509"/>
    <w:rsid w:val="000135BC"/>
    <w:rsid w:val="000135DC"/>
    <w:rsid w:val="000136D6"/>
    <w:rsid w:val="00014085"/>
    <w:rsid w:val="00014D89"/>
    <w:rsid w:val="00014DD9"/>
    <w:rsid w:val="00014EE0"/>
    <w:rsid w:val="000151E4"/>
    <w:rsid w:val="00015577"/>
    <w:rsid w:val="000156E4"/>
    <w:rsid w:val="000159A7"/>
    <w:rsid w:val="000159FA"/>
    <w:rsid w:val="00015FB8"/>
    <w:rsid w:val="0001609F"/>
    <w:rsid w:val="0001635B"/>
    <w:rsid w:val="00016549"/>
    <w:rsid w:val="00016814"/>
    <w:rsid w:val="00016BF7"/>
    <w:rsid w:val="0001706C"/>
    <w:rsid w:val="0001720C"/>
    <w:rsid w:val="0001767E"/>
    <w:rsid w:val="0001776D"/>
    <w:rsid w:val="00017E87"/>
    <w:rsid w:val="00017F31"/>
    <w:rsid w:val="00020607"/>
    <w:rsid w:val="0002103A"/>
    <w:rsid w:val="000217E4"/>
    <w:rsid w:val="00021852"/>
    <w:rsid w:val="00021A12"/>
    <w:rsid w:val="00022340"/>
    <w:rsid w:val="000223BF"/>
    <w:rsid w:val="00022622"/>
    <w:rsid w:val="00023363"/>
    <w:rsid w:val="000235F3"/>
    <w:rsid w:val="00023644"/>
    <w:rsid w:val="00023712"/>
    <w:rsid w:val="000244EE"/>
    <w:rsid w:val="00024E3C"/>
    <w:rsid w:val="00024EB0"/>
    <w:rsid w:val="00025604"/>
    <w:rsid w:val="00025DAF"/>
    <w:rsid w:val="0002646A"/>
    <w:rsid w:val="0002651D"/>
    <w:rsid w:val="00026AEF"/>
    <w:rsid w:val="00026CFD"/>
    <w:rsid w:val="00027C8B"/>
    <w:rsid w:val="00027CD9"/>
    <w:rsid w:val="00030242"/>
    <w:rsid w:val="00030B06"/>
    <w:rsid w:val="0003183A"/>
    <w:rsid w:val="00031CDC"/>
    <w:rsid w:val="00032461"/>
    <w:rsid w:val="0003263B"/>
    <w:rsid w:val="0003282C"/>
    <w:rsid w:val="00032F6D"/>
    <w:rsid w:val="0003304A"/>
    <w:rsid w:val="0003317E"/>
    <w:rsid w:val="00033413"/>
    <w:rsid w:val="000337F3"/>
    <w:rsid w:val="00033DDB"/>
    <w:rsid w:val="00034256"/>
    <w:rsid w:val="00034B24"/>
    <w:rsid w:val="00034C27"/>
    <w:rsid w:val="00034E2A"/>
    <w:rsid w:val="0003577F"/>
    <w:rsid w:val="00035B29"/>
    <w:rsid w:val="00036466"/>
    <w:rsid w:val="0003675E"/>
    <w:rsid w:val="00037794"/>
    <w:rsid w:val="00037F87"/>
    <w:rsid w:val="00037FA2"/>
    <w:rsid w:val="000400D0"/>
    <w:rsid w:val="00040343"/>
    <w:rsid w:val="000403E3"/>
    <w:rsid w:val="00041257"/>
    <w:rsid w:val="000425AC"/>
    <w:rsid w:val="000427B8"/>
    <w:rsid w:val="00042F4A"/>
    <w:rsid w:val="00043144"/>
    <w:rsid w:val="00043AC8"/>
    <w:rsid w:val="00043BE5"/>
    <w:rsid w:val="00044003"/>
    <w:rsid w:val="00044527"/>
    <w:rsid w:val="000447E8"/>
    <w:rsid w:val="00044897"/>
    <w:rsid w:val="00044ACF"/>
    <w:rsid w:val="000454F4"/>
    <w:rsid w:val="00045D1E"/>
    <w:rsid w:val="00045E69"/>
    <w:rsid w:val="00045E97"/>
    <w:rsid w:val="00045EF4"/>
    <w:rsid w:val="0004616C"/>
    <w:rsid w:val="00046547"/>
    <w:rsid w:val="000466D7"/>
    <w:rsid w:val="00046753"/>
    <w:rsid w:val="00047254"/>
    <w:rsid w:val="00047E41"/>
    <w:rsid w:val="00047E5A"/>
    <w:rsid w:val="0005022B"/>
    <w:rsid w:val="00050450"/>
    <w:rsid w:val="00050771"/>
    <w:rsid w:val="0005090F"/>
    <w:rsid w:val="000509BA"/>
    <w:rsid w:val="000513F3"/>
    <w:rsid w:val="00052287"/>
    <w:rsid w:val="000522E0"/>
    <w:rsid w:val="000532F4"/>
    <w:rsid w:val="000535A9"/>
    <w:rsid w:val="000536AE"/>
    <w:rsid w:val="0005442E"/>
    <w:rsid w:val="00054C2F"/>
    <w:rsid w:val="00054CD5"/>
    <w:rsid w:val="00054D03"/>
    <w:rsid w:val="000550AC"/>
    <w:rsid w:val="0005533E"/>
    <w:rsid w:val="0005584D"/>
    <w:rsid w:val="00055CC3"/>
    <w:rsid w:val="00055CEE"/>
    <w:rsid w:val="00055FB7"/>
    <w:rsid w:val="000566FA"/>
    <w:rsid w:val="000568D1"/>
    <w:rsid w:val="00056A2B"/>
    <w:rsid w:val="00056DA8"/>
    <w:rsid w:val="00056E37"/>
    <w:rsid w:val="00056EE2"/>
    <w:rsid w:val="00056FE2"/>
    <w:rsid w:val="000570FB"/>
    <w:rsid w:val="000575B8"/>
    <w:rsid w:val="00060131"/>
    <w:rsid w:val="0006026B"/>
    <w:rsid w:val="00060293"/>
    <w:rsid w:val="000607DD"/>
    <w:rsid w:val="00061341"/>
    <w:rsid w:val="00061AA1"/>
    <w:rsid w:val="00061BD3"/>
    <w:rsid w:val="00061BDA"/>
    <w:rsid w:val="000621FE"/>
    <w:rsid w:val="00062B90"/>
    <w:rsid w:val="00062C70"/>
    <w:rsid w:val="00062DD0"/>
    <w:rsid w:val="00062E6F"/>
    <w:rsid w:val="000630C7"/>
    <w:rsid w:val="0006400F"/>
    <w:rsid w:val="000645DD"/>
    <w:rsid w:val="00064D7E"/>
    <w:rsid w:val="00064F65"/>
    <w:rsid w:val="00064FD0"/>
    <w:rsid w:val="0006534A"/>
    <w:rsid w:val="00065A5D"/>
    <w:rsid w:val="00065BA2"/>
    <w:rsid w:val="000661CA"/>
    <w:rsid w:val="0006668D"/>
    <w:rsid w:val="00066896"/>
    <w:rsid w:val="00067002"/>
    <w:rsid w:val="00067993"/>
    <w:rsid w:val="00067B1C"/>
    <w:rsid w:val="00067CED"/>
    <w:rsid w:val="00067F66"/>
    <w:rsid w:val="0007041A"/>
    <w:rsid w:val="00070634"/>
    <w:rsid w:val="00070883"/>
    <w:rsid w:val="00070C3F"/>
    <w:rsid w:val="0007102C"/>
    <w:rsid w:val="00071D68"/>
    <w:rsid w:val="00071FCE"/>
    <w:rsid w:val="00072661"/>
    <w:rsid w:val="00072CCC"/>
    <w:rsid w:val="0007315D"/>
    <w:rsid w:val="00073549"/>
    <w:rsid w:val="0007483E"/>
    <w:rsid w:val="000751DB"/>
    <w:rsid w:val="0007542D"/>
    <w:rsid w:val="0007578F"/>
    <w:rsid w:val="00075E43"/>
    <w:rsid w:val="00076585"/>
    <w:rsid w:val="00077706"/>
    <w:rsid w:val="00077878"/>
    <w:rsid w:val="000804EF"/>
    <w:rsid w:val="00080558"/>
    <w:rsid w:val="00080D75"/>
    <w:rsid w:val="00081230"/>
    <w:rsid w:val="000813E6"/>
    <w:rsid w:val="0008145A"/>
    <w:rsid w:val="000814E2"/>
    <w:rsid w:val="000818C9"/>
    <w:rsid w:val="00081CBB"/>
    <w:rsid w:val="00081D42"/>
    <w:rsid w:val="000822EF"/>
    <w:rsid w:val="0008241E"/>
    <w:rsid w:val="000826F5"/>
    <w:rsid w:val="0008295C"/>
    <w:rsid w:val="000829B1"/>
    <w:rsid w:val="00082AAB"/>
    <w:rsid w:val="0008307D"/>
    <w:rsid w:val="000831E9"/>
    <w:rsid w:val="000833BB"/>
    <w:rsid w:val="0008452D"/>
    <w:rsid w:val="0008467B"/>
    <w:rsid w:val="000850FA"/>
    <w:rsid w:val="000857A6"/>
    <w:rsid w:val="00085C12"/>
    <w:rsid w:val="00085CA4"/>
    <w:rsid w:val="00085DA0"/>
    <w:rsid w:val="00085F82"/>
    <w:rsid w:val="00086506"/>
    <w:rsid w:val="00086B6E"/>
    <w:rsid w:val="00086C2F"/>
    <w:rsid w:val="00086C64"/>
    <w:rsid w:val="000874BB"/>
    <w:rsid w:val="0008781A"/>
    <w:rsid w:val="00090951"/>
    <w:rsid w:val="00090A61"/>
    <w:rsid w:val="000918F5"/>
    <w:rsid w:val="000919B5"/>
    <w:rsid w:val="00091C1D"/>
    <w:rsid w:val="00091E08"/>
    <w:rsid w:val="00092100"/>
    <w:rsid w:val="000922D8"/>
    <w:rsid w:val="000932E7"/>
    <w:rsid w:val="0009333A"/>
    <w:rsid w:val="000933C3"/>
    <w:rsid w:val="00093459"/>
    <w:rsid w:val="00093B8B"/>
    <w:rsid w:val="00094883"/>
    <w:rsid w:val="000951E7"/>
    <w:rsid w:val="00095685"/>
    <w:rsid w:val="00095B82"/>
    <w:rsid w:val="00096098"/>
    <w:rsid w:val="000961B2"/>
    <w:rsid w:val="000969D9"/>
    <w:rsid w:val="00096F37"/>
    <w:rsid w:val="00097FE5"/>
    <w:rsid w:val="000A0354"/>
    <w:rsid w:val="000A0371"/>
    <w:rsid w:val="000A091F"/>
    <w:rsid w:val="000A0958"/>
    <w:rsid w:val="000A0FCC"/>
    <w:rsid w:val="000A1033"/>
    <w:rsid w:val="000A235C"/>
    <w:rsid w:val="000A2575"/>
    <w:rsid w:val="000A2712"/>
    <w:rsid w:val="000A2877"/>
    <w:rsid w:val="000A3458"/>
    <w:rsid w:val="000A355D"/>
    <w:rsid w:val="000A35DA"/>
    <w:rsid w:val="000A371E"/>
    <w:rsid w:val="000A3DE5"/>
    <w:rsid w:val="000A3FB4"/>
    <w:rsid w:val="000A4011"/>
    <w:rsid w:val="000A4594"/>
    <w:rsid w:val="000A45D5"/>
    <w:rsid w:val="000A46CD"/>
    <w:rsid w:val="000A490E"/>
    <w:rsid w:val="000A529E"/>
    <w:rsid w:val="000A5B49"/>
    <w:rsid w:val="000A5FE5"/>
    <w:rsid w:val="000A61CC"/>
    <w:rsid w:val="000A6684"/>
    <w:rsid w:val="000A7194"/>
    <w:rsid w:val="000A7218"/>
    <w:rsid w:val="000A740A"/>
    <w:rsid w:val="000A7446"/>
    <w:rsid w:val="000A7584"/>
    <w:rsid w:val="000A7E7F"/>
    <w:rsid w:val="000A7ECD"/>
    <w:rsid w:val="000B04DD"/>
    <w:rsid w:val="000B0F01"/>
    <w:rsid w:val="000B1346"/>
    <w:rsid w:val="000B1914"/>
    <w:rsid w:val="000B19DC"/>
    <w:rsid w:val="000B1B44"/>
    <w:rsid w:val="000B1CA2"/>
    <w:rsid w:val="000B202E"/>
    <w:rsid w:val="000B2293"/>
    <w:rsid w:val="000B24A4"/>
    <w:rsid w:val="000B255C"/>
    <w:rsid w:val="000B2CBE"/>
    <w:rsid w:val="000B2E86"/>
    <w:rsid w:val="000B395E"/>
    <w:rsid w:val="000B39C3"/>
    <w:rsid w:val="000B3A00"/>
    <w:rsid w:val="000B4126"/>
    <w:rsid w:val="000B4840"/>
    <w:rsid w:val="000B4D79"/>
    <w:rsid w:val="000B5627"/>
    <w:rsid w:val="000B5671"/>
    <w:rsid w:val="000B6BF0"/>
    <w:rsid w:val="000B6CE8"/>
    <w:rsid w:val="000B7DAF"/>
    <w:rsid w:val="000B7F26"/>
    <w:rsid w:val="000C006F"/>
    <w:rsid w:val="000C071C"/>
    <w:rsid w:val="000C0931"/>
    <w:rsid w:val="000C0BB4"/>
    <w:rsid w:val="000C0BEE"/>
    <w:rsid w:val="000C11BE"/>
    <w:rsid w:val="000C14C1"/>
    <w:rsid w:val="000C1CB9"/>
    <w:rsid w:val="000C1F60"/>
    <w:rsid w:val="000C2159"/>
    <w:rsid w:val="000C21BB"/>
    <w:rsid w:val="000C289B"/>
    <w:rsid w:val="000C2EB4"/>
    <w:rsid w:val="000C352F"/>
    <w:rsid w:val="000C3F01"/>
    <w:rsid w:val="000C410D"/>
    <w:rsid w:val="000C420D"/>
    <w:rsid w:val="000C4773"/>
    <w:rsid w:val="000C4944"/>
    <w:rsid w:val="000C4E24"/>
    <w:rsid w:val="000C5851"/>
    <w:rsid w:val="000C5C4A"/>
    <w:rsid w:val="000C5EA0"/>
    <w:rsid w:val="000C5F01"/>
    <w:rsid w:val="000C63C4"/>
    <w:rsid w:val="000C66C1"/>
    <w:rsid w:val="000C6F0B"/>
    <w:rsid w:val="000C6F32"/>
    <w:rsid w:val="000C6FEF"/>
    <w:rsid w:val="000C7324"/>
    <w:rsid w:val="000C778C"/>
    <w:rsid w:val="000C7833"/>
    <w:rsid w:val="000C7E1B"/>
    <w:rsid w:val="000C7E73"/>
    <w:rsid w:val="000D001B"/>
    <w:rsid w:val="000D0A45"/>
    <w:rsid w:val="000D136E"/>
    <w:rsid w:val="000D14AC"/>
    <w:rsid w:val="000D15BA"/>
    <w:rsid w:val="000D15BE"/>
    <w:rsid w:val="000D252B"/>
    <w:rsid w:val="000D28ED"/>
    <w:rsid w:val="000D2BCC"/>
    <w:rsid w:val="000D2C9B"/>
    <w:rsid w:val="000D2CCB"/>
    <w:rsid w:val="000D35FD"/>
    <w:rsid w:val="000D3D2D"/>
    <w:rsid w:val="000D3D99"/>
    <w:rsid w:val="000D451B"/>
    <w:rsid w:val="000D4653"/>
    <w:rsid w:val="000D4696"/>
    <w:rsid w:val="000D4817"/>
    <w:rsid w:val="000D4B78"/>
    <w:rsid w:val="000D4D0C"/>
    <w:rsid w:val="000D4FB9"/>
    <w:rsid w:val="000D54B4"/>
    <w:rsid w:val="000D584B"/>
    <w:rsid w:val="000D5EE9"/>
    <w:rsid w:val="000D5F55"/>
    <w:rsid w:val="000D62A2"/>
    <w:rsid w:val="000D6372"/>
    <w:rsid w:val="000D6979"/>
    <w:rsid w:val="000D6CE7"/>
    <w:rsid w:val="000D6E38"/>
    <w:rsid w:val="000D6E63"/>
    <w:rsid w:val="000D711C"/>
    <w:rsid w:val="000D7B6E"/>
    <w:rsid w:val="000E0644"/>
    <w:rsid w:val="000E076D"/>
    <w:rsid w:val="000E0841"/>
    <w:rsid w:val="000E087C"/>
    <w:rsid w:val="000E187C"/>
    <w:rsid w:val="000E1B28"/>
    <w:rsid w:val="000E1E8D"/>
    <w:rsid w:val="000E1EBC"/>
    <w:rsid w:val="000E2173"/>
    <w:rsid w:val="000E220B"/>
    <w:rsid w:val="000E2266"/>
    <w:rsid w:val="000E2A50"/>
    <w:rsid w:val="000E30F2"/>
    <w:rsid w:val="000E316B"/>
    <w:rsid w:val="000E3492"/>
    <w:rsid w:val="000E372D"/>
    <w:rsid w:val="000E3D08"/>
    <w:rsid w:val="000E4321"/>
    <w:rsid w:val="000E4728"/>
    <w:rsid w:val="000E4D1F"/>
    <w:rsid w:val="000E5658"/>
    <w:rsid w:val="000E5698"/>
    <w:rsid w:val="000E5723"/>
    <w:rsid w:val="000E581B"/>
    <w:rsid w:val="000E64B2"/>
    <w:rsid w:val="000E65D2"/>
    <w:rsid w:val="000E6919"/>
    <w:rsid w:val="000E6B1B"/>
    <w:rsid w:val="000E6C49"/>
    <w:rsid w:val="000E6F0C"/>
    <w:rsid w:val="000E732D"/>
    <w:rsid w:val="000F07ED"/>
    <w:rsid w:val="000F0B5F"/>
    <w:rsid w:val="000F0CF2"/>
    <w:rsid w:val="000F0FAE"/>
    <w:rsid w:val="000F1401"/>
    <w:rsid w:val="000F1A32"/>
    <w:rsid w:val="000F1BD9"/>
    <w:rsid w:val="000F1CC2"/>
    <w:rsid w:val="000F1D15"/>
    <w:rsid w:val="000F2202"/>
    <w:rsid w:val="000F270A"/>
    <w:rsid w:val="000F2FA3"/>
    <w:rsid w:val="000F34C8"/>
    <w:rsid w:val="000F38BC"/>
    <w:rsid w:val="000F3E2A"/>
    <w:rsid w:val="000F4D26"/>
    <w:rsid w:val="000F5639"/>
    <w:rsid w:val="000F58A4"/>
    <w:rsid w:val="000F5F99"/>
    <w:rsid w:val="000F6833"/>
    <w:rsid w:val="000F6A24"/>
    <w:rsid w:val="000F7502"/>
    <w:rsid w:val="000F7616"/>
    <w:rsid w:val="000F7DE9"/>
    <w:rsid w:val="000F7F7A"/>
    <w:rsid w:val="00100251"/>
    <w:rsid w:val="001002F4"/>
    <w:rsid w:val="0010050C"/>
    <w:rsid w:val="001006CB"/>
    <w:rsid w:val="001011FC"/>
    <w:rsid w:val="0010165F"/>
    <w:rsid w:val="00101C5D"/>
    <w:rsid w:val="00101E7C"/>
    <w:rsid w:val="001023DC"/>
    <w:rsid w:val="0010241F"/>
    <w:rsid w:val="00102572"/>
    <w:rsid w:val="00102946"/>
    <w:rsid w:val="00102FBF"/>
    <w:rsid w:val="0010333D"/>
    <w:rsid w:val="0010372A"/>
    <w:rsid w:val="00103F41"/>
    <w:rsid w:val="00104662"/>
    <w:rsid w:val="00104F34"/>
    <w:rsid w:val="001053C5"/>
    <w:rsid w:val="001055AD"/>
    <w:rsid w:val="00105C14"/>
    <w:rsid w:val="001065A3"/>
    <w:rsid w:val="00106610"/>
    <w:rsid w:val="00106831"/>
    <w:rsid w:val="0010683E"/>
    <w:rsid w:val="00106878"/>
    <w:rsid w:val="0010691D"/>
    <w:rsid w:val="00106B33"/>
    <w:rsid w:val="00106E69"/>
    <w:rsid w:val="001074A1"/>
    <w:rsid w:val="001109F4"/>
    <w:rsid w:val="00110AC5"/>
    <w:rsid w:val="00110F0B"/>
    <w:rsid w:val="0011108B"/>
    <w:rsid w:val="00111136"/>
    <w:rsid w:val="00111164"/>
    <w:rsid w:val="001115A7"/>
    <w:rsid w:val="00111761"/>
    <w:rsid w:val="00112164"/>
    <w:rsid w:val="0011241F"/>
    <w:rsid w:val="001128BF"/>
    <w:rsid w:val="00112C4C"/>
    <w:rsid w:val="00112D09"/>
    <w:rsid w:val="00112E8F"/>
    <w:rsid w:val="00112F03"/>
    <w:rsid w:val="00112F38"/>
    <w:rsid w:val="00113821"/>
    <w:rsid w:val="00114058"/>
    <w:rsid w:val="0011449E"/>
    <w:rsid w:val="001153EF"/>
    <w:rsid w:val="00115D55"/>
    <w:rsid w:val="00115E45"/>
    <w:rsid w:val="00115F85"/>
    <w:rsid w:val="0011688E"/>
    <w:rsid w:val="00116ACD"/>
    <w:rsid w:val="00116E19"/>
    <w:rsid w:val="0011718F"/>
    <w:rsid w:val="00117474"/>
    <w:rsid w:val="00117B7D"/>
    <w:rsid w:val="00117EFC"/>
    <w:rsid w:val="001205A8"/>
    <w:rsid w:val="0012166A"/>
    <w:rsid w:val="00121766"/>
    <w:rsid w:val="0012291C"/>
    <w:rsid w:val="00122A64"/>
    <w:rsid w:val="001231FD"/>
    <w:rsid w:val="00123694"/>
    <w:rsid w:val="0012388A"/>
    <w:rsid w:val="0012388C"/>
    <w:rsid w:val="00123AFA"/>
    <w:rsid w:val="00123C8C"/>
    <w:rsid w:val="00123E8B"/>
    <w:rsid w:val="00124405"/>
    <w:rsid w:val="00124B43"/>
    <w:rsid w:val="00124DF8"/>
    <w:rsid w:val="001253EA"/>
    <w:rsid w:val="00125B99"/>
    <w:rsid w:val="00126103"/>
    <w:rsid w:val="00126160"/>
    <w:rsid w:val="00126AEC"/>
    <w:rsid w:val="00126DB5"/>
    <w:rsid w:val="0012711C"/>
    <w:rsid w:val="00127178"/>
    <w:rsid w:val="00127F09"/>
    <w:rsid w:val="0013002A"/>
    <w:rsid w:val="001306EB"/>
    <w:rsid w:val="0013085D"/>
    <w:rsid w:val="0013089C"/>
    <w:rsid w:val="00130A2D"/>
    <w:rsid w:val="00130F54"/>
    <w:rsid w:val="0013180E"/>
    <w:rsid w:val="00131888"/>
    <w:rsid w:val="00131D73"/>
    <w:rsid w:val="00131F17"/>
    <w:rsid w:val="0013212F"/>
    <w:rsid w:val="00132284"/>
    <w:rsid w:val="001323F9"/>
    <w:rsid w:val="0013251F"/>
    <w:rsid w:val="00133088"/>
    <w:rsid w:val="00133346"/>
    <w:rsid w:val="001335B1"/>
    <w:rsid w:val="00133B4E"/>
    <w:rsid w:val="0013410F"/>
    <w:rsid w:val="001346AF"/>
    <w:rsid w:val="00134990"/>
    <w:rsid w:val="00134D9A"/>
    <w:rsid w:val="001350B0"/>
    <w:rsid w:val="001354D1"/>
    <w:rsid w:val="00135840"/>
    <w:rsid w:val="00135A0A"/>
    <w:rsid w:val="00135BB9"/>
    <w:rsid w:val="0013621D"/>
    <w:rsid w:val="00136354"/>
    <w:rsid w:val="00136674"/>
    <w:rsid w:val="00136B0E"/>
    <w:rsid w:val="00136C3B"/>
    <w:rsid w:val="00136CD0"/>
    <w:rsid w:val="001376AB"/>
    <w:rsid w:val="0013777C"/>
    <w:rsid w:val="00137D5F"/>
    <w:rsid w:val="00140082"/>
    <w:rsid w:val="001400C5"/>
    <w:rsid w:val="00140175"/>
    <w:rsid w:val="00140757"/>
    <w:rsid w:val="00140D07"/>
    <w:rsid w:val="00141257"/>
    <w:rsid w:val="00141A3A"/>
    <w:rsid w:val="00141FD4"/>
    <w:rsid w:val="001423FA"/>
    <w:rsid w:val="001427B5"/>
    <w:rsid w:val="001428CF"/>
    <w:rsid w:val="00142D0C"/>
    <w:rsid w:val="00142E3C"/>
    <w:rsid w:val="00143387"/>
    <w:rsid w:val="001439BA"/>
    <w:rsid w:val="00144013"/>
    <w:rsid w:val="001455C3"/>
    <w:rsid w:val="00145A17"/>
    <w:rsid w:val="00145BBE"/>
    <w:rsid w:val="001460B5"/>
    <w:rsid w:val="0014641F"/>
    <w:rsid w:val="001464A8"/>
    <w:rsid w:val="001467BB"/>
    <w:rsid w:val="00146CA8"/>
    <w:rsid w:val="00147884"/>
    <w:rsid w:val="00150827"/>
    <w:rsid w:val="00150B0D"/>
    <w:rsid w:val="00150E10"/>
    <w:rsid w:val="00151A32"/>
    <w:rsid w:val="00151B2C"/>
    <w:rsid w:val="00151E31"/>
    <w:rsid w:val="00151F9B"/>
    <w:rsid w:val="00152289"/>
    <w:rsid w:val="00152425"/>
    <w:rsid w:val="00152BAD"/>
    <w:rsid w:val="00152CE3"/>
    <w:rsid w:val="00153652"/>
    <w:rsid w:val="00153697"/>
    <w:rsid w:val="00153956"/>
    <w:rsid w:val="00153B95"/>
    <w:rsid w:val="00153F56"/>
    <w:rsid w:val="00154146"/>
    <w:rsid w:val="00154190"/>
    <w:rsid w:val="001545EA"/>
    <w:rsid w:val="001549BA"/>
    <w:rsid w:val="00154BBF"/>
    <w:rsid w:val="00155099"/>
    <w:rsid w:val="00155C85"/>
    <w:rsid w:val="00156592"/>
    <w:rsid w:val="00156A6C"/>
    <w:rsid w:val="00156B10"/>
    <w:rsid w:val="001576FE"/>
    <w:rsid w:val="00157823"/>
    <w:rsid w:val="0015790D"/>
    <w:rsid w:val="00157C5E"/>
    <w:rsid w:val="00157DD3"/>
    <w:rsid w:val="0016015A"/>
    <w:rsid w:val="0016020E"/>
    <w:rsid w:val="00160383"/>
    <w:rsid w:val="00160503"/>
    <w:rsid w:val="001606D2"/>
    <w:rsid w:val="00160BF6"/>
    <w:rsid w:val="00160D7C"/>
    <w:rsid w:val="00160E30"/>
    <w:rsid w:val="0016106D"/>
    <w:rsid w:val="001612E1"/>
    <w:rsid w:val="001614DB"/>
    <w:rsid w:val="0016194E"/>
    <w:rsid w:val="0016236C"/>
    <w:rsid w:val="00162625"/>
    <w:rsid w:val="001630A8"/>
    <w:rsid w:val="00163826"/>
    <w:rsid w:val="00163943"/>
    <w:rsid w:val="00163BA1"/>
    <w:rsid w:val="00163F22"/>
    <w:rsid w:val="0016417B"/>
    <w:rsid w:val="001643A6"/>
    <w:rsid w:val="0016470E"/>
    <w:rsid w:val="001649D3"/>
    <w:rsid w:val="00164E0A"/>
    <w:rsid w:val="001652D7"/>
    <w:rsid w:val="00165A5F"/>
    <w:rsid w:val="00166223"/>
    <w:rsid w:val="0016793E"/>
    <w:rsid w:val="00167D4D"/>
    <w:rsid w:val="0017054C"/>
    <w:rsid w:val="00170635"/>
    <w:rsid w:val="0017070D"/>
    <w:rsid w:val="00170837"/>
    <w:rsid w:val="00171035"/>
    <w:rsid w:val="001713B7"/>
    <w:rsid w:val="00171ADB"/>
    <w:rsid w:val="00171B58"/>
    <w:rsid w:val="00171CD1"/>
    <w:rsid w:val="00171E2C"/>
    <w:rsid w:val="00172029"/>
    <w:rsid w:val="00172A27"/>
    <w:rsid w:val="00172B22"/>
    <w:rsid w:val="001733A4"/>
    <w:rsid w:val="00173AB9"/>
    <w:rsid w:val="00173EED"/>
    <w:rsid w:val="00174368"/>
    <w:rsid w:val="001744EA"/>
    <w:rsid w:val="00174731"/>
    <w:rsid w:val="00174D82"/>
    <w:rsid w:val="00174E44"/>
    <w:rsid w:val="00175053"/>
    <w:rsid w:val="001753B7"/>
    <w:rsid w:val="001757E7"/>
    <w:rsid w:val="00175873"/>
    <w:rsid w:val="00175C59"/>
    <w:rsid w:val="001760BC"/>
    <w:rsid w:val="00176674"/>
    <w:rsid w:val="00176818"/>
    <w:rsid w:val="001769AB"/>
    <w:rsid w:val="00176B82"/>
    <w:rsid w:val="00176E37"/>
    <w:rsid w:val="00176E3B"/>
    <w:rsid w:val="00176ECB"/>
    <w:rsid w:val="0017752D"/>
    <w:rsid w:val="0017759F"/>
    <w:rsid w:val="00177832"/>
    <w:rsid w:val="00181178"/>
    <w:rsid w:val="0018119E"/>
    <w:rsid w:val="0018152C"/>
    <w:rsid w:val="00181DBA"/>
    <w:rsid w:val="00181DCF"/>
    <w:rsid w:val="00181EEF"/>
    <w:rsid w:val="00181F3E"/>
    <w:rsid w:val="00182FE0"/>
    <w:rsid w:val="001832E4"/>
    <w:rsid w:val="00183911"/>
    <w:rsid w:val="00184401"/>
    <w:rsid w:val="00184418"/>
    <w:rsid w:val="001845FB"/>
    <w:rsid w:val="001857FB"/>
    <w:rsid w:val="00185DA6"/>
    <w:rsid w:val="00185F64"/>
    <w:rsid w:val="00186096"/>
    <w:rsid w:val="001862FE"/>
    <w:rsid w:val="00186480"/>
    <w:rsid w:val="001864AC"/>
    <w:rsid w:val="00187317"/>
    <w:rsid w:val="0018772E"/>
    <w:rsid w:val="00187864"/>
    <w:rsid w:val="00187A94"/>
    <w:rsid w:val="0019029E"/>
    <w:rsid w:val="00190804"/>
    <w:rsid w:val="0019088F"/>
    <w:rsid w:val="00190C51"/>
    <w:rsid w:val="00191488"/>
    <w:rsid w:val="00192E87"/>
    <w:rsid w:val="00192F00"/>
    <w:rsid w:val="001936B2"/>
    <w:rsid w:val="00193ACC"/>
    <w:rsid w:val="00193BFE"/>
    <w:rsid w:val="001951EE"/>
    <w:rsid w:val="001952E5"/>
    <w:rsid w:val="00195322"/>
    <w:rsid w:val="0019560E"/>
    <w:rsid w:val="001958E3"/>
    <w:rsid w:val="00195B3B"/>
    <w:rsid w:val="00195FFA"/>
    <w:rsid w:val="0019601B"/>
    <w:rsid w:val="00196048"/>
    <w:rsid w:val="00196A82"/>
    <w:rsid w:val="0019769B"/>
    <w:rsid w:val="001979F9"/>
    <w:rsid w:val="00197FFE"/>
    <w:rsid w:val="001A0D25"/>
    <w:rsid w:val="001A0E14"/>
    <w:rsid w:val="001A1570"/>
    <w:rsid w:val="001A1917"/>
    <w:rsid w:val="001A1AB6"/>
    <w:rsid w:val="001A1C64"/>
    <w:rsid w:val="001A1DFB"/>
    <w:rsid w:val="001A1E7F"/>
    <w:rsid w:val="001A2918"/>
    <w:rsid w:val="001A2D02"/>
    <w:rsid w:val="001A2FAB"/>
    <w:rsid w:val="001A3076"/>
    <w:rsid w:val="001A3163"/>
    <w:rsid w:val="001A31A5"/>
    <w:rsid w:val="001A389C"/>
    <w:rsid w:val="001A3B67"/>
    <w:rsid w:val="001A3B75"/>
    <w:rsid w:val="001A42A3"/>
    <w:rsid w:val="001A46FB"/>
    <w:rsid w:val="001A4EC9"/>
    <w:rsid w:val="001A53A4"/>
    <w:rsid w:val="001A5944"/>
    <w:rsid w:val="001A5FB1"/>
    <w:rsid w:val="001A618F"/>
    <w:rsid w:val="001A6930"/>
    <w:rsid w:val="001A698A"/>
    <w:rsid w:val="001A6CCC"/>
    <w:rsid w:val="001A6E3B"/>
    <w:rsid w:val="001A70C8"/>
    <w:rsid w:val="001A71C9"/>
    <w:rsid w:val="001A7429"/>
    <w:rsid w:val="001A760C"/>
    <w:rsid w:val="001A76F0"/>
    <w:rsid w:val="001A7977"/>
    <w:rsid w:val="001A799B"/>
    <w:rsid w:val="001A7AC7"/>
    <w:rsid w:val="001A7C38"/>
    <w:rsid w:val="001B02F8"/>
    <w:rsid w:val="001B2104"/>
    <w:rsid w:val="001B2279"/>
    <w:rsid w:val="001B24AD"/>
    <w:rsid w:val="001B2729"/>
    <w:rsid w:val="001B2866"/>
    <w:rsid w:val="001B2881"/>
    <w:rsid w:val="001B2B73"/>
    <w:rsid w:val="001B3675"/>
    <w:rsid w:val="001B37C8"/>
    <w:rsid w:val="001B48BA"/>
    <w:rsid w:val="001B4B2C"/>
    <w:rsid w:val="001B4F10"/>
    <w:rsid w:val="001B5154"/>
    <w:rsid w:val="001B583D"/>
    <w:rsid w:val="001B6114"/>
    <w:rsid w:val="001B6E30"/>
    <w:rsid w:val="001B79F9"/>
    <w:rsid w:val="001B7C83"/>
    <w:rsid w:val="001B7D25"/>
    <w:rsid w:val="001B7F9E"/>
    <w:rsid w:val="001C0206"/>
    <w:rsid w:val="001C0246"/>
    <w:rsid w:val="001C04D4"/>
    <w:rsid w:val="001C0B34"/>
    <w:rsid w:val="001C12A3"/>
    <w:rsid w:val="001C1419"/>
    <w:rsid w:val="001C15D8"/>
    <w:rsid w:val="001C17BB"/>
    <w:rsid w:val="001C187E"/>
    <w:rsid w:val="001C1A37"/>
    <w:rsid w:val="001C1C49"/>
    <w:rsid w:val="001C286F"/>
    <w:rsid w:val="001C2B86"/>
    <w:rsid w:val="001C2F54"/>
    <w:rsid w:val="001C3308"/>
    <w:rsid w:val="001C39C1"/>
    <w:rsid w:val="001C3A1B"/>
    <w:rsid w:val="001C3BBB"/>
    <w:rsid w:val="001C40D1"/>
    <w:rsid w:val="001C468A"/>
    <w:rsid w:val="001C4A38"/>
    <w:rsid w:val="001C4A9E"/>
    <w:rsid w:val="001C5001"/>
    <w:rsid w:val="001C5103"/>
    <w:rsid w:val="001C52A8"/>
    <w:rsid w:val="001C5ADF"/>
    <w:rsid w:val="001C5E8E"/>
    <w:rsid w:val="001C5E99"/>
    <w:rsid w:val="001C6120"/>
    <w:rsid w:val="001C6516"/>
    <w:rsid w:val="001C6B5C"/>
    <w:rsid w:val="001C7155"/>
    <w:rsid w:val="001C7A5C"/>
    <w:rsid w:val="001C7E48"/>
    <w:rsid w:val="001D0190"/>
    <w:rsid w:val="001D039B"/>
    <w:rsid w:val="001D03E8"/>
    <w:rsid w:val="001D0849"/>
    <w:rsid w:val="001D1258"/>
    <w:rsid w:val="001D1411"/>
    <w:rsid w:val="001D14ED"/>
    <w:rsid w:val="001D18A0"/>
    <w:rsid w:val="001D1AB8"/>
    <w:rsid w:val="001D26F5"/>
    <w:rsid w:val="001D286F"/>
    <w:rsid w:val="001D29EB"/>
    <w:rsid w:val="001D2C94"/>
    <w:rsid w:val="001D2CE0"/>
    <w:rsid w:val="001D317A"/>
    <w:rsid w:val="001D33D9"/>
    <w:rsid w:val="001D36F6"/>
    <w:rsid w:val="001D3E22"/>
    <w:rsid w:val="001D4303"/>
    <w:rsid w:val="001D45E5"/>
    <w:rsid w:val="001D461A"/>
    <w:rsid w:val="001D4A9D"/>
    <w:rsid w:val="001D4AAD"/>
    <w:rsid w:val="001D4E16"/>
    <w:rsid w:val="001D5AFA"/>
    <w:rsid w:val="001D652D"/>
    <w:rsid w:val="001D72D9"/>
    <w:rsid w:val="001D784A"/>
    <w:rsid w:val="001E04A4"/>
    <w:rsid w:val="001E07C5"/>
    <w:rsid w:val="001E0988"/>
    <w:rsid w:val="001E0B45"/>
    <w:rsid w:val="001E176D"/>
    <w:rsid w:val="001E1BCE"/>
    <w:rsid w:val="001E1E05"/>
    <w:rsid w:val="001E2086"/>
    <w:rsid w:val="001E288B"/>
    <w:rsid w:val="001E339F"/>
    <w:rsid w:val="001E3629"/>
    <w:rsid w:val="001E3E7D"/>
    <w:rsid w:val="001E40F0"/>
    <w:rsid w:val="001E4172"/>
    <w:rsid w:val="001E4F08"/>
    <w:rsid w:val="001E5490"/>
    <w:rsid w:val="001E5730"/>
    <w:rsid w:val="001E5E2E"/>
    <w:rsid w:val="001E6352"/>
    <w:rsid w:val="001E700A"/>
    <w:rsid w:val="001E70AD"/>
    <w:rsid w:val="001E7237"/>
    <w:rsid w:val="001E7AF6"/>
    <w:rsid w:val="001F01B8"/>
    <w:rsid w:val="001F0396"/>
    <w:rsid w:val="001F0FC3"/>
    <w:rsid w:val="001F1188"/>
    <w:rsid w:val="001F1B8D"/>
    <w:rsid w:val="001F1C50"/>
    <w:rsid w:val="001F1F0D"/>
    <w:rsid w:val="001F274F"/>
    <w:rsid w:val="001F289C"/>
    <w:rsid w:val="001F2BF9"/>
    <w:rsid w:val="001F3AF2"/>
    <w:rsid w:val="001F5198"/>
    <w:rsid w:val="001F5832"/>
    <w:rsid w:val="001F6008"/>
    <w:rsid w:val="001F604B"/>
    <w:rsid w:val="001F641B"/>
    <w:rsid w:val="001F6D4D"/>
    <w:rsid w:val="0020125C"/>
    <w:rsid w:val="0020130D"/>
    <w:rsid w:val="00201916"/>
    <w:rsid w:val="00201D06"/>
    <w:rsid w:val="00201E9F"/>
    <w:rsid w:val="00202F25"/>
    <w:rsid w:val="002035B3"/>
    <w:rsid w:val="00203929"/>
    <w:rsid w:val="00203A66"/>
    <w:rsid w:val="00203B23"/>
    <w:rsid w:val="00203CD6"/>
    <w:rsid w:val="00203D01"/>
    <w:rsid w:val="00204460"/>
    <w:rsid w:val="002051EA"/>
    <w:rsid w:val="00205B53"/>
    <w:rsid w:val="00205CBC"/>
    <w:rsid w:val="002060BF"/>
    <w:rsid w:val="00206259"/>
    <w:rsid w:val="002064C0"/>
    <w:rsid w:val="002074B7"/>
    <w:rsid w:val="0020758D"/>
    <w:rsid w:val="00207C7B"/>
    <w:rsid w:val="00211470"/>
    <w:rsid w:val="00211922"/>
    <w:rsid w:val="0021213A"/>
    <w:rsid w:val="0021265F"/>
    <w:rsid w:val="00213232"/>
    <w:rsid w:val="00213350"/>
    <w:rsid w:val="00213817"/>
    <w:rsid w:val="00214428"/>
    <w:rsid w:val="002145EB"/>
    <w:rsid w:val="00214F82"/>
    <w:rsid w:val="00214FE7"/>
    <w:rsid w:val="00215033"/>
    <w:rsid w:val="00215834"/>
    <w:rsid w:val="00215CC2"/>
    <w:rsid w:val="00215D95"/>
    <w:rsid w:val="00215ED8"/>
    <w:rsid w:val="00215FAF"/>
    <w:rsid w:val="00217700"/>
    <w:rsid w:val="00217789"/>
    <w:rsid w:val="002177E2"/>
    <w:rsid w:val="0021783B"/>
    <w:rsid w:val="00217B43"/>
    <w:rsid w:val="002205F3"/>
    <w:rsid w:val="0022085B"/>
    <w:rsid w:val="00220A58"/>
    <w:rsid w:val="00220E53"/>
    <w:rsid w:val="0022176C"/>
    <w:rsid w:val="002225D1"/>
    <w:rsid w:val="002230FA"/>
    <w:rsid w:val="002232B9"/>
    <w:rsid w:val="00223DF2"/>
    <w:rsid w:val="002249A2"/>
    <w:rsid w:val="00224C0C"/>
    <w:rsid w:val="002256C2"/>
    <w:rsid w:val="002256D0"/>
    <w:rsid w:val="00225C8E"/>
    <w:rsid w:val="00225FCD"/>
    <w:rsid w:val="00226428"/>
    <w:rsid w:val="002265A9"/>
    <w:rsid w:val="002266CB"/>
    <w:rsid w:val="00227052"/>
    <w:rsid w:val="002272D5"/>
    <w:rsid w:val="0022738E"/>
    <w:rsid w:val="00227906"/>
    <w:rsid w:val="00227934"/>
    <w:rsid w:val="00227E21"/>
    <w:rsid w:val="0023008A"/>
    <w:rsid w:val="00231D05"/>
    <w:rsid w:val="0023241A"/>
    <w:rsid w:val="00232A48"/>
    <w:rsid w:val="00232C36"/>
    <w:rsid w:val="002336E2"/>
    <w:rsid w:val="00233AC2"/>
    <w:rsid w:val="00233BAF"/>
    <w:rsid w:val="00233F80"/>
    <w:rsid w:val="0023423A"/>
    <w:rsid w:val="00235126"/>
    <w:rsid w:val="00235420"/>
    <w:rsid w:val="00235700"/>
    <w:rsid w:val="002370EF"/>
    <w:rsid w:val="00237412"/>
    <w:rsid w:val="0023788D"/>
    <w:rsid w:val="0023795E"/>
    <w:rsid w:val="002379D5"/>
    <w:rsid w:val="00240422"/>
    <w:rsid w:val="0024065B"/>
    <w:rsid w:val="002409A6"/>
    <w:rsid w:val="00240C63"/>
    <w:rsid w:val="00240D91"/>
    <w:rsid w:val="00240EA5"/>
    <w:rsid w:val="00241132"/>
    <w:rsid w:val="00241205"/>
    <w:rsid w:val="0024176E"/>
    <w:rsid w:val="002418C5"/>
    <w:rsid w:val="0024261D"/>
    <w:rsid w:val="00242712"/>
    <w:rsid w:val="00242DFB"/>
    <w:rsid w:val="00243807"/>
    <w:rsid w:val="002440AC"/>
    <w:rsid w:val="00244365"/>
    <w:rsid w:val="0024459A"/>
    <w:rsid w:val="002446A3"/>
    <w:rsid w:val="00244771"/>
    <w:rsid w:val="00244903"/>
    <w:rsid w:val="00244AFB"/>
    <w:rsid w:val="002452F5"/>
    <w:rsid w:val="002453DF"/>
    <w:rsid w:val="00245A32"/>
    <w:rsid w:val="00245A81"/>
    <w:rsid w:val="00245B21"/>
    <w:rsid w:val="002462A5"/>
    <w:rsid w:val="00246B86"/>
    <w:rsid w:val="00247335"/>
    <w:rsid w:val="002473EF"/>
    <w:rsid w:val="002477B9"/>
    <w:rsid w:val="00247B69"/>
    <w:rsid w:val="00247CBE"/>
    <w:rsid w:val="00250A1F"/>
    <w:rsid w:val="00250ADA"/>
    <w:rsid w:val="00250F1D"/>
    <w:rsid w:val="00251160"/>
    <w:rsid w:val="00251FF1"/>
    <w:rsid w:val="002520BA"/>
    <w:rsid w:val="00252234"/>
    <w:rsid w:val="002528E3"/>
    <w:rsid w:val="00252944"/>
    <w:rsid w:val="00252D55"/>
    <w:rsid w:val="00252D82"/>
    <w:rsid w:val="00253006"/>
    <w:rsid w:val="00253165"/>
    <w:rsid w:val="002531EA"/>
    <w:rsid w:val="002533F5"/>
    <w:rsid w:val="00253C60"/>
    <w:rsid w:val="00253F21"/>
    <w:rsid w:val="0025429D"/>
    <w:rsid w:val="002549E9"/>
    <w:rsid w:val="00254FF6"/>
    <w:rsid w:val="00255099"/>
    <w:rsid w:val="002555C6"/>
    <w:rsid w:val="0025597E"/>
    <w:rsid w:val="00255E14"/>
    <w:rsid w:val="00255E45"/>
    <w:rsid w:val="00255FF9"/>
    <w:rsid w:val="00256FA8"/>
    <w:rsid w:val="00257059"/>
    <w:rsid w:val="00257074"/>
    <w:rsid w:val="0025712F"/>
    <w:rsid w:val="00257395"/>
    <w:rsid w:val="00257494"/>
    <w:rsid w:val="00257802"/>
    <w:rsid w:val="00257857"/>
    <w:rsid w:val="002578DA"/>
    <w:rsid w:val="00257CBC"/>
    <w:rsid w:val="002602C2"/>
    <w:rsid w:val="002602DA"/>
    <w:rsid w:val="0026040B"/>
    <w:rsid w:val="002604F2"/>
    <w:rsid w:val="00260802"/>
    <w:rsid w:val="002609E3"/>
    <w:rsid w:val="00261223"/>
    <w:rsid w:val="002617AB"/>
    <w:rsid w:val="00261D08"/>
    <w:rsid w:val="00261D8A"/>
    <w:rsid w:val="00261DCC"/>
    <w:rsid w:val="002624D0"/>
    <w:rsid w:val="00263043"/>
    <w:rsid w:val="00263CB3"/>
    <w:rsid w:val="00263EC7"/>
    <w:rsid w:val="0026491B"/>
    <w:rsid w:val="00264A36"/>
    <w:rsid w:val="00264B06"/>
    <w:rsid w:val="00264C1B"/>
    <w:rsid w:val="002657FB"/>
    <w:rsid w:val="00265D10"/>
    <w:rsid w:val="00265E2E"/>
    <w:rsid w:val="00265F87"/>
    <w:rsid w:val="002661AB"/>
    <w:rsid w:val="00266254"/>
    <w:rsid w:val="0026742B"/>
    <w:rsid w:val="002674FE"/>
    <w:rsid w:val="00267645"/>
    <w:rsid w:val="00267E59"/>
    <w:rsid w:val="002702F6"/>
    <w:rsid w:val="00270748"/>
    <w:rsid w:val="00270CAB"/>
    <w:rsid w:val="00270F6B"/>
    <w:rsid w:val="0027117F"/>
    <w:rsid w:val="002712DC"/>
    <w:rsid w:val="00271875"/>
    <w:rsid w:val="002718FF"/>
    <w:rsid w:val="00271955"/>
    <w:rsid w:val="00272278"/>
    <w:rsid w:val="00272432"/>
    <w:rsid w:val="00272633"/>
    <w:rsid w:val="00272BEC"/>
    <w:rsid w:val="00272D36"/>
    <w:rsid w:val="00272E48"/>
    <w:rsid w:val="00272FA7"/>
    <w:rsid w:val="00272FBF"/>
    <w:rsid w:val="002739DA"/>
    <w:rsid w:val="00273A10"/>
    <w:rsid w:val="00273A58"/>
    <w:rsid w:val="002748AD"/>
    <w:rsid w:val="00274B44"/>
    <w:rsid w:val="00274C6E"/>
    <w:rsid w:val="00274CAB"/>
    <w:rsid w:val="00274E8A"/>
    <w:rsid w:val="002755A8"/>
    <w:rsid w:val="00275FCE"/>
    <w:rsid w:val="002765EF"/>
    <w:rsid w:val="002766B8"/>
    <w:rsid w:val="0027680F"/>
    <w:rsid w:val="002777C0"/>
    <w:rsid w:val="0028076D"/>
    <w:rsid w:val="00281006"/>
    <w:rsid w:val="002815B1"/>
    <w:rsid w:val="00281893"/>
    <w:rsid w:val="00281C1F"/>
    <w:rsid w:val="00281EEA"/>
    <w:rsid w:val="00281F88"/>
    <w:rsid w:val="0028240D"/>
    <w:rsid w:val="0028288D"/>
    <w:rsid w:val="002829B7"/>
    <w:rsid w:val="00282B82"/>
    <w:rsid w:val="00282C74"/>
    <w:rsid w:val="00282E5B"/>
    <w:rsid w:val="0028328D"/>
    <w:rsid w:val="00283995"/>
    <w:rsid w:val="00283B11"/>
    <w:rsid w:val="002841A9"/>
    <w:rsid w:val="00284313"/>
    <w:rsid w:val="00284554"/>
    <w:rsid w:val="0028463E"/>
    <w:rsid w:val="002848AD"/>
    <w:rsid w:val="00284A67"/>
    <w:rsid w:val="00284DE4"/>
    <w:rsid w:val="00285154"/>
    <w:rsid w:val="00285BF2"/>
    <w:rsid w:val="00285C78"/>
    <w:rsid w:val="002863CE"/>
    <w:rsid w:val="00287E20"/>
    <w:rsid w:val="00287E4A"/>
    <w:rsid w:val="0029110F"/>
    <w:rsid w:val="00291492"/>
    <w:rsid w:val="00291527"/>
    <w:rsid w:val="002916B4"/>
    <w:rsid w:val="0029199A"/>
    <w:rsid w:val="00291BBE"/>
    <w:rsid w:val="00291FEB"/>
    <w:rsid w:val="00293146"/>
    <w:rsid w:val="0029361E"/>
    <w:rsid w:val="00293A08"/>
    <w:rsid w:val="00293D68"/>
    <w:rsid w:val="0029408A"/>
    <w:rsid w:val="00294352"/>
    <w:rsid w:val="002944A0"/>
    <w:rsid w:val="002946E4"/>
    <w:rsid w:val="0029495C"/>
    <w:rsid w:val="002956E5"/>
    <w:rsid w:val="002957D9"/>
    <w:rsid w:val="00295B52"/>
    <w:rsid w:val="00296024"/>
    <w:rsid w:val="00296293"/>
    <w:rsid w:val="002969C7"/>
    <w:rsid w:val="00296AF7"/>
    <w:rsid w:val="00297021"/>
    <w:rsid w:val="002972F9"/>
    <w:rsid w:val="00297612"/>
    <w:rsid w:val="002977CA"/>
    <w:rsid w:val="002977D8"/>
    <w:rsid w:val="00297ED7"/>
    <w:rsid w:val="002A0007"/>
    <w:rsid w:val="002A03AA"/>
    <w:rsid w:val="002A0546"/>
    <w:rsid w:val="002A056D"/>
    <w:rsid w:val="002A07FE"/>
    <w:rsid w:val="002A094D"/>
    <w:rsid w:val="002A0CAF"/>
    <w:rsid w:val="002A0DDB"/>
    <w:rsid w:val="002A1565"/>
    <w:rsid w:val="002A16A9"/>
    <w:rsid w:val="002A2941"/>
    <w:rsid w:val="002A2DC4"/>
    <w:rsid w:val="002A3E69"/>
    <w:rsid w:val="002A44F9"/>
    <w:rsid w:val="002A47AE"/>
    <w:rsid w:val="002A4946"/>
    <w:rsid w:val="002A49EF"/>
    <w:rsid w:val="002A4B8B"/>
    <w:rsid w:val="002A5107"/>
    <w:rsid w:val="002A535E"/>
    <w:rsid w:val="002A5787"/>
    <w:rsid w:val="002A5DBD"/>
    <w:rsid w:val="002A6406"/>
    <w:rsid w:val="002A6432"/>
    <w:rsid w:val="002A687D"/>
    <w:rsid w:val="002A6CF0"/>
    <w:rsid w:val="002A6FFC"/>
    <w:rsid w:val="002A7010"/>
    <w:rsid w:val="002A70BA"/>
    <w:rsid w:val="002A7A57"/>
    <w:rsid w:val="002A7BB2"/>
    <w:rsid w:val="002A7CC1"/>
    <w:rsid w:val="002A7DCB"/>
    <w:rsid w:val="002B0685"/>
    <w:rsid w:val="002B0B53"/>
    <w:rsid w:val="002B1617"/>
    <w:rsid w:val="002B1A53"/>
    <w:rsid w:val="002B1A90"/>
    <w:rsid w:val="002B1D11"/>
    <w:rsid w:val="002B273B"/>
    <w:rsid w:val="002B29AA"/>
    <w:rsid w:val="002B2A7E"/>
    <w:rsid w:val="002B2F1B"/>
    <w:rsid w:val="002B3332"/>
    <w:rsid w:val="002B34C7"/>
    <w:rsid w:val="002B3F25"/>
    <w:rsid w:val="002B4F88"/>
    <w:rsid w:val="002B5AFB"/>
    <w:rsid w:val="002B6320"/>
    <w:rsid w:val="002B66AC"/>
    <w:rsid w:val="002B6747"/>
    <w:rsid w:val="002B6852"/>
    <w:rsid w:val="002B74EF"/>
    <w:rsid w:val="002B77E1"/>
    <w:rsid w:val="002B7A9A"/>
    <w:rsid w:val="002B7DD1"/>
    <w:rsid w:val="002C0656"/>
    <w:rsid w:val="002C0714"/>
    <w:rsid w:val="002C0A96"/>
    <w:rsid w:val="002C13C6"/>
    <w:rsid w:val="002C1BF4"/>
    <w:rsid w:val="002C1D12"/>
    <w:rsid w:val="002C1E0D"/>
    <w:rsid w:val="002C2266"/>
    <w:rsid w:val="002C2356"/>
    <w:rsid w:val="002C238F"/>
    <w:rsid w:val="002C276F"/>
    <w:rsid w:val="002C28EB"/>
    <w:rsid w:val="002C316C"/>
    <w:rsid w:val="002C3265"/>
    <w:rsid w:val="002C3AED"/>
    <w:rsid w:val="002C3E56"/>
    <w:rsid w:val="002C414C"/>
    <w:rsid w:val="002C49F8"/>
    <w:rsid w:val="002C4C2F"/>
    <w:rsid w:val="002C5776"/>
    <w:rsid w:val="002C5EED"/>
    <w:rsid w:val="002C63B7"/>
    <w:rsid w:val="002C66DE"/>
    <w:rsid w:val="002C7044"/>
    <w:rsid w:val="002C7193"/>
    <w:rsid w:val="002C74EE"/>
    <w:rsid w:val="002C7699"/>
    <w:rsid w:val="002C7A49"/>
    <w:rsid w:val="002D0128"/>
    <w:rsid w:val="002D0E85"/>
    <w:rsid w:val="002D0FA7"/>
    <w:rsid w:val="002D12FB"/>
    <w:rsid w:val="002D19D1"/>
    <w:rsid w:val="002D1B9A"/>
    <w:rsid w:val="002D1F35"/>
    <w:rsid w:val="002D1FA3"/>
    <w:rsid w:val="002D20CD"/>
    <w:rsid w:val="002D23C6"/>
    <w:rsid w:val="002D24F0"/>
    <w:rsid w:val="002D25EB"/>
    <w:rsid w:val="002D29F3"/>
    <w:rsid w:val="002D2A23"/>
    <w:rsid w:val="002D3126"/>
    <w:rsid w:val="002D3529"/>
    <w:rsid w:val="002D3D0A"/>
    <w:rsid w:val="002D3EF0"/>
    <w:rsid w:val="002D478E"/>
    <w:rsid w:val="002D47AE"/>
    <w:rsid w:val="002D4A94"/>
    <w:rsid w:val="002D4AFE"/>
    <w:rsid w:val="002D612C"/>
    <w:rsid w:val="002D65FF"/>
    <w:rsid w:val="002D6D10"/>
    <w:rsid w:val="002D71E2"/>
    <w:rsid w:val="002D7B6A"/>
    <w:rsid w:val="002E0026"/>
    <w:rsid w:val="002E08E8"/>
    <w:rsid w:val="002E0918"/>
    <w:rsid w:val="002E0BAA"/>
    <w:rsid w:val="002E0D96"/>
    <w:rsid w:val="002E0EA5"/>
    <w:rsid w:val="002E0F1C"/>
    <w:rsid w:val="002E1E19"/>
    <w:rsid w:val="002E1FAC"/>
    <w:rsid w:val="002E283F"/>
    <w:rsid w:val="002E2854"/>
    <w:rsid w:val="002E2E74"/>
    <w:rsid w:val="002E3285"/>
    <w:rsid w:val="002E32D2"/>
    <w:rsid w:val="002E361B"/>
    <w:rsid w:val="002E37AB"/>
    <w:rsid w:val="002E3A80"/>
    <w:rsid w:val="002E41C7"/>
    <w:rsid w:val="002E44AB"/>
    <w:rsid w:val="002E51DF"/>
    <w:rsid w:val="002E57B9"/>
    <w:rsid w:val="002E6127"/>
    <w:rsid w:val="002E6885"/>
    <w:rsid w:val="002E7291"/>
    <w:rsid w:val="002E72E4"/>
    <w:rsid w:val="002E739D"/>
    <w:rsid w:val="002F0F36"/>
    <w:rsid w:val="002F1276"/>
    <w:rsid w:val="002F1986"/>
    <w:rsid w:val="002F1E5F"/>
    <w:rsid w:val="002F2A49"/>
    <w:rsid w:val="002F3550"/>
    <w:rsid w:val="002F3B63"/>
    <w:rsid w:val="002F3C56"/>
    <w:rsid w:val="002F4271"/>
    <w:rsid w:val="002F46B0"/>
    <w:rsid w:val="002F4B17"/>
    <w:rsid w:val="002F5150"/>
    <w:rsid w:val="002F5463"/>
    <w:rsid w:val="002F58C2"/>
    <w:rsid w:val="002F5932"/>
    <w:rsid w:val="002F5C85"/>
    <w:rsid w:val="002F603B"/>
    <w:rsid w:val="002F6201"/>
    <w:rsid w:val="002F6493"/>
    <w:rsid w:val="002F6A4C"/>
    <w:rsid w:val="002F724B"/>
    <w:rsid w:val="002F72BA"/>
    <w:rsid w:val="002F75F6"/>
    <w:rsid w:val="00300267"/>
    <w:rsid w:val="003004D2"/>
    <w:rsid w:val="00300D6B"/>
    <w:rsid w:val="00301380"/>
    <w:rsid w:val="00301D6A"/>
    <w:rsid w:val="00301E89"/>
    <w:rsid w:val="00302052"/>
    <w:rsid w:val="00302142"/>
    <w:rsid w:val="00302169"/>
    <w:rsid w:val="00302190"/>
    <w:rsid w:val="00302612"/>
    <w:rsid w:val="00302846"/>
    <w:rsid w:val="00302F3E"/>
    <w:rsid w:val="00303254"/>
    <w:rsid w:val="00304083"/>
    <w:rsid w:val="003044D9"/>
    <w:rsid w:val="00304D8A"/>
    <w:rsid w:val="00304DA9"/>
    <w:rsid w:val="00305054"/>
    <w:rsid w:val="00305216"/>
    <w:rsid w:val="0030555B"/>
    <w:rsid w:val="003061F5"/>
    <w:rsid w:val="00306A49"/>
    <w:rsid w:val="00306D27"/>
    <w:rsid w:val="0030739C"/>
    <w:rsid w:val="00310D51"/>
    <w:rsid w:val="00311B36"/>
    <w:rsid w:val="00311C92"/>
    <w:rsid w:val="003127C2"/>
    <w:rsid w:val="00313187"/>
    <w:rsid w:val="003131D5"/>
    <w:rsid w:val="00313321"/>
    <w:rsid w:val="003133AE"/>
    <w:rsid w:val="0031371B"/>
    <w:rsid w:val="00314156"/>
    <w:rsid w:val="00314CF8"/>
    <w:rsid w:val="0031535B"/>
    <w:rsid w:val="003154DD"/>
    <w:rsid w:val="00316F76"/>
    <w:rsid w:val="003170F4"/>
    <w:rsid w:val="0032035D"/>
    <w:rsid w:val="003205E9"/>
    <w:rsid w:val="00320B28"/>
    <w:rsid w:val="00320D6D"/>
    <w:rsid w:val="0032123E"/>
    <w:rsid w:val="003216D5"/>
    <w:rsid w:val="003216FF"/>
    <w:rsid w:val="00321866"/>
    <w:rsid w:val="00321A83"/>
    <w:rsid w:val="00321C1A"/>
    <w:rsid w:val="00321F6B"/>
    <w:rsid w:val="00322389"/>
    <w:rsid w:val="003223CA"/>
    <w:rsid w:val="00322BE5"/>
    <w:rsid w:val="00322E87"/>
    <w:rsid w:val="0032312D"/>
    <w:rsid w:val="00323AA5"/>
    <w:rsid w:val="003242E4"/>
    <w:rsid w:val="0032468D"/>
    <w:rsid w:val="00324887"/>
    <w:rsid w:val="00324926"/>
    <w:rsid w:val="00324B25"/>
    <w:rsid w:val="00324BF2"/>
    <w:rsid w:val="0032522F"/>
    <w:rsid w:val="003253C4"/>
    <w:rsid w:val="003254AB"/>
    <w:rsid w:val="0032550F"/>
    <w:rsid w:val="00325992"/>
    <w:rsid w:val="00325B74"/>
    <w:rsid w:val="0032638F"/>
    <w:rsid w:val="003263EA"/>
    <w:rsid w:val="00326B59"/>
    <w:rsid w:val="00326BD4"/>
    <w:rsid w:val="003272C6"/>
    <w:rsid w:val="00327752"/>
    <w:rsid w:val="00327C7C"/>
    <w:rsid w:val="00327EE9"/>
    <w:rsid w:val="00330009"/>
    <w:rsid w:val="003301E6"/>
    <w:rsid w:val="00330491"/>
    <w:rsid w:val="003309C5"/>
    <w:rsid w:val="003310AB"/>
    <w:rsid w:val="003314D2"/>
    <w:rsid w:val="00331712"/>
    <w:rsid w:val="00331A3F"/>
    <w:rsid w:val="00332191"/>
    <w:rsid w:val="00332720"/>
    <w:rsid w:val="00332EED"/>
    <w:rsid w:val="003334A7"/>
    <w:rsid w:val="003337E8"/>
    <w:rsid w:val="00333A14"/>
    <w:rsid w:val="00333B2A"/>
    <w:rsid w:val="00333EBD"/>
    <w:rsid w:val="00333FD5"/>
    <w:rsid w:val="00334649"/>
    <w:rsid w:val="003350E9"/>
    <w:rsid w:val="003351BA"/>
    <w:rsid w:val="0033520F"/>
    <w:rsid w:val="0033596B"/>
    <w:rsid w:val="00335A93"/>
    <w:rsid w:val="0033650E"/>
    <w:rsid w:val="00336907"/>
    <w:rsid w:val="003369DF"/>
    <w:rsid w:val="00336AD1"/>
    <w:rsid w:val="00336C71"/>
    <w:rsid w:val="00336D96"/>
    <w:rsid w:val="00336DFC"/>
    <w:rsid w:val="00337230"/>
    <w:rsid w:val="003377D0"/>
    <w:rsid w:val="00337D75"/>
    <w:rsid w:val="00340020"/>
    <w:rsid w:val="00340962"/>
    <w:rsid w:val="00340AFD"/>
    <w:rsid w:val="00341162"/>
    <w:rsid w:val="00341866"/>
    <w:rsid w:val="00341DAF"/>
    <w:rsid w:val="00342181"/>
    <w:rsid w:val="0034287A"/>
    <w:rsid w:val="00342B37"/>
    <w:rsid w:val="00343560"/>
    <w:rsid w:val="00343A20"/>
    <w:rsid w:val="0034402B"/>
    <w:rsid w:val="0034449E"/>
    <w:rsid w:val="003449F4"/>
    <w:rsid w:val="00344A8A"/>
    <w:rsid w:val="00344D46"/>
    <w:rsid w:val="00345337"/>
    <w:rsid w:val="00346497"/>
    <w:rsid w:val="003465A5"/>
    <w:rsid w:val="00346817"/>
    <w:rsid w:val="00347027"/>
    <w:rsid w:val="00347440"/>
    <w:rsid w:val="003475EA"/>
    <w:rsid w:val="00347A27"/>
    <w:rsid w:val="00347CD4"/>
    <w:rsid w:val="00347E2E"/>
    <w:rsid w:val="00350714"/>
    <w:rsid w:val="00350A55"/>
    <w:rsid w:val="00350DF8"/>
    <w:rsid w:val="00351357"/>
    <w:rsid w:val="00351A8A"/>
    <w:rsid w:val="0035266A"/>
    <w:rsid w:val="0035279C"/>
    <w:rsid w:val="003535D2"/>
    <w:rsid w:val="0035384D"/>
    <w:rsid w:val="00353C0B"/>
    <w:rsid w:val="00354472"/>
    <w:rsid w:val="00354AE4"/>
    <w:rsid w:val="00354B0A"/>
    <w:rsid w:val="003552AC"/>
    <w:rsid w:val="00355503"/>
    <w:rsid w:val="0035551B"/>
    <w:rsid w:val="003555ED"/>
    <w:rsid w:val="00355911"/>
    <w:rsid w:val="00355BFC"/>
    <w:rsid w:val="00355C24"/>
    <w:rsid w:val="0035636B"/>
    <w:rsid w:val="003564CC"/>
    <w:rsid w:val="00356AF1"/>
    <w:rsid w:val="00357424"/>
    <w:rsid w:val="00357BE9"/>
    <w:rsid w:val="00357C65"/>
    <w:rsid w:val="003601A2"/>
    <w:rsid w:val="00361789"/>
    <w:rsid w:val="0036196D"/>
    <w:rsid w:val="00361A59"/>
    <w:rsid w:val="00362136"/>
    <w:rsid w:val="003627BD"/>
    <w:rsid w:val="00362997"/>
    <w:rsid w:val="00362C59"/>
    <w:rsid w:val="00363000"/>
    <w:rsid w:val="00363040"/>
    <w:rsid w:val="003630B7"/>
    <w:rsid w:val="00363786"/>
    <w:rsid w:val="003638A4"/>
    <w:rsid w:val="003639BF"/>
    <w:rsid w:val="00363C36"/>
    <w:rsid w:val="00363E41"/>
    <w:rsid w:val="00363FD2"/>
    <w:rsid w:val="00364653"/>
    <w:rsid w:val="0036572E"/>
    <w:rsid w:val="00366168"/>
    <w:rsid w:val="003663D9"/>
    <w:rsid w:val="003666BF"/>
    <w:rsid w:val="00366707"/>
    <w:rsid w:val="00366FA9"/>
    <w:rsid w:val="00367B19"/>
    <w:rsid w:val="00367E49"/>
    <w:rsid w:val="003700E6"/>
    <w:rsid w:val="0037017C"/>
    <w:rsid w:val="00370490"/>
    <w:rsid w:val="00371809"/>
    <w:rsid w:val="00371C86"/>
    <w:rsid w:val="0037236C"/>
    <w:rsid w:val="003729DE"/>
    <w:rsid w:val="00372EA2"/>
    <w:rsid w:val="00373461"/>
    <w:rsid w:val="003735D3"/>
    <w:rsid w:val="003736AB"/>
    <w:rsid w:val="0037386D"/>
    <w:rsid w:val="00373956"/>
    <w:rsid w:val="00374153"/>
    <w:rsid w:val="00374671"/>
    <w:rsid w:val="003750E0"/>
    <w:rsid w:val="00375AF1"/>
    <w:rsid w:val="00375C2F"/>
    <w:rsid w:val="00375FC5"/>
    <w:rsid w:val="003769BA"/>
    <w:rsid w:val="00377871"/>
    <w:rsid w:val="003778B2"/>
    <w:rsid w:val="00377E58"/>
    <w:rsid w:val="003805E3"/>
    <w:rsid w:val="00380618"/>
    <w:rsid w:val="0038062E"/>
    <w:rsid w:val="003806D7"/>
    <w:rsid w:val="003807F7"/>
    <w:rsid w:val="00380820"/>
    <w:rsid w:val="00381610"/>
    <w:rsid w:val="0038197F"/>
    <w:rsid w:val="00381C9E"/>
    <w:rsid w:val="00381CA8"/>
    <w:rsid w:val="00382106"/>
    <w:rsid w:val="00382657"/>
    <w:rsid w:val="00382708"/>
    <w:rsid w:val="00382B82"/>
    <w:rsid w:val="003844BF"/>
    <w:rsid w:val="003854D5"/>
    <w:rsid w:val="0038552A"/>
    <w:rsid w:val="003859EA"/>
    <w:rsid w:val="0038709E"/>
    <w:rsid w:val="00387D30"/>
    <w:rsid w:val="00391753"/>
    <w:rsid w:val="00391C7F"/>
    <w:rsid w:val="00391EF0"/>
    <w:rsid w:val="00392454"/>
    <w:rsid w:val="00392C85"/>
    <w:rsid w:val="00392FD8"/>
    <w:rsid w:val="00393E11"/>
    <w:rsid w:val="00394475"/>
    <w:rsid w:val="003948EA"/>
    <w:rsid w:val="0039517A"/>
    <w:rsid w:val="003954FE"/>
    <w:rsid w:val="00395B51"/>
    <w:rsid w:val="00396796"/>
    <w:rsid w:val="00396EC6"/>
    <w:rsid w:val="003970BA"/>
    <w:rsid w:val="0039746C"/>
    <w:rsid w:val="00397C0E"/>
    <w:rsid w:val="00397DC6"/>
    <w:rsid w:val="003A0E82"/>
    <w:rsid w:val="003A0FAC"/>
    <w:rsid w:val="003A184D"/>
    <w:rsid w:val="003A1FB7"/>
    <w:rsid w:val="003A2773"/>
    <w:rsid w:val="003A371E"/>
    <w:rsid w:val="003A3747"/>
    <w:rsid w:val="003A3957"/>
    <w:rsid w:val="003A3E29"/>
    <w:rsid w:val="003A439B"/>
    <w:rsid w:val="003A462A"/>
    <w:rsid w:val="003A595F"/>
    <w:rsid w:val="003A5EEC"/>
    <w:rsid w:val="003A60CD"/>
    <w:rsid w:val="003A6B7A"/>
    <w:rsid w:val="003A73C8"/>
    <w:rsid w:val="003A748F"/>
    <w:rsid w:val="003A79AE"/>
    <w:rsid w:val="003A79BC"/>
    <w:rsid w:val="003A7CA3"/>
    <w:rsid w:val="003A7E96"/>
    <w:rsid w:val="003B00B6"/>
    <w:rsid w:val="003B01C4"/>
    <w:rsid w:val="003B0BB0"/>
    <w:rsid w:val="003B11EE"/>
    <w:rsid w:val="003B15F8"/>
    <w:rsid w:val="003B166F"/>
    <w:rsid w:val="003B171C"/>
    <w:rsid w:val="003B1B60"/>
    <w:rsid w:val="003B207E"/>
    <w:rsid w:val="003B230B"/>
    <w:rsid w:val="003B23BC"/>
    <w:rsid w:val="003B28BA"/>
    <w:rsid w:val="003B28F6"/>
    <w:rsid w:val="003B2DB5"/>
    <w:rsid w:val="003B2F05"/>
    <w:rsid w:val="003B3966"/>
    <w:rsid w:val="003B39B7"/>
    <w:rsid w:val="003B4594"/>
    <w:rsid w:val="003B4754"/>
    <w:rsid w:val="003B4EB0"/>
    <w:rsid w:val="003B5094"/>
    <w:rsid w:val="003B5F6A"/>
    <w:rsid w:val="003B6B7F"/>
    <w:rsid w:val="003B76A2"/>
    <w:rsid w:val="003B7820"/>
    <w:rsid w:val="003B7EA5"/>
    <w:rsid w:val="003C01A4"/>
    <w:rsid w:val="003C0219"/>
    <w:rsid w:val="003C02BC"/>
    <w:rsid w:val="003C0941"/>
    <w:rsid w:val="003C0C12"/>
    <w:rsid w:val="003C0E6B"/>
    <w:rsid w:val="003C16EE"/>
    <w:rsid w:val="003C1C87"/>
    <w:rsid w:val="003C1D4D"/>
    <w:rsid w:val="003C2927"/>
    <w:rsid w:val="003C2C85"/>
    <w:rsid w:val="003C2F61"/>
    <w:rsid w:val="003C345E"/>
    <w:rsid w:val="003C4409"/>
    <w:rsid w:val="003C4997"/>
    <w:rsid w:val="003C4DA5"/>
    <w:rsid w:val="003C502A"/>
    <w:rsid w:val="003C5666"/>
    <w:rsid w:val="003C60CC"/>
    <w:rsid w:val="003C64F4"/>
    <w:rsid w:val="003C68E6"/>
    <w:rsid w:val="003C6D4E"/>
    <w:rsid w:val="003C724B"/>
    <w:rsid w:val="003C73DB"/>
    <w:rsid w:val="003D0185"/>
    <w:rsid w:val="003D02CB"/>
    <w:rsid w:val="003D0382"/>
    <w:rsid w:val="003D069C"/>
    <w:rsid w:val="003D18F6"/>
    <w:rsid w:val="003D191E"/>
    <w:rsid w:val="003D1A19"/>
    <w:rsid w:val="003D2027"/>
    <w:rsid w:val="003D22A5"/>
    <w:rsid w:val="003D23A4"/>
    <w:rsid w:val="003D3414"/>
    <w:rsid w:val="003D3426"/>
    <w:rsid w:val="003D35DA"/>
    <w:rsid w:val="003D3654"/>
    <w:rsid w:val="003D3721"/>
    <w:rsid w:val="003D413A"/>
    <w:rsid w:val="003D622C"/>
    <w:rsid w:val="003D6616"/>
    <w:rsid w:val="003D6722"/>
    <w:rsid w:val="003D7428"/>
    <w:rsid w:val="003D77F2"/>
    <w:rsid w:val="003D78CC"/>
    <w:rsid w:val="003D7964"/>
    <w:rsid w:val="003D7D01"/>
    <w:rsid w:val="003D7ED8"/>
    <w:rsid w:val="003E0003"/>
    <w:rsid w:val="003E0099"/>
    <w:rsid w:val="003E08C7"/>
    <w:rsid w:val="003E122B"/>
    <w:rsid w:val="003E1427"/>
    <w:rsid w:val="003E1519"/>
    <w:rsid w:val="003E1A72"/>
    <w:rsid w:val="003E1B66"/>
    <w:rsid w:val="003E1F4A"/>
    <w:rsid w:val="003E214C"/>
    <w:rsid w:val="003E27B8"/>
    <w:rsid w:val="003E2880"/>
    <w:rsid w:val="003E28FB"/>
    <w:rsid w:val="003E2A00"/>
    <w:rsid w:val="003E382C"/>
    <w:rsid w:val="003E3D00"/>
    <w:rsid w:val="003E3D33"/>
    <w:rsid w:val="003E4487"/>
    <w:rsid w:val="003E4531"/>
    <w:rsid w:val="003E4771"/>
    <w:rsid w:val="003E52E3"/>
    <w:rsid w:val="003E541C"/>
    <w:rsid w:val="003E54A8"/>
    <w:rsid w:val="003E5833"/>
    <w:rsid w:val="003E5DA8"/>
    <w:rsid w:val="003E6B54"/>
    <w:rsid w:val="003E6C9F"/>
    <w:rsid w:val="003E7109"/>
    <w:rsid w:val="003E77DC"/>
    <w:rsid w:val="003E7BC1"/>
    <w:rsid w:val="003F0453"/>
    <w:rsid w:val="003F0B6B"/>
    <w:rsid w:val="003F0C9F"/>
    <w:rsid w:val="003F144A"/>
    <w:rsid w:val="003F1555"/>
    <w:rsid w:val="003F1B02"/>
    <w:rsid w:val="003F1EFE"/>
    <w:rsid w:val="003F2240"/>
    <w:rsid w:val="003F2460"/>
    <w:rsid w:val="003F2D27"/>
    <w:rsid w:val="003F2E7B"/>
    <w:rsid w:val="003F36F0"/>
    <w:rsid w:val="003F3CD0"/>
    <w:rsid w:val="003F3CD5"/>
    <w:rsid w:val="003F4473"/>
    <w:rsid w:val="003F4CF5"/>
    <w:rsid w:val="003F4E31"/>
    <w:rsid w:val="003F51EE"/>
    <w:rsid w:val="003F574E"/>
    <w:rsid w:val="003F60D6"/>
    <w:rsid w:val="003F68E9"/>
    <w:rsid w:val="003F728C"/>
    <w:rsid w:val="003F7E15"/>
    <w:rsid w:val="003F7FDA"/>
    <w:rsid w:val="00400E65"/>
    <w:rsid w:val="004010AB"/>
    <w:rsid w:val="004013AD"/>
    <w:rsid w:val="00401E20"/>
    <w:rsid w:val="004021C0"/>
    <w:rsid w:val="004024F9"/>
    <w:rsid w:val="004026DC"/>
    <w:rsid w:val="004028CE"/>
    <w:rsid w:val="00402BB9"/>
    <w:rsid w:val="0040313D"/>
    <w:rsid w:val="004043FA"/>
    <w:rsid w:val="00404970"/>
    <w:rsid w:val="00405181"/>
    <w:rsid w:val="0040567F"/>
    <w:rsid w:val="00405727"/>
    <w:rsid w:val="00405873"/>
    <w:rsid w:val="00405F09"/>
    <w:rsid w:val="004066F4"/>
    <w:rsid w:val="00406A32"/>
    <w:rsid w:val="0040760B"/>
    <w:rsid w:val="00407670"/>
    <w:rsid w:val="00410117"/>
    <w:rsid w:val="00410C32"/>
    <w:rsid w:val="00411237"/>
    <w:rsid w:val="00411557"/>
    <w:rsid w:val="00411994"/>
    <w:rsid w:val="00411D74"/>
    <w:rsid w:val="00411DDE"/>
    <w:rsid w:val="00411F84"/>
    <w:rsid w:val="00412069"/>
    <w:rsid w:val="004121A1"/>
    <w:rsid w:val="00412477"/>
    <w:rsid w:val="00412570"/>
    <w:rsid w:val="004127A2"/>
    <w:rsid w:val="0041280A"/>
    <w:rsid w:val="00412A9D"/>
    <w:rsid w:val="00412CB1"/>
    <w:rsid w:val="004133A5"/>
    <w:rsid w:val="00413D45"/>
    <w:rsid w:val="00414197"/>
    <w:rsid w:val="004144D7"/>
    <w:rsid w:val="00414D68"/>
    <w:rsid w:val="00414EE1"/>
    <w:rsid w:val="00414FD9"/>
    <w:rsid w:val="00415773"/>
    <w:rsid w:val="00415CAE"/>
    <w:rsid w:val="00415EE7"/>
    <w:rsid w:val="00415FD6"/>
    <w:rsid w:val="004160FA"/>
    <w:rsid w:val="00416203"/>
    <w:rsid w:val="0041669E"/>
    <w:rsid w:val="00416ACA"/>
    <w:rsid w:val="00416C56"/>
    <w:rsid w:val="00417294"/>
    <w:rsid w:val="004176B8"/>
    <w:rsid w:val="00417B99"/>
    <w:rsid w:val="00417CE0"/>
    <w:rsid w:val="004209D5"/>
    <w:rsid w:val="00420B09"/>
    <w:rsid w:val="00420FAF"/>
    <w:rsid w:val="00421184"/>
    <w:rsid w:val="004212C1"/>
    <w:rsid w:val="004214B7"/>
    <w:rsid w:val="00421510"/>
    <w:rsid w:val="00421892"/>
    <w:rsid w:val="00421FB5"/>
    <w:rsid w:val="004226ED"/>
    <w:rsid w:val="00422AF4"/>
    <w:rsid w:val="004235F4"/>
    <w:rsid w:val="004236C9"/>
    <w:rsid w:val="00423CF3"/>
    <w:rsid w:val="00423E18"/>
    <w:rsid w:val="004245E4"/>
    <w:rsid w:val="00424A8A"/>
    <w:rsid w:val="00424B7C"/>
    <w:rsid w:val="0042500C"/>
    <w:rsid w:val="00425443"/>
    <w:rsid w:val="00425514"/>
    <w:rsid w:val="004256BD"/>
    <w:rsid w:val="00425863"/>
    <w:rsid w:val="00425A1B"/>
    <w:rsid w:val="00425D02"/>
    <w:rsid w:val="00425EDC"/>
    <w:rsid w:val="00426C3E"/>
    <w:rsid w:val="00426CF3"/>
    <w:rsid w:val="004275CD"/>
    <w:rsid w:val="00427974"/>
    <w:rsid w:val="00427E74"/>
    <w:rsid w:val="00427FEB"/>
    <w:rsid w:val="00427FF2"/>
    <w:rsid w:val="004305C0"/>
    <w:rsid w:val="0043060F"/>
    <w:rsid w:val="00430B20"/>
    <w:rsid w:val="00430B6C"/>
    <w:rsid w:val="00431E2E"/>
    <w:rsid w:val="0043227C"/>
    <w:rsid w:val="00433075"/>
    <w:rsid w:val="004330B1"/>
    <w:rsid w:val="00433530"/>
    <w:rsid w:val="004335C0"/>
    <w:rsid w:val="00433B34"/>
    <w:rsid w:val="00434374"/>
    <w:rsid w:val="00434D9F"/>
    <w:rsid w:val="00435121"/>
    <w:rsid w:val="00435715"/>
    <w:rsid w:val="0043571B"/>
    <w:rsid w:val="00435EE0"/>
    <w:rsid w:val="00435F29"/>
    <w:rsid w:val="0043610C"/>
    <w:rsid w:val="004366FF"/>
    <w:rsid w:val="00437D83"/>
    <w:rsid w:val="0044002C"/>
    <w:rsid w:val="004401DD"/>
    <w:rsid w:val="00440344"/>
    <w:rsid w:val="00440FF1"/>
    <w:rsid w:val="00441264"/>
    <w:rsid w:val="00441417"/>
    <w:rsid w:val="00441B0F"/>
    <w:rsid w:val="00441F06"/>
    <w:rsid w:val="004425C6"/>
    <w:rsid w:val="00443D5D"/>
    <w:rsid w:val="004451AE"/>
    <w:rsid w:val="00445CBA"/>
    <w:rsid w:val="004463CB"/>
    <w:rsid w:val="004466F7"/>
    <w:rsid w:val="00446858"/>
    <w:rsid w:val="00447304"/>
    <w:rsid w:val="0044764B"/>
    <w:rsid w:val="004476F6"/>
    <w:rsid w:val="00447CDD"/>
    <w:rsid w:val="00450127"/>
    <w:rsid w:val="0045075F"/>
    <w:rsid w:val="00450D03"/>
    <w:rsid w:val="004516AD"/>
    <w:rsid w:val="00451ACB"/>
    <w:rsid w:val="00451E84"/>
    <w:rsid w:val="00451EA3"/>
    <w:rsid w:val="00451F01"/>
    <w:rsid w:val="0045423A"/>
    <w:rsid w:val="00454660"/>
    <w:rsid w:val="004546A7"/>
    <w:rsid w:val="00454831"/>
    <w:rsid w:val="004548DF"/>
    <w:rsid w:val="0045574E"/>
    <w:rsid w:val="00456CC0"/>
    <w:rsid w:val="00457933"/>
    <w:rsid w:val="00457C78"/>
    <w:rsid w:val="0046066B"/>
    <w:rsid w:val="0046068D"/>
    <w:rsid w:val="00460735"/>
    <w:rsid w:val="00460AD5"/>
    <w:rsid w:val="00460EB8"/>
    <w:rsid w:val="00461090"/>
    <w:rsid w:val="004610C7"/>
    <w:rsid w:val="00461578"/>
    <w:rsid w:val="00461991"/>
    <w:rsid w:val="00461ACB"/>
    <w:rsid w:val="00461C43"/>
    <w:rsid w:val="00462125"/>
    <w:rsid w:val="00462FF3"/>
    <w:rsid w:val="00463216"/>
    <w:rsid w:val="0046334D"/>
    <w:rsid w:val="00463911"/>
    <w:rsid w:val="00463C95"/>
    <w:rsid w:val="00463E1C"/>
    <w:rsid w:val="00464052"/>
    <w:rsid w:val="00464846"/>
    <w:rsid w:val="00465153"/>
    <w:rsid w:val="00465568"/>
    <w:rsid w:val="00465602"/>
    <w:rsid w:val="004656A4"/>
    <w:rsid w:val="004656CD"/>
    <w:rsid w:val="004663EB"/>
    <w:rsid w:val="00466831"/>
    <w:rsid w:val="00466A4A"/>
    <w:rsid w:val="00466AFD"/>
    <w:rsid w:val="004674A3"/>
    <w:rsid w:val="00470696"/>
    <w:rsid w:val="004713A5"/>
    <w:rsid w:val="0047162F"/>
    <w:rsid w:val="00472177"/>
    <w:rsid w:val="00472234"/>
    <w:rsid w:val="004724C9"/>
    <w:rsid w:val="00472585"/>
    <w:rsid w:val="00472826"/>
    <w:rsid w:val="00473EAA"/>
    <w:rsid w:val="00474130"/>
    <w:rsid w:val="00474EDD"/>
    <w:rsid w:val="00475933"/>
    <w:rsid w:val="00475A6C"/>
    <w:rsid w:val="004764AF"/>
    <w:rsid w:val="00476D04"/>
    <w:rsid w:val="00476F58"/>
    <w:rsid w:val="00477233"/>
    <w:rsid w:val="0047775E"/>
    <w:rsid w:val="00477AAE"/>
    <w:rsid w:val="00477AF6"/>
    <w:rsid w:val="00477B3B"/>
    <w:rsid w:val="00477BCB"/>
    <w:rsid w:val="004801A7"/>
    <w:rsid w:val="004806DC"/>
    <w:rsid w:val="00480E47"/>
    <w:rsid w:val="004813B4"/>
    <w:rsid w:val="00481666"/>
    <w:rsid w:val="0048181B"/>
    <w:rsid w:val="00481F2B"/>
    <w:rsid w:val="004820C5"/>
    <w:rsid w:val="00482198"/>
    <w:rsid w:val="004823D8"/>
    <w:rsid w:val="00482823"/>
    <w:rsid w:val="00482F20"/>
    <w:rsid w:val="00483196"/>
    <w:rsid w:val="0048340F"/>
    <w:rsid w:val="0048423C"/>
    <w:rsid w:val="00484449"/>
    <w:rsid w:val="004852CE"/>
    <w:rsid w:val="0048540C"/>
    <w:rsid w:val="00485F92"/>
    <w:rsid w:val="004860BD"/>
    <w:rsid w:val="004866E1"/>
    <w:rsid w:val="00486C72"/>
    <w:rsid w:val="00487D3A"/>
    <w:rsid w:val="00490954"/>
    <w:rsid w:val="0049102F"/>
    <w:rsid w:val="0049277A"/>
    <w:rsid w:val="00492B38"/>
    <w:rsid w:val="00492FE4"/>
    <w:rsid w:val="00493035"/>
    <w:rsid w:val="0049330F"/>
    <w:rsid w:val="00493321"/>
    <w:rsid w:val="004933B4"/>
    <w:rsid w:val="004936DE"/>
    <w:rsid w:val="004949B0"/>
    <w:rsid w:val="00494A50"/>
    <w:rsid w:val="0049544E"/>
    <w:rsid w:val="00495670"/>
    <w:rsid w:val="0049567B"/>
    <w:rsid w:val="0049604B"/>
    <w:rsid w:val="00496666"/>
    <w:rsid w:val="00496AC9"/>
    <w:rsid w:val="004A040E"/>
    <w:rsid w:val="004A042D"/>
    <w:rsid w:val="004A11E0"/>
    <w:rsid w:val="004A1953"/>
    <w:rsid w:val="004A1BD5"/>
    <w:rsid w:val="004A1FC5"/>
    <w:rsid w:val="004A2158"/>
    <w:rsid w:val="004A29A5"/>
    <w:rsid w:val="004A3225"/>
    <w:rsid w:val="004A374A"/>
    <w:rsid w:val="004A395B"/>
    <w:rsid w:val="004A3C59"/>
    <w:rsid w:val="004A3FE2"/>
    <w:rsid w:val="004A4195"/>
    <w:rsid w:val="004A4531"/>
    <w:rsid w:val="004A480D"/>
    <w:rsid w:val="004A4D50"/>
    <w:rsid w:val="004A4D76"/>
    <w:rsid w:val="004A5851"/>
    <w:rsid w:val="004A5A91"/>
    <w:rsid w:val="004A5B0F"/>
    <w:rsid w:val="004A5B5A"/>
    <w:rsid w:val="004A5CF1"/>
    <w:rsid w:val="004A66E0"/>
    <w:rsid w:val="004A7AAE"/>
    <w:rsid w:val="004A7D49"/>
    <w:rsid w:val="004A7E52"/>
    <w:rsid w:val="004A7F21"/>
    <w:rsid w:val="004B08DB"/>
    <w:rsid w:val="004B1422"/>
    <w:rsid w:val="004B1DF2"/>
    <w:rsid w:val="004B20DD"/>
    <w:rsid w:val="004B24EB"/>
    <w:rsid w:val="004B28C9"/>
    <w:rsid w:val="004B29AC"/>
    <w:rsid w:val="004B3732"/>
    <w:rsid w:val="004B3C8B"/>
    <w:rsid w:val="004B40CF"/>
    <w:rsid w:val="004B44A9"/>
    <w:rsid w:val="004B4509"/>
    <w:rsid w:val="004B452A"/>
    <w:rsid w:val="004B45C3"/>
    <w:rsid w:val="004B4871"/>
    <w:rsid w:val="004B4ADF"/>
    <w:rsid w:val="004B4C00"/>
    <w:rsid w:val="004B4E06"/>
    <w:rsid w:val="004B5154"/>
    <w:rsid w:val="004B5493"/>
    <w:rsid w:val="004B5914"/>
    <w:rsid w:val="004B6433"/>
    <w:rsid w:val="004B6C77"/>
    <w:rsid w:val="004B6D0A"/>
    <w:rsid w:val="004B6DA4"/>
    <w:rsid w:val="004B794C"/>
    <w:rsid w:val="004B7995"/>
    <w:rsid w:val="004C02B3"/>
    <w:rsid w:val="004C098E"/>
    <w:rsid w:val="004C0BBE"/>
    <w:rsid w:val="004C0E2F"/>
    <w:rsid w:val="004C16D4"/>
    <w:rsid w:val="004C1705"/>
    <w:rsid w:val="004C1757"/>
    <w:rsid w:val="004C222E"/>
    <w:rsid w:val="004C2561"/>
    <w:rsid w:val="004C25B4"/>
    <w:rsid w:val="004C2806"/>
    <w:rsid w:val="004C3A7A"/>
    <w:rsid w:val="004C3ADD"/>
    <w:rsid w:val="004C428E"/>
    <w:rsid w:val="004C441A"/>
    <w:rsid w:val="004C4775"/>
    <w:rsid w:val="004C483D"/>
    <w:rsid w:val="004C48A9"/>
    <w:rsid w:val="004C49B3"/>
    <w:rsid w:val="004C4D05"/>
    <w:rsid w:val="004C4FF6"/>
    <w:rsid w:val="004C590B"/>
    <w:rsid w:val="004C6017"/>
    <w:rsid w:val="004C63C7"/>
    <w:rsid w:val="004C6D39"/>
    <w:rsid w:val="004C6D98"/>
    <w:rsid w:val="004C7217"/>
    <w:rsid w:val="004C7743"/>
    <w:rsid w:val="004C77A7"/>
    <w:rsid w:val="004D0309"/>
    <w:rsid w:val="004D039E"/>
    <w:rsid w:val="004D04A3"/>
    <w:rsid w:val="004D0C9F"/>
    <w:rsid w:val="004D15FD"/>
    <w:rsid w:val="004D1A0A"/>
    <w:rsid w:val="004D1BA1"/>
    <w:rsid w:val="004D1BE5"/>
    <w:rsid w:val="004D2369"/>
    <w:rsid w:val="004D2485"/>
    <w:rsid w:val="004D25D5"/>
    <w:rsid w:val="004D29F2"/>
    <w:rsid w:val="004D33B1"/>
    <w:rsid w:val="004D3A57"/>
    <w:rsid w:val="004D47FF"/>
    <w:rsid w:val="004D4D35"/>
    <w:rsid w:val="004D5048"/>
    <w:rsid w:val="004D518F"/>
    <w:rsid w:val="004D54D7"/>
    <w:rsid w:val="004D5BB7"/>
    <w:rsid w:val="004D6053"/>
    <w:rsid w:val="004D6FA4"/>
    <w:rsid w:val="004D7C23"/>
    <w:rsid w:val="004E01C6"/>
    <w:rsid w:val="004E0212"/>
    <w:rsid w:val="004E0ADC"/>
    <w:rsid w:val="004E0FB1"/>
    <w:rsid w:val="004E1043"/>
    <w:rsid w:val="004E1CAA"/>
    <w:rsid w:val="004E1DCA"/>
    <w:rsid w:val="004E21B4"/>
    <w:rsid w:val="004E252B"/>
    <w:rsid w:val="004E2861"/>
    <w:rsid w:val="004E2A85"/>
    <w:rsid w:val="004E304A"/>
    <w:rsid w:val="004E3F72"/>
    <w:rsid w:val="004E4A78"/>
    <w:rsid w:val="004E551E"/>
    <w:rsid w:val="004E584D"/>
    <w:rsid w:val="004E58F6"/>
    <w:rsid w:val="004E5E37"/>
    <w:rsid w:val="004E5E4C"/>
    <w:rsid w:val="004E5F79"/>
    <w:rsid w:val="004E623E"/>
    <w:rsid w:val="004E6589"/>
    <w:rsid w:val="004E6CF9"/>
    <w:rsid w:val="004E7152"/>
    <w:rsid w:val="004E734E"/>
    <w:rsid w:val="004E7626"/>
    <w:rsid w:val="004E7EC0"/>
    <w:rsid w:val="004E7F48"/>
    <w:rsid w:val="004F014E"/>
    <w:rsid w:val="004F023B"/>
    <w:rsid w:val="004F0BC6"/>
    <w:rsid w:val="004F1123"/>
    <w:rsid w:val="004F12D3"/>
    <w:rsid w:val="004F1715"/>
    <w:rsid w:val="004F17DA"/>
    <w:rsid w:val="004F355B"/>
    <w:rsid w:val="004F3BD2"/>
    <w:rsid w:val="004F4372"/>
    <w:rsid w:val="004F43E0"/>
    <w:rsid w:val="004F45EB"/>
    <w:rsid w:val="004F5079"/>
    <w:rsid w:val="004F521B"/>
    <w:rsid w:val="004F52BB"/>
    <w:rsid w:val="004F536B"/>
    <w:rsid w:val="004F5582"/>
    <w:rsid w:val="004F56B1"/>
    <w:rsid w:val="004F59B8"/>
    <w:rsid w:val="004F62A7"/>
    <w:rsid w:val="004F62F9"/>
    <w:rsid w:val="004F66B3"/>
    <w:rsid w:val="004F6FA7"/>
    <w:rsid w:val="004F72DA"/>
    <w:rsid w:val="004F7352"/>
    <w:rsid w:val="004F7889"/>
    <w:rsid w:val="004F7F60"/>
    <w:rsid w:val="0050015C"/>
    <w:rsid w:val="00500418"/>
    <w:rsid w:val="00500CCF"/>
    <w:rsid w:val="00500E62"/>
    <w:rsid w:val="005010DE"/>
    <w:rsid w:val="005011FD"/>
    <w:rsid w:val="005012C2"/>
    <w:rsid w:val="00501450"/>
    <w:rsid w:val="0050164B"/>
    <w:rsid w:val="00501AA5"/>
    <w:rsid w:val="00502958"/>
    <w:rsid w:val="00502BD2"/>
    <w:rsid w:val="00502DA4"/>
    <w:rsid w:val="00503790"/>
    <w:rsid w:val="005038F3"/>
    <w:rsid w:val="00503C13"/>
    <w:rsid w:val="00503F83"/>
    <w:rsid w:val="0050421C"/>
    <w:rsid w:val="005048FF"/>
    <w:rsid w:val="00504A9B"/>
    <w:rsid w:val="00504E9A"/>
    <w:rsid w:val="00504F83"/>
    <w:rsid w:val="005059B9"/>
    <w:rsid w:val="00505F64"/>
    <w:rsid w:val="00506DCD"/>
    <w:rsid w:val="00507325"/>
    <w:rsid w:val="00507583"/>
    <w:rsid w:val="00507C56"/>
    <w:rsid w:val="00507DDA"/>
    <w:rsid w:val="00507F13"/>
    <w:rsid w:val="0051010E"/>
    <w:rsid w:val="005109D4"/>
    <w:rsid w:val="00510CF4"/>
    <w:rsid w:val="00510F8A"/>
    <w:rsid w:val="0051160A"/>
    <w:rsid w:val="005118BA"/>
    <w:rsid w:val="00511C56"/>
    <w:rsid w:val="00511CAA"/>
    <w:rsid w:val="00512385"/>
    <w:rsid w:val="00512A4D"/>
    <w:rsid w:val="00512D87"/>
    <w:rsid w:val="005130DA"/>
    <w:rsid w:val="00513DDA"/>
    <w:rsid w:val="00513E19"/>
    <w:rsid w:val="00514650"/>
    <w:rsid w:val="005148B4"/>
    <w:rsid w:val="00514B29"/>
    <w:rsid w:val="00514E8C"/>
    <w:rsid w:val="005152B1"/>
    <w:rsid w:val="005152F0"/>
    <w:rsid w:val="0051532D"/>
    <w:rsid w:val="00515856"/>
    <w:rsid w:val="005163E6"/>
    <w:rsid w:val="00516616"/>
    <w:rsid w:val="00516D23"/>
    <w:rsid w:val="0051714F"/>
    <w:rsid w:val="005172EC"/>
    <w:rsid w:val="0051740D"/>
    <w:rsid w:val="005178CE"/>
    <w:rsid w:val="00521356"/>
    <w:rsid w:val="005215C4"/>
    <w:rsid w:val="00521CAB"/>
    <w:rsid w:val="00521DFB"/>
    <w:rsid w:val="005224EF"/>
    <w:rsid w:val="00522654"/>
    <w:rsid w:val="00522835"/>
    <w:rsid w:val="0052293D"/>
    <w:rsid w:val="00522AF4"/>
    <w:rsid w:val="00523499"/>
    <w:rsid w:val="00523669"/>
    <w:rsid w:val="00523BC7"/>
    <w:rsid w:val="00523C08"/>
    <w:rsid w:val="00523C10"/>
    <w:rsid w:val="00523E23"/>
    <w:rsid w:val="005245D5"/>
    <w:rsid w:val="005247FE"/>
    <w:rsid w:val="00524889"/>
    <w:rsid w:val="0052501F"/>
    <w:rsid w:val="0052575D"/>
    <w:rsid w:val="005259FC"/>
    <w:rsid w:val="00525A53"/>
    <w:rsid w:val="005260F1"/>
    <w:rsid w:val="00526569"/>
    <w:rsid w:val="00526726"/>
    <w:rsid w:val="00526F91"/>
    <w:rsid w:val="005271F0"/>
    <w:rsid w:val="00527256"/>
    <w:rsid w:val="00527934"/>
    <w:rsid w:val="00527B57"/>
    <w:rsid w:val="00527C8D"/>
    <w:rsid w:val="00527C9C"/>
    <w:rsid w:val="00530AC4"/>
    <w:rsid w:val="00531F7B"/>
    <w:rsid w:val="00532064"/>
    <w:rsid w:val="0053268A"/>
    <w:rsid w:val="0053309E"/>
    <w:rsid w:val="00533169"/>
    <w:rsid w:val="00533194"/>
    <w:rsid w:val="005332C8"/>
    <w:rsid w:val="0053350B"/>
    <w:rsid w:val="00534021"/>
    <w:rsid w:val="0053416D"/>
    <w:rsid w:val="0053464E"/>
    <w:rsid w:val="00534CBD"/>
    <w:rsid w:val="005352C8"/>
    <w:rsid w:val="005354C1"/>
    <w:rsid w:val="00535675"/>
    <w:rsid w:val="00535F99"/>
    <w:rsid w:val="005361DE"/>
    <w:rsid w:val="00536356"/>
    <w:rsid w:val="00536CBB"/>
    <w:rsid w:val="00536DDD"/>
    <w:rsid w:val="00537033"/>
    <w:rsid w:val="00540690"/>
    <w:rsid w:val="00540A37"/>
    <w:rsid w:val="00540B49"/>
    <w:rsid w:val="005418DB"/>
    <w:rsid w:val="0054196C"/>
    <w:rsid w:val="0054230B"/>
    <w:rsid w:val="00542D86"/>
    <w:rsid w:val="00543070"/>
    <w:rsid w:val="005434EA"/>
    <w:rsid w:val="0054418C"/>
    <w:rsid w:val="00544ABA"/>
    <w:rsid w:val="00544E19"/>
    <w:rsid w:val="005455BF"/>
    <w:rsid w:val="00545D55"/>
    <w:rsid w:val="005461AB"/>
    <w:rsid w:val="0054647C"/>
    <w:rsid w:val="00546718"/>
    <w:rsid w:val="00546C6A"/>
    <w:rsid w:val="00546FBA"/>
    <w:rsid w:val="00547F04"/>
    <w:rsid w:val="00550924"/>
    <w:rsid w:val="00550D63"/>
    <w:rsid w:val="00550EF1"/>
    <w:rsid w:val="00551075"/>
    <w:rsid w:val="005513C8"/>
    <w:rsid w:val="00551FFE"/>
    <w:rsid w:val="00552146"/>
    <w:rsid w:val="0055236E"/>
    <w:rsid w:val="0055352C"/>
    <w:rsid w:val="005538A6"/>
    <w:rsid w:val="0055440D"/>
    <w:rsid w:val="0055475D"/>
    <w:rsid w:val="00554F94"/>
    <w:rsid w:val="00555161"/>
    <w:rsid w:val="00555A59"/>
    <w:rsid w:val="00555DE6"/>
    <w:rsid w:val="00555EB3"/>
    <w:rsid w:val="005565EC"/>
    <w:rsid w:val="005567F6"/>
    <w:rsid w:val="00556E29"/>
    <w:rsid w:val="00557474"/>
    <w:rsid w:val="00557DAA"/>
    <w:rsid w:val="00557DAD"/>
    <w:rsid w:val="00561138"/>
    <w:rsid w:val="00561699"/>
    <w:rsid w:val="0056194F"/>
    <w:rsid w:val="005619E1"/>
    <w:rsid w:val="00562629"/>
    <w:rsid w:val="005628FE"/>
    <w:rsid w:val="0056364B"/>
    <w:rsid w:val="00563D49"/>
    <w:rsid w:val="00564191"/>
    <w:rsid w:val="00564557"/>
    <w:rsid w:val="0056458C"/>
    <w:rsid w:val="00564628"/>
    <w:rsid w:val="005648B9"/>
    <w:rsid w:val="00564A3C"/>
    <w:rsid w:val="00564F82"/>
    <w:rsid w:val="00564FF6"/>
    <w:rsid w:val="005653AF"/>
    <w:rsid w:val="00565501"/>
    <w:rsid w:val="00565755"/>
    <w:rsid w:val="0056601E"/>
    <w:rsid w:val="00566406"/>
    <w:rsid w:val="005664A6"/>
    <w:rsid w:val="00566538"/>
    <w:rsid w:val="0056725A"/>
    <w:rsid w:val="0056741F"/>
    <w:rsid w:val="00567647"/>
    <w:rsid w:val="0056781B"/>
    <w:rsid w:val="00567BE2"/>
    <w:rsid w:val="00570102"/>
    <w:rsid w:val="00570505"/>
    <w:rsid w:val="005712E6"/>
    <w:rsid w:val="00572942"/>
    <w:rsid w:val="005730DB"/>
    <w:rsid w:val="00573251"/>
    <w:rsid w:val="005733A8"/>
    <w:rsid w:val="005734F9"/>
    <w:rsid w:val="00573B5B"/>
    <w:rsid w:val="00573F55"/>
    <w:rsid w:val="00574070"/>
    <w:rsid w:val="00575148"/>
    <w:rsid w:val="0057540E"/>
    <w:rsid w:val="005757B6"/>
    <w:rsid w:val="005761E2"/>
    <w:rsid w:val="00576E9F"/>
    <w:rsid w:val="0058000F"/>
    <w:rsid w:val="00580211"/>
    <w:rsid w:val="00580557"/>
    <w:rsid w:val="00580667"/>
    <w:rsid w:val="0058074F"/>
    <w:rsid w:val="00580916"/>
    <w:rsid w:val="00580A76"/>
    <w:rsid w:val="00581042"/>
    <w:rsid w:val="00581703"/>
    <w:rsid w:val="00581B15"/>
    <w:rsid w:val="005821DD"/>
    <w:rsid w:val="00583908"/>
    <w:rsid w:val="00583C9C"/>
    <w:rsid w:val="00584757"/>
    <w:rsid w:val="00584E21"/>
    <w:rsid w:val="0058583D"/>
    <w:rsid w:val="005858AE"/>
    <w:rsid w:val="005859E0"/>
    <w:rsid w:val="0058608B"/>
    <w:rsid w:val="005863C1"/>
    <w:rsid w:val="0058654D"/>
    <w:rsid w:val="00586786"/>
    <w:rsid w:val="00586EE5"/>
    <w:rsid w:val="005871D4"/>
    <w:rsid w:val="00587729"/>
    <w:rsid w:val="00587886"/>
    <w:rsid w:val="00587A66"/>
    <w:rsid w:val="00590147"/>
    <w:rsid w:val="00590BD1"/>
    <w:rsid w:val="00590D26"/>
    <w:rsid w:val="00591276"/>
    <w:rsid w:val="00591490"/>
    <w:rsid w:val="0059151A"/>
    <w:rsid w:val="005916C9"/>
    <w:rsid w:val="00591B2A"/>
    <w:rsid w:val="00591C7E"/>
    <w:rsid w:val="00591DCF"/>
    <w:rsid w:val="005929B4"/>
    <w:rsid w:val="00592A3C"/>
    <w:rsid w:val="005934B4"/>
    <w:rsid w:val="0059367F"/>
    <w:rsid w:val="00593720"/>
    <w:rsid w:val="00593909"/>
    <w:rsid w:val="00593A71"/>
    <w:rsid w:val="00593E26"/>
    <w:rsid w:val="005941E1"/>
    <w:rsid w:val="005943E2"/>
    <w:rsid w:val="005946E1"/>
    <w:rsid w:val="00594B8A"/>
    <w:rsid w:val="00595009"/>
    <w:rsid w:val="005954B7"/>
    <w:rsid w:val="00595A05"/>
    <w:rsid w:val="00595F17"/>
    <w:rsid w:val="00595F3D"/>
    <w:rsid w:val="00595F89"/>
    <w:rsid w:val="005960C7"/>
    <w:rsid w:val="005963FB"/>
    <w:rsid w:val="00596873"/>
    <w:rsid w:val="00596BB3"/>
    <w:rsid w:val="00596BD4"/>
    <w:rsid w:val="00596FA8"/>
    <w:rsid w:val="005971A7"/>
    <w:rsid w:val="00597310"/>
    <w:rsid w:val="005977AB"/>
    <w:rsid w:val="005A01C5"/>
    <w:rsid w:val="005A0532"/>
    <w:rsid w:val="005A071C"/>
    <w:rsid w:val="005A07E7"/>
    <w:rsid w:val="005A0A57"/>
    <w:rsid w:val="005A0B9F"/>
    <w:rsid w:val="005A0DBB"/>
    <w:rsid w:val="005A0EBD"/>
    <w:rsid w:val="005A1270"/>
    <w:rsid w:val="005A1295"/>
    <w:rsid w:val="005A189E"/>
    <w:rsid w:val="005A1FBF"/>
    <w:rsid w:val="005A1FD5"/>
    <w:rsid w:val="005A29B1"/>
    <w:rsid w:val="005A2EBF"/>
    <w:rsid w:val="005A3750"/>
    <w:rsid w:val="005A380B"/>
    <w:rsid w:val="005A4890"/>
    <w:rsid w:val="005A49D4"/>
    <w:rsid w:val="005A4BE6"/>
    <w:rsid w:val="005A4D7C"/>
    <w:rsid w:val="005A51C9"/>
    <w:rsid w:val="005A5A96"/>
    <w:rsid w:val="005A5D7F"/>
    <w:rsid w:val="005A5DC0"/>
    <w:rsid w:val="005A63F6"/>
    <w:rsid w:val="005A65C3"/>
    <w:rsid w:val="005A6B6D"/>
    <w:rsid w:val="005A6ED5"/>
    <w:rsid w:val="005A6F0E"/>
    <w:rsid w:val="005A6F57"/>
    <w:rsid w:val="005A7235"/>
    <w:rsid w:val="005A75B6"/>
    <w:rsid w:val="005A795B"/>
    <w:rsid w:val="005A7BAF"/>
    <w:rsid w:val="005B0248"/>
    <w:rsid w:val="005B05FA"/>
    <w:rsid w:val="005B0652"/>
    <w:rsid w:val="005B1213"/>
    <w:rsid w:val="005B1754"/>
    <w:rsid w:val="005B1B55"/>
    <w:rsid w:val="005B1DBD"/>
    <w:rsid w:val="005B22A7"/>
    <w:rsid w:val="005B26B0"/>
    <w:rsid w:val="005B2837"/>
    <w:rsid w:val="005B3EBD"/>
    <w:rsid w:val="005B3F0C"/>
    <w:rsid w:val="005B3FE7"/>
    <w:rsid w:val="005B4394"/>
    <w:rsid w:val="005B48AA"/>
    <w:rsid w:val="005B48E8"/>
    <w:rsid w:val="005B564F"/>
    <w:rsid w:val="005B56D9"/>
    <w:rsid w:val="005B5BA3"/>
    <w:rsid w:val="005B5BDF"/>
    <w:rsid w:val="005B5E62"/>
    <w:rsid w:val="005B69DD"/>
    <w:rsid w:val="005B6DBE"/>
    <w:rsid w:val="005B770C"/>
    <w:rsid w:val="005B7E97"/>
    <w:rsid w:val="005B7F46"/>
    <w:rsid w:val="005C02BC"/>
    <w:rsid w:val="005C059E"/>
    <w:rsid w:val="005C07D2"/>
    <w:rsid w:val="005C09A7"/>
    <w:rsid w:val="005C0EA8"/>
    <w:rsid w:val="005C102D"/>
    <w:rsid w:val="005C132C"/>
    <w:rsid w:val="005C17FB"/>
    <w:rsid w:val="005C1833"/>
    <w:rsid w:val="005C1838"/>
    <w:rsid w:val="005C18C2"/>
    <w:rsid w:val="005C2063"/>
    <w:rsid w:val="005C244F"/>
    <w:rsid w:val="005C2767"/>
    <w:rsid w:val="005C2922"/>
    <w:rsid w:val="005C2C01"/>
    <w:rsid w:val="005C2F60"/>
    <w:rsid w:val="005C323D"/>
    <w:rsid w:val="005C3772"/>
    <w:rsid w:val="005C39C3"/>
    <w:rsid w:val="005C4229"/>
    <w:rsid w:val="005C4580"/>
    <w:rsid w:val="005C4ACC"/>
    <w:rsid w:val="005C5065"/>
    <w:rsid w:val="005C52F3"/>
    <w:rsid w:val="005C564C"/>
    <w:rsid w:val="005C6234"/>
    <w:rsid w:val="005C64DC"/>
    <w:rsid w:val="005C6605"/>
    <w:rsid w:val="005C6CCB"/>
    <w:rsid w:val="005C6F55"/>
    <w:rsid w:val="005C71A0"/>
    <w:rsid w:val="005C7802"/>
    <w:rsid w:val="005C7B50"/>
    <w:rsid w:val="005D029E"/>
    <w:rsid w:val="005D0427"/>
    <w:rsid w:val="005D0776"/>
    <w:rsid w:val="005D07AE"/>
    <w:rsid w:val="005D08FD"/>
    <w:rsid w:val="005D0903"/>
    <w:rsid w:val="005D0C83"/>
    <w:rsid w:val="005D113B"/>
    <w:rsid w:val="005D1732"/>
    <w:rsid w:val="005D2D9A"/>
    <w:rsid w:val="005D3007"/>
    <w:rsid w:val="005D3A6E"/>
    <w:rsid w:val="005D3B21"/>
    <w:rsid w:val="005D4019"/>
    <w:rsid w:val="005D41DC"/>
    <w:rsid w:val="005D460F"/>
    <w:rsid w:val="005D4DC5"/>
    <w:rsid w:val="005D52D6"/>
    <w:rsid w:val="005D5442"/>
    <w:rsid w:val="005D5C22"/>
    <w:rsid w:val="005D5E38"/>
    <w:rsid w:val="005D5E6C"/>
    <w:rsid w:val="005D5F83"/>
    <w:rsid w:val="005D63A9"/>
    <w:rsid w:val="005D65AF"/>
    <w:rsid w:val="005D65D5"/>
    <w:rsid w:val="005D6C56"/>
    <w:rsid w:val="005D6CED"/>
    <w:rsid w:val="005D6F49"/>
    <w:rsid w:val="005D7E8A"/>
    <w:rsid w:val="005E0515"/>
    <w:rsid w:val="005E06FA"/>
    <w:rsid w:val="005E0AA6"/>
    <w:rsid w:val="005E11A5"/>
    <w:rsid w:val="005E13D4"/>
    <w:rsid w:val="005E1435"/>
    <w:rsid w:val="005E21F3"/>
    <w:rsid w:val="005E235C"/>
    <w:rsid w:val="005E3078"/>
    <w:rsid w:val="005E34C0"/>
    <w:rsid w:val="005E45F3"/>
    <w:rsid w:val="005E49CA"/>
    <w:rsid w:val="005E5384"/>
    <w:rsid w:val="005E5427"/>
    <w:rsid w:val="005E5428"/>
    <w:rsid w:val="005E5A7C"/>
    <w:rsid w:val="005E5C33"/>
    <w:rsid w:val="005E6976"/>
    <w:rsid w:val="005E703B"/>
    <w:rsid w:val="005E721A"/>
    <w:rsid w:val="005E74EC"/>
    <w:rsid w:val="005E7917"/>
    <w:rsid w:val="005E7AB6"/>
    <w:rsid w:val="005E7B1E"/>
    <w:rsid w:val="005E7CBC"/>
    <w:rsid w:val="005E7DB0"/>
    <w:rsid w:val="005F0A62"/>
    <w:rsid w:val="005F0FA8"/>
    <w:rsid w:val="005F1C5D"/>
    <w:rsid w:val="005F2317"/>
    <w:rsid w:val="005F2550"/>
    <w:rsid w:val="005F26FC"/>
    <w:rsid w:val="005F2B2D"/>
    <w:rsid w:val="005F2FD5"/>
    <w:rsid w:val="005F340A"/>
    <w:rsid w:val="005F359B"/>
    <w:rsid w:val="005F3869"/>
    <w:rsid w:val="005F3AE8"/>
    <w:rsid w:val="005F3B09"/>
    <w:rsid w:val="005F3B47"/>
    <w:rsid w:val="005F47C1"/>
    <w:rsid w:val="005F4926"/>
    <w:rsid w:val="005F4B6F"/>
    <w:rsid w:val="005F4BF2"/>
    <w:rsid w:val="005F5009"/>
    <w:rsid w:val="005F5054"/>
    <w:rsid w:val="005F530F"/>
    <w:rsid w:val="005F5D2A"/>
    <w:rsid w:val="005F65D9"/>
    <w:rsid w:val="005F6768"/>
    <w:rsid w:val="005F69CF"/>
    <w:rsid w:val="005F6E39"/>
    <w:rsid w:val="005F6E58"/>
    <w:rsid w:val="005F7031"/>
    <w:rsid w:val="005F704C"/>
    <w:rsid w:val="005F7A22"/>
    <w:rsid w:val="005F7B9D"/>
    <w:rsid w:val="00600501"/>
    <w:rsid w:val="00600B0C"/>
    <w:rsid w:val="00602DFA"/>
    <w:rsid w:val="006031D1"/>
    <w:rsid w:val="006033BF"/>
    <w:rsid w:val="00603702"/>
    <w:rsid w:val="00603B4B"/>
    <w:rsid w:val="00603F20"/>
    <w:rsid w:val="00604192"/>
    <w:rsid w:val="006046A9"/>
    <w:rsid w:val="0060471B"/>
    <w:rsid w:val="00604A50"/>
    <w:rsid w:val="00604F37"/>
    <w:rsid w:val="0060508A"/>
    <w:rsid w:val="006055AF"/>
    <w:rsid w:val="00605942"/>
    <w:rsid w:val="00605C9F"/>
    <w:rsid w:val="006068E8"/>
    <w:rsid w:val="0060699E"/>
    <w:rsid w:val="00606ADB"/>
    <w:rsid w:val="006072DE"/>
    <w:rsid w:val="006075F4"/>
    <w:rsid w:val="006078A8"/>
    <w:rsid w:val="00607BAD"/>
    <w:rsid w:val="00607EC7"/>
    <w:rsid w:val="006102BC"/>
    <w:rsid w:val="0061048A"/>
    <w:rsid w:val="00610AE7"/>
    <w:rsid w:val="00610B5D"/>
    <w:rsid w:val="00611178"/>
    <w:rsid w:val="0061148D"/>
    <w:rsid w:val="00611D01"/>
    <w:rsid w:val="006122EC"/>
    <w:rsid w:val="006124B3"/>
    <w:rsid w:val="00612611"/>
    <w:rsid w:val="0061279A"/>
    <w:rsid w:val="00612A10"/>
    <w:rsid w:val="00612D9F"/>
    <w:rsid w:val="00613009"/>
    <w:rsid w:val="006132EA"/>
    <w:rsid w:val="00613481"/>
    <w:rsid w:val="00613CA5"/>
    <w:rsid w:val="0061401C"/>
    <w:rsid w:val="0061420B"/>
    <w:rsid w:val="00614A59"/>
    <w:rsid w:val="00614BD4"/>
    <w:rsid w:val="00614D33"/>
    <w:rsid w:val="00614E7E"/>
    <w:rsid w:val="0061537D"/>
    <w:rsid w:val="0061537F"/>
    <w:rsid w:val="006156D7"/>
    <w:rsid w:val="00615CF1"/>
    <w:rsid w:val="00615DEA"/>
    <w:rsid w:val="006165A4"/>
    <w:rsid w:val="00616A60"/>
    <w:rsid w:val="00616D0C"/>
    <w:rsid w:val="00616EE6"/>
    <w:rsid w:val="006171FB"/>
    <w:rsid w:val="00617283"/>
    <w:rsid w:val="00617A2A"/>
    <w:rsid w:val="00617EF3"/>
    <w:rsid w:val="006207F4"/>
    <w:rsid w:val="00620C67"/>
    <w:rsid w:val="00621646"/>
    <w:rsid w:val="00621803"/>
    <w:rsid w:val="00621A34"/>
    <w:rsid w:val="006220F1"/>
    <w:rsid w:val="006239AB"/>
    <w:rsid w:val="00623E46"/>
    <w:rsid w:val="00624604"/>
    <w:rsid w:val="00624D2C"/>
    <w:rsid w:val="00624F7F"/>
    <w:rsid w:val="00625142"/>
    <w:rsid w:val="00625145"/>
    <w:rsid w:val="00626768"/>
    <w:rsid w:val="00626F9D"/>
    <w:rsid w:val="00627402"/>
    <w:rsid w:val="00627403"/>
    <w:rsid w:val="00627474"/>
    <w:rsid w:val="00627CEA"/>
    <w:rsid w:val="00627E37"/>
    <w:rsid w:val="00630480"/>
    <w:rsid w:val="0063058E"/>
    <w:rsid w:val="006305F8"/>
    <w:rsid w:val="00630AD4"/>
    <w:rsid w:val="0063197B"/>
    <w:rsid w:val="006319D0"/>
    <w:rsid w:val="00631DA7"/>
    <w:rsid w:val="006327BB"/>
    <w:rsid w:val="00632B9C"/>
    <w:rsid w:val="00632DC4"/>
    <w:rsid w:val="00632F18"/>
    <w:rsid w:val="006332D7"/>
    <w:rsid w:val="0063333D"/>
    <w:rsid w:val="006333A9"/>
    <w:rsid w:val="00634225"/>
    <w:rsid w:val="00635003"/>
    <w:rsid w:val="006351CE"/>
    <w:rsid w:val="006352FD"/>
    <w:rsid w:val="00635B15"/>
    <w:rsid w:val="00635D64"/>
    <w:rsid w:val="00636037"/>
    <w:rsid w:val="006362E1"/>
    <w:rsid w:val="006367DA"/>
    <w:rsid w:val="00636F62"/>
    <w:rsid w:val="006370E1"/>
    <w:rsid w:val="00637382"/>
    <w:rsid w:val="006375B2"/>
    <w:rsid w:val="006375BB"/>
    <w:rsid w:val="006409EE"/>
    <w:rsid w:val="00640BF7"/>
    <w:rsid w:val="00640FFF"/>
    <w:rsid w:val="00641761"/>
    <w:rsid w:val="006419AF"/>
    <w:rsid w:val="00642224"/>
    <w:rsid w:val="006425FC"/>
    <w:rsid w:val="00642631"/>
    <w:rsid w:val="00642DF5"/>
    <w:rsid w:val="0064304A"/>
    <w:rsid w:val="0064380B"/>
    <w:rsid w:val="00643A4F"/>
    <w:rsid w:val="00643FF5"/>
    <w:rsid w:val="006441FD"/>
    <w:rsid w:val="00644BEA"/>
    <w:rsid w:val="00644E5A"/>
    <w:rsid w:val="00644F2C"/>
    <w:rsid w:val="00644F93"/>
    <w:rsid w:val="00645065"/>
    <w:rsid w:val="006450DD"/>
    <w:rsid w:val="00645141"/>
    <w:rsid w:val="006451ED"/>
    <w:rsid w:val="00645AEE"/>
    <w:rsid w:val="00646428"/>
    <w:rsid w:val="00646AFD"/>
    <w:rsid w:val="0064707F"/>
    <w:rsid w:val="006471E8"/>
    <w:rsid w:val="00647E90"/>
    <w:rsid w:val="00647FA3"/>
    <w:rsid w:val="006500F7"/>
    <w:rsid w:val="00650286"/>
    <w:rsid w:val="00650769"/>
    <w:rsid w:val="0065106D"/>
    <w:rsid w:val="006516B7"/>
    <w:rsid w:val="006518E4"/>
    <w:rsid w:val="006519F4"/>
    <w:rsid w:val="00651FB8"/>
    <w:rsid w:val="0065203F"/>
    <w:rsid w:val="006520D5"/>
    <w:rsid w:val="0065239B"/>
    <w:rsid w:val="00652BA0"/>
    <w:rsid w:val="00653045"/>
    <w:rsid w:val="00653A25"/>
    <w:rsid w:val="00653D93"/>
    <w:rsid w:val="00653FDA"/>
    <w:rsid w:val="006541A0"/>
    <w:rsid w:val="00654E99"/>
    <w:rsid w:val="00654F3B"/>
    <w:rsid w:val="0065501B"/>
    <w:rsid w:val="00655104"/>
    <w:rsid w:val="0065548F"/>
    <w:rsid w:val="00655633"/>
    <w:rsid w:val="006559BB"/>
    <w:rsid w:val="00655D93"/>
    <w:rsid w:val="00655E86"/>
    <w:rsid w:val="00656614"/>
    <w:rsid w:val="00656C4D"/>
    <w:rsid w:val="006577CD"/>
    <w:rsid w:val="00657CCC"/>
    <w:rsid w:val="00660162"/>
    <w:rsid w:val="0066036D"/>
    <w:rsid w:val="006604FA"/>
    <w:rsid w:val="0066082D"/>
    <w:rsid w:val="00660879"/>
    <w:rsid w:val="00660B3F"/>
    <w:rsid w:val="006610B1"/>
    <w:rsid w:val="00661309"/>
    <w:rsid w:val="00661639"/>
    <w:rsid w:val="00661655"/>
    <w:rsid w:val="0066174D"/>
    <w:rsid w:val="006619DB"/>
    <w:rsid w:val="00661DEA"/>
    <w:rsid w:val="00661E36"/>
    <w:rsid w:val="0066288A"/>
    <w:rsid w:val="00662F4B"/>
    <w:rsid w:val="0066318A"/>
    <w:rsid w:val="006631D3"/>
    <w:rsid w:val="00663D0F"/>
    <w:rsid w:val="00664525"/>
    <w:rsid w:val="0066465B"/>
    <w:rsid w:val="00664C81"/>
    <w:rsid w:val="0066521A"/>
    <w:rsid w:val="0066540C"/>
    <w:rsid w:val="00665464"/>
    <w:rsid w:val="00665EAE"/>
    <w:rsid w:val="006661EA"/>
    <w:rsid w:val="006663D5"/>
    <w:rsid w:val="00666909"/>
    <w:rsid w:val="00666EBC"/>
    <w:rsid w:val="00667189"/>
    <w:rsid w:val="0066749E"/>
    <w:rsid w:val="006679CA"/>
    <w:rsid w:val="00667CCB"/>
    <w:rsid w:val="00667EFD"/>
    <w:rsid w:val="00670475"/>
    <w:rsid w:val="006708C2"/>
    <w:rsid w:val="00670B07"/>
    <w:rsid w:val="00670B8C"/>
    <w:rsid w:val="00670C4A"/>
    <w:rsid w:val="006712FE"/>
    <w:rsid w:val="00671F3E"/>
    <w:rsid w:val="00672482"/>
    <w:rsid w:val="00672A18"/>
    <w:rsid w:val="006735B4"/>
    <w:rsid w:val="006735D0"/>
    <w:rsid w:val="0067378A"/>
    <w:rsid w:val="006739E9"/>
    <w:rsid w:val="00674D52"/>
    <w:rsid w:val="00674F93"/>
    <w:rsid w:val="0067546F"/>
    <w:rsid w:val="00676287"/>
    <w:rsid w:val="00676CE4"/>
    <w:rsid w:val="00676EC2"/>
    <w:rsid w:val="00676F61"/>
    <w:rsid w:val="00676FA5"/>
    <w:rsid w:val="006771A4"/>
    <w:rsid w:val="006771AD"/>
    <w:rsid w:val="006774A8"/>
    <w:rsid w:val="00677572"/>
    <w:rsid w:val="00681156"/>
    <w:rsid w:val="00681229"/>
    <w:rsid w:val="00681514"/>
    <w:rsid w:val="0068176C"/>
    <w:rsid w:val="0068185E"/>
    <w:rsid w:val="00681BE5"/>
    <w:rsid w:val="00681E30"/>
    <w:rsid w:val="0068379B"/>
    <w:rsid w:val="00683D98"/>
    <w:rsid w:val="00683D99"/>
    <w:rsid w:val="00684079"/>
    <w:rsid w:val="006848EE"/>
    <w:rsid w:val="0068629B"/>
    <w:rsid w:val="00686425"/>
    <w:rsid w:val="00686C12"/>
    <w:rsid w:val="00686D75"/>
    <w:rsid w:val="0068736A"/>
    <w:rsid w:val="00687D17"/>
    <w:rsid w:val="00687FE8"/>
    <w:rsid w:val="00690024"/>
    <w:rsid w:val="006903A4"/>
    <w:rsid w:val="00690CAA"/>
    <w:rsid w:val="00690EFB"/>
    <w:rsid w:val="006911F9"/>
    <w:rsid w:val="0069137B"/>
    <w:rsid w:val="006913EC"/>
    <w:rsid w:val="006914B7"/>
    <w:rsid w:val="00691742"/>
    <w:rsid w:val="00691DEE"/>
    <w:rsid w:val="00691E86"/>
    <w:rsid w:val="00692242"/>
    <w:rsid w:val="0069228A"/>
    <w:rsid w:val="0069236E"/>
    <w:rsid w:val="00692704"/>
    <w:rsid w:val="00692E67"/>
    <w:rsid w:val="00693ACF"/>
    <w:rsid w:val="00693EE5"/>
    <w:rsid w:val="006942C1"/>
    <w:rsid w:val="006944C5"/>
    <w:rsid w:val="00694B8D"/>
    <w:rsid w:val="0069532F"/>
    <w:rsid w:val="0069561C"/>
    <w:rsid w:val="00695634"/>
    <w:rsid w:val="00695DAC"/>
    <w:rsid w:val="0069600D"/>
    <w:rsid w:val="006963AE"/>
    <w:rsid w:val="00697053"/>
    <w:rsid w:val="006A066A"/>
    <w:rsid w:val="006A06CA"/>
    <w:rsid w:val="006A07AC"/>
    <w:rsid w:val="006A083E"/>
    <w:rsid w:val="006A0FFD"/>
    <w:rsid w:val="006A1170"/>
    <w:rsid w:val="006A14A3"/>
    <w:rsid w:val="006A159D"/>
    <w:rsid w:val="006A18BF"/>
    <w:rsid w:val="006A1B3D"/>
    <w:rsid w:val="006A1F58"/>
    <w:rsid w:val="006A242E"/>
    <w:rsid w:val="006A26AB"/>
    <w:rsid w:val="006A298D"/>
    <w:rsid w:val="006A2E65"/>
    <w:rsid w:val="006A2F80"/>
    <w:rsid w:val="006A3A48"/>
    <w:rsid w:val="006A3E5B"/>
    <w:rsid w:val="006A3FD6"/>
    <w:rsid w:val="006A4076"/>
    <w:rsid w:val="006A436F"/>
    <w:rsid w:val="006A4E5B"/>
    <w:rsid w:val="006A59D8"/>
    <w:rsid w:val="006A6037"/>
    <w:rsid w:val="006A6AFB"/>
    <w:rsid w:val="006A6B7B"/>
    <w:rsid w:val="006A76E7"/>
    <w:rsid w:val="006A78F8"/>
    <w:rsid w:val="006A7C26"/>
    <w:rsid w:val="006A7E27"/>
    <w:rsid w:val="006B010E"/>
    <w:rsid w:val="006B03CA"/>
    <w:rsid w:val="006B091F"/>
    <w:rsid w:val="006B0B4F"/>
    <w:rsid w:val="006B0CAF"/>
    <w:rsid w:val="006B0ED0"/>
    <w:rsid w:val="006B0EED"/>
    <w:rsid w:val="006B147E"/>
    <w:rsid w:val="006B1DF6"/>
    <w:rsid w:val="006B233F"/>
    <w:rsid w:val="006B2490"/>
    <w:rsid w:val="006B275E"/>
    <w:rsid w:val="006B28EA"/>
    <w:rsid w:val="006B2D4E"/>
    <w:rsid w:val="006B2DA3"/>
    <w:rsid w:val="006B2FBB"/>
    <w:rsid w:val="006B378A"/>
    <w:rsid w:val="006B390A"/>
    <w:rsid w:val="006B3BD5"/>
    <w:rsid w:val="006B4185"/>
    <w:rsid w:val="006B4224"/>
    <w:rsid w:val="006B4493"/>
    <w:rsid w:val="006B45A6"/>
    <w:rsid w:val="006B4B62"/>
    <w:rsid w:val="006B53DC"/>
    <w:rsid w:val="006B5423"/>
    <w:rsid w:val="006B5855"/>
    <w:rsid w:val="006B5AB2"/>
    <w:rsid w:val="006B5C67"/>
    <w:rsid w:val="006B6B5D"/>
    <w:rsid w:val="006B6BF6"/>
    <w:rsid w:val="006B6C0D"/>
    <w:rsid w:val="006B7657"/>
    <w:rsid w:val="006C0FAA"/>
    <w:rsid w:val="006C166D"/>
    <w:rsid w:val="006C175F"/>
    <w:rsid w:val="006C1818"/>
    <w:rsid w:val="006C1C4F"/>
    <w:rsid w:val="006C1F8B"/>
    <w:rsid w:val="006C2721"/>
    <w:rsid w:val="006C2BE5"/>
    <w:rsid w:val="006C377A"/>
    <w:rsid w:val="006C3868"/>
    <w:rsid w:val="006C38FF"/>
    <w:rsid w:val="006C3E6E"/>
    <w:rsid w:val="006C3EEA"/>
    <w:rsid w:val="006C3F92"/>
    <w:rsid w:val="006C43A6"/>
    <w:rsid w:val="006C4A4A"/>
    <w:rsid w:val="006C4E89"/>
    <w:rsid w:val="006C53EB"/>
    <w:rsid w:val="006C5434"/>
    <w:rsid w:val="006C5D29"/>
    <w:rsid w:val="006C6403"/>
    <w:rsid w:val="006C650D"/>
    <w:rsid w:val="006C69A5"/>
    <w:rsid w:val="006C7740"/>
    <w:rsid w:val="006D0389"/>
    <w:rsid w:val="006D0848"/>
    <w:rsid w:val="006D0BA5"/>
    <w:rsid w:val="006D0C15"/>
    <w:rsid w:val="006D0D8B"/>
    <w:rsid w:val="006D0FBF"/>
    <w:rsid w:val="006D10DC"/>
    <w:rsid w:val="006D112B"/>
    <w:rsid w:val="006D1586"/>
    <w:rsid w:val="006D19C1"/>
    <w:rsid w:val="006D2827"/>
    <w:rsid w:val="006D2848"/>
    <w:rsid w:val="006D2B19"/>
    <w:rsid w:val="006D2EC9"/>
    <w:rsid w:val="006D3A05"/>
    <w:rsid w:val="006D3B62"/>
    <w:rsid w:val="006D3FDF"/>
    <w:rsid w:val="006D4527"/>
    <w:rsid w:val="006D4B05"/>
    <w:rsid w:val="006D4F86"/>
    <w:rsid w:val="006D527A"/>
    <w:rsid w:val="006D5389"/>
    <w:rsid w:val="006D5F98"/>
    <w:rsid w:val="006D6665"/>
    <w:rsid w:val="006D7098"/>
    <w:rsid w:val="006D7287"/>
    <w:rsid w:val="006D740E"/>
    <w:rsid w:val="006D7F72"/>
    <w:rsid w:val="006E00B7"/>
    <w:rsid w:val="006E03D8"/>
    <w:rsid w:val="006E0E5B"/>
    <w:rsid w:val="006E134A"/>
    <w:rsid w:val="006E2562"/>
    <w:rsid w:val="006E3023"/>
    <w:rsid w:val="006E3369"/>
    <w:rsid w:val="006E3D12"/>
    <w:rsid w:val="006E449C"/>
    <w:rsid w:val="006E4726"/>
    <w:rsid w:val="006E4E72"/>
    <w:rsid w:val="006E4F11"/>
    <w:rsid w:val="006E50D0"/>
    <w:rsid w:val="006E5733"/>
    <w:rsid w:val="006E663E"/>
    <w:rsid w:val="006E6EDF"/>
    <w:rsid w:val="006E7BA5"/>
    <w:rsid w:val="006F01E8"/>
    <w:rsid w:val="006F02D7"/>
    <w:rsid w:val="006F03EC"/>
    <w:rsid w:val="006F059F"/>
    <w:rsid w:val="006F0EBB"/>
    <w:rsid w:val="006F1E96"/>
    <w:rsid w:val="006F1EC6"/>
    <w:rsid w:val="006F2D24"/>
    <w:rsid w:val="006F352A"/>
    <w:rsid w:val="006F37F7"/>
    <w:rsid w:val="006F3909"/>
    <w:rsid w:val="006F4036"/>
    <w:rsid w:val="006F428E"/>
    <w:rsid w:val="006F48E1"/>
    <w:rsid w:val="006F4FA0"/>
    <w:rsid w:val="006F5096"/>
    <w:rsid w:val="006F5160"/>
    <w:rsid w:val="006F5374"/>
    <w:rsid w:val="006F57D7"/>
    <w:rsid w:val="006F5C15"/>
    <w:rsid w:val="006F5D48"/>
    <w:rsid w:val="006F60DF"/>
    <w:rsid w:val="006F64DE"/>
    <w:rsid w:val="006F6766"/>
    <w:rsid w:val="006F68C1"/>
    <w:rsid w:val="006F6CE2"/>
    <w:rsid w:val="006F6E10"/>
    <w:rsid w:val="006F79D5"/>
    <w:rsid w:val="007014F8"/>
    <w:rsid w:val="0070150D"/>
    <w:rsid w:val="007016D2"/>
    <w:rsid w:val="007018D8"/>
    <w:rsid w:val="00701979"/>
    <w:rsid w:val="00701C6E"/>
    <w:rsid w:val="00701E82"/>
    <w:rsid w:val="007029E8"/>
    <w:rsid w:val="00703107"/>
    <w:rsid w:val="00703138"/>
    <w:rsid w:val="00703277"/>
    <w:rsid w:val="0070356D"/>
    <w:rsid w:val="00703981"/>
    <w:rsid w:val="00703CDF"/>
    <w:rsid w:val="00703D7E"/>
    <w:rsid w:val="0070495F"/>
    <w:rsid w:val="00704999"/>
    <w:rsid w:val="00704B6E"/>
    <w:rsid w:val="00704F73"/>
    <w:rsid w:val="0070508D"/>
    <w:rsid w:val="0070542E"/>
    <w:rsid w:val="0070604A"/>
    <w:rsid w:val="007060D4"/>
    <w:rsid w:val="0070624C"/>
    <w:rsid w:val="00706451"/>
    <w:rsid w:val="007071AA"/>
    <w:rsid w:val="00707E0F"/>
    <w:rsid w:val="00710277"/>
    <w:rsid w:val="0071068A"/>
    <w:rsid w:val="00710E19"/>
    <w:rsid w:val="00710E52"/>
    <w:rsid w:val="0071154B"/>
    <w:rsid w:val="0071174F"/>
    <w:rsid w:val="0071196A"/>
    <w:rsid w:val="00711B11"/>
    <w:rsid w:val="007131CF"/>
    <w:rsid w:val="007133C0"/>
    <w:rsid w:val="00713613"/>
    <w:rsid w:val="007137C6"/>
    <w:rsid w:val="0071381F"/>
    <w:rsid w:val="007138FC"/>
    <w:rsid w:val="0071393D"/>
    <w:rsid w:val="00713E79"/>
    <w:rsid w:val="00714245"/>
    <w:rsid w:val="00714A14"/>
    <w:rsid w:val="007151F5"/>
    <w:rsid w:val="00715441"/>
    <w:rsid w:val="007156A3"/>
    <w:rsid w:val="00715739"/>
    <w:rsid w:val="0071576C"/>
    <w:rsid w:val="00715C94"/>
    <w:rsid w:val="007165F0"/>
    <w:rsid w:val="00716A09"/>
    <w:rsid w:val="007170DB"/>
    <w:rsid w:val="00717880"/>
    <w:rsid w:val="00717C1C"/>
    <w:rsid w:val="00717CA8"/>
    <w:rsid w:val="007205E7"/>
    <w:rsid w:val="007209C4"/>
    <w:rsid w:val="00720A9F"/>
    <w:rsid w:val="00721E9E"/>
    <w:rsid w:val="007227FE"/>
    <w:rsid w:val="007233C3"/>
    <w:rsid w:val="00723C95"/>
    <w:rsid w:val="00724418"/>
    <w:rsid w:val="007244E7"/>
    <w:rsid w:val="0072505F"/>
    <w:rsid w:val="00725B00"/>
    <w:rsid w:val="00726197"/>
    <w:rsid w:val="00726456"/>
    <w:rsid w:val="0072680C"/>
    <w:rsid w:val="00726B3D"/>
    <w:rsid w:val="00726C64"/>
    <w:rsid w:val="007310B7"/>
    <w:rsid w:val="00731237"/>
    <w:rsid w:val="00731A22"/>
    <w:rsid w:val="0073207E"/>
    <w:rsid w:val="00732523"/>
    <w:rsid w:val="0073254B"/>
    <w:rsid w:val="00732664"/>
    <w:rsid w:val="00732BA7"/>
    <w:rsid w:val="007333EA"/>
    <w:rsid w:val="00733601"/>
    <w:rsid w:val="00733A57"/>
    <w:rsid w:val="00733F36"/>
    <w:rsid w:val="007340CE"/>
    <w:rsid w:val="00734781"/>
    <w:rsid w:val="00734916"/>
    <w:rsid w:val="007349FC"/>
    <w:rsid w:val="00734B6F"/>
    <w:rsid w:val="007351A5"/>
    <w:rsid w:val="00735293"/>
    <w:rsid w:val="00735376"/>
    <w:rsid w:val="00735CA5"/>
    <w:rsid w:val="007363EA"/>
    <w:rsid w:val="007365E0"/>
    <w:rsid w:val="00736A02"/>
    <w:rsid w:val="00736E06"/>
    <w:rsid w:val="00736E37"/>
    <w:rsid w:val="00737286"/>
    <w:rsid w:val="007372CE"/>
    <w:rsid w:val="007373DB"/>
    <w:rsid w:val="00737847"/>
    <w:rsid w:val="00737F27"/>
    <w:rsid w:val="00737FD3"/>
    <w:rsid w:val="00740240"/>
    <w:rsid w:val="007407DB"/>
    <w:rsid w:val="00740BFC"/>
    <w:rsid w:val="00740F76"/>
    <w:rsid w:val="00741037"/>
    <w:rsid w:val="007422B3"/>
    <w:rsid w:val="007424BF"/>
    <w:rsid w:val="007435F1"/>
    <w:rsid w:val="00743BC1"/>
    <w:rsid w:val="00743DDD"/>
    <w:rsid w:val="00744625"/>
    <w:rsid w:val="007446BB"/>
    <w:rsid w:val="0074482B"/>
    <w:rsid w:val="00744AF1"/>
    <w:rsid w:val="00745882"/>
    <w:rsid w:val="00745A04"/>
    <w:rsid w:val="00745A0F"/>
    <w:rsid w:val="00745DFD"/>
    <w:rsid w:val="00746197"/>
    <w:rsid w:val="0074689C"/>
    <w:rsid w:val="00746B3F"/>
    <w:rsid w:val="00746C36"/>
    <w:rsid w:val="00747117"/>
    <w:rsid w:val="007479C2"/>
    <w:rsid w:val="00747B0D"/>
    <w:rsid w:val="0075028A"/>
    <w:rsid w:val="00751452"/>
    <w:rsid w:val="007521A5"/>
    <w:rsid w:val="00752E99"/>
    <w:rsid w:val="00753959"/>
    <w:rsid w:val="00753DD6"/>
    <w:rsid w:val="00754A4A"/>
    <w:rsid w:val="00755F9F"/>
    <w:rsid w:val="007560C7"/>
    <w:rsid w:val="007566FB"/>
    <w:rsid w:val="007567A8"/>
    <w:rsid w:val="00756D6A"/>
    <w:rsid w:val="00757EE2"/>
    <w:rsid w:val="0076043F"/>
    <w:rsid w:val="00760F66"/>
    <w:rsid w:val="007611F8"/>
    <w:rsid w:val="00761200"/>
    <w:rsid w:val="0076135D"/>
    <w:rsid w:val="007615C6"/>
    <w:rsid w:val="00761931"/>
    <w:rsid w:val="00761BD1"/>
    <w:rsid w:val="007627BA"/>
    <w:rsid w:val="0076291E"/>
    <w:rsid w:val="00762C76"/>
    <w:rsid w:val="00762D81"/>
    <w:rsid w:val="0076317B"/>
    <w:rsid w:val="007643D5"/>
    <w:rsid w:val="00765366"/>
    <w:rsid w:val="00765914"/>
    <w:rsid w:val="00765AC2"/>
    <w:rsid w:val="00765C84"/>
    <w:rsid w:val="0076614D"/>
    <w:rsid w:val="0076624C"/>
    <w:rsid w:val="0076627D"/>
    <w:rsid w:val="00766304"/>
    <w:rsid w:val="00767A28"/>
    <w:rsid w:val="00767DD2"/>
    <w:rsid w:val="00770264"/>
    <w:rsid w:val="0077082B"/>
    <w:rsid w:val="00770E60"/>
    <w:rsid w:val="00771324"/>
    <w:rsid w:val="00771C8F"/>
    <w:rsid w:val="0077266E"/>
    <w:rsid w:val="0077292E"/>
    <w:rsid w:val="007737D4"/>
    <w:rsid w:val="007737D8"/>
    <w:rsid w:val="0077391C"/>
    <w:rsid w:val="00773D24"/>
    <w:rsid w:val="00774576"/>
    <w:rsid w:val="007745DA"/>
    <w:rsid w:val="0077508A"/>
    <w:rsid w:val="00775475"/>
    <w:rsid w:val="00775567"/>
    <w:rsid w:val="00775E0D"/>
    <w:rsid w:val="00776343"/>
    <w:rsid w:val="00776416"/>
    <w:rsid w:val="00776C7B"/>
    <w:rsid w:val="00776CEF"/>
    <w:rsid w:val="007774AE"/>
    <w:rsid w:val="00777D6E"/>
    <w:rsid w:val="00777E7E"/>
    <w:rsid w:val="00777EFA"/>
    <w:rsid w:val="007804DD"/>
    <w:rsid w:val="00780EC1"/>
    <w:rsid w:val="00780F3B"/>
    <w:rsid w:val="0078115B"/>
    <w:rsid w:val="007816EE"/>
    <w:rsid w:val="00782071"/>
    <w:rsid w:val="007820F0"/>
    <w:rsid w:val="00782783"/>
    <w:rsid w:val="00782946"/>
    <w:rsid w:val="00782ECD"/>
    <w:rsid w:val="00782F44"/>
    <w:rsid w:val="0078363B"/>
    <w:rsid w:val="00783CCF"/>
    <w:rsid w:val="00783F5B"/>
    <w:rsid w:val="00784609"/>
    <w:rsid w:val="00784720"/>
    <w:rsid w:val="0078481D"/>
    <w:rsid w:val="007859FC"/>
    <w:rsid w:val="00785F1E"/>
    <w:rsid w:val="00785F4C"/>
    <w:rsid w:val="0078609C"/>
    <w:rsid w:val="00786355"/>
    <w:rsid w:val="00787370"/>
    <w:rsid w:val="007874AE"/>
    <w:rsid w:val="0078750B"/>
    <w:rsid w:val="00787F5E"/>
    <w:rsid w:val="0079024D"/>
    <w:rsid w:val="00791069"/>
    <w:rsid w:val="007911B8"/>
    <w:rsid w:val="007916DD"/>
    <w:rsid w:val="00791DAE"/>
    <w:rsid w:val="007930E8"/>
    <w:rsid w:val="00793A57"/>
    <w:rsid w:val="00793A9C"/>
    <w:rsid w:val="00793F28"/>
    <w:rsid w:val="007944D2"/>
    <w:rsid w:val="00794B19"/>
    <w:rsid w:val="00794FFA"/>
    <w:rsid w:val="00795B8D"/>
    <w:rsid w:val="00795E34"/>
    <w:rsid w:val="00795F0E"/>
    <w:rsid w:val="0079602C"/>
    <w:rsid w:val="00796495"/>
    <w:rsid w:val="007965A9"/>
    <w:rsid w:val="00796ACB"/>
    <w:rsid w:val="00797063"/>
    <w:rsid w:val="00797A70"/>
    <w:rsid w:val="00797D8F"/>
    <w:rsid w:val="007A0C00"/>
    <w:rsid w:val="007A0E15"/>
    <w:rsid w:val="007A176E"/>
    <w:rsid w:val="007A19BF"/>
    <w:rsid w:val="007A1F99"/>
    <w:rsid w:val="007A2A69"/>
    <w:rsid w:val="007A2CF1"/>
    <w:rsid w:val="007A384E"/>
    <w:rsid w:val="007A41B5"/>
    <w:rsid w:val="007A4486"/>
    <w:rsid w:val="007A4682"/>
    <w:rsid w:val="007A5879"/>
    <w:rsid w:val="007A58A8"/>
    <w:rsid w:val="007A5BDC"/>
    <w:rsid w:val="007A629D"/>
    <w:rsid w:val="007A6610"/>
    <w:rsid w:val="007A6D51"/>
    <w:rsid w:val="007A6DD3"/>
    <w:rsid w:val="007A6FF3"/>
    <w:rsid w:val="007A7169"/>
    <w:rsid w:val="007A71DC"/>
    <w:rsid w:val="007A7A04"/>
    <w:rsid w:val="007A7C91"/>
    <w:rsid w:val="007B04FF"/>
    <w:rsid w:val="007B0976"/>
    <w:rsid w:val="007B0CAC"/>
    <w:rsid w:val="007B1197"/>
    <w:rsid w:val="007B13EC"/>
    <w:rsid w:val="007B15F3"/>
    <w:rsid w:val="007B1701"/>
    <w:rsid w:val="007B1C32"/>
    <w:rsid w:val="007B1DBB"/>
    <w:rsid w:val="007B2319"/>
    <w:rsid w:val="007B2FBF"/>
    <w:rsid w:val="007B3BA9"/>
    <w:rsid w:val="007B3E13"/>
    <w:rsid w:val="007B4044"/>
    <w:rsid w:val="007B4046"/>
    <w:rsid w:val="007B4300"/>
    <w:rsid w:val="007B484B"/>
    <w:rsid w:val="007B565C"/>
    <w:rsid w:val="007B595F"/>
    <w:rsid w:val="007B5B7E"/>
    <w:rsid w:val="007B5D75"/>
    <w:rsid w:val="007B6D5E"/>
    <w:rsid w:val="007B7115"/>
    <w:rsid w:val="007B736B"/>
    <w:rsid w:val="007C012E"/>
    <w:rsid w:val="007C055A"/>
    <w:rsid w:val="007C0853"/>
    <w:rsid w:val="007C0C90"/>
    <w:rsid w:val="007C0E07"/>
    <w:rsid w:val="007C0E86"/>
    <w:rsid w:val="007C192C"/>
    <w:rsid w:val="007C249E"/>
    <w:rsid w:val="007C26CF"/>
    <w:rsid w:val="007C271B"/>
    <w:rsid w:val="007C2C14"/>
    <w:rsid w:val="007C3A55"/>
    <w:rsid w:val="007C404B"/>
    <w:rsid w:val="007C4166"/>
    <w:rsid w:val="007C44E1"/>
    <w:rsid w:val="007C48DD"/>
    <w:rsid w:val="007C4A05"/>
    <w:rsid w:val="007C56AF"/>
    <w:rsid w:val="007C5711"/>
    <w:rsid w:val="007C57B9"/>
    <w:rsid w:val="007C59E4"/>
    <w:rsid w:val="007C6325"/>
    <w:rsid w:val="007C73A3"/>
    <w:rsid w:val="007C7975"/>
    <w:rsid w:val="007C7EF5"/>
    <w:rsid w:val="007D059E"/>
    <w:rsid w:val="007D06AC"/>
    <w:rsid w:val="007D0741"/>
    <w:rsid w:val="007D0955"/>
    <w:rsid w:val="007D0997"/>
    <w:rsid w:val="007D0A53"/>
    <w:rsid w:val="007D0FFC"/>
    <w:rsid w:val="007D1013"/>
    <w:rsid w:val="007D19EC"/>
    <w:rsid w:val="007D2608"/>
    <w:rsid w:val="007D30C3"/>
    <w:rsid w:val="007D35AC"/>
    <w:rsid w:val="007D36B1"/>
    <w:rsid w:val="007D36D7"/>
    <w:rsid w:val="007D3BA1"/>
    <w:rsid w:val="007D3EC8"/>
    <w:rsid w:val="007D40AC"/>
    <w:rsid w:val="007D40AF"/>
    <w:rsid w:val="007D4317"/>
    <w:rsid w:val="007D4C12"/>
    <w:rsid w:val="007D57E0"/>
    <w:rsid w:val="007D5946"/>
    <w:rsid w:val="007D5962"/>
    <w:rsid w:val="007D5A2B"/>
    <w:rsid w:val="007D6213"/>
    <w:rsid w:val="007D63B2"/>
    <w:rsid w:val="007D651D"/>
    <w:rsid w:val="007D71B7"/>
    <w:rsid w:val="007D7C66"/>
    <w:rsid w:val="007D7CF3"/>
    <w:rsid w:val="007E0274"/>
    <w:rsid w:val="007E02A7"/>
    <w:rsid w:val="007E0415"/>
    <w:rsid w:val="007E0991"/>
    <w:rsid w:val="007E0AFE"/>
    <w:rsid w:val="007E0B2C"/>
    <w:rsid w:val="007E0BD1"/>
    <w:rsid w:val="007E0F0D"/>
    <w:rsid w:val="007E107F"/>
    <w:rsid w:val="007E18FD"/>
    <w:rsid w:val="007E2FD7"/>
    <w:rsid w:val="007E310B"/>
    <w:rsid w:val="007E38DA"/>
    <w:rsid w:val="007E3D65"/>
    <w:rsid w:val="007E3EE2"/>
    <w:rsid w:val="007E47E7"/>
    <w:rsid w:val="007E4859"/>
    <w:rsid w:val="007E4A68"/>
    <w:rsid w:val="007E4A98"/>
    <w:rsid w:val="007E4EB6"/>
    <w:rsid w:val="007E5DD7"/>
    <w:rsid w:val="007E6FB9"/>
    <w:rsid w:val="007E7139"/>
    <w:rsid w:val="007E7366"/>
    <w:rsid w:val="007E7EA1"/>
    <w:rsid w:val="007E7EA4"/>
    <w:rsid w:val="007F03CE"/>
    <w:rsid w:val="007F0430"/>
    <w:rsid w:val="007F04D3"/>
    <w:rsid w:val="007F0AF2"/>
    <w:rsid w:val="007F0F80"/>
    <w:rsid w:val="007F137D"/>
    <w:rsid w:val="007F17B5"/>
    <w:rsid w:val="007F19E5"/>
    <w:rsid w:val="007F245F"/>
    <w:rsid w:val="007F2D8D"/>
    <w:rsid w:val="007F2EBF"/>
    <w:rsid w:val="007F2F84"/>
    <w:rsid w:val="007F3044"/>
    <w:rsid w:val="007F3249"/>
    <w:rsid w:val="007F3704"/>
    <w:rsid w:val="007F4657"/>
    <w:rsid w:val="007F5609"/>
    <w:rsid w:val="007F5625"/>
    <w:rsid w:val="007F568A"/>
    <w:rsid w:val="007F59F7"/>
    <w:rsid w:val="007F5E21"/>
    <w:rsid w:val="007F6413"/>
    <w:rsid w:val="007F6761"/>
    <w:rsid w:val="007F676E"/>
    <w:rsid w:val="007F6798"/>
    <w:rsid w:val="007F6B11"/>
    <w:rsid w:val="007F6E2B"/>
    <w:rsid w:val="007F6F0A"/>
    <w:rsid w:val="007F7D12"/>
    <w:rsid w:val="007F7F02"/>
    <w:rsid w:val="00800258"/>
    <w:rsid w:val="0080052F"/>
    <w:rsid w:val="008009D5"/>
    <w:rsid w:val="00800C97"/>
    <w:rsid w:val="0080153D"/>
    <w:rsid w:val="0080220F"/>
    <w:rsid w:val="008026A7"/>
    <w:rsid w:val="00802735"/>
    <w:rsid w:val="008028C2"/>
    <w:rsid w:val="00802DDB"/>
    <w:rsid w:val="00802E32"/>
    <w:rsid w:val="0080379D"/>
    <w:rsid w:val="008037D8"/>
    <w:rsid w:val="00803B7E"/>
    <w:rsid w:val="00803DA6"/>
    <w:rsid w:val="008040D9"/>
    <w:rsid w:val="0080436E"/>
    <w:rsid w:val="00804937"/>
    <w:rsid w:val="00804DE4"/>
    <w:rsid w:val="00804E1E"/>
    <w:rsid w:val="00804E43"/>
    <w:rsid w:val="008050F5"/>
    <w:rsid w:val="0080519C"/>
    <w:rsid w:val="0080553F"/>
    <w:rsid w:val="0080583B"/>
    <w:rsid w:val="00805C22"/>
    <w:rsid w:val="00805E48"/>
    <w:rsid w:val="008069B2"/>
    <w:rsid w:val="00807ADD"/>
    <w:rsid w:val="00810BC2"/>
    <w:rsid w:val="0081147D"/>
    <w:rsid w:val="00811683"/>
    <w:rsid w:val="00811AFF"/>
    <w:rsid w:val="00812373"/>
    <w:rsid w:val="00812D30"/>
    <w:rsid w:val="00812F4B"/>
    <w:rsid w:val="00813F3A"/>
    <w:rsid w:val="008140E8"/>
    <w:rsid w:val="008148D4"/>
    <w:rsid w:val="0081491F"/>
    <w:rsid w:val="00814941"/>
    <w:rsid w:val="00814A61"/>
    <w:rsid w:val="00814A65"/>
    <w:rsid w:val="00814B92"/>
    <w:rsid w:val="00814BD9"/>
    <w:rsid w:val="008158AC"/>
    <w:rsid w:val="008166D1"/>
    <w:rsid w:val="00816805"/>
    <w:rsid w:val="00816BE8"/>
    <w:rsid w:val="00816CD5"/>
    <w:rsid w:val="00816DBD"/>
    <w:rsid w:val="00816FE2"/>
    <w:rsid w:val="00817062"/>
    <w:rsid w:val="008172E4"/>
    <w:rsid w:val="008174C4"/>
    <w:rsid w:val="00817991"/>
    <w:rsid w:val="00817F58"/>
    <w:rsid w:val="008203C5"/>
    <w:rsid w:val="0082046A"/>
    <w:rsid w:val="00820B84"/>
    <w:rsid w:val="0082199B"/>
    <w:rsid w:val="00821C2A"/>
    <w:rsid w:val="008227B7"/>
    <w:rsid w:val="00824069"/>
    <w:rsid w:val="008243A8"/>
    <w:rsid w:val="00824925"/>
    <w:rsid w:val="00824A8C"/>
    <w:rsid w:val="00824C8B"/>
    <w:rsid w:val="008252E8"/>
    <w:rsid w:val="00825BA8"/>
    <w:rsid w:val="00825C14"/>
    <w:rsid w:val="00825F69"/>
    <w:rsid w:val="0082641D"/>
    <w:rsid w:val="008267CA"/>
    <w:rsid w:val="00826E45"/>
    <w:rsid w:val="008270EE"/>
    <w:rsid w:val="0082722B"/>
    <w:rsid w:val="0082745B"/>
    <w:rsid w:val="00827C1B"/>
    <w:rsid w:val="0083016B"/>
    <w:rsid w:val="008301F1"/>
    <w:rsid w:val="008308A1"/>
    <w:rsid w:val="008309D6"/>
    <w:rsid w:val="00830C0E"/>
    <w:rsid w:val="008313E0"/>
    <w:rsid w:val="008317EC"/>
    <w:rsid w:val="0083195D"/>
    <w:rsid w:val="00831B7B"/>
    <w:rsid w:val="00831D90"/>
    <w:rsid w:val="008324F3"/>
    <w:rsid w:val="00832691"/>
    <w:rsid w:val="0083296B"/>
    <w:rsid w:val="00832B8A"/>
    <w:rsid w:val="00833547"/>
    <w:rsid w:val="00833852"/>
    <w:rsid w:val="00833AB9"/>
    <w:rsid w:val="00833B45"/>
    <w:rsid w:val="00833B62"/>
    <w:rsid w:val="0083461B"/>
    <w:rsid w:val="00834820"/>
    <w:rsid w:val="00834C82"/>
    <w:rsid w:val="00834DB6"/>
    <w:rsid w:val="00834F1B"/>
    <w:rsid w:val="00834F3C"/>
    <w:rsid w:val="00834F93"/>
    <w:rsid w:val="00835F6D"/>
    <w:rsid w:val="008366B9"/>
    <w:rsid w:val="008375DA"/>
    <w:rsid w:val="00840C4A"/>
    <w:rsid w:val="008411B9"/>
    <w:rsid w:val="0084122F"/>
    <w:rsid w:val="00841573"/>
    <w:rsid w:val="0084192D"/>
    <w:rsid w:val="00841AA7"/>
    <w:rsid w:val="00841D08"/>
    <w:rsid w:val="00842A13"/>
    <w:rsid w:val="00842D22"/>
    <w:rsid w:val="00842D43"/>
    <w:rsid w:val="00842F64"/>
    <w:rsid w:val="0084323E"/>
    <w:rsid w:val="00843453"/>
    <w:rsid w:val="00843D50"/>
    <w:rsid w:val="008441D9"/>
    <w:rsid w:val="0084464E"/>
    <w:rsid w:val="00844E2D"/>
    <w:rsid w:val="00845586"/>
    <w:rsid w:val="008455E6"/>
    <w:rsid w:val="008458BF"/>
    <w:rsid w:val="00846262"/>
    <w:rsid w:val="00846370"/>
    <w:rsid w:val="008463E8"/>
    <w:rsid w:val="00846B5C"/>
    <w:rsid w:val="00847665"/>
    <w:rsid w:val="00847BC5"/>
    <w:rsid w:val="00847F11"/>
    <w:rsid w:val="00850010"/>
    <w:rsid w:val="008503F4"/>
    <w:rsid w:val="008504A0"/>
    <w:rsid w:val="00850AC1"/>
    <w:rsid w:val="00850C2A"/>
    <w:rsid w:val="00850DFA"/>
    <w:rsid w:val="00851331"/>
    <w:rsid w:val="008516D1"/>
    <w:rsid w:val="00852003"/>
    <w:rsid w:val="0085202C"/>
    <w:rsid w:val="0085212C"/>
    <w:rsid w:val="00852578"/>
    <w:rsid w:val="00852988"/>
    <w:rsid w:val="00852F9E"/>
    <w:rsid w:val="0085372D"/>
    <w:rsid w:val="00853F8A"/>
    <w:rsid w:val="00854053"/>
    <w:rsid w:val="008543AC"/>
    <w:rsid w:val="008547F5"/>
    <w:rsid w:val="008548B8"/>
    <w:rsid w:val="00854965"/>
    <w:rsid w:val="008550F5"/>
    <w:rsid w:val="00855298"/>
    <w:rsid w:val="008554D1"/>
    <w:rsid w:val="008558E0"/>
    <w:rsid w:val="008569E0"/>
    <w:rsid w:val="00857AF7"/>
    <w:rsid w:val="00857BE5"/>
    <w:rsid w:val="00860109"/>
    <w:rsid w:val="0086017F"/>
    <w:rsid w:val="008601BD"/>
    <w:rsid w:val="0086034F"/>
    <w:rsid w:val="00860359"/>
    <w:rsid w:val="00860E43"/>
    <w:rsid w:val="00861252"/>
    <w:rsid w:val="0086171A"/>
    <w:rsid w:val="00861F0F"/>
    <w:rsid w:val="0086226C"/>
    <w:rsid w:val="00863237"/>
    <w:rsid w:val="00863C07"/>
    <w:rsid w:val="008640B7"/>
    <w:rsid w:val="008644A4"/>
    <w:rsid w:val="00864A6C"/>
    <w:rsid w:val="00864BB1"/>
    <w:rsid w:val="00864DF7"/>
    <w:rsid w:val="00865278"/>
    <w:rsid w:val="008654F9"/>
    <w:rsid w:val="008658C0"/>
    <w:rsid w:val="008660F7"/>
    <w:rsid w:val="00866388"/>
    <w:rsid w:val="0086644B"/>
    <w:rsid w:val="00866FE3"/>
    <w:rsid w:val="0086722D"/>
    <w:rsid w:val="00867AD8"/>
    <w:rsid w:val="00867D56"/>
    <w:rsid w:val="00867D70"/>
    <w:rsid w:val="00870646"/>
    <w:rsid w:val="008706C3"/>
    <w:rsid w:val="00870BAA"/>
    <w:rsid w:val="00870D91"/>
    <w:rsid w:val="008716D1"/>
    <w:rsid w:val="008716ED"/>
    <w:rsid w:val="008718AD"/>
    <w:rsid w:val="0087193F"/>
    <w:rsid w:val="008724E6"/>
    <w:rsid w:val="008728C8"/>
    <w:rsid w:val="00873205"/>
    <w:rsid w:val="008735E8"/>
    <w:rsid w:val="0087377E"/>
    <w:rsid w:val="00874594"/>
    <w:rsid w:val="00874776"/>
    <w:rsid w:val="0087487C"/>
    <w:rsid w:val="00874A07"/>
    <w:rsid w:val="00874B75"/>
    <w:rsid w:val="00875007"/>
    <w:rsid w:val="008750DB"/>
    <w:rsid w:val="008751B4"/>
    <w:rsid w:val="0087527F"/>
    <w:rsid w:val="008754B5"/>
    <w:rsid w:val="00875AF3"/>
    <w:rsid w:val="008765E9"/>
    <w:rsid w:val="00876605"/>
    <w:rsid w:val="00876B13"/>
    <w:rsid w:val="00880017"/>
    <w:rsid w:val="00880087"/>
    <w:rsid w:val="00880305"/>
    <w:rsid w:val="0088088A"/>
    <w:rsid w:val="0088098F"/>
    <w:rsid w:val="00880A3F"/>
    <w:rsid w:val="00880EE2"/>
    <w:rsid w:val="008813BC"/>
    <w:rsid w:val="00881732"/>
    <w:rsid w:val="008818A2"/>
    <w:rsid w:val="00881FF9"/>
    <w:rsid w:val="0088213D"/>
    <w:rsid w:val="008821C6"/>
    <w:rsid w:val="0088243D"/>
    <w:rsid w:val="0088251A"/>
    <w:rsid w:val="00882D28"/>
    <w:rsid w:val="00883A67"/>
    <w:rsid w:val="00883EE9"/>
    <w:rsid w:val="0088463A"/>
    <w:rsid w:val="008848E9"/>
    <w:rsid w:val="00884FD8"/>
    <w:rsid w:val="00885244"/>
    <w:rsid w:val="008857C7"/>
    <w:rsid w:val="008858B3"/>
    <w:rsid w:val="00885A71"/>
    <w:rsid w:val="00885BF6"/>
    <w:rsid w:val="00885C8A"/>
    <w:rsid w:val="008866CF"/>
    <w:rsid w:val="00886782"/>
    <w:rsid w:val="008869A1"/>
    <w:rsid w:val="00886B3F"/>
    <w:rsid w:val="0088727A"/>
    <w:rsid w:val="0089015D"/>
    <w:rsid w:val="0089021A"/>
    <w:rsid w:val="0089022E"/>
    <w:rsid w:val="00890475"/>
    <w:rsid w:val="00890A7C"/>
    <w:rsid w:val="00890D11"/>
    <w:rsid w:val="008910EE"/>
    <w:rsid w:val="00891A26"/>
    <w:rsid w:val="008923F8"/>
    <w:rsid w:val="008928F1"/>
    <w:rsid w:val="00892A65"/>
    <w:rsid w:val="00892BBF"/>
    <w:rsid w:val="00892DB5"/>
    <w:rsid w:val="00893F27"/>
    <w:rsid w:val="008942BD"/>
    <w:rsid w:val="0089478A"/>
    <w:rsid w:val="0089480A"/>
    <w:rsid w:val="00894FE5"/>
    <w:rsid w:val="00895658"/>
    <w:rsid w:val="008956DA"/>
    <w:rsid w:val="00895855"/>
    <w:rsid w:val="00895BA9"/>
    <w:rsid w:val="00895D79"/>
    <w:rsid w:val="0089601B"/>
    <w:rsid w:val="0089647F"/>
    <w:rsid w:val="0089655D"/>
    <w:rsid w:val="00896784"/>
    <w:rsid w:val="00896C56"/>
    <w:rsid w:val="00897051"/>
    <w:rsid w:val="00897824"/>
    <w:rsid w:val="00897BCB"/>
    <w:rsid w:val="00897C07"/>
    <w:rsid w:val="00897DBA"/>
    <w:rsid w:val="00897FBD"/>
    <w:rsid w:val="008A02FA"/>
    <w:rsid w:val="008A06A8"/>
    <w:rsid w:val="008A0F8B"/>
    <w:rsid w:val="008A1AAC"/>
    <w:rsid w:val="008A20CA"/>
    <w:rsid w:val="008A239B"/>
    <w:rsid w:val="008A2505"/>
    <w:rsid w:val="008A2956"/>
    <w:rsid w:val="008A2EA1"/>
    <w:rsid w:val="008A2EF6"/>
    <w:rsid w:val="008A3480"/>
    <w:rsid w:val="008A3642"/>
    <w:rsid w:val="008A4F3C"/>
    <w:rsid w:val="008A51AD"/>
    <w:rsid w:val="008A53BA"/>
    <w:rsid w:val="008A551D"/>
    <w:rsid w:val="008A56BA"/>
    <w:rsid w:val="008A570A"/>
    <w:rsid w:val="008A58E4"/>
    <w:rsid w:val="008A58E7"/>
    <w:rsid w:val="008A5C1D"/>
    <w:rsid w:val="008A5E2E"/>
    <w:rsid w:val="008A615A"/>
    <w:rsid w:val="008A6357"/>
    <w:rsid w:val="008A650C"/>
    <w:rsid w:val="008A6A36"/>
    <w:rsid w:val="008A6CB9"/>
    <w:rsid w:val="008A6DC1"/>
    <w:rsid w:val="008A7083"/>
    <w:rsid w:val="008A70B7"/>
    <w:rsid w:val="008A7100"/>
    <w:rsid w:val="008A7139"/>
    <w:rsid w:val="008A72A7"/>
    <w:rsid w:val="008A776D"/>
    <w:rsid w:val="008A7C74"/>
    <w:rsid w:val="008B03BD"/>
    <w:rsid w:val="008B04C0"/>
    <w:rsid w:val="008B09E1"/>
    <w:rsid w:val="008B0A83"/>
    <w:rsid w:val="008B0DCF"/>
    <w:rsid w:val="008B0E93"/>
    <w:rsid w:val="008B0F8D"/>
    <w:rsid w:val="008B198D"/>
    <w:rsid w:val="008B1FB5"/>
    <w:rsid w:val="008B23A8"/>
    <w:rsid w:val="008B29A4"/>
    <w:rsid w:val="008B2BB4"/>
    <w:rsid w:val="008B2C30"/>
    <w:rsid w:val="008B3C2B"/>
    <w:rsid w:val="008B4679"/>
    <w:rsid w:val="008B4D00"/>
    <w:rsid w:val="008B4D13"/>
    <w:rsid w:val="008B4E78"/>
    <w:rsid w:val="008B4FE2"/>
    <w:rsid w:val="008B59AE"/>
    <w:rsid w:val="008B5DCA"/>
    <w:rsid w:val="008B61A1"/>
    <w:rsid w:val="008B66D8"/>
    <w:rsid w:val="008B66EE"/>
    <w:rsid w:val="008B6793"/>
    <w:rsid w:val="008B6E87"/>
    <w:rsid w:val="008B75C2"/>
    <w:rsid w:val="008B787A"/>
    <w:rsid w:val="008B78F9"/>
    <w:rsid w:val="008C04EE"/>
    <w:rsid w:val="008C0A89"/>
    <w:rsid w:val="008C0AA9"/>
    <w:rsid w:val="008C0E71"/>
    <w:rsid w:val="008C1852"/>
    <w:rsid w:val="008C2CFF"/>
    <w:rsid w:val="008C2E1E"/>
    <w:rsid w:val="008C2E22"/>
    <w:rsid w:val="008C2ED2"/>
    <w:rsid w:val="008C3612"/>
    <w:rsid w:val="008C3D4D"/>
    <w:rsid w:val="008C4026"/>
    <w:rsid w:val="008C417E"/>
    <w:rsid w:val="008C4E31"/>
    <w:rsid w:val="008C5B51"/>
    <w:rsid w:val="008C5F0A"/>
    <w:rsid w:val="008C6105"/>
    <w:rsid w:val="008C6124"/>
    <w:rsid w:val="008C6334"/>
    <w:rsid w:val="008C63B5"/>
    <w:rsid w:val="008C66BD"/>
    <w:rsid w:val="008C6968"/>
    <w:rsid w:val="008C7418"/>
    <w:rsid w:val="008C742A"/>
    <w:rsid w:val="008C74C7"/>
    <w:rsid w:val="008C7714"/>
    <w:rsid w:val="008C797D"/>
    <w:rsid w:val="008C7F4F"/>
    <w:rsid w:val="008D00F3"/>
    <w:rsid w:val="008D0241"/>
    <w:rsid w:val="008D0B34"/>
    <w:rsid w:val="008D0F08"/>
    <w:rsid w:val="008D0F27"/>
    <w:rsid w:val="008D11F0"/>
    <w:rsid w:val="008D15A2"/>
    <w:rsid w:val="008D18CD"/>
    <w:rsid w:val="008D1F86"/>
    <w:rsid w:val="008D20E0"/>
    <w:rsid w:val="008D21E9"/>
    <w:rsid w:val="008D2B6E"/>
    <w:rsid w:val="008D335C"/>
    <w:rsid w:val="008D35B7"/>
    <w:rsid w:val="008D4007"/>
    <w:rsid w:val="008D407F"/>
    <w:rsid w:val="008D4194"/>
    <w:rsid w:val="008D436A"/>
    <w:rsid w:val="008D4767"/>
    <w:rsid w:val="008D4C72"/>
    <w:rsid w:val="008D4CF8"/>
    <w:rsid w:val="008D4D02"/>
    <w:rsid w:val="008D5246"/>
    <w:rsid w:val="008D5291"/>
    <w:rsid w:val="008D5368"/>
    <w:rsid w:val="008D561B"/>
    <w:rsid w:val="008D582B"/>
    <w:rsid w:val="008D5CF9"/>
    <w:rsid w:val="008D5D0A"/>
    <w:rsid w:val="008D60B3"/>
    <w:rsid w:val="008D6199"/>
    <w:rsid w:val="008D6421"/>
    <w:rsid w:val="008D64B9"/>
    <w:rsid w:val="008D6794"/>
    <w:rsid w:val="008D7183"/>
    <w:rsid w:val="008D7712"/>
    <w:rsid w:val="008D7F65"/>
    <w:rsid w:val="008E0178"/>
    <w:rsid w:val="008E02F8"/>
    <w:rsid w:val="008E0383"/>
    <w:rsid w:val="008E12AF"/>
    <w:rsid w:val="008E1342"/>
    <w:rsid w:val="008E1DC9"/>
    <w:rsid w:val="008E211C"/>
    <w:rsid w:val="008E28EC"/>
    <w:rsid w:val="008E2BB3"/>
    <w:rsid w:val="008E2BC5"/>
    <w:rsid w:val="008E2C79"/>
    <w:rsid w:val="008E3176"/>
    <w:rsid w:val="008E3564"/>
    <w:rsid w:val="008E3A0B"/>
    <w:rsid w:val="008E3A90"/>
    <w:rsid w:val="008E3AAB"/>
    <w:rsid w:val="008E3F34"/>
    <w:rsid w:val="008E4043"/>
    <w:rsid w:val="008E4520"/>
    <w:rsid w:val="008E54E8"/>
    <w:rsid w:val="008E5740"/>
    <w:rsid w:val="008E5868"/>
    <w:rsid w:val="008E5ADB"/>
    <w:rsid w:val="008E5DC8"/>
    <w:rsid w:val="008E60E7"/>
    <w:rsid w:val="008E6465"/>
    <w:rsid w:val="008E6C57"/>
    <w:rsid w:val="008E7082"/>
    <w:rsid w:val="008E72AF"/>
    <w:rsid w:val="008F04A7"/>
    <w:rsid w:val="008F0952"/>
    <w:rsid w:val="008F1154"/>
    <w:rsid w:val="008F1B84"/>
    <w:rsid w:val="008F1B9D"/>
    <w:rsid w:val="008F1DB6"/>
    <w:rsid w:val="008F2CB0"/>
    <w:rsid w:val="008F2FDF"/>
    <w:rsid w:val="008F337C"/>
    <w:rsid w:val="008F39C0"/>
    <w:rsid w:val="008F39E4"/>
    <w:rsid w:val="008F4081"/>
    <w:rsid w:val="008F51F0"/>
    <w:rsid w:val="008F57CD"/>
    <w:rsid w:val="008F5960"/>
    <w:rsid w:val="008F5CD0"/>
    <w:rsid w:val="008F629A"/>
    <w:rsid w:val="008F6A9B"/>
    <w:rsid w:val="008F6F03"/>
    <w:rsid w:val="008F75BC"/>
    <w:rsid w:val="008F7603"/>
    <w:rsid w:val="008F769D"/>
    <w:rsid w:val="008F76B7"/>
    <w:rsid w:val="008F76CA"/>
    <w:rsid w:val="008F76DC"/>
    <w:rsid w:val="008F7D2F"/>
    <w:rsid w:val="008F7E68"/>
    <w:rsid w:val="009013C5"/>
    <w:rsid w:val="0090147B"/>
    <w:rsid w:val="00901649"/>
    <w:rsid w:val="00901CBA"/>
    <w:rsid w:val="00901DC6"/>
    <w:rsid w:val="009021DC"/>
    <w:rsid w:val="00902EFD"/>
    <w:rsid w:val="00903026"/>
    <w:rsid w:val="0090357B"/>
    <w:rsid w:val="00903832"/>
    <w:rsid w:val="009042D0"/>
    <w:rsid w:val="009044BE"/>
    <w:rsid w:val="009048EB"/>
    <w:rsid w:val="00904913"/>
    <w:rsid w:val="00904C15"/>
    <w:rsid w:val="009050B3"/>
    <w:rsid w:val="00905298"/>
    <w:rsid w:val="00905945"/>
    <w:rsid w:val="00905FEB"/>
    <w:rsid w:val="00906164"/>
    <w:rsid w:val="00906252"/>
    <w:rsid w:val="0090672E"/>
    <w:rsid w:val="00906A4F"/>
    <w:rsid w:val="00906BD6"/>
    <w:rsid w:val="00906C84"/>
    <w:rsid w:val="00907074"/>
    <w:rsid w:val="009073C7"/>
    <w:rsid w:val="009078BA"/>
    <w:rsid w:val="009079C7"/>
    <w:rsid w:val="009079F7"/>
    <w:rsid w:val="00907B44"/>
    <w:rsid w:val="00907C33"/>
    <w:rsid w:val="009108D2"/>
    <w:rsid w:val="00910C20"/>
    <w:rsid w:val="00910FE1"/>
    <w:rsid w:val="0091106A"/>
    <w:rsid w:val="00911C09"/>
    <w:rsid w:val="00911D1C"/>
    <w:rsid w:val="00912266"/>
    <w:rsid w:val="00912F38"/>
    <w:rsid w:val="0091340D"/>
    <w:rsid w:val="00913C58"/>
    <w:rsid w:val="009140B4"/>
    <w:rsid w:val="00914174"/>
    <w:rsid w:val="0091428A"/>
    <w:rsid w:val="00914733"/>
    <w:rsid w:val="0091495E"/>
    <w:rsid w:val="00914AA5"/>
    <w:rsid w:val="00914EAF"/>
    <w:rsid w:val="00915428"/>
    <w:rsid w:val="00915651"/>
    <w:rsid w:val="009162DD"/>
    <w:rsid w:val="009163E7"/>
    <w:rsid w:val="0091670A"/>
    <w:rsid w:val="0091671A"/>
    <w:rsid w:val="009169F6"/>
    <w:rsid w:val="0091719D"/>
    <w:rsid w:val="00917903"/>
    <w:rsid w:val="00917BEA"/>
    <w:rsid w:val="00920189"/>
    <w:rsid w:val="00920203"/>
    <w:rsid w:val="00920997"/>
    <w:rsid w:val="00920B1E"/>
    <w:rsid w:val="00920DD5"/>
    <w:rsid w:val="00921161"/>
    <w:rsid w:val="0092182B"/>
    <w:rsid w:val="00922492"/>
    <w:rsid w:val="009224EB"/>
    <w:rsid w:val="0092272F"/>
    <w:rsid w:val="00922BE2"/>
    <w:rsid w:val="00922EDE"/>
    <w:rsid w:val="00922EE5"/>
    <w:rsid w:val="009237D9"/>
    <w:rsid w:val="0092406C"/>
    <w:rsid w:val="00924096"/>
    <w:rsid w:val="009243BC"/>
    <w:rsid w:val="009244D5"/>
    <w:rsid w:val="009247E0"/>
    <w:rsid w:val="009248DD"/>
    <w:rsid w:val="0092523A"/>
    <w:rsid w:val="009252F1"/>
    <w:rsid w:val="00925588"/>
    <w:rsid w:val="00925733"/>
    <w:rsid w:val="00925AF5"/>
    <w:rsid w:val="00926268"/>
    <w:rsid w:val="009264A2"/>
    <w:rsid w:val="0092715D"/>
    <w:rsid w:val="00927299"/>
    <w:rsid w:val="0092763A"/>
    <w:rsid w:val="00930632"/>
    <w:rsid w:val="009310BC"/>
    <w:rsid w:val="00931D3F"/>
    <w:rsid w:val="009324C4"/>
    <w:rsid w:val="00932671"/>
    <w:rsid w:val="00932A7A"/>
    <w:rsid w:val="00932D26"/>
    <w:rsid w:val="009330BF"/>
    <w:rsid w:val="00933817"/>
    <w:rsid w:val="009340EB"/>
    <w:rsid w:val="00934510"/>
    <w:rsid w:val="0093476C"/>
    <w:rsid w:val="00934E3D"/>
    <w:rsid w:val="00935A1E"/>
    <w:rsid w:val="00935AA3"/>
    <w:rsid w:val="00935B7C"/>
    <w:rsid w:val="00935BFF"/>
    <w:rsid w:val="00935E3A"/>
    <w:rsid w:val="00936005"/>
    <w:rsid w:val="0093607C"/>
    <w:rsid w:val="00937F90"/>
    <w:rsid w:val="00937FD1"/>
    <w:rsid w:val="00940008"/>
    <w:rsid w:val="00940769"/>
    <w:rsid w:val="00940FFA"/>
    <w:rsid w:val="00941010"/>
    <w:rsid w:val="00941503"/>
    <w:rsid w:val="0094187D"/>
    <w:rsid w:val="009423ED"/>
    <w:rsid w:val="00942C90"/>
    <w:rsid w:val="00942F29"/>
    <w:rsid w:val="00942FB6"/>
    <w:rsid w:val="009430E1"/>
    <w:rsid w:val="009434EB"/>
    <w:rsid w:val="00943EA6"/>
    <w:rsid w:val="009443F2"/>
    <w:rsid w:val="009446BB"/>
    <w:rsid w:val="009448F2"/>
    <w:rsid w:val="009451E0"/>
    <w:rsid w:val="0094524B"/>
    <w:rsid w:val="009456E3"/>
    <w:rsid w:val="00945759"/>
    <w:rsid w:val="00945925"/>
    <w:rsid w:val="009466E9"/>
    <w:rsid w:val="00946CB3"/>
    <w:rsid w:val="00946D20"/>
    <w:rsid w:val="00946E51"/>
    <w:rsid w:val="009473F4"/>
    <w:rsid w:val="0094767D"/>
    <w:rsid w:val="00947FDA"/>
    <w:rsid w:val="00950231"/>
    <w:rsid w:val="00950794"/>
    <w:rsid w:val="009507AA"/>
    <w:rsid w:val="009509EF"/>
    <w:rsid w:val="009515CA"/>
    <w:rsid w:val="00951691"/>
    <w:rsid w:val="00951FC5"/>
    <w:rsid w:val="00951FCE"/>
    <w:rsid w:val="009521CC"/>
    <w:rsid w:val="0095226C"/>
    <w:rsid w:val="009524BE"/>
    <w:rsid w:val="0095269B"/>
    <w:rsid w:val="00952C05"/>
    <w:rsid w:val="00952D52"/>
    <w:rsid w:val="009534A6"/>
    <w:rsid w:val="00953F14"/>
    <w:rsid w:val="009540B7"/>
    <w:rsid w:val="009543D0"/>
    <w:rsid w:val="00954AF9"/>
    <w:rsid w:val="00954DAE"/>
    <w:rsid w:val="00955410"/>
    <w:rsid w:val="009555ED"/>
    <w:rsid w:val="009558EE"/>
    <w:rsid w:val="009559D5"/>
    <w:rsid w:val="00955C17"/>
    <w:rsid w:val="00955FFA"/>
    <w:rsid w:val="00956170"/>
    <w:rsid w:val="009561F8"/>
    <w:rsid w:val="009563A4"/>
    <w:rsid w:val="00956BA1"/>
    <w:rsid w:val="00956D42"/>
    <w:rsid w:val="00956F0F"/>
    <w:rsid w:val="0095727F"/>
    <w:rsid w:val="009572AF"/>
    <w:rsid w:val="00957DA1"/>
    <w:rsid w:val="00957E41"/>
    <w:rsid w:val="0096016E"/>
    <w:rsid w:val="0096023A"/>
    <w:rsid w:val="009607AB"/>
    <w:rsid w:val="00960920"/>
    <w:rsid w:val="00961154"/>
    <w:rsid w:val="009615DB"/>
    <w:rsid w:val="00962683"/>
    <w:rsid w:val="00962ADC"/>
    <w:rsid w:val="00962E23"/>
    <w:rsid w:val="0096343D"/>
    <w:rsid w:val="00963BAB"/>
    <w:rsid w:val="009645C5"/>
    <w:rsid w:val="0096487C"/>
    <w:rsid w:val="00964BC2"/>
    <w:rsid w:val="00964D4A"/>
    <w:rsid w:val="00964EAE"/>
    <w:rsid w:val="00965023"/>
    <w:rsid w:val="009650B7"/>
    <w:rsid w:val="0096515D"/>
    <w:rsid w:val="0096554B"/>
    <w:rsid w:val="0096580F"/>
    <w:rsid w:val="00965841"/>
    <w:rsid w:val="00966623"/>
    <w:rsid w:val="009666E0"/>
    <w:rsid w:val="009678DB"/>
    <w:rsid w:val="00970728"/>
    <w:rsid w:val="009707C9"/>
    <w:rsid w:val="00970B82"/>
    <w:rsid w:val="00971303"/>
    <w:rsid w:val="00971E0B"/>
    <w:rsid w:val="00972101"/>
    <w:rsid w:val="00972285"/>
    <w:rsid w:val="00972345"/>
    <w:rsid w:val="00972FB5"/>
    <w:rsid w:val="00973103"/>
    <w:rsid w:val="00973607"/>
    <w:rsid w:val="009736FE"/>
    <w:rsid w:val="00973B96"/>
    <w:rsid w:val="00973E3C"/>
    <w:rsid w:val="00974763"/>
    <w:rsid w:val="00974847"/>
    <w:rsid w:val="009752F6"/>
    <w:rsid w:val="009757CA"/>
    <w:rsid w:val="00976E76"/>
    <w:rsid w:val="00977308"/>
    <w:rsid w:val="00977A14"/>
    <w:rsid w:val="00977E9B"/>
    <w:rsid w:val="009807BF"/>
    <w:rsid w:val="009809CE"/>
    <w:rsid w:val="0098131F"/>
    <w:rsid w:val="00981479"/>
    <w:rsid w:val="00981F74"/>
    <w:rsid w:val="0098237C"/>
    <w:rsid w:val="009829B3"/>
    <w:rsid w:val="00982C31"/>
    <w:rsid w:val="00982D45"/>
    <w:rsid w:val="00983165"/>
    <w:rsid w:val="00983343"/>
    <w:rsid w:val="009833C4"/>
    <w:rsid w:val="009834E0"/>
    <w:rsid w:val="009838FF"/>
    <w:rsid w:val="00984149"/>
    <w:rsid w:val="00984788"/>
    <w:rsid w:val="00984909"/>
    <w:rsid w:val="00984EE8"/>
    <w:rsid w:val="00984FF3"/>
    <w:rsid w:val="00984FF9"/>
    <w:rsid w:val="009850C5"/>
    <w:rsid w:val="0098516C"/>
    <w:rsid w:val="0098525C"/>
    <w:rsid w:val="00985A9C"/>
    <w:rsid w:val="00985FB7"/>
    <w:rsid w:val="00986326"/>
    <w:rsid w:val="00986849"/>
    <w:rsid w:val="00986BB7"/>
    <w:rsid w:val="00986D4B"/>
    <w:rsid w:val="00986F6D"/>
    <w:rsid w:val="0098727C"/>
    <w:rsid w:val="00987708"/>
    <w:rsid w:val="0098797C"/>
    <w:rsid w:val="00987DF0"/>
    <w:rsid w:val="00987E2E"/>
    <w:rsid w:val="0099008B"/>
    <w:rsid w:val="00990387"/>
    <w:rsid w:val="00990F1F"/>
    <w:rsid w:val="00990F40"/>
    <w:rsid w:val="0099177B"/>
    <w:rsid w:val="00991B8C"/>
    <w:rsid w:val="0099367E"/>
    <w:rsid w:val="00993FE4"/>
    <w:rsid w:val="009940F3"/>
    <w:rsid w:val="0099425E"/>
    <w:rsid w:val="00994CDC"/>
    <w:rsid w:val="00995B59"/>
    <w:rsid w:val="009969CD"/>
    <w:rsid w:val="0099770A"/>
    <w:rsid w:val="00997769"/>
    <w:rsid w:val="00997A2E"/>
    <w:rsid w:val="009A048E"/>
    <w:rsid w:val="009A0E99"/>
    <w:rsid w:val="009A119F"/>
    <w:rsid w:val="009A1609"/>
    <w:rsid w:val="009A16A3"/>
    <w:rsid w:val="009A1A7E"/>
    <w:rsid w:val="009A3480"/>
    <w:rsid w:val="009A3DB8"/>
    <w:rsid w:val="009A3E61"/>
    <w:rsid w:val="009A43B3"/>
    <w:rsid w:val="009A464D"/>
    <w:rsid w:val="009A47E3"/>
    <w:rsid w:val="009A496F"/>
    <w:rsid w:val="009A4B78"/>
    <w:rsid w:val="009A4D73"/>
    <w:rsid w:val="009A4E41"/>
    <w:rsid w:val="009A5257"/>
    <w:rsid w:val="009A5297"/>
    <w:rsid w:val="009A57C3"/>
    <w:rsid w:val="009A5851"/>
    <w:rsid w:val="009A5C0C"/>
    <w:rsid w:val="009A5C76"/>
    <w:rsid w:val="009A5D40"/>
    <w:rsid w:val="009A5E10"/>
    <w:rsid w:val="009A6665"/>
    <w:rsid w:val="009A743F"/>
    <w:rsid w:val="009A74F7"/>
    <w:rsid w:val="009A7EEB"/>
    <w:rsid w:val="009B00F2"/>
    <w:rsid w:val="009B0365"/>
    <w:rsid w:val="009B0E67"/>
    <w:rsid w:val="009B0FB2"/>
    <w:rsid w:val="009B1113"/>
    <w:rsid w:val="009B1C34"/>
    <w:rsid w:val="009B1D22"/>
    <w:rsid w:val="009B1E86"/>
    <w:rsid w:val="009B27C4"/>
    <w:rsid w:val="009B2BE6"/>
    <w:rsid w:val="009B2D92"/>
    <w:rsid w:val="009B31DE"/>
    <w:rsid w:val="009B3250"/>
    <w:rsid w:val="009B35A6"/>
    <w:rsid w:val="009B42A4"/>
    <w:rsid w:val="009B42D2"/>
    <w:rsid w:val="009B44D0"/>
    <w:rsid w:val="009B4A06"/>
    <w:rsid w:val="009B60EA"/>
    <w:rsid w:val="009B70C8"/>
    <w:rsid w:val="009B737C"/>
    <w:rsid w:val="009B742E"/>
    <w:rsid w:val="009C00DF"/>
    <w:rsid w:val="009C0AC6"/>
    <w:rsid w:val="009C11B2"/>
    <w:rsid w:val="009C1456"/>
    <w:rsid w:val="009C164F"/>
    <w:rsid w:val="009C1C30"/>
    <w:rsid w:val="009C22DD"/>
    <w:rsid w:val="009C29D5"/>
    <w:rsid w:val="009C30A0"/>
    <w:rsid w:val="009C354A"/>
    <w:rsid w:val="009C359E"/>
    <w:rsid w:val="009C37FE"/>
    <w:rsid w:val="009C4082"/>
    <w:rsid w:val="009C4A38"/>
    <w:rsid w:val="009C4A72"/>
    <w:rsid w:val="009C4AD8"/>
    <w:rsid w:val="009C4D3D"/>
    <w:rsid w:val="009C55E2"/>
    <w:rsid w:val="009C5A4E"/>
    <w:rsid w:val="009C5EE5"/>
    <w:rsid w:val="009C61E3"/>
    <w:rsid w:val="009C6B56"/>
    <w:rsid w:val="009C7DB8"/>
    <w:rsid w:val="009C7E7E"/>
    <w:rsid w:val="009C7FF0"/>
    <w:rsid w:val="009D010D"/>
    <w:rsid w:val="009D0244"/>
    <w:rsid w:val="009D0C43"/>
    <w:rsid w:val="009D0F71"/>
    <w:rsid w:val="009D111C"/>
    <w:rsid w:val="009D17A0"/>
    <w:rsid w:val="009D1F7A"/>
    <w:rsid w:val="009D2873"/>
    <w:rsid w:val="009D2942"/>
    <w:rsid w:val="009D2BB8"/>
    <w:rsid w:val="009D3A1A"/>
    <w:rsid w:val="009D426A"/>
    <w:rsid w:val="009D46A0"/>
    <w:rsid w:val="009D54E5"/>
    <w:rsid w:val="009D5BDB"/>
    <w:rsid w:val="009D662B"/>
    <w:rsid w:val="009D6B03"/>
    <w:rsid w:val="009D6B3D"/>
    <w:rsid w:val="009D7107"/>
    <w:rsid w:val="009D729E"/>
    <w:rsid w:val="009D7422"/>
    <w:rsid w:val="009D78E7"/>
    <w:rsid w:val="009D7C14"/>
    <w:rsid w:val="009E0742"/>
    <w:rsid w:val="009E0B29"/>
    <w:rsid w:val="009E1291"/>
    <w:rsid w:val="009E12BC"/>
    <w:rsid w:val="009E139D"/>
    <w:rsid w:val="009E224D"/>
    <w:rsid w:val="009E26D5"/>
    <w:rsid w:val="009E2A07"/>
    <w:rsid w:val="009E2A18"/>
    <w:rsid w:val="009E3398"/>
    <w:rsid w:val="009E3577"/>
    <w:rsid w:val="009E37A5"/>
    <w:rsid w:val="009E395B"/>
    <w:rsid w:val="009E3D2B"/>
    <w:rsid w:val="009E3DC2"/>
    <w:rsid w:val="009E3E84"/>
    <w:rsid w:val="009E4053"/>
    <w:rsid w:val="009E4097"/>
    <w:rsid w:val="009E4664"/>
    <w:rsid w:val="009E4D8E"/>
    <w:rsid w:val="009E4DBA"/>
    <w:rsid w:val="009E4E90"/>
    <w:rsid w:val="009E4EB7"/>
    <w:rsid w:val="009E530E"/>
    <w:rsid w:val="009E5347"/>
    <w:rsid w:val="009E57C1"/>
    <w:rsid w:val="009E624A"/>
    <w:rsid w:val="009E6B32"/>
    <w:rsid w:val="009E6F82"/>
    <w:rsid w:val="009E7039"/>
    <w:rsid w:val="009E70F3"/>
    <w:rsid w:val="009E7E98"/>
    <w:rsid w:val="009F00EE"/>
    <w:rsid w:val="009F0827"/>
    <w:rsid w:val="009F0BED"/>
    <w:rsid w:val="009F110F"/>
    <w:rsid w:val="009F1673"/>
    <w:rsid w:val="009F29AF"/>
    <w:rsid w:val="009F3255"/>
    <w:rsid w:val="009F341D"/>
    <w:rsid w:val="009F34AA"/>
    <w:rsid w:val="009F3AFE"/>
    <w:rsid w:val="009F3DCE"/>
    <w:rsid w:val="009F44FF"/>
    <w:rsid w:val="009F46E8"/>
    <w:rsid w:val="009F472D"/>
    <w:rsid w:val="009F4CF0"/>
    <w:rsid w:val="009F4E88"/>
    <w:rsid w:val="009F502E"/>
    <w:rsid w:val="009F50D1"/>
    <w:rsid w:val="009F573B"/>
    <w:rsid w:val="009F5918"/>
    <w:rsid w:val="009F596D"/>
    <w:rsid w:val="009F6A91"/>
    <w:rsid w:val="009F71A6"/>
    <w:rsid w:val="009F71AA"/>
    <w:rsid w:val="009F754A"/>
    <w:rsid w:val="009F791F"/>
    <w:rsid w:val="009F7F86"/>
    <w:rsid w:val="00A0034D"/>
    <w:rsid w:val="00A00BFB"/>
    <w:rsid w:val="00A00DCF"/>
    <w:rsid w:val="00A0126C"/>
    <w:rsid w:val="00A012DA"/>
    <w:rsid w:val="00A0187E"/>
    <w:rsid w:val="00A025F1"/>
    <w:rsid w:val="00A026F0"/>
    <w:rsid w:val="00A02F2D"/>
    <w:rsid w:val="00A02F61"/>
    <w:rsid w:val="00A03529"/>
    <w:rsid w:val="00A03DB2"/>
    <w:rsid w:val="00A03E0E"/>
    <w:rsid w:val="00A040D1"/>
    <w:rsid w:val="00A044B7"/>
    <w:rsid w:val="00A04A0A"/>
    <w:rsid w:val="00A04C40"/>
    <w:rsid w:val="00A050A8"/>
    <w:rsid w:val="00A056A3"/>
    <w:rsid w:val="00A059AF"/>
    <w:rsid w:val="00A05B51"/>
    <w:rsid w:val="00A06286"/>
    <w:rsid w:val="00A06318"/>
    <w:rsid w:val="00A063BC"/>
    <w:rsid w:val="00A068E1"/>
    <w:rsid w:val="00A06A80"/>
    <w:rsid w:val="00A06A84"/>
    <w:rsid w:val="00A06D8A"/>
    <w:rsid w:val="00A0711F"/>
    <w:rsid w:val="00A07B0B"/>
    <w:rsid w:val="00A102A0"/>
    <w:rsid w:val="00A10860"/>
    <w:rsid w:val="00A114FA"/>
    <w:rsid w:val="00A11AF3"/>
    <w:rsid w:val="00A11EE2"/>
    <w:rsid w:val="00A12ACF"/>
    <w:rsid w:val="00A12B42"/>
    <w:rsid w:val="00A12BD4"/>
    <w:rsid w:val="00A12C09"/>
    <w:rsid w:val="00A13084"/>
    <w:rsid w:val="00A1320F"/>
    <w:rsid w:val="00A1327F"/>
    <w:rsid w:val="00A13817"/>
    <w:rsid w:val="00A138D3"/>
    <w:rsid w:val="00A13E0F"/>
    <w:rsid w:val="00A144B7"/>
    <w:rsid w:val="00A149B4"/>
    <w:rsid w:val="00A14FD9"/>
    <w:rsid w:val="00A15170"/>
    <w:rsid w:val="00A152D3"/>
    <w:rsid w:val="00A15E9F"/>
    <w:rsid w:val="00A15F4F"/>
    <w:rsid w:val="00A160AB"/>
    <w:rsid w:val="00A166A3"/>
    <w:rsid w:val="00A16745"/>
    <w:rsid w:val="00A16747"/>
    <w:rsid w:val="00A17E93"/>
    <w:rsid w:val="00A20013"/>
    <w:rsid w:val="00A2003F"/>
    <w:rsid w:val="00A2056F"/>
    <w:rsid w:val="00A20582"/>
    <w:rsid w:val="00A20C65"/>
    <w:rsid w:val="00A20C9D"/>
    <w:rsid w:val="00A21767"/>
    <w:rsid w:val="00A21FD5"/>
    <w:rsid w:val="00A22751"/>
    <w:rsid w:val="00A22940"/>
    <w:rsid w:val="00A23102"/>
    <w:rsid w:val="00A233D8"/>
    <w:rsid w:val="00A2343F"/>
    <w:rsid w:val="00A23505"/>
    <w:rsid w:val="00A2385B"/>
    <w:rsid w:val="00A2428B"/>
    <w:rsid w:val="00A247E5"/>
    <w:rsid w:val="00A248BD"/>
    <w:rsid w:val="00A24D81"/>
    <w:rsid w:val="00A24EA5"/>
    <w:rsid w:val="00A25173"/>
    <w:rsid w:val="00A252F0"/>
    <w:rsid w:val="00A25580"/>
    <w:rsid w:val="00A259F2"/>
    <w:rsid w:val="00A25AE1"/>
    <w:rsid w:val="00A26463"/>
    <w:rsid w:val="00A2660E"/>
    <w:rsid w:val="00A26916"/>
    <w:rsid w:val="00A26B47"/>
    <w:rsid w:val="00A26FF1"/>
    <w:rsid w:val="00A27547"/>
    <w:rsid w:val="00A2770B"/>
    <w:rsid w:val="00A27806"/>
    <w:rsid w:val="00A3068C"/>
    <w:rsid w:val="00A30899"/>
    <w:rsid w:val="00A3127F"/>
    <w:rsid w:val="00A31922"/>
    <w:rsid w:val="00A31BCC"/>
    <w:rsid w:val="00A31C70"/>
    <w:rsid w:val="00A31C87"/>
    <w:rsid w:val="00A325BB"/>
    <w:rsid w:val="00A3297A"/>
    <w:rsid w:val="00A32A58"/>
    <w:rsid w:val="00A32EEC"/>
    <w:rsid w:val="00A333CC"/>
    <w:rsid w:val="00A336C5"/>
    <w:rsid w:val="00A33980"/>
    <w:rsid w:val="00A339D9"/>
    <w:rsid w:val="00A33BD6"/>
    <w:rsid w:val="00A34EC4"/>
    <w:rsid w:val="00A3510A"/>
    <w:rsid w:val="00A3515F"/>
    <w:rsid w:val="00A35751"/>
    <w:rsid w:val="00A3577F"/>
    <w:rsid w:val="00A35B5B"/>
    <w:rsid w:val="00A35BBC"/>
    <w:rsid w:val="00A35DAB"/>
    <w:rsid w:val="00A35EF0"/>
    <w:rsid w:val="00A36724"/>
    <w:rsid w:val="00A367AF"/>
    <w:rsid w:val="00A36C13"/>
    <w:rsid w:val="00A377C2"/>
    <w:rsid w:val="00A37A31"/>
    <w:rsid w:val="00A4021B"/>
    <w:rsid w:val="00A40B1F"/>
    <w:rsid w:val="00A40B4D"/>
    <w:rsid w:val="00A411E2"/>
    <w:rsid w:val="00A41373"/>
    <w:rsid w:val="00A41638"/>
    <w:rsid w:val="00A41B15"/>
    <w:rsid w:val="00A4208C"/>
    <w:rsid w:val="00A4224E"/>
    <w:rsid w:val="00A4229F"/>
    <w:rsid w:val="00A428A9"/>
    <w:rsid w:val="00A42ACA"/>
    <w:rsid w:val="00A4327C"/>
    <w:rsid w:val="00A43496"/>
    <w:rsid w:val="00A43665"/>
    <w:rsid w:val="00A43AAB"/>
    <w:rsid w:val="00A43AFE"/>
    <w:rsid w:val="00A441CC"/>
    <w:rsid w:val="00A4466A"/>
    <w:rsid w:val="00A447E3"/>
    <w:rsid w:val="00A44AAD"/>
    <w:rsid w:val="00A44D3B"/>
    <w:rsid w:val="00A44F5C"/>
    <w:rsid w:val="00A45241"/>
    <w:rsid w:val="00A45280"/>
    <w:rsid w:val="00A452B8"/>
    <w:rsid w:val="00A45BF7"/>
    <w:rsid w:val="00A463B5"/>
    <w:rsid w:val="00A463BA"/>
    <w:rsid w:val="00A465BF"/>
    <w:rsid w:val="00A46675"/>
    <w:rsid w:val="00A46A5F"/>
    <w:rsid w:val="00A46E71"/>
    <w:rsid w:val="00A471A3"/>
    <w:rsid w:val="00A47597"/>
    <w:rsid w:val="00A47614"/>
    <w:rsid w:val="00A47E44"/>
    <w:rsid w:val="00A47F91"/>
    <w:rsid w:val="00A507D7"/>
    <w:rsid w:val="00A50A5C"/>
    <w:rsid w:val="00A50BE2"/>
    <w:rsid w:val="00A50CC6"/>
    <w:rsid w:val="00A50E40"/>
    <w:rsid w:val="00A51462"/>
    <w:rsid w:val="00A51946"/>
    <w:rsid w:val="00A51F17"/>
    <w:rsid w:val="00A51FF7"/>
    <w:rsid w:val="00A52079"/>
    <w:rsid w:val="00A52143"/>
    <w:rsid w:val="00A521E9"/>
    <w:rsid w:val="00A5298E"/>
    <w:rsid w:val="00A52B3E"/>
    <w:rsid w:val="00A52B74"/>
    <w:rsid w:val="00A5313B"/>
    <w:rsid w:val="00A5320E"/>
    <w:rsid w:val="00A53F7B"/>
    <w:rsid w:val="00A54090"/>
    <w:rsid w:val="00A541F3"/>
    <w:rsid w:val="00A54282"/>
    <w:rsid w:val="00A549D3"/>
    <w:rsid w:val="00A54DF0"/>
    <w:rsid w:val="00A56601"/>
    <w:rsid w:val="00A57E98"/>
    <w:rsid w:val="00A60017"/>
    <w:rsid w:val="00A60849"/>
    <w:rsid w:val="00A60AAA"/>
    <w:rsid w:val="00A6105B"/>
    <w:rsid w:val="00A61355"/>
    <w:rsid w:val="00A61668"/>
    <w:rsid w:val="00A621D3"/>
    <w:rsid w:val="00A628F8"/>
    <w:rsid w:val="00A62B7A"/>
    <w:rsid w:val="00A631A1"/>
    <w:rsid w:val="00A632EA"/>
    <w:rsid w:val="00A6339D"/>
    <w:rsid w:val="00A634BE"/>
    <w:rsid w:val="00A63AD7"/>
    <w:rsid w:val="00A63BFD"/>
    <w:rsid w:val="00A63E61"/>
    <w:rsid w:val="00A6491F"/>
    <w:rsid w:val="00A64A9E"/>
    <w:rsid w:val="00A64C72"/>
    <w:rsid w:val="00A64D1A"/>
    <w:rsid w:val="00A65320"/>
    <w:rsid w:val="00A656F3"/>
    <w:rsid w:val="00A65BA5"/>
    <w:rsid w:val="00A66354"/>
    <w:rsid w:val="00A66E37"/>
    <w:rsid w:val="00A66ECF"/>
    <w:rsid w:val="00A6712C"/>
    <w:rsid w:val="00A67681"/>
    <w:rsid w:val="00A67E38"/>
    <w:rsid w:val="00A703E4"/>
    <w:rsid w:val="00A704C9"/>
    <w:rsid w:val="00A70893"/>
    <w:rsid w:val="00A70DC6"/>
    <w:rsid w:val="00A71080"/>
    <w:rsid w:val="00A71986"/>
    <w:rsid w:val="00A71E3D"/>
    <w:rsid w:val="00A71E73"/>
    <w:rsid w:val="00A72740"/>
    <w:rsid w:val="00A72BF2"/>
    <w:rsid w:val="00A72CC3"/>
    <w:rsid w:val="00A73A64"/>
    <w:rsid w:val="00A742AD"/>
    <w:rsid w:val="00A746D7"/>
    <w:rsid w:val="00A749F0"/>
    <w:rsid w:val="00A74AB2"/>
    <w:rsid w:val="00A75A27"/>
    <w:rsid w:val="00A75A46"/>
    <w:rsid w:val="00A75B36"/>
    <w:rsid w:val="00A7623B"/>
    <w:rsid w:val="00A7660A"/>
    <w:rsid w:val="00A7663A"/>
    <w:rsid w:val="00A7696B"/>
    <w:rsid w:val="00A769D4"/>
    <w:rsid w:val="00A76B33"/>
    <w:rsid w:val="00A77AFF"/>
    <w:rsid w:val="00A77F2A"/>
    <w:rsid w:val="00A8008F"/>
    <w:rsid w:val="00A804C7"/>
    <w:rsid w:val="00A80857"/>
    <w:rsid w:val="00A80A39"/>
    <w:rsid w:val="00A80DF0"/>
    <w:rsid w:val="00A80E64"/>
    <w:rsid w:val="00A81A16"/>
    <w:rsid w:val="00A823A7"/>
    <w:rsid w:val="00A824D4"/>
    <w:rsid w:val="00A825C8"/>
    <w:rsid w:val="00A82742"/>
    <w:rsid w:val="00A82A29"/>
    <w:rsid w:val="00A83984"/>
    <w:rsid w:val="00A83A1E"/>
    <w:rsid w:val="00A84198"/>
    <w:rsid w:val="00A841AB"/>
    <w:rsid w:val="00A84FFD"/>
    <w:rsid w:val="00A86104"/>
    <w:rsid w:val="00A8655A"/>
    <w:rsid w:val="00A87203"/>
    <w:rsid w:val="00A87744"/>
    <w:rsid w:val="00A87AE6"/>
    <w:rsid w:val="00A87B09"/>
    <w:rsid w:val="00A87C22"/>
    <w:rsid w:val="00A90590"/>
    <w:rsid w:val="00A90A97"/>
    <w:rsid w:val="00A90CB4"/>
    <w:rsid w:val="00A910DA"/>
    <w:rsid w:val="00A91A62"/>
    <w:rsid w:val="00A920E1"/>
    <w:rsid w:val="00A92998"/>
    <w:rsid w:val="00A933AE"/>
    <w:rsid w:val="00A93863"/>
    <w:rsid w:val="00A93928"/>
    <w:rsid w:val="00A93F73"/>
    <w:rsid w:val="00A9415E"/>
    <w:rsid w:val="00A9423F"/>
    <w:rsid w:val="00A94EBD"/>
    <w:rsid w:val="00A9510D"/>
    <w:rsid w:val="00A95580"/>
    <w:rsid w:val="00A956AC"/>
    <w:rsid w:val="00A95D2A"/>
    <w:rsid w:val="00A961D6"/>
    <w:rsid w:val="00A96214"/>
    <w:rsid w:val="00A96306"/>
    <w:rsid w:val="00A967E8"/>
    <w:rsid w:val="00A96F1C"/>
    <w:rsid w:val="00A97BD0"/>
    <w:rsid w:val="00A97C5D"/>
    <w:rsid w:val="00A97F4B"/>
    <w:rsid w:val="00AA04C5"/>
    <w:rsid w:val="00AA10B1"/>
    <w:rsid w:val="00AA17F6"/>
    <w:rsid w:val="00AA2803"/>
    <w:rsid w:val="00AA2A8D"/>
    <w:rsid w:val="00AA2BF2"/>
    <w:rsid w:val="00AA2D68"/>
    <w:rsid w:val="00AA2D6F"/>
    <w:rsid w:val="00AA2E92"/>
    <w:rsid w:val="00AA368D"/>
    <w:rsid w:val="00AA3702"/>
    <w:rsid w:val="00AA3987"/>
    <w:rsid w:val="00AA3B68"/>
    <w:rsid w:val="00AA3E79"/>
    <w:rsid w:val="00AA4FB4"/>
    <w:rsid w:val="00AA5C0B"/>
    <w:rsid w:val="00AA5E3B"/>
    <w:rsid w:val="00AA63AD"/>
    <w:rsid w:val="00AA65B4"/>
    <w:rsid w:val="00AA6A75"/>
    <w:rsid w:val="00AA745E"/>
    <w:rsid w:val="00AB04AB"/>
    <w:rsid w:val="00AB0733"/>
    <w:rsid w:val="00AB09D2"/>
    <w:rsid w:val="00AB0B64"/>
    <w:rsid w:val="00AB0C30"/>
    <w:rsid w:val="00AB0CE9"/>
    <w:rsid w:val="00AB176B"/>
    <w:rsid w:val="00AB2B6A"/>
    <w:rsid w:val="00AB2C5F"/>
    <w:rsid w:val="00AB34DB"/>
    <w:rsid w:val="00AB37E6"/>
    <w:rsid w:val="00AB3DBA"/>
    <w:rsid w:val="00AB431C"/>
    <w:rsid w:val="00AB470E"/>
    <w:rsid w:val="00AB4C80"/>
    <w:rsid w:val="00AB506B"/>
    <w:rsid w:val="00AB5467"/>
    <w:rsid w:val="00AB5883"/>
    <w:rsid w:val="00AB593F"/>
    <w:rsid w:val="00AB5A7E"/>
    <w:rsid w:val="00AB7538"/>
    <w:rsid w:val="00AB77F3"/>
    <w:rsid w:val="00AB7E6C"/>
    <w:rsid w:val="00AC0256"/>
    <w:rsid w:val="00AC0AAD"/>
    <w:rsid w:val="00AC1231"/>
    <w:rsid w:val="00AC1992"/>
    <w:rsid w:val="00AC1E14"/>
    <w:rsid w:val="00AC2648"/>
    <w:rsid w:val="00AC2CFA"/>
    <w:rsid w:val="00AC30F0"/>
    <w:rsid w:val="00AC3263"/>
    <w:rsid w:val="00AC337E"/>
    <w:rsid w:val="00AC3E12"/>
    <w:rsid w:val="00AC406E"/>
    <w:rsid w:val="00AC417C"/>
    <w:rsid w:val="00AC430C"/>
    <w:rsid w:val="00AC448F"/>
    <w:rsid w:val="00AC4951"/>
    <w:rsid w:val="00AC49C9"/>
    <w:rsid w:val="00AC4A6B"/>
    <w:rsid w:val="00AC5C19"/>
    <w:rsid w:val="00AC60F0"/>
    <w:rsid w:val="00AC63C7"/>
    <w:rsid w:val="00AC6657"/>
    <w:rsid w:val="00AC6D7A"/>
    <w:rsid w:val="00AC7363"/>
    <w:rsid w:val="00AC7401"/>
    <w:rsid w:val="00AC7901"/>
    <w:rsid w:val="00AC79F3"/>
    <w:rsid w:val="00AC7FDD"/>
    <w:rsid w:val="00AD0949"/>
    <w:rsid w:val="00AD0F1D"/>
    <w:rsid w:val="00AD1179"/>
    <w:rsid w:val="00AD1359"/>
    <w:rsid w:val="00AD19F0"/>
    <w:rsid w:val="00AD1FCE"/>
    <w:rsid w:val="00AD26E1"/>
    <w:rsid w:val="00AD29CC"/>
    <w:rsid w:val="00AD3146"/>
    <w:rsid w:val="00AD3268"/>
    <w:rsid w:val="00AD35F9"/>
    <w:rsid w:val="00AD3652"/>
    <w:rsid w:val="00AD3DE2"/>
    <w:rsid w:val="00AD4261"/>
    <w:rsid w:val="00AD46F5"/>
    <w:rsid w:val="00AD51A3"/>
    <w:rsid w:val="00AD598B"/>
    <w:rsid w:val="00AD7154"/>
    <w:rsid w:val="00AD766C"/>
    <w:rsid w:val="00AD797D"/>
    <w:rsid w:val="00AD7E02"/>
    <w:rsid w:val="00AE0034"/>
    <w:rsid w:val="00AE0355"/>
    <w:rsid w:val="00AE0483"/>
    <w:rsid w:val="00AE08DD"/>
    <w:rsid w:val="00AE1214"/>
    <w:rsid w:val="00AE13BD"/>
    <w:rsid w:val="00AE1ABF"/>
    <w:rsid w:val="00AE1AF9"/>
    <w:rsid w:val="00AE1BB7"/>
    <w:rsid w:val="00AE1E60"/>
    <w:rsid w:val="00AE2068"/>
    <w:rsid w:val="00AE2258"/>
    <w:rsid w:val="00AE246C"/>
    <w:rsid w:val="00AE277E"/>
    <w:rsid w:val="00AE2A36"/>
    <w:rsid w:val="00AE2BC6"/>
    <w:rsid w:val="00AE2D47"/>
    <w:rsid w:val="00AE3251"/>
    <w:rsid w:val="00AE33DA"/>
    <w:rsid w:val="00AE3FE0"/>
    <w:rsid w:val="00AE450A"/>
    <w:rsid w:val="00AE4BF5"/>
    <w:rsid w:val="00AE5058"/>
    <w:rsid w:val="00AE51CD"/>
    <w:rsid w:val="00AE5471"/>
    <w:rsid w:val="00AE54AA"/>
    <w:rsid w:val="00AE60E4"/>
    <w:rsid w:val="00AE6872"/>
    <w:rsid w:val="00AE68A3"/>
    <w:rsid w:val="00AE6C58"/>
    <w:rsid w:val="00AE6CC4"/>
    <w:rsid w:val="00AE72C4"/>
    <w:rsid w:val="00AE7F05"/>
    <w:rsid w:val="00AE7F38"/>
    <w:rsid w:val="00AF054D"/>
    <w:rsid w:val="00AF0939"/>
    <w:rsid w:val="00AF0981"/>
    <w:rsid w:val="00AF0F9C"/>
    <w:rsid w:val="00AF10F0"/>
    <w:rsid w:val="00AF18E2"/>
    <w:rsid w:val="00AF24E7"/>
    <w:rsid w:val="00AF272B"/>
    <w:rsid w:val="00AF291B"/>
    <w:rsid w:val="00AF2DAA"/>
    <w:rsid w:val="00AF2EBD"/>
    <w:rsid w:val="00AF33AE"/>
    <w:rsid w:val="00AF3CDC"/>
    <w:rsid w:val="00AF44B1"/>
    <w:rsid w:val="00AF5800"/>
    <w:rsid w:val="00AF6986"/>
    <w:rsid w:val="00AF69FE"/>
    <w:rsid w:val="00AF6A77"/>
    <w:rsid w:val="00AF6D1B"/>
    <w:rsid w:val="00AF73ED"/>
    <w:rsid w:val="00AF7D69"/>
    <w:rsid w:val="00AF7ED2"/>
    <w:rsid w:val="00B004D8"/>
    <w:rsid w:val="00B00830"/>
    <w:rsid w:val="00B00CC5"/>
    <w:rsid w:val="00B016D2"/>
    <w:rsid w:val="00B02091"/>
    <w:rsid w:val="00B0250E"/>
    <w:rsid w:val="00B02B43"/>
    <w:rsid w:val="00B03697"/>
    <w:rsid w:val="00B03B93"/>
    <w:rsid w:val="00B03D36"/>
    <w:rsid w:val="00B04540"/>
    <w:rsid w:val="00B046F1"/>
    <w:rsid w:val="00B05116"/>
    <w:rsid w:val="00B051A7"/>
    <w:rsid w:val="00B05B39"/>
    <w:rsid w:val="00B05F1A"/>
    <w:rsid w:val="00B07B33"/>
    <w:rsid w:val="00B07FA2"/>
    <w:rsid w:val="00B100CF"/>
    <w:rsid w:val="00B1074F"/>
    <w:rsid w:val="00B10AE1"/>
    <w:rsid w:val="00B10E82"/>
    <w:rsid w:val="00B11180"/>
    <w:rsid w:val="00B111A6"/>
    <w:rsid w:val="00B11540"/>
    <w:rsid w:val="00B115E5"/>
    <w:rsid w:val="00B118EE"/>
    <w:rsid w:val="00B11B03"/>
    <w:rsid w:val="00B11C5B"/>
    <w:rsid w:val="00B11FFD"/>
    <w:rsid w:val="00B121CD"/>
    <w:rsid w:val="00B12343"/>
    <w:rsid w:val="00B12529"/>
    <w:rsid w:val="00B12742"/>
    <w:rsid w:val="00B128C5"/>
    <w:rsid w:val="00B12B11"/>
    <w:rsid w:val="00B12C94"/>
    <w:rsid w:val="00B135AB"/>
    <w:rsid w:val="00B13797"/>
    <w:rsid w:val="00B137BF"/>
    <w:rsid w:val="00B13A1B"/>
    <w:rsid w:val="00B13A76"/>
    <w:rsid w:val="00B142D9"/>
    <w:rsid w:val="00B145D5"/>
    <w:rsid w:val="00B14BC4"/>
    <w:rsid w:val="00B158A3"/>
    <w:rsid w:val="00B158FA"/>
    <w:rsid w:val="00B15B25"/>
    <w:rsid w:val="00B15C36"/>
    <w:rsid w:val="00B15EA0"/>
    <w:rsid w:val="00B16069"/>
    <w:rsid w:val="00B1745A"/>
    <w:rsid w:val="00B17785"/>
    <w:rsid w:val="00B17A4E"/>
    <w:rsid w:val="00B17B30"/>
    <w:rsid w:val="00B17C2F"/>
    <w:rsid w:val="00B17F5F"/>
    <w:rsid w:val="00B2153E"/>
    <w:rsid w:val="00B218CB"/>
    <w:rsid w:val="00B21FA7"/>
    <w:rsid w:val="00B22022"/>
    <w:rsid w:val="00B225E4"/>
    <w:rsid w:val="00B23223"/>
    <w:rsid w:val="00B23E23"/>
    <w:rsid w:val="00B23F7A"/>
    <w:rsid w:val="00B240B1"/>
    <w:rsid w:val="00B24208"/>
    <w:rsid w:val="00B24374"/>
    <w:rsid w:val="00B245E8"/>
    <w:rsid w:val="00B24728"/>
    <w:rsid w:val="00B248A9"/>
    <w:rsid w:val="00B2490A"/>
    <w:rsid w:val="00B24BE3"/>
    <w:rsid w:val="00B24D28"/>
    <w:rsid w:val="00B24F1C"/>
    <w:rsid w:val="00B25D76"/>
    <w:rsid w:val="00B26A82"/>
    <w:rsid w:val="00B27032"/>
    <w:rsid w:val="00B27085"/>
    <w:rsid w:val="00B27583"/>
    <w:rsid w:val="00B30003"/>
    <w:rsid w:val="00B3015C"/>
    <w:rsid w:val="00B30386"/>
    <w:rsid w:val="00B30642"/>
    <w:rsid w:val="00B31201"/>
    <w:rsid w:val="00B31B4B"/>
    <w:rsid w:val="00B31E36"/>
    <w:rsid w:val="00B324A3"/>
    <w:rsid w:val="00B32E26"/>
    <w:rsid w:val="00B3314F"/>
    <w:rsid w:val="00B338B7"/>
    <w:rsid w:val="00B34061"/>
    <w:rsid w:val="00B34376"/>
    <w:rsid w:val="00B3440A"/>
    <w:rsid w:val="00B34441"/>
    <w:rsid w:val="00B34CF4"/>
    <w:rsid w:val="00B35533"/>
    <w:rsid w:val="00B35534"/>
    <w:rsid w:val="00B35A87"/>
    <w:rsid w:val="00B35AFD"/>
    <w:rsid w:val="00B35F9A"/>
    <w:rsid w:val="00B3609C"/>
    <w:rsid w:val="00B36236"/>
    <w:rsid w:val="00B3662E"/>
    <w:rsid w:val="00B36645"/>
    <w:rsid w:val="00B366D2"/>
    <w:rsid w:val="00B366FA"/>
    <w:rsid w:val="00B36E86"/>
    <w:rsid w:val="00B379BA"/>
    <w:rsid w:val="00B405D5"/>
    <w:rsid w:val="00B406C6"/>
    <w:rsid w:val="00B40910"/>
    <w:rsid w:val="00B40B30"/>
    <w:rsid w:val="00B40E47"/>
    <w:rsid w:val="00B412FD"/>
    <w:rsid w:val="00B41E1C"/>
    <w:rsid w:val="00B422BE"/>
    <w:rsid w:val="00B4241D"/>
    <w:rsid w:val="00B426BB"/>
    <w:rsid w:val="00B42EB9"/>
    <w:rsid w:val="00B436F0"/>
    <w:rsid w:val="00B441FE"/>
    <w:rsid w:val="00B44821"/>
    <w:rsid w:val="00B44AD3"/>
    <w:rsid w:val="00B450EB"/>
    <w:rsid w:val="00B45152"/>
    <w:rsid w:val="00B454DD"/>
    <w:rsid w:val="00B45E54"/>
    <w:rsid w:val="00B460B8"/>
    <w:rsid w:val="00B464E4"/>
    <w:rsid w:val="00B4689A"/>
    <w:rsid w:val="00B46D5F"/>
    <w:rsid w:val="00B46E7B"/>
    <w:rsid w:val="00B47DC5"/>
    <w:rsid w:val="00B50395"/>
    <w:rsid w:val="00B505B3"/>
    <w:rsid w:val="00B50882"/>
    <w:rsid w:val="00B50A74"/>
    <w:rsid w:val="00B5199C"/>
    <w:rsid w:val="00B520A0"/>
    <w:rsid w:val="00B5257E"/>
    <w:rsid w:val="00B525CE"/>
    <w:rsid w:val="00B52CFD"/>
    <w:rsid w:val="00B54470"/>
    <w:rsid w:val="00B545A8"/>
    <w:rsid w:val="00B5527A"/>
    <w:rsid w:val="00B55B79"/>
    <w:rsid w:val="00B55C0C"/>
    <w:rsid w:val="00B55F37"/>
    <w:rsid w:val="00B56527"/>
    <w:rsid w:val="00B56706"/>
    <w:rsid w:val="00B56CAF"/>
    <w:rsid w:val="00B57019"/>
    <w:rsid w:val="00B574F9"/>
    <w:rsid w:val="00B576DA"/>
    <w:rsid w:val="00B57710"/>
    <w:rsid w:val="00B57EF3"/>
    <w:rsid w:val="00B601C9"/>
    <w:rsid w:val="00B60B97"/>
    <w:rsid w:val="00B60D04"/>
    <w:rsid w:val="00B6158F"/>
    <w:rsid w:val="00B61EE8"/>
    <w:rsid w:val="00B633A3"/>
    <w:rsid w:val="00B63533"/>
    <w:rsid w:val="00B63BDB"/>
    <w:rsid w:val="00B64A0E"/>
    <w:rsid w:val="00B64DDF"/>
    <w:rsid w:val="00B6601E"/>
    <w:rsid w:val="00B663AA"/>
    <w:rsid w:val="00B66AE1"/>
    <w:rsid w:val="00B66DD5"/>
    <w:rsid w:val="00B67722"/>
    <w:rsid w:val="00B67B97"/>
    <w:rsid w:val="00B67F01"/>
    <w:rsid w:val="00B7002E"/>
    <w:rsid w:val="00B70329"/>
    <w:rsid w:val="00B7038F"/>
    <w:rsid w:val="00B7047D"/>
    <w:rsid w:val="00B706C3"/>
    <w:rsid w:val="00B711AB"/>
    <w:rsid w:val="00B714F0"/>
    <w:rsid w:val="00B71A40"/>
    <w:rsid w:val="00B71C8C"/>
    <w:rsid w:val="00B71CB4"/>
    <w:rsid w:val="00B71FD7"/>
    <w:rsid w:val="00B721EC"/>
    <w:rsid w:val="00B725E7"/>
    <w:rsid w:val="00B72C07"/>
    <w:rsid w:val="00B72DF7"/>
    <w:rsid w:val="00B72F42"/>
    <w:rsid w:val="00B73980"/>
    <w:rsid w:val="00B73E44"/>
    <w:rsid w:val="00B74290"/>
    <w:rsid w:val="00B74510"/>
    <w:rsid w:val="00B74BD4"/>
    <w:rsid w:val="00B74BF7"/>
    <w:rsid w:val="00B760FD"/>
    <w:rsid w:val="00B76185"/>
    <w:rsid w:val="00B76671"/>
    <w:rsid w:val="00B76885"/>
    <w:rsid w:val="00B76BCD"/>
    <w:rsid w:val="00B779E6"/>
    <w:rsid w:val="00B804E2"/>
    <w:rsid w:val="00B80756"/>
    <w:rsid w:val="00B811B2"/>
    <w:rsid w:val="00B81BA3"/>
    <w:rsid w:val="00B82213"/>
    <w:rsid w:val="00B8276E"/>
    <w:rsid w:val="00B82912"/>
    <w:rsid w:val="00B839A9"/>
    <w:rsid w:val="00B83A62"/>
    <w:rsid w:val="00B83B59"/>
    <w:rsid w:val="00B84252"/>
    <w:rsid w:val="00B8468F"/>
    <w:rsid w:val="00B849F1"/>
    <w:rsid w:val="00B84C22"/>
    <w:rsid w:val="00B84FC6"/>
    <w:rsid w:val="00B857F5"/>
    <w:rsid w:val="00B862D8"/>
    <w:rsid w:val="00B86D6C"/>
    <w:rsid w:val="00B86EB5"/>
    <w:rsid w:val="00B86F47"/>
    <w:rsid w:val="00B871B5"/>
    <w:rsid w:val="00B874B4"/>
    <w:rsid w:val="00B8787A"/>
    <w:rsid w:val="00B87887"/>
    <w:rsid w:val="00B90123"/>
    <w:rsid w:val="00B90196"/>
    <w:rsid w:val="00B9113A"/>
    <w:rsid w:val="00B911C1"/>
    <w:rsid w:val="00B91374"/>
    <w:rsid w:val="00B9216A"/>
    <w:rsid w:val="00B922C3"/>
    <w:rsid w:val="00B9272E"/>
    <w:rsid w:val="00B927A7"/>
    <w:rsid w:val="00B92B9E"/>
    <w:rsid w:val="00B93315"/>
    <w:rsid w:val="00B93519"/>
    <w:rsid w:val="00B9372A"/>
    <w:rsid w:val="00B93F93"/>
    <w:rsid w:val="00B9425C"/>
    <w:rsid w:val="00B94AAF"/>
    <w:rsid w:val="00B953FF"/>
    <w:rsid w:val="00B9622D"/>
    <w:rsid w:val="00B96263"/>
    <w:rsid w:val="00B96674"/>
    <w:rsid w:val="00B968A5"/>
    <w:rsid w:val="00B972CD"/>
    <w:rsid w:val="00B97D02"/>
    <w:rsid w:val="00BA0304"/>
    <w:rsid w:val="00BA0557"/>
    <w:rsid w:val="00BA0B6B"/>
    <w:rsid w:val="00BA0F57"/>
    <w:rsid w:val="00BA15A5"/>
    <w:rsid w:val="00BA19C4"/>
    <w:rsid w:val="00BA2D53"/>
    <w:rsid w:val="00BA3038"/>
    <w:rsid w:val="00BA370A"/>
    <w:rsid w:val="00BA38C4"/>
    <w:rsid w:val="00BA48BC"/>
    <w:rsid w:val="00BA4A29"/>
    <w:rsid w:val="00BA4B92"/>
    <w:rsid w:val="00BA4BE7"/>
    <w:rsid w:val="00BA5F20"/>
    <w:rsid w:val="00BA5F44"/>
    <w:rsid w:val="00BA66A9"/>
    <w:rsid w:val="00BA68D9"/>
    <w:rsid w:val="00BA695F"/>
    <w:rsid w:val="00BA6FD8"/>
    <w:rsid w:val="00BA7172"/>
    <w:rsid w:val="00BA79FC"/>
    <w:rsid w:val="00BA7B01"/>
    <w:rsid w:val="00BB02D7"/>
    <w:rsid w:val="00BB0D9F"/>
    <w:rsid w:val="00BB0DEE"/>
    <w:rsid w:val="00BB0F93"/>
    <w:rsid w:val="00BB1031"/>
    <w:rsid w:val="00BB156D"/>
    <w:rsid w:val="00BB1B33"/>
    <w:rsid w:val="00BB2480"/>
    <w:rsid w:val="00BB27FD"/>
    <w:rsid w:val="00BB2C4E"/>
    <w:rsid w:val="00BB2E29"/>
    <w:rsid w:val="00BB2F74"/>
    <w:rsid w:val="00BB3206"/>
    <w:rsid w:val="00BB3277"/>
    <w:rsid w:val="00BB32C2"/>
    <w:rsid w:val="00BB39BF"/>
    <w:rsid w:val="00BB3B0D"/>
    <w:rsid w:val="00BB3BA2"/>
    <w:rsid w:val="00BB524C"/>
    <w:rsid w:val="00BB5DAB"/>
    <w:rsid w:val="00BB6195"/>
    <w:rsid w:val="00BB61A3"/>
    <w:rsid w:val="00BB67EA"/>
    <w:rsid w:val="00BB707E"/>
    <w:rsid w:val="00BB7568"/>
    <w:rsid w:val="00BC007C"/>
    <w:rsid w:val="00BC0986"/>
    <w:rsid w:val="00BC09A8"/>
    <w:rsid w:val="00BC0AB2"/>
    <w:rsid w:val="00BC1308"/>
    <w:rsid w:val="00BC1BF4"/>
    <w:rsid w:val="00BC2600"/>
    <w:rsid w:val="00BC27EF"/>
    <w:rsid w:val="00BC2F24"/>
    <w:rsid w:val="00BC2F93"/>
    <w:rsid w:val="00BC33BE"/>
    <w:rsid w:val="00BC3A47"/>
    <w:rsid w:val="00BC3EEB"/>
    <w:rsid w:val="00BC4780"/>
    <w:rsid w:val="00BC52C8"/>
    <w:rsid w:val="00BC5485"/>
    <w:rsid w:val="00BC549C"/>
    <w:rsid w:val="00BC570E"/>
    <w:rsid w:val="00BC5A26"/>
    <w:rsid w:val="00BC5A6C"/>
    <w:rsid w:val="00BC5AF6"/>
    <w:rsid w:val="00BC5B4B"/>
    <w:rsid w:val="00BC5E93"/>
    <w:rsid w:val="00BC5EDB"/>
    <w:rsid w:val="00BC69A2"/>
    <w:rsid w:val="00BC6ED6"/>
    <w:rsid w:val="00BC6F03"/>
    <w:rsid w:val="00BC6FA1"/>
    <w:rsid w:val="00BC7487"/>
    <w:rsid w:val="00BD0570"/>
    <w:rsid w:val="00BD0853"/>
    <w:rsid w:val="00BD112D"/>
    <w:rsid w:val="00BD214E"/>
    <w:rsid w:val="00BD237A"/>
    <w:rsid w:val="00BD2395"/>
    <w:rsid w:val="00BD25B8"/>
    <w:rsid w:val="00BD2842"/>
    <w:rsid w:val="00BD2A2B"/>
    <w:rsid w:val="00BD3120"/>
    <w:rsid w:val="00BD3354"/>
    <w:rsid w:val="00BD384E"/>
    <w:rsid w:val="00BD3E76"/>
    <w:rsid w:val="00BD3EE2"/>
    <w:rsid w:val="00BD3FCF"/>
    <w:rsid w:val="00BD42D2"/>
    <w:rsid w:val="00BD47D7"/>
    <w:rsid w:val="00BD4EFB"/>
    <w:rsid w:val="00BD5076"/>
    <w:rsid w:val="00BD5551"/>
    <w:rsid w:val="00BD6D43"/>
    <w:rsid w:val="00BD7090"/>
    <w:rsid w:val="00BD7490"/>
    <w:rsid w:val="00BD767F"/>
    <w:rsid w:val="00BD7DA0"/>
    <w:rsid w:val="00BE096B"/>
    <w:rsid w:val="00BE09C3"/>
    <w:rsid w:val="00BE0C27"/>
    <w:rsid w:val="00BE0F9B"/>
    <w:rsid w:val="00BE15BB"/>
    <w:rsid w:val="00BE198F"/>
    <w:rsid w:val="00BE4875"/>
    <w:rsid w:val="00BE4CCF"/>
    <w:rsid w:val="00BE5964"/>
    <w:rsid w:val="00BE59B8"/>
    <w:rsid w:val="00BE660B"/>
    <w:rsid w:val="00BE6AA1"/>
    <w:rsid w:val="00BE6AFE"/>
    <w:rsid w:val="00BE6BBE"/>
    <w:rsid w:val="00BE7021"/>
    <w:rsid w:val="00BE712C"/>
    <w:rsid w:val="00BE7300"/>
    <w:rsid w:val="00BE76F7"/>
    <w:rsid w:val="00BE784F"/>
    <w:rsid w:val="00BE79C6"/>
    <w:rsid w:val="00BF0238"/>
    <w:rsid w:val="00BF0717"/>
    <w:rsid w:val="00BF1750"/>
    <w:rsid w:val="00BF178E"/>
    <w:rsid w:val="00BF189F"/>
    <w:rsid w:val="00BF1B44"/>
    <w:rsid w:val="00BF1D88"/>
    <w:rsid w:val="00BF1F01"/>
    <w:rsid w:val="00BF1FC2"/>
    <w:rsid w:val="00BF23CC"/>
    <w:rsid w:val="00BF243F"/>
    <w:rsid w:val="00BF2708"/>
    <w:rsid w:val="00BF3284"/>
    <w:rsid w:val="00BF4C2B"/>
    <w:rsid w:val="00BF507A"/>
    <w:rsid w:val="00BF53F1"/>
    <w:rsid w:val="00BF5717"/>
    <w:rsid w:val="00BF5B9D"/>
    <w:rsid w:val="00BF5C45"/>
    <w:rsid w:val="00BF5FA3"/>
    <w:rsid w:val="00BF62F2"/>
    <w:rsid w:val="00BF63A5"/>
    <w:rsid w:val="00BF72A7"/>
    <w:rsid w:val="00BF7558"/>
    <w:rsid w:val="00BF7DD2"/>
    <w:rsid w:val="00C00F78"/>
    <w:rsid w:val="00C0111E"/>
    <w:rsid w:val="00C02676"/>
    <w:rsid w:val="00C029AB"/>
    <w:rsid w:val="00C02D74"/>
    <w:rsid w:val="00C0396E"/>
    <w:rsid w:val="00C03BD5"/>
    <w:rsid w:val="00C03C8B"/>
    <w:rsid w:val="00C03F3C"/>
    <w:rsid w:val="00C03FC2"/>
    <w:rsid w:val="00C0425C"/>
    <w:rsid w:val="00C049BE"/>
    <w:rsid w:val="00C04A71"/>
    <w:rsid w:val="00C04DF0"/>
    <w:rsid w:val="00C04F71"/>
    <w:rsid w:val="00C05A4C"/>
    <w:rsid w:val="00C05A67"/>
    <w:rsid w:val="00C05E9D"/>
    <w:rsid w:val="00C0632D"/>
    <w:rsid w:val="00C0641F"/>
    <w:rsid w:val="00C067A7"/>
    <w:rsid w:val="00C06C9A"/>
    <w:rsid w:val="00C06E6F"/>
    <w:rsid w:val="00C075DB"/>
    <w:rsid w:val="00C07EBA"/>
    <w:rsid w:val="00C07FBC"/>
    <w:rsid w:val="00C100E2"/>
    <w:rsid w:val="00C100E7"/>
    <w:rsid w:val="00C11113"/>
    <w:rsid w:val="00C11687"/>
    <w:rsid w:val="00C11E28"/>
    <w:rsid w:val="00C11F66"/>
    <w:rsid w:val="00C1225B"/>
    <w:rsid w:val="00C122F9"/>
    <w:rsid w:val="00C1253A"/>
    <w:rsid w:val="00C128C9"/>
    <w:rsid w:val="00C12AA5"/>
    <w:rsid w:val="00C12CF3"/>
    <w:rsid w:val="00C12F88"/>
    <w:rsid w:val="00C131A8"/>
    <w:rsid w:val="00C1322D"/>
    <w:rsid w:val="00C135A3"/>
    <w:rsid w:val="00C141BB"/>
    <w:rsid w:val="00C1477A"/>
    <w:rsid w:val="00C14A62"/>
    <w:rsid w:val="00C14B41"/>
    <w:rsid w:val="00C158EB"/>
    <w:rsid w:val="00C159B1"/>
    <w:rsid w:val="00C15D51"/>
    <w:rsid w:val="00C161F5"/>
    <w:rsid w:val="00C16C92"/>
    <w:rsid w:val="00C16ED6"/>
    <w:rsid w:val="00C1706B"/>
    <w:rsid w:val="00C1755B"/>
    <w:rsid w:val="00C17DB7"/>
    <w:rsid w:val="00C17E48"/>
    <w:rsid w:val="00C17ED9"/>
    <w:rsid w:val="00C17F0B"/>
    <w:rsid w:val="00C201E7"/>
    <w:rsid w:val="00C20506"/>
    <w:rsid w:val="00C20AA2"/>
    <w:rsid w:val="00C20B91"/>
    <w:rsid w:val="00C21155"/>
    <w:rsid w:val="00C2146C"/>
    <w:rsid w:val="00C214D7"/>
    <w:rsid w:val="00C21561"/>
    <w:rsid w:val="00C217EE"/>
    <w:rsid w:val="00C21D5A"/>
    <w:rsid w:val="00C22528"/>
    <w:rsid w:val="00C22784"/>
    <w:rsid w:val="00C22FAA"/>
    <w:rsid w:val="00C238DB"/>
    <w:rsid w:val="00C23A4C"/>
    <w:rsid w:val="00C23E26"/>
    <w:rsid w:val="00C2419D"/>
    <w:rsid w:val="00C243A4"/>
    <w:rsid w:val="00C24416"/>
    <w:rsid w:val="00C248DB"/>
    <w:rsid w:val="00C26170"/>
    <w:rsid w:val="00C26B5A"/>
    <w:rsid w:val="00C26BB1"/>
    <w:rsid w:val="00C26D52"/>
    <w:rsid w:val="00C26E4C"/>
    <w:rsid w:val="00C303E4"/>
    <w:rsid w:val="00C30607"/>
    <w:rsid w:val="00C30775"/>
    <w:rsid w:val="00C30B8D"/>
    <w:rsid w:val="00C30DBE"/>
    <w:rsid w:val="00C3134E"/>
    <w:rsid w:val="00C315D8"/>
    <w:rsid w:val="00C31C4A"/>
    <w:rsid w:val="00C31D2D"/>
    <w:rsid w:val="00C3209A"/>
    <w:rsid w:val="00C32161"/>
    <w:rsid w:val="00C32639"/>
    <w:rsid w:val="00C32808"/>
    <w:rsid w:val="00C32AD2"/>
    <w:rsid w:val="00C33114"/>
    <w:rsid w:val="00C3415E"/>
    <w:rsid w:val="00C34193"/>
    <w:rsid w:val="00C347FD"/>
    <w:rsid w:val="00C34DAE"/>
    <w:rsid w:val="00C34E1E"/>
    <w:rsid w:val="00C34E5A"/>
    <w:rsid w:val="00C35553"/>
    <w:rsid w:val="00C35765"/>
    <w:rsid w:val="00C35D9C"/>
    <w:rsid w:val="00C36219"/>
    <w:rsid w:val="00C36656"/>
    <w:rsid w:val="00C3698E"/>
    <w:rsid w:val="00C36CCA"/>
    <w:rsid w:val="00C36E1C"/>
    <w:rsid w:val="00C36F42"/>
    <w:rsid w:val="00C3718A"/>
    <w:rsid w:val="00C379C5"/>
    <w:rsid w:val="00C37EEE"/>
    <w:rsid w:val="00C400B0"/>
    <w:rsid w:val="00C40453"/>
    <w:rsid w:val="00C404A7"/>
    <w:rsid w:val="00C40E71"/>
    <w:rsid w:val="00C41879"/>
    <w:rsid w:val="00C41A7C"/>
    <w:rsid w:val="00C420F8"/>
    <w:rsid w:val="00C423A9"/>
    <w:rsid w:val="00C42CEF"/>
    <w:rsid w:val="00C42D55"/>
    <w:rsid w:val="00C43080"/>
    <w:rsid w:val="00C4370E"/>
    <w:rsid w:val="00C43823"/>
    <w:rsid w:val="00C4384B"/>
    <w:rsid w:val="00C4393C"/>
    <w:rsid w:val="00C43F2D"/>
    <w:rsid w:val="00C44068"/>
    <w:rsid w:val="00C442AE"/>
    <w:rsid w:val="00C44C2B"/>
    <w:rsid w:val="00C4518B"/>
    <w:rsid w:val="00C45780"/>
    <w:rsid w:val="00C458D6"/>
    <w:rsid w:val="00C45919"/>
    <w:rsid w:val="00C4655A"/>
    <w:rsid w:val="00C466BF"/>
    <w:rsid w:val="00C47385"/>
    <w:rsid w:val="00C47555"/>
    <w:rsid w:val="00C476AC"/>
    <w:rsid w:val="00C47E67"/>
    <w:rsid w:val="00C47F27"/>
    <w:rsid w:val="00C47FD9"/>
    <w:rsid w:val="00C50C1A"/>
    <w:rsid w:val="00C50E1E"/>
    <w:rsid w:val="00C51132"/>
    <w:rsid w:val="00C51508"/>
    <w:rsid w:val="00C51BEF"/>
    <w:rsid w:val="00C51D73"/>
    <w:rsid w:val="00C51FF7"/>
    <w:rsid w:val="00C52A05"/>
    <w:rsid w:val="00C52E97"/>
    <w:rsid w:val="00C52EAF"/>
    <w:rsid w:val="00C52FBA"/>
    <w:rsid w:val="00C53189"/>
    <w:rsid w:val="00C534E5"/>
    <w:rsid w:val="00C534F4"/>
    <w:rsid w:val="00C5375B"/>
    <w:rsid w:val="00C53AD3"/>
    <w:rsid w:val="00C53B15"/>
    <w:rsid w:val="00C53DA9"/>
    <w:rsid w:val="00C53EF7"/>
    <w:rsid w:val="00C54280"/>
    <w:rsid w:val="00C546E1"/>
    <w:rsid w:val="00C54929"/>
    <w:rsid w:val="00C550B6"/>
    <w:rsid w:val="00C551EB"/>
    <w:rsid w:val="00C55304"/>
    <w:rsid w:val="00C556B1"/>
    <w:rsid w:val="00C55A05"/>
    <w:rsid w:val="00C55F8D"/>
    <w:rsid w:val="00C56101"/>
    <w:rsid w:val="00C563FE"/>
    <w:rsid w:val="00C565F2"/>
    <w:rsid w:val="00C567E3"/>
    <w:rsid w:val="00C56C45"/>
    <w:rsid w:val="00C573CC"/>
    <w:rsid w:val="00C57A97"/>
    <w:rsid w:val="00C57B81"/>
    <w:rsid w:val="00C57FB9"/>
    <w:rsid w:val="00C6077B"/>
    <w:rsid w:val="00C60950"/>
    <w:rsid w:val="00C60DD1"/>
    <w:rsid w:val="00C61565"/>
    <w:rsid w:val="00C61574"/>
    <w:rsid w:val="00C615B4"/>
    <w:rsid w:val="00C6184A"/>
    <w:rsid w:val="00C619FB"/>
    <w:rsid w:val="00C61AC6"/>
    <w:rsid w:val="00C61ACF"/>
    <w:rsid w:val="00C6211D"/>
    <w:rsid w:val="00C62276"/>
    <w:rsid w:val="00C62B32"/>
    <w:rsid w:val="00C63DED"/>
    <w:rsid w:val="00C63E88"/>
    <w:rsid w:val="00C6436D"/>
    <w:rsid w:val="00C64F97"/>
    <w:rsid w:val="00C65585"/>
    <w:rsid w:val="00C656EB"/>
    <w:rsid w:val="00C65DF4"/>
    <w:rsid w:val="00C667F0"/>
    <w:rsid w:val="00C66AC8"/>
    <w:rsid w:val="00C67B49"/>
    <w:rsid w:val="00C70275"/>
    <w:rsid w:val="00C70484"/>
    <w:rsid w:val="00C711F5"/>
    <w:rsid w:val="00C713A1"/>
    <w:rsid w:val="00C71828"/>
    <w:rsid w:val="00C72105"/>
    <w:rsid w:val="00C74520"/>
    <w:rsid w:val="00C74954"/>
    <w:rsid w:val="00C75765"/>
    <w:rsid w:val="00C76028"/>
    <w:rsid w:val="00C76184"/>
    <w:rsid w:val="00C76462"/>
    <w:rsid w:val="00C7673D"/>
    <w:rsid w:val="00C76A80"/>
    <w:rsid w:val="00C76C27"/>
    <w:rsid w:val="00C76E09"/>
    <w:rsid w:val="00C76F07"/>
    <w:rsid w:val="00C77EF6"/>
    <w:rsid w:val="00C80B4B"/>
    <w:rsid w:val="00C80D63"/>
    <w:rsid w:val="00C80E85"/>
    <w:rsid w:val="00C8129D"/>
    <w:rsid w:val="00C812D5"/>
    <w:rsid w:val="00C81536"/>
    <w:rsid w:val="00C81BEA"/>
    <w:rsid w:val="00C81DF5"/>
    <w:rsid w:val="00C82188"/>
    <w:rsid w:val="00C8242B"/>
    <w:rsid w:val="00C82A50"/>
    <w:rsid w:val="00C83240"/>
    <w:rsid w:val="00C83381"/>
    <w:rsid w:val="00C83607"/>
    <w:rsid w:val="00C83768"/>
    <w:rsid w:val="00C83B18"/>
    <w:rsid w:val="00C840C3"/>
    <w:rsid w:val="00C841B4"/>
    <w:rsid w:val="00C841E3"/>
    <w:rsid w:val="00C84266"/>
    <w:rsid w:val="00C8466F"/>
    <w:rsid w:val="00C8489E"/>
    <w:rsid w:val="00C849E0"/>
    <w:rsid w:val="00C84B74"/>
    <w:rsid w:val="00C8512A"/>
    <w:rsid w:val="00C851E3"/>
    <w:rsid w:val="00C85378"/>
    <w:rsid w:val="00C85970"/>
    <w:rsid w:val="00C859E8"/>
    <w:rsid w:val="00C85E9B"/>
    <w:rsid w:val="00C863C4"/>
    <w:rsid w:val="00C874C8"/>
    <w:rsid w:val="00C90165"/>
    <w:rsid w:val="00C902DA"/>
    <w:rsid w:val="00C90733"/>
    <w:rsid w:val="00C921C4"/>
    <w:rsid w:val="00C9235F"/>
    <w:rsid w:val="00C9257F"/>
    <w:rsid w:val="00C9319C"/>
    <w:rsid w:val="00C9330C"/>
    <w:rsid w:val="00C934F6"/>
    <w:rsid w:val="00C93874"/>
    <w:rsid w:val="00C93A4C"/>
    <w:rsid w:val="00C944EB"/>
    <w:rsid w:val="00C94D4F"/>
    <w:rsid w:val="00C94FD2"/>
    <w:rsid w:val="00C95341"/>
    <w:rsid w:val="00C95B76"/>
    <w:rsid w:val="00C964C3"/>
    <w:rsid w:val="00C964D6"/>
    <w:rsid w:val="00C96629"/>
    <w:rsid w:val="00C96635"/>
    <w:rsid w:val="00C966B7"/>
    <w:rsid w:val="00C969DB"/>
    <w:rsid w:val="00C96A6E"/>
    <w:rsid w:val="00C97A4A"/>
    <w:rsid w:val="00C97DC9"/>
    <w:rsid w:val="00C97EE3"/>
    <w:rsid w:val="00CA006B"/>
    <w:rsid w:val="00CA042A"/>
    <w:rsid w:val="00CA117E"/>
    <w:rsid w:val="00CA12BA"/>
    <w:rsid w:val="00CA165C"/>
    <w:rsid w:val="00CA1C0D"/>
    <w:rsid w:val="00CA1DAE"/>
    <w:rsid w:val="00CA1E62"/>
    <w:rsid w:val="00CA1F23"/>
    <w:rsid w:val="00CA2267"/>
    <w:rsid w:val="00CA261F"/>
    <w:rsid w:val="00CA38AD"/>
    <w:rsid w:val="00CA3EEE"/>
    <w:rsid w:val="00CA4842"/>
    <w:rsid w:val="00CA5098"/>
    <w:rsid w:val="00CA5503"/>
    <w:rsid w:val="00CA612D"/>
    <w:rsid w:val="00CA66C3"/>
    <w:rsid w:val="00CA6CAD"/>
    <w:rsid w:val="00CA70A8"/>
    <w:rsid w:val="00CA70D0"/>
    <w:rsid w:val="00CA74A4"/>
    <w:rsid w:val="00CA7683"/>
    <w:rsid w:val="00CA77AE"/>
    <w:rsid w:val="00CA7EA1"/>
    <w:rsid w:val="00CA7EEB"/>
    <w:rsid w:val="00CB009B"/>
    <w:rsid w:val="00CB0231"/>
    <w:rsid w:val="00CB0838"/>
    <w:rsid w:val="00CB092E"/>
    <w:rsid w:val="00CB1AFD"/>
    <w:rsid w:val="00CB1EB3"/>
    <w:rsid w:val="00CB2126"/>
    <w:rsid w:val="00CB228D"/>
    <w:rsid w:val="00CB2308"/>
    <w:rsid w:val="00CB24AD"/>
    <w:rsid w:val="00CB2C59"/>
    <w:rsid w:val="00CB2D9C"/>
    <w:rsid w:val="00CB3022"/>
    <w:rsid w:val="00CB34AB"/>
    <w:rsid w:val="00CB3529"/>
    <w:rsid w:val="00CB38A9"/>
    <w:rsid w:val="00CB43FF"/>
    <w:rsid w:val="00CB4728"/>
    <w:rsid w:val="00CB4E6F"/>
    <w:rsid w:val="00CB59E7"/>
    <w:rsid w:val="00CB5D27"/>
    <w:rsid w:val="00CB5E4A"/>
    <w:rsid w:val="00CB6E43"/>
    <w:rsid w:val="00CB6FCA"/>
    <w:rsid w:val="00CB7097"/>
    <w:rsid w:val="00CB724D"/>
    <w:rsid w:val="00CB73EA"/>
    <w:rsid w:val="00CB76E3"/>
    <w:rsid w:val="00CB7D4E"/>
    <w:rsid w:val="00CB7F1F"/>
    <w:rsid w:val="00CC002B"/>
    <w:rsid w:val="00CC07E5"/>
    <w:rsid w:val="00CC09F0"/>
    <w:rsid w:val="00CC0C11"/>
    <w:rsid w:val="00CC1F52"/>
    <w:rsid w:val="00CC233F"/>
    <w:rsid w:val="00CC27FD"/>
    <w:rsid w:val="00CC29A4"/>
    <w:rsid w:val="00CC31E8"/>
    <w:rsid w:val="00CC3AB9"/>
    <w:rsid w:val="00CC3C9E"/>
    <w:rsid w:val="00CC45E0"/>
    <w:rsid w:val="00CC4B1A"/>
    <w:rsid w:val="00CC4BBE"/>
    <w:rsid w:val="00CC4BC3"/>
    <w:rsid w:val="00CC50C7"/>
    <w:rsid w:val="00CC55AC"/>
    <w:rsid w:val="00CC5859"/>
    <w:rsid w:val="00CC66CB"/>
    <w:rsid w:val="00CC6D1C"/>
    <w:rsid w:val="00CC71DD"/>
    <w:rsid w:val="00CC71F3"/>
    <w:rsid w:val="00CC72C0"/>
    <w:rsid w:val="00CC757D"/>
    <w:rsid w:val="00CC79CD"/>
    <w:rsid w:val="00CC7C74"/>
    <w:rsid w:val="00CD00DB"/>
    <w:rsid w:val="00CD0119"/>
    <w:rsid w:val="00CD07FD"/>
    <w:rsid w:val="00CD0866"/>
    <w:rsid w:val="00CD1169"/>
    <w:rsid w:val="00CD15F1"/>
    <w:rsid w:val="00CD16C7"/>
    <w:rsid w:val="00CD1A40"/>
    <w:rsid w:val="00CD1B33"/>
    <w:rsid w:val="00CD25F3"/>
    <w:rsid w:val="00CD27FF"/>
    <w:rsid w:val="00CD2875"/>
    <w:rsid w:val="00CD29C6"/>
    <w:rsid w:val="00CD2DF3"/>
    <w:rsid w:val="00CD305C"/>
    <w:rsid w:val="00CD3A6D"/>
    <w:rsid w:val="00CD3E5A"/>
    <w:rsid w:val="00CD3E63"/>
    <w:rsid w:val="00CD40A3"/>
    <w:rsid w:val="00CD44E9"/>
    <w:rsid w:val="00CD457E"/>
    <w:rsid w:val="00CD4ACD"/>
    <w:rsid w:val="00CD4CD3"/>
    <w:rsid w:val="00CD4DBB"/>
    <w:rsid w:val="00CD5495"/>
    <w:rsid w:val="00CD589F"/>
    <w:rsid w:val="00CD60C9"/>
    <w:rsid w:val="00CD6345"/>
    <w:rsid w:val="00CD6835"/>
    <w:rsid w:val="00CD6BBB"/>
    <w:rsid w:val="00CD6E7E"/>
    <w:rsid w:val="00CD7482"/>
    <w:rsid w:val="00CD7768"/>
    <w:rsid w:val="00CD791B"/>
    <w:rsid w:val="00CE05BD"/>
    <w:rsid w:val="00CE07C1"/>
    <w:rsid w:val="00CE0B73"/>
    <w:rsid w:val="00CE1567"/>
    <w:rsid w:val="00CE1859"/>
    <w:rsid w:val="00CE186F"/>
    <w:rsid w:val="00CE20E3"/>
    <w:rsid w:val="00CE273A"/>
    <w:rsid w:val="00CE321C"/>
    <w:rsid w:val="00CE32E8"/>
    <w:rsid w:val="00CE353C"/>
    <w:rsid w:val="00CE3700"/>
    <w:rsid w:val="00CE3B69"/>
    <w:rsid w:val="00CE4559"/>
    <w:rsid w:val="00CE4B49"/>
    <w:rsid w:val="00CE5118"/>
    <w:rsid w:val="00CE5487"/>
    <w:rsid w:val="00CE59B1"/>
    <w:rsid w:val="00CE59B5"/>
    <w:rsid w:val="00CE59DB"/>
    <w:rsid w:val="00CE5B0C"/>
    <w:rsid w:val="00CE5D3A"/>
    <w:rsid w:val="00CE67D8"/>
    <w:rsid w:val="00CE68EA"/>
    <w:rsid w:val="00CE7381"/>
    <w:rsid w:val="00CE7447"/>
    <w:rsid w:val="00CE74CE"/>
    <w:rsid w:val="00CE7510"/>
    <w:rsid w:val="00CF0829"/>
    <w:rsid w:val="00CF0E74"/>
    <w:rsid w:val="00CF1833"/>
    <w:rsid w:val="00CF1AEA"/>
    <w:rsid w:val="00CF2091"/>
    <w:rsid w:val="00CF21F6"/>
    <w:rsid w:val="00CF2278"/>
    <w:rsid w:val="00CF2C62"/>
    <w:rsid w:val="00CF2F66"/>
    <w:rsid w:val="00CF337B"/>
    <w:rsid w:val="00CF3FE7"/>
    <w:rsid w:val="00CF4416"/>
    <w:rsid w:val="00CF4BA9"/>
    <w:rsid w:val="00CF5762"/>
    <w:rsid w:val="00CF65B4"/>
    <w:rsid w:val="00CF6806"/>
    <w:rsid w:val="00CF69B0"/>
    <w:rsid w:val="00CF6C05"/>
    <w:rsid w:val="00CF709F"/>
    <w:rsid w:val="00CF7485"/>
    <w:rsid w:val="00CF7B5F"/>
    <w:rsid w:val="00CF7E56"/>
    <w:rsid w:val="00D00980"/>
    <w:rsid w:val="00D01744"/>
    <w:rsid w:val="00D01C03"/>
    <w:rsid w:val="00D025CE"/>
    <w:rsid w:val="00D02677"/>
    <w:rsid w:val="00D026A3"/>
    <w:rsid w:val="00D02A0F"/>
    <w:rsid w:val="00D02CA6"/>
    <w:rsid w:val="00D02DF3"/>
    <w:rsid w:val="00D02F64"/>
    <w:rsid w:val="00D03181"/>
    <w:rsid w:val="00D037DC"/>
    <w:rsid w:val="00D0383B"/>
    <w:rsid w:val="00D03A8A"/>
    <w:rsid w:val="00D03DA5"/>
    <w:rsid w:val="00D03F27"/>
    <w:rsid w:val="00D043E8"/>
    <w:rsid w:val="00D043EE"/>
    <w:rsid w:val="00D0470C"/>
    <w:rsid w:val="00D0470D"/>
    <w:rsid w:val="00D05249"/>
    <w:rsid w:val="00D055CA"/>
    <w:rsid w:val="00D059FC"/>
    <w:rsid w:val="00D05DEF"/>
    <w:rsid w:val="00D05DFE"/>
    <w:rsid w:val="00D06861"/>
    <w:rsid w:val="00D0688A"/>
    <w:rsid w:val="00D06F22"/>
    <w:rsid w:val="00D0779C"/>
    <w:rsid w:val="00D07A9C"/>
    <w:rsid w:val="00D07B44"/>
    <w:rsid w:val="00D07C99"/>
    <w:rsid w:val="00D10076"/>
    <w:rsid w:val="00D10286"/>
    <w:rsid w:val="00D1033B"/>
    <w:rsid w:val="00D10477"/>
    <w:rsid w:val="00D107E2"/>
    <w:rsid w:val="00D11D76"/>
    <w:rsid w:val="00D121F5"/>
    <w:rsid w:val="00D126E4"/>
    <w:rsid w:val="00D131BF"/>
    <w:rsid w:val="00D132BD"/>
    <w:rsid w:val="00D139E3"/>
    <w:rsid w:val="00D13A90"/>
    <w:rsid w:val="00D140E6"/>
    <w:rsid w:val="00D14C7E"/>
    <w:rsid w:val="00D150CB"/>
    <w:rsid w:val="00D158EF"/>
    <w:rsid w:val="00D15C14"/>
    <w:rsid w:val="00D15E74"/>
    <w:rsid w:val="00D15FAA"/>
    <w:rsid w:val="00D1690C"/>
    <w:rsid w:val="00D16ECB"/>
    <w:rsid w:val="00D16EEE"/>
    <w:rsid w:val="00D17167"/>
    <w:rsid w:val="00D176B2"/>
    <w:rsid w:val="00D17BA5"/>
    <w:rsid w:val="00D17EE8"/>
    <w:rsid w:val="00D2058D"/>
    <w:rsid w:val="00D211FA"/>
    <w:rsid w:val="00D214E8"/>
    <w:rsid w:val="00D215A4"/>
    <w:rsid w:val="00D2176E"/>
    <w:rsid w:val="00D2182A"/>
    <w:rsid w:val="00D218BC"/>
    <w:rsid w:val="00D2193D"/>
    <w:rsid w:val="00D22105"/>
    <w:rsid w:val="00D2211C"/>
    <w:rsid w:val="00D22B55"/>
    <w:rsid w:val="00D22C81"/>
    <w:rsid w:val="00D23055"/>
    <w:rsid w:val="00D230AD"/>
    <w:rsid w:val="00D2320E"/>
    <w:rsid w:val="00D2327A"/>
    <w:rsid w:val="00D232F0"/>
    <w:rsid w:val="00D2394B"/>
    <w:rsid w:val="00D251AB"/>
    <w:rsid w:val="00D25240"/>
    <w:rsid w:val="00D25AC6"/>
    <w:rsid w:val="00D25BF1"/>
    <w:rsid w:val="00D261D3"/>
    <w:rsid w:val="00D27086"/>
    <w:rsid w:val="00D319DF"/>
    <w:rsid w:val="00D31C02"/>
    <w:rsid w:val="00D3225E"/>
    <w:rsid w:val="00D324BC"/>
    <w:rsid w:val="00D32B9F"/>
    <w:rsid w:val="00D32C91"/>
    <w:rsid w:val="00D331A5"/>
    <w:rsid w:val="00D33565"/>
    <w:rsid w:val="00D335A5"/>
    <w:rsid w:val="00D33761"/>
    <w:rsid w:val="00D33762"/>
    <w:rsid w:val="00D34BD1"/>
    <w:rsid w:val="00D35177"/>
    <w:rsid w:val="00D356E1"/>
    <w:rsid w:val="00D35952"/>
    <w:rsid w:val="00D36612"/>
    <w:rsid w:val="00D37439"/>
    <w:rsid w:val="00D402F3"/>
    <w:rsid w:val="00D40609"/>
    <w:rsid w:val="00D40983"/>
    <w:rsid w:val="00D40B3B"/>
    <w:rsid w:val="00D40DC9"/>
    <w:rsid w:val="00D41188"/>
    <w:rsid w:val="00D41595"/>
    <w:rsid w:val="00D417D3"/>
    <w:rsid w:val="00D41882"/>
    <w:rsid w:val="00D418D5"/>
    <w:rsid w:val="00D41DB1"/>
    <w:rsid w:val="00D4276D"/>
    <w:rsid w:val="00D42798"/>
    <w:rsid w:val="00D42970"/>
    <w:rsid w:val="00D43390"/>
    <w:rsid w:val="00D43468"/>
    <w:rsid w:val="00D43AED"/>
    <w:rsid w:val="00D44916"/>
    <w:rsid w:val="00D45A03"/>
    <w:rsid w:val="00D45AE4"/>
    <w:rsid w:val="00D45CA4"/>
    <w:rsid w:val="00D45EA7"/>
    <w:rsid w:val="00D45F22"/>
    <w:rsid w:val="00D4715D"/>
    <w:rsid w:val="00D47178"/>
    <w:rsid w:val="00D471C2"/>
    <w:rsid w:val="00D4752E"/>
    <w:rsid w:val="00D47842"/>
    <w:rsid w:val="00D47BEF"/>
    <w:rsid w:val="00D50542"/>
    <w:rsid w:val="00D50826"/>
    <w:rsid w:val="00D51306"/>
    <w:rsid w:val="00D5151A"/>
    <w:rsid w:val="00D51675"/>
    <w:rsid w:val="00D51F73"/>
    <w:rsid w:val="00D51FCC"/>
    <w:rsid w:val="00D52076"/>
    <w:rsid w:val="00D52827"/>
    <w:rsid w:val="00D529BE"/>
    <w:rsid w:val="00D52CF6"/>
    <w:rsid w:val="00D53D3E"/>
    <w:rsid w:val="00D547E0"/>
    <w:rsid w:val="00D54992"/>
    <w:rsid w:val="00D55291"/>
    <w:rsid w:val="00D55C48"/>
    <w:rsid w:val="00D55E47"/>
    <w:rsid w:val="00D56392"/>
    <w:rsid w:val="00D56997"/>
    <w:rsid w:val="00D56AA3"/>
    <w:rsid w:val="00D56BF7"/>
    <w:rsid w:val="00D570E6"/>
    <w:rsid w:val="00D5730F"/>
    <w:rsid w:val="00D5774F"/>
    <w:rsid w:val="00D60809"/>
    <w:rsid w:val="00D60D7F"/>
    <w:rsid w:val="00D61066"/>
    <w:rsid w:val="00D612D3"/>
    <w:rsid w:val="00D61C9C"/>
    <w:rsid w:val="00D61E7B"/>
    <w:rsid w:val="00D62111"/>
    <w:rsid w:val="00D62229"/>
    <w:rsid w:val="00D625B8"/>
    <w:rsid w:val="00D626F8"/>
    <w:rsid w:val="00D636DC"/>
    <w:rsid w:val="00D63F4C"/>
    <w:rsid w:val="00D64613"/>
    <w:rsid w:val="00D64702"/>
    <w:rsid w:val="00D649DC"/>
    <w:rsid w:val="00D65A6A"/>
    <w:rsid w:val="00D6643A"/>
    <w:rsid w:val="00D66BFD"/>
    <w:rsid w:val="00D66C91"/>
    <w:rsid w:val="00D6734B"/>
    <w:rsid w:val="00D674EE"/>
    <w:rsid w:val="00D67535"/>
    <w:rsid w:val="00D677F6"/>
    <w:rsid w:val="00D67BC9"/>
    <w:rsid w:val="00D67DBC"/>
    <w:rsid w:val="00D704D9"/>
    <w:rsid w:val="00D70612"/>
    <w:rsid w:val="00D70934"/>
    <w:rsid w:val="00D70BD2"/>
    <w:rsid w:val="00D7107C"/>
    <w:rsid w:val="00D713F2"/>
    <w:rsid w:val="00D715A8"/>
    <w:rsid w:val="00D71B98"/>
    <w:rsid w:val="00D71F6E"/>
    <w:rsid w:val="00D721B1"/>
    <w:rsid w:val="00D72304"/>
    <w:rsid w:val="00D72705"/>
    <w:rsid w:val="00D72948"/>
    <w:rsid w:val="00D738B7"/>
    <w:rsid w:val="00D738BF"/>
    <w:rsid w:val="00D73B93"/>
    <w:rsid w:val="00D73C95"/>
    <w:rsid w:val="00D7400F"/>
    <w:rsid w:val="00D745C1"/>
    <w:rsid w:val="00D74784"/>
    <w:rsid w:val="00D756F6"/>
    <w:rsid w:val="00D75731"/>
    <w:rsid w:val="00D75B45"/>
    <w:rsid w:val="00D75B5C"/>
    <w:rsid w:val="00D75F8C"/>
    <w:rsid w:val="00D76050"/>
    <w:rsid w:val="00D76210"/>
    <w:rsid w:val="00D76309"/>
    <w:rsid w:val="00D76423"/>
    <w:rsid w:val="00D767BF"/>
    <w:rsid w:val="00D76EFD"/>
    <w:rsid w:val="00D77278"/>
    <w:rsid w:val="00D775B5"/>
    <w:rsid w:val="00D77961"/>
    <w:rsid w:val="00D77A47"/>
    <w:rsid w:val="00D77B20"/>
    <w:rsid w:val="00D77B3B"/>
    <w:rsid w:val="00D8007C"/>
    <w:rsid w:val="00D806A6"/>
    <w:rsid w:val="00D8079F"/>
    <w:rsid w:val="00D80E7A"/>
    <w:rsid w:val="00D8103B"/>
    <w:rsid w:val="00D8111B"/>
    <w:rsid w:val="00D81242"/>
    <w:rsid w:val="00D812D2"/>
    <w:rsid w:val="00D8172C"/>
    <w:rsid w:val="00D82732"/>
    <w:rsid w:val="00D82C80"/>
    <w:rsid w:val="00D82D02"/>
    <w:rsid w:val="00D82D0F"/>
    <w:rsid w:val="00D83A5A"/>
    <w:rsid w:val="00D84157"/>
    <w:rsid w:val="00D84AB8"/>
    <w:rsid w:val="00D84BD7"/>
    <w:rsid w:val="00D84DCA"/>
    <w:rsid w:val="00D85114"/>
    <w:rsid w:val="00D857BC"/>
    <w:rsid w:val="00D85CC6"/>
    <w:rsid w:val="00D86A92"/>
    <w:rsid w:val="00D871B6"/>
    <w:rsid w:val="00D875E1"/>
    <w:rsid w:val="00D90275"/>
    <w:rsid w:val="00D902F5"/>
    <w:rsid w:val="00D9075D"/>
    <w:rsid w:val="00D90959"/>
    <w:rsid w:val="00D91410"/>
    <w:rsid w:val="00D91438"/>
    <w:rsid w:val="00D9147B"/>
    <w:rsid w:val="00D91594"/>
    <w:rsid w:val="00D91ABE"/>
    <w:rsid w:val="00D91DF8"/>
    <w:rsid w:val="00D91DFB"/>
    <w:rsid w:val="00D921DA"/>
    <w:rsid w:val="00D92A4A"/>
    <w:rsid w:val="00D92C2F"/>
    <w:rsid w:val="00D92F7F"/>
    <w:rsid w:val="00D930AC"/>
    <w:rsid w:val="00D9423E"/>
    <w:rsid w:val="00D9459D"/>
    <w:rsid w:val="00D94730"/>
    <w:rsid w:val="00D94858"/>
    <w:rsid w:val="00D9487D"/>
    <w:rsid w:val="00D94972"/>
    <w:rsid w:val="00D954A1"/>
    <w:rsid w:val="00D95519"/>
    <w:rsid w:val="00D95744"/>
    <w:rsid w:val="00D958FC"/>
    <w:rsid w:val="00D959AE"/>
    <w:rsid w:val="00D95DC2"/>
    <w:rsid w:val="00D96678"/>
    <w:rsid w:val="00D9673A"/>
    <w:rsid w:val="00D96C73"/>
    <w:rsid w:val="00D96D46"/>
    <w:rsid w:val="00D97381"/>
    <w:rsid w:val="00D97C27"/>
    <w:rsid w:val="00DA032C"/>
    <w:rsid w:val="00DA0526"/>
    <w:rsid w:val="00DA0639"/>
    <w:rsid w:val="00DA0B8C"/>
    <w:rsid w:val="00DA0CF7"/>
    <w:rsid w:val="00DA0E96"/>
    <w:rsid w:val="00DA1203"/>
    <w:rsid w:val="00DA14A0"/>
    <w:rsid w:val="00DA15AC"/>
    <w:rsid w:val="00DA18DA"/>
    <w:rsid w:val="00DA1F0C"/>
    <w:rsid w:val="00DA2074"/>
    <w:rsid w:val="00DA2B06"/>
    <w:rsid w:val="00DA2B20"/>
    <w:rsid w:val="00DA3565"/>
    <w:rsid w:val="00DA35BF"/>
    <w:rsid w:val="00DA3A5B"/>
    <w:rsid w:val="00DA3D0B"/>
    <w:rsid w:val="00DA3F51"/>
    <w:rsid w:val="00DA404A"/>
    <w:rsid w:val="00DA45A0"/>
    <w:rsid w:val="00DA45DB"/>
    <w:rsid w:val="00DA48D9"/>
    <w:rsid w:val="00DA49F8"/>
    <w:rsid w:val="00DA4AAE"/>
    <w:rsid w:val="00DA5572"/>
    <w:rsid w:val="00DA5D5D"/>
    <w:rsid w:val="00DA616A"/>
    <w:rsid w:val="00DA6A15"/>
    <w:rsid w:val="00DA6B3A"/>
    <w:rsid w:val="00DA6CC2"/>
    <w:rsid w:val="00DA7029"/>
    <w:rsid w:val="00DA77A0"/>
    <w:rsid w:val="00DB07CF"/>
    <w:rsid w:val="00DB09A2"/>
    <w:rsid w:val="00DB103D"/>
    <w:rsid w:val="00DB1448"/>
    <w:rsid w:val="00DB1907"/>
    <w:rsid w:val="00DB1998"/>
    <w:rsid w:val="00DB1FC4"/>
    <w:rsid w:val="00DB21F0"/>
    <w:rsid w:val="00DB2C5F"/>
    <w:rsid w:val="00DB3A58"/>
    <w:rsid w:val="00DB3BDF"/>
    <w:rsid w:val="00DB3C58"/>
    <w:rsid w:val="00DB3D46"/>
    <w:rsid w:val="00DB401C"/>
    <w:rsid w:val="00DB46C8"/>
    <w:rsid w:val="00DB4C92"/>
    <w:rsid w:val="00DB4F53"/>
    <w:rsid w:val="00DB52F0"/>
    <w:rsid w:val="00DB540E"/>
    <w:rsid w:val="00DB5A63"/>
    <w:rsid w:val="00DB6166"/>
    <w:rsid w:val="00DB63BF"/>
    <w:rsid w:val="00DB6520"/>
    <w:rsid w:val="00DB654E"/>
    <w:rsid w:val="00DB656B"/>
    <w:rsid w:val="00DB6803"/>
    <w:rsid w:val="00DB691E"/>
    <w:rsid w:val="00DB6C99"/>
    <w:rsid w:val="00DB75A3"/>
    <w:rsid w:val="00DB75C7"/>
    <w:rsid w:val="00DC02F5"/>
    <w:rsid w:val="00DC0574"/>
    <w:rsid w:val="00DC0C65"/>
    <w:rsid w:val="00DC0E05"/>
    <w:rsid w:val="00DC10E5"/>
    <w:rsid w:val="00DC16BF"/>
    <w:rsid w:val="00DC16E1"/>
    <w:rsid w:val="00DC16FC"/>
    <w:rsid w:val="00DC1881"/>
    <w:rsid w:val="00DC1AE3"/>
    <w:rsid w:val="00DC1ED7"/>
    <w:rsid w:val="00DC294E"/>
    <w:rsid w:val="00DC2EBC"/>
    <w:rsid w:val="00DC3A6F"/>
    <w:rsid w:val="00DC3D1C"/>
    <w:rsid w:val="00DC40D0"/>
    <w:rsid w:val="00DC43E1"/>
    <w:rsid w:val="00DC5199"/>
    <w:rsid w:val="00DC5A32"/>
    <w:rsid w:val="00DC5E4E"/>
    <w:rsid w:val="00DC651B"/>
    <w:rsid w:val="00DC662F"/>
    <w:rsid w:val="00DC6961"/>
    <w:rsid w:val="00DC6DFA"/>
    <w:rsid w:val="00DC6E78"/>
    <w:rsid w:val="00DC707F"/>
    <w:rsid w:val="00DC729A"/>
    <w:rsid w:val="00DC73B1"/>
    <w:rsid w:val="00DC7519"/>
    <w:rsid w:val="00DC7630"/>
    <w:rsid w:val="00DC7EB5"/>
    <w:rsid w:val="00DD04AC"/>
    <w:rsid w:val="00DD04DD"/>
    <w:rsid w:val="00DD0891"/>
    <w:rsid w:val="00DD0B35"/>
    <w:rsid w:val="00DD0C4D"/>
    <w:rsid w:val="00DD0F9F"/>
    <w:rsid w:val="00DD11A7"/>
    <w:rsid w:val="00DD1298"/>
    <w:rsid w:val="00DD1C03"/>
    <w:rsid w:val="00DD1F95"/>
    <w:rsid w:val="00DD2300"/>
    <w:rsid w:val="00DD2309"/>
    <w:rsid w:val="00DD28B3"/>
    <w:rsid w:val="00DD2DE3"/>
    <w:rsid w:val="00DD2DE8"/>
    <w:rsid w:val="00DD316F"/>
    <w:rsid w:val="00DD357C"/>
    <w:rsid w:val="00DD37CA"/>
    <w:rsid w:val="00DD3D55"/>
    <w:rsid w:val="00DD3DF7"/>
    <w:rsid w:val="00DD4AE2"/>
    <w:rsid w:val="00DD4BFA"/>
    <w:rsid w:val="00DD51F8"/>
    <w:rsid w:val="00DD6388"/>
    <w:rsid w:val="00DD6C53"/>
    <w:rsid w:val="00DD7198"/>
    <w:rsid w:val="00DD7752"/>
    <w:rsid w:val="00DD7CB6"/>
    <w:rsid w:val="00DE0077"/>
    <w:rsid w:val="00DE0137"/>
    <w:rsid w:val="00DE01BA"/>
    <w:rsid w:val="00DE061F"/>
    <w:rsid w:val="00DE0DCF"/>
    <w:rsid w:val="00DE137B"/>
    <w:rsid w:val="00DE19D9"/>
    <w:rsid w:val="00DE1DC6"/>
    <w:rsid w:val="00DE1E4A"/>
    <w:rsid w:val="00DE1F77"/>
    <w:rsid w:val="00DE21C6"/>
    <w:rsid w:val="00DE22AA"/>
    <w:rsid w:val="00DE238F"/>
    <w:rsid w:val="00DE288F"/>
    <w:rsid w:val="00DE2C45"/>
    <w:rsid w:val="00DE2D49"/>
    <w:rsid w:val="00DE2E83"/>
    <w:rsid w:val="00DE2ED5"/>
    <w:rsid w:val="00DE2F4E"/>
    <w:rsid w:val="00DE3D0F"/>
    <w:rsid w:val="00DE3E66"/>
    <w:rsid w:val="00DE3F75"/>
    <w:rsid w:val="00DE41FC"/>
    <w:rsid w:val="00DE45F5"/>
    <w:rsid w:val="00DE4AAD"/>
    <w:rsid w:val="00DE4C0C"/>
    <w:rsid w:val="00DE4FC8"/>
    <w:rsid w:val="00DE53B5"/>
    <w:rsid w:val="00DE5A50"/>
    <w:rsid w:val="00DE60C5"/>
    <w:rsid w:val="00DE7323"/>
    <w:rsid w:val="00DE75F0"/>
    <w:rsid w:val="00DE77CB"/>
    <w:rsid w:val="00DE79A9"/>
    <w:rsid w:val="00DE7EBA"/>
    <w:rsid w:val="00DF04BD"/>
    <w:rsid w:val="00DF050A"/>
    <w:rsid w:val="00DF068D"/>
    <w:rsid w:val="00DF0D3A"/>
    <w:rsid w:val="00DF0E20"/>
    <w:rsid w:val="00DF140A"/>
    <w:rsid w:val="00DF1A9A"/>
    <w:rsid w:val="00DF1C2D"/>
    <w:rsid w:val="00DF1F8A"/>
    <w:rsid w:val="00DF2209"/>
    <w:rsid w:val="00DF248E"/>
    <w:rsid w:val="00DF2715"/>
    <w:rsid w:val="00DF3577"/>
    <w:rsid w:val="00DF4063"/>
    <w:rsid w:val="00DF48E8"/>
    <w:rsid w:val="00DF5F13"/>
    <w:rsid w:val="00DF62CB"/>
    <w:rsid w:val="00DF63DD"/>
    <w:rsid w:val="00DF6B62"/>
    <w:rsid w:val="00DF7BD0"/>
    <w:rsid w:val="00DF7BDF"/>
    <w:rsid w:val="00E00303"/>
    <w:rsid w:val="00E00A62"/>
    <w:rsid w:val="00E010A0"/>
    <w:rsid w:val="00E0125E"/>
    <w:rsid w:val="00E01668"/>
    <w:rsid w:val="00E0173A"/>
    <w:rsid w:val="00E01849"/>
    <w:rsid w:val="00E020D1"/>
    <w:rsid w:val="00E02B64"/>
    <w:rsid w:val="00E02EAD"/>
    <w:rsid w:val="00E03453"/>
    <w:rsid w:val="00E03D3F"/>
    <w:rsid w:val="00E03DED"/>
    <w:rsid w:val="00E0437C"/>
    <w:rsid w:val="00E0452C"/>
    <w:rsid w:val="00E04D61"/>
    <w:rsid w:val="00E0504C"/>
    <w:rsid w:val="00E05074"/>
    <w:rsid w:val="00E052DA"/>
    <w:rsid w:val="00E05489"/>
    <w:rsid w:val="00E05741"/>
    <w:rsid w:val="00E05F7F"/>
    <w:rsid w:val="00E061D7"/>
    <w:rsid w:val="00E06549"/>
    <w:rsid w:val="00E06930"/>
    <w:rsid w:val="00E06971"/>
    <w:rsid w:val="00E07D90"/>
    <w:rsid w:val="00E10525"/>
    <w:rsid w:val="00E105B3"/>
    <w:rsid w:val="00E10846"/>
    <w:rsid w:val="00E10883"/>
    <w:rsid w:val="00E108F4"/>
    <w:rsid w:val="00E10D4E"/>
    <w:rsid w:val="00E1100C"/>
    <w:rsid w:val="00E11489"/>
    <w:rsid w:val="00E11711"/>
    <w:rsid w:val="00E11E63"/>
    <w:rsid w:val="00E11F94"/>
    <w:rsid w:val="00E12696"/>
    <w:rsid w:val="00E1310D"/>
    <w:rsid w:val="00E13359"/>
    <w:rsid w:val="00E138BF"/>
    <w:rsid w:val="00E1499C"/>
    <w:rsid w:val="00E14EFA"/>
    <w:rsid w:val="00E151B9"/>
    <w:rsid w:val="00E158C4"/>
    <w:rsid w:val="00E15CC4"/>
    <w:rsid w:val="00E161E6"/>
    <w:rsid w:val="00E167C9"/>
    <w:rsid w:val="00E1698C"/>
    <w:rsid w:val="00E16BDB"/>
    <w:rsid w:val="00E16D65"/>
    <w:rsid w:val="00E172BE"/>
    <w:rsid w:val="00E1790C"/>
    <w:rsid w:val="00E17CF7"/>
    <w:rsid w:val="00E205D6"/>
    <w:rsid w:val="00E209AB"/>
    <w:rsid w:val="00E216EC"/>
    <w:rsid w:val="00E2189A"/>
    <w:rsid w:val="00E21A60"/>
    <w:rsid w:val="00E21DA6"/>
    <w:rsid w:val="00E22B5A"/>
    <w:rsid w:val="00E22B68"/>
    <w:rsid w:val="00E231C9"/>
    <w:rsid w:val="00E23EBF"/>
    <w:rsid w:val="00E23FD5"/>
    <w:rsid w:val="00E24669"/>
    <w:rsid w:val="00E24A70"/>
    <w:rsid w:val="00E24C48"/>
    <w:rsid w:val="00E24EE4"/>
    <w:rsid w:val="00E257E9"/>
    <w:rsid w:val="00E25981"/>
    <w:rsid w:val="00E26056"/>
    <w:rsid w:val="00E26141"/>
    <w:rsid w:val="00E266F5"/>
    <w:rsid w:val="00E2673E"/>
    <w:rsid w:val="00E270D3"/>
    <w:rsid w:val="00E2742D"/>
    <w:rsid w:val="00E27FC7"/>
    <w:rsid w:val="00E3050B"/>
    <w:rsid w:val="00E30700"/>
    <w:rsid w:val="00E31115"/>
    <w:rsid w:val="00E31360"/>
    <w:rsid w:val="00E31D28"/>
    <w:rsid w:val="00E31D7E"/>
    <w:rsid w:val="00E31F31"/>
    <w:rsid w:val="00E32425"/>
    <w:rsid w:val="00E3252C"/>
    <w:rsid w:val="00E32592"/>
    <w:rsid w:val="00E325FF"/>
    <w:rsid w:val="00E32CB8"/>
    <w:rsid w:val="00E32F67"/>
    <w:rsid w:val="00E3440F"/>
    <w:rsid w:val="00E34F3A"/>
    <w:rsid w:val="00E35F99"/>
    <w:rsid w:val="00E35F9A"/>
    <w:rsid w:val="00E3637F"/>
    <w:rsid w:val="00E364B6"/>
    <w:rsid w:val="00E36723"/>
    <w:rsid w:val="00E370B2"/>
    <w:rsid w:val="00E3713C"/>
    <w:rsid w:val="00E3767B"/>
    <w:rsid w:val="00E37E1C"/>
    <w:rsid w:val="00E40079"/>
    <w:rsid w:val="00E40126"/>
    <w:rsid w:val="00E4013B"/>
    <w:rsid w:val="00E40C85"/>
    <w:rsid w:val="00E40CBF"/>
    <w:rsid w:val="00E40E7D"/>
    <w:rsid w:val="00E40EE4"/>
    <w:rsid w:val="00E413C6"/>
    <w:rsid w:val="00E420D5"/>
    <w:rsid w:val="00E42517"/>
    <w:rsid w:val="00E42788"/>
    <w:rsid w:val="00E42948"/>
    <w:rsid w:val="00E42D55"/>
    <w:rsid w:val="00E42FFE"/>
    <w:rsid w:val="00E4316E"/>
    <w:rsid w:val="00E435AB"/>
    <w:rsid w:val="00E4419E"/>
    <w:rsid w:val="00E44275"/>
    <w:rsid w:val="00E44705"/>
    <w:rsid w:val="00E44777"/>
    <w:rsid w:val="00E44B96"/>
    <w:rsid w:val="00E44F67"/>
    <w:rsid w:val="00E4535F"/>
    <w:rsid w:val="00E455E3"/>
    <w:rsid w:val="00E466BC"/>
    <w:rsid w:val="00E4686A"/>
    <w:rsid w:val="00E4735D"/>
    <w:rsid w:val="00E479FD"/>
    <w:rsid w:val="00E47A76"/>
    <w:rsid w:val="00E47F10"/>
    <w:rsid w:val="00E504D4"/>
    <w:rsid w:val="00E504D6"/>
    <w:rsid w:val="00E50B6F"/>
    <w:rsid w:val="00E50EBE"/>
    <w:rsid w:val="00E50F69"/>
    <w:rsid w:val="00E50FC6"/>
    <w:rsid w:val="00E52372"/>
    <w:rsid w:val="00E5272D"/>
    <w:rsid w:val="00E52786"/>
    <w:rsid w:val="00E52F05"/>
    <w:rsid w:val="00E540CA"/>
    <w:rsid w:val="00E54C83"/>
    <w:rsid w:val="00E55460"/>
    <w:rsid w:val="00E55B28"/>
    <w:rsid w:val="00E56D4A"/>
    <w:rsid w:val="00E57119"/>
    <w:rsid w:val="00E5719E"/>
    <w:rsid w:val="00E57D7B"/>
    <w:rsid w:val="00E57F4B"/>
    <w:rsid w:val="00E602E5"/>
    <w:rsid w:val="00E602F8"/>
    <w:rsid w:val="00E607CF"/>
    <w:rsid w:val="00E6085B"/>
    <w:rsid w:val="00E60FBA"/>
    <w:rsid w:val="00E60FBF"/>
    <w:rsid w:val="00E611AE"/>
    <w:rsid w:val="00E616F9"/>
    <w:rsid w:val="00E61852"/>
    <w:rsid w:val="00E61A0C"/>
    <w:rsid w:val="00E61D22"/>
    <w:rsid w:val="00E61D96"/>
    <w:rsid w:val="00E61E4B"/>
    <w:rsid w:val="00E61E57"/>
    <w:rsid w:val="00E62557"/>
    <w:rsid w:val="00E62F6E"/>
    <w:rsid w:val="00E63DA2"/>
    <w:rsid w:val="00E641E8"/>
    <w:rsid w:val="00E642AF"/>
    <w:rsid w:val="00E644C6"/>
    <w:rsid w:val="00E64555"/>
    <w:rsid w:val="00E64595"/>
    <w:rsid w:val="00E646BB"/>
    <w:rsid w:val="00E64B83"/>
    <w:rsid w:val="00E64D24"/>
    <w:rsid w:val="00E64FAF"/>
    <w:rsid w:val="00E653A6"/>
    <w:rsid w:val="00E6549C"/>
    <w:rsid w:val="00E654B9"/>
    <w:rsid w:val="00E6589D"/>
    <w:rsid w:val="00E65DD2"/>
    <w:rsid w:val="00E65E8C"/>
    <w:rsid w:val="00E665E7"/>
    <w:rsid w:val="00E6661C"/>
    <w:rsid w:val="00E66BE0"/>
    <w:rsid w:val="00E66C96"/>
    <w:rsid w:val="00E675FD"/>
    <w:rsid w:val="00E70130"/>
    <w:rsid w:val="00E706DE"/>
    <w:rsid w:val="00E71063"/>
    <w:rsid w:val="00E715FC"/>
    <w:rsid w:val="00E71A45"/>
    <w:rsid w:val="00E71C21"/>
    <w:rsid w:val="00E72987"/>
    <w:rsid w:val="00E72F23"/>
    <w:rsid w:val="00E730FC"/>
    <w:rsid w:val="00E73481"/>
    <w:rsid w:val="00E7385A"/>
    <w:rsid w:val="00E7391F"/>
    <w:rsid w:val="00E73CE6"/>
    <w:rsid w:val="00E74780"/>
    <w:rsid w:val="00E74956"/>
    <w:rsid w:val="00E752F7"/>
    <w:rsid w:val="00E75848"/>
    <w:rsid w:val="00E759D4"/>
    <w:rsid w:val="00E76A3C"/>
    <w:rsid w:val="00E76A75"/>
    <w:rsid w:val="00E76F9B"/>
    <w:rsid w:val="00E771FC"/>
    <w:rsid w:val="00E773CE"/>
    <w:rsid w:val="00E773E5"/>
    <w:rsid w:val="00E773FE"/>
    <w:rsid w:val="00E77BDD"/>
    <w:rsid w:val="00E806D3"/>
    <w:rsid w:val="00E8104D"/>
    <w:rsid w:val="00E81C34"/>
    <w:rsid w:val="00E81D83"/>
    <w:rsid w:val="00E821BB"/>
    <w:rsid w:val="00E822E9"/>
    <w:rsid w:val="00E826FE"/>
    <w:rsid w:val="00E8275E"/>
    <w:rsid w:val="00E827AF"/>
    <w:rsid w:val="00E82DE9"/>
    <w:rsid w:val="00E83253"/>
    <w:rsid w:val="00E83714"/>
    <w:rsid w:val="00E83831"/>
    <w:rsid w:val="00E844AB"/>
    <w:rsid w:val="00E84C97"/>
    <w:rsid w:val="00E85005"/>
    <w:rsid w:val="00E85296"/>
    <w:rsid w:val="00E8533B"/>
    <w:rsid w:val="00E85E4E"/>
    <w:rsid w:val="00E8608C"/>
    <w:rsid w:val="00E86327"/>
    <w:rsid w:val="00E864E1"/>
    <w:rsid w:val="00E86DF0"/>
    <w:rsid w:val="00E87BD2"/>
    <w:rsid w:val="00E87CDC"/>
    <w:rsid w:val="00E906EE"/>
    <w:rsid w:val="00E90B33"/>
    <w:rsid w:val="00E90CB4"/>
    <w:rsid w:val="00E910E4"/>
    <w:rsid w:val="00E911E0"/>
    <w:rsid w:val="00E92115"/>
    <w:rsid w:val="00E93407"/>
    <w:rsid w:val="00E93775"/>
    <w:rsid w:val="00E940A8"/>
    <w:rsid w:val="00E94307"/>
    <w:rsid w:val="00E947E8"/>
    <w:rsid w:val="00E94B0F"/>
    <w:rsid w:val="00E94FF3"/>
    <w:rsid w:val="00E9503F"/>
    <w:rsid w:val="00E956F3"/>
    <w:rsid w:val="00E95AA7"/>
    <w:rsid w:val="00E95E80"/>
    <w:rsid w:val="00E96E68"/>
    <w:rsid w:val="00E97013"/>
    <w:rsid w:val="00E97EA1"/>
    <w:rsid w:val="00EA0BBE"/>
    <w:rsid w:val="00EA110A"/>
    <w:rsid w:val="00EA1475"/>
    <w:rsid w:val="00EA18B9"/>
    <w:rsid w:val="00EA1FBC"/>
    <w:rsid w:val="00EA20A1"/>
    <w:rsid w:val="00EA212B"/>
    <w:rsid w:val="00EA24B5"/>
    <w:rsid w:val="00EA2AAA"/>
    <w:rsid w:val="00EA2D44"/>
    <w:rsid w:val="00EA3A1D"/>
    <w:rsid w:val="00EA3CD7"/>
    <w:rsid w:val="00EA3E2D"/>
    <w:rsid w:val="00EA4010"/>
    <w:rsid w:val="00EA429D"/>
    <w:rsid w:val="00EA4364"/>
    <w:rsid w:val="00EA43AF"/>
    <w:rsid w:val="00EA4676"/>
    <w:rsid w:val="00EA47FB"/>
    <w:rsid w:val="00EA4C7C"/>
    <w:rsid w:val="00EA4D4C"/>
    <w:rsid w:val="00EA554F"/>
    <w:rsid w:val="00EA6250"/>
    <w:rsid w:val="00EA66A4"/>
    <w:rsid w:val="00EA6819"/>
    <w:rsid w:val="00EA6A1E"/>
    <w:rsid w:val="00EA6CAC"/>
    <w:rsid w:val="00EA75BD"/>
    <w:rsid w:val="00EA7C47"/>
    <w:rsid w:val="00EB0901"/>
    <w:rsid w:val="00EB0F0F"/>
    <w:rsid w:val="00EB12A5"/>
    <w:rsid w:val="00EB148B"/>
    <w:rsid w:val="00EB1DF4"/>
    <w:rsid w:val="00EB24D8"/>
    <w:rsid w:val="00EB277B"/>
    <w:rsid w:val="00EB2F20"/>
    <w:rsid w:val="00EB2F35"/>
    <w:rsid w:val="00EB31DB"/>
    <w:rsid w:val="00EB3422"/>
    <w:rsid w:val="00EB3A31"/>
    <w:rsid w:val="00EB458E"/>
    <w:rsid w:val="00EB4EAF"/>
    <w:rsid w:val="00EB548E"/>
    <w:rsid w:val="00EB5C41"/>
    <w:rsid w:val="00EB5F5A"/>
    <w:rsid w:val="00EB656C"/>
    <w:rsid w:val="00EB657E"/>
    <w:rsid w:val="00EB695E"/>
    <w:rsid w:val="00EB69D1"/>
    <w:rsid w:val="00EB69D4"/>
    <w:rsid w:val="00EB6FE9"/>
    <w:rsid w:val="00EB72FF"/>
    <w:rsid w:val="00EB756F"/>
    <w:rsid w:val="00EB79C8"/>
    <w:rsid w:val="00EB7E3F"/>
    <w:rsid w:val="00EB7E78"/>
    <w:rsid w:val="00EC0301"/>
    <w:rsid w:val="00EC08B5"/>
    <w:rsid w:val="00EC09C6"/>
    <w:rsid w:val="00EC0B70"/>
    <w:rsid w:val="00EC0EA5"/>
    <w:rsid w:val="00EC1056"/>
    <w:rsid w:val="00EC1470"/>
    <w:rsid w:val="00EC222E"/>
    <w:rsid w:val="00EC2716"/>
    <w:rsid w:val="00EC2DBB"/>
    <w:rsid w:val="00EC358E"/>
    <w:rsid w:val="00EC381D"/>
    <w:rsid w:val="00EC3FD2"/>
    <w:rsid w:val="00EC4095"/>
    <w:rsid w:val="00EC43B5"/>
    <w:rsid w:val="00EC4537"/>
    <w:rsid w:val="00EC4960"/>
    <w:rsid w:val="00EC4AE3"/>
    <w:rsid w:val="00EC5414"/>
    <w:rsid w:val="00EC54EE"/>
    <w:rsid w:val="00EC59B2"/>
    <w:rsid w:val="00EC5A3B"/>
    <w:rsid w:val="00EC6424"/>
    <w:rsid w:val="00EC786C"/>
    <w:rsid w:val="00EC7ADD"/>
    <w:rsid w:val="00EC7C26"/>
    <w:rsid w:val="00EC7D64"/>
    <w:rsid w:val="00ED028F"/>
    <w:rsid w:val="00ED04FE"/>
    <w:rsid w:val="00ED0DD0"/>
    <w:rsid w:val="00ED1122"/>
    <w:rsid w:val="00ED1989"/>
    <w:rsid w:val="00ED28F2"/>
    <w:rsid w:val="00ED2F3E"/>
    <w:rsid w:val="00ED3145"/>
    <w:rsid w:val="00ED3309"/>
    <w:rsid w:val="00ED356E"/>
    <w:rsid w:val="00ED3792"/>
    <w:rsid w:val="00ED3BDA"/>
    <w:rsid w:val="00ED4600"/>
    <w:rsid w:val="00ED4977"/>
    <w:rsid w:val="00ED4D68"/>
    <w:rsid w:val="00ED5332"/>
    <w:rsid w:val="00ED5A3B"/>
    <w:rsid w:val="00ED5C30"/>
    <w:rsid w:val="00ED5E02"/>
    <w:rsid w:val="00ED5EED"/>
    <w:rsid w:val="00ED612A"/>
    <w:rsid w:val="00ED6B1C"/>
    <w:rsid w:val="00ED6CF7"/>
    <w:rsid w:val="00ED6F33"/>
    <w:rsid w:val="00ED70A5"/>
    <w:rsid w:val="00ED7716"/>
    <w:rsid w:val="00ED7737"/>
    <w:rsid w:val="00ED7747"/>
    <w:rsid w:val="00ED7CF4"/>
    <w:rsid w:val="00ED7ECB"/>
    <w:rsid w:val="00ED7FA2"/>
    <w:rsid w:val="00EE0786"/>
    <w:rsid w:val="00EE1B0E"/>
    <w:rsid w:val="00EE21E5"/>
    <w:rsid w:val="00EE22FB"/>
    <w:rsid w:val="00EE2407"/>
    <w:rsid w:val="00EE26AE"/>
    <w:rsid w:val="00EE29C8"/>
    <w:rsid w:val="00EE2A54"/>
    <w:rsid w:val="00EE2FC2"/>
    <w:rsid w:val="00EE3B6B"/>
    <w:rsid w:val="00EE3B88"/>
    <w:rsid w:val="00EE3FF8"/>
    <w:rsid w:val="00EE46F6"/>
    <w:rsid w:val="00EE4B75"/>
    <w:rsid w:val="00EE4D34"/>
    <w:rsid w:val="00EE4DBD"/>
    <w:rsid w:val="00EE658C"/>
    <w:rsid w:val="00EE6AC6"/>
    <w:rsid w:val="00EE6E26"/>
    <w:rsid w:val="00EE7297"/>
    <w:rsid w:val="00EE784F"/>
    <w:rsid w:val="00EE7A1D"/>
    <w:rsid w:val="00EE7DBD"/>
    <w:rsid w:val="00EF0500"/>
    <w:rsid w:val="00EF0808"/>
    <w:rsid w:val="00EF1002"/>
    <w:rsid w:val="00EF143F"/>
    <w:rsid w:val="00EF1D3B"/>
    <w:rsid w:val="00EF23D8"/>
    <w:rsid w:val="00EF2A5A"/>
    <w:rsid w:val="00EF2A87"/>
    <w:rsid w:val="00EF2D98"/>
    <w:rsid w:val="00EF37DE"/>
    <w:rsid w:val="00EF3A74"/>
    <w:rsid w:val="00EF3AE9"/>
    <w:rsid w:val="00EF3EA5"/>
    <w:rsid w:val="00EF49FB"/>
    <w:rsid w:val="00EF4AFC"/>
    <w:rsid w:val="00EF55D6"/>
    <w:rsid w:val="00EF644D"/>
    <w:rsid w:val="00EF6A0F"/>
    <w:rsid w:val="00EF6BAD"/>
    <w:rsid w:val="00EF6D29"/>
    <w:rsid w:val="00EF6E79"/>
    <w:rsid w:val="00EF7138"/>
    <w:rsid w:val="00EF7E0B"/>
    <w:rsid w:val="00F00881"/>
    <w:rsid w:val="00F00917"/>
    <w:rsid w:val="00F00B65"/>
    <w:rsid w:val="00F00F3E"/>
    <w:rsid w:val="00F00FC2"/>
    <w:rsid w:val="00F010BB"/>
    <w:rsid w:val="00F012C1"/>
    <w:rsid w:val="00F0175F"/>
    <w:rsid w:val="00F01A41"/>
    <w:rsid w:val="00F03280"/>
    <w:rsid w:val="00F0362A"/>
    <w:rsid w:val="00F0385C"/>
    <w:rsid w:val="00F03ABE"/>
    <w:rsid w:val="00F03B69"/>
    <w:rsid w:val="00F041D7"/>
    <w:rsid w:val="00F04345"/>
    <w:rsid w:val="00F047A4"/>
    <w:rsid w:val="00F04F52"/>
    <w:rsid w:val="00F0510F"/>
    <w:rsid w:val="00F0563F"/>
    <w:rsid w:val="00F05973"/>
    <w:rsid w:val="00F064EF"/>
    <w:rsid w:val="00F06558"/>
    <w:rsid w:val="00F06C95"/>
    <w:rsid w:val="00F06F42"/>
    <w:rsid w:val="00F07122"/>
    <w:rsid w:val="00F074C9"/>
    <w:rsid w:val="00F07588"/>
    <w:rsid w:val="00F07C82"/>
    <w:rsid w:val="00F07F5E"/>
    <w:rsid w:val="00F1001E"/>
    <w:rsid w:val="00F1055F"/>
    <w:rsid w:val="00F106BB"/>
    <w:rsid w:val="00F10BA6"/>
    <w:rsid w:val="00F11027"/>
    <w:rsid w:val="00F111BA"/>
    <w:rsid w:val="00F1144D"/>
    <w:rsid w:val="00F1155D"/>
    <w:rsid w:val="00F116DD"/>
    <w:rsid w:val="00F11D9F"/>
    <w:rsid w:val="00F11E31"/>
    <w:rsid w:val="00F123EA"/>
    <w:rsid w:val="00F12C53"/>
    <w:rsid w:val="00F1360C"/>
    <w:rsid w:val="00F13AA1"/>
    <w:rsid w:val="00F13AF9"/>
    <w:rsid w:val="00F13F2A"/>
    <w:rsid w:val="00F14D9E"/>
    <w:rsid w:val="00F15097"/>
    <w:rsid w:val="00F153F8"/>
    <w:rsid w:val="00F15671"/>
    <w:rsid w:val="00F15F50"/>
    <w:rsid w:val="00F1643E"/>
    <w:rsid w:val="00F16695"/>
    <w:rsid w:val="00F17159"/>
    <w:rsid w:val="00F1733F"/>
    <w:rsid w:val="00F17CB5"/>
    <w:rsid w:val="00F202E3"/>
    <w:rsid w:val="00F20C6E"/>
    <w:rsid w:val="00F20D6C"/>
    <w:rsid w:val="00F20F03"/>
    <w:rsid w:val="00F2255F"/>
    <w:rsid w:val="00F225CF"/>
    <w:rsid w:val="00F22882"/>
    <w:rsid w:val="00F22985"/>
    <w:rsid w:val="00F22AEF"/>
    <w:rsid w:val="00F22F7A"/>
    <w:rsid w:val="00F2343C"/>
    <w:rsid w:val="00F23704"/>
    <w:rsid w:val="00F23CFC"/>
    <w:rsid w:val="00F24076"/>
    <w:rsid w:val="00F240CB"/>
    <w:rsid w:val="00F2492F"/>
    <w:rsid w:val="00F2500D"/>
    <w:rsid w:val="00F251B2"/>
    <w:rsid w:val="00F2596D"/>
    <w:rsid w:val="00F25CAA"/>
    <w:rsid w:val="00F26AD6"/>
    <w:rsid w:val="00F2711C"/>
    <w:rsid w:val="00F2720E"/>
    <w:rsid w:val="00F27253"/>
    <w:rsid w:val="00F277E8"/>
    <w:rsid w:val="00F27B04"/>
    <w:rsid w:val="00F27E3D"/>
    <w:rsid w:val="00F27EB2"/>
    <w:rsid w:val="00F301D0"/>
    <w:rsid w:val="00F3069F"/>
    <w:rsid w:val="00F30A02"/>
    <w:rsid w:val="00F30C3F"/>
    <w:rsid w:val="00F30C60"/>
    <w:rsid w:val="00F30F38"/>
    <w:rsid w:val="00F311D1"/>
    <w:rsid w:val="00F3158A"/>
    <w:rsid w:val="00F318DB"/>
    <w:rsid w:val="00F3199C"/>
    <w:rsid w:val="00F31B0A"/>
    <w:rsid w:val="00F31F7D"/>
    <w:rsid w:val="00F31FB9"/>
    <w:rsid w:val="00F326F6"/>
    <w:rsid w:val="00F328B0"/>
    <w:rsid w:val="00F32AFF"/>
    <w:rsid w:val="00F33825"/>
    <w:rsid w:val="00F33A8B"/>
    <w:rsid w:val="00F33D3B"/>
    <w:rsid w:val="00F34A96"/>
    <w:rsid w:val="00F34EBF"/>
    <w:rsid w:val="00F34F05"/>
    <w:rsid w:val="00F356D5"/>
    <w:rsid w:val="00F359A5"/>
    <w:rsid w:val="00F361AE"/>
    <w:rsid w:val="00F36240"/>
    <w:rsid w:val="00F363EB"/>
    <w:rsid w:val="00F365DE"/>
    <w:rsid w:val="00F366DA"/>
    <w:rsid w:val="00F367CF"/>
    <w:rsid w:val="00F36D37"/>
    <w:rsid w:val="00F3719A"/>
    <w:rsid w:val="00F379BF"/>
    <w:rsid w:val="00F37EA7"/>
    <w:rsid w:val="00F40805"/>
    <w:rsid w:val="00F40B93"/>
    <w:rsid w:val="00F40C5E"/>
    <w:rsid w:val="00F40E3E"/>
    <w:rsid w:val="00F41165"/>
    <w:rsid w:val="00F4163A"/>
    <w:rsid w:val="00F41873"/>
    <w:rsid w:val="00F419C3"/>
    <w:rsid w:val="00F41D91"/>
    <w:rsid w:val="00F41E2B"/>
    <w:rsid w:val="00F423BE"/>
    <w:rsid w:val="00F424A5"/>
    <w:rsid w:val="00F425EF"/>
    <w:rsid w:val="00F428AC"/>
    <w:rsid w:val="00F42AAD"/>
    <w:rsid w:val="00F42EE3"/>
    <w:rsid w:val="00F43149"/>
    <w:rsid w:val="00F43660"/>
    <w:rsid w:val="00F43B91"/>
    <w:rsid w:val="00F44542"/>
    <w:rsid w:val="00F448DD"/>
    <w:rsid w:val="00F44D6A"/>
    <w:rsid w:val="00F44DB8"/>
    <w:rsid w:val="00F45760"/>
    <w:rsid w:val="00F45925"/>
    <w:rsid w:val="00F45C08"/>
    <w:rsid w:val="00F46BA6"/>
    <w:rsid w:val="00F46C97"/>
    <w:rsid w:val="00F4703E"/>
    <w:rsid w:val="00F4775F"/>
    <w:rsid w:val="00F50781"/>
    <w:rsid w:val="00F50CA3"/>
    <w:rsid w:val="00F517ED"/>
    <w:rsid w:val="00F51CDB"/>
    <w:rsid w:val="00F51F3F"/>
    <w:rsid w:val="00F523E7"/>
    <w:rsid w:val="00F528B5"/>
    <w:rsid w:val="00F528E7"/>
    <w:rsid w:val="00F52C8A"/>
    <w:rsid w:val="00F5352D"/>
    <w:rsid w:val="00F53615"/>
    <w:rsid w:val="00F53A91"/>
    <w:rsid w:val="00F54466"/>
    <w:rsid w:val="00F54783"/>
    <w:rsid w:val="00F547E9"/>
    <w:rsid w:val="00F5494E"/>
    <w:rsid w:val="00F54ABE"/>
    <w:rsid w:val="00F55179"/>
    <w:rsid w:val="00F55804"/>
    <w:rsid w:val="00F55F1A"/>
    <w:rsid w:val="00F56310"/>
    <w:rsid w:val="00F5684C"/>
    <w:rsid w:val="00F56E2C"/>
    <w:rsid w:val="00F57210"/>
    <w:rsid w:val="00F577FC"/>
    <w:rsid w:val="00F602F0"/>
    <w:rsid w:val="00F60C90"/>
    <w:rsid w:val="00F6111F"/>
    <w:rsid w:val="00F619EE"/>
    <w:rsid w:val="00F61CF5"/>
    <w:rsid w:val="00F61FF9"/>
    <w:rsid w:val="00F62069"/>
    <w:rsid w:val="00F6207A"/>
    <w:rsid w:val="00F62159"/>
    <w:rsid w:val="00F62A7C"/>
    <w:rsid w:val="00F62B93"/>
    <w:rsid w:val="00F633E5"/>
    <w:rsid w:val="00F63C89"/>
    <w:rsid w:val="00F647EC"/>
    <w:rsid w:val="00F64FAB"/>
    <w:rsid w:val="00F65AC8"/>
    <w:rsid w:val="00F65CEA"/>
    <w:rsid w:val="00F65F15"/>
    <w:rsid w:val="00F66443"/>
    <w:rsid w:val="00F668DB"/>
    <w:rsid w:val="00F670F9"/>
    <w:rsid w:val="00F675EA"/>
    <w:rsid w:val="00F7073B"/>
    <w:rsid w:val="00F7074A"/>
    <w:rsid w:val="00F70AD6"/>
    <w:rsid w:val="00F71687"/>
    <w:rsid w:val="00F71708"/>
    <w:rsid w:val="00F717C1"/>
    <w:rsid w:val="00F71AAE"/>
    <w:rsid w:val="00F71CDB"/>
    <w:rsid w:val="00F725D3"/>
    <w:rsid w:val="00F7281E"/>
    <w:rsid w:val="00F72C1A"/>
    <w:rsid w:val="00F72C3D"/>
    <w:rsid w:val="00F737AB"/>
    <w:rsid w:val="00F74216"/>
    <w:rsid w:val="00F74F0F"/>
    <w:rsid w:val="00F75731"/>
    <w:rsid w:val="00F75841"/>
    <w:rsid w:val="00F76333"/>
    <w:rsid w:val="00F76F6A"/>
    <w:rsid w:val="00F770C6"/>
    <w:rsid w:val="00F77100"/>
    <w:rsid w:val="00F8017E"/>
    <w:rsid w:val="00F808DA"/>
    <w:rsid w:val="00F8090F"/>
    <w:rsid w:val="00F80A8A"/>
    <w:rsid w:val="00F8139A"/>
    <w:rsid w:val="00F82AAE"/>
    <w:rsid w:val="00F834BE"/>
    <w:rsid w:val="00F838A9"/>
    <w:rsid w:val="00F83B83"/>
    <w:rsid w:val="00F83D3F"/>
    <w:rsid w:val="00F849E3"/>
    <w:rsid w:val="00F84B4E"/>
    <w:rsid w:val="00F84C44"/>
    <w:rsid w:val="00F84F30"/>
    <w:rsid w:val="00F851B7"/>
    <w:rsid w:val="00F8566C"/>
    <w:rsid w:val="00F858D4"/>
    <w:rsid w:val="00F85C65"/>
    <w:rsid w:val="00F860EB"/>
    <w:rsid w:val="00F8620D"/>
    <w:rsid w:val="00F868B6"/>
    <w:rsid w:val="00F86968"/>
    <w:rsid w:val="00F86E42"/>
    <w:rsid w:val="00F86E95"/>
    <w:rsid w:val="00F876E6"/>
    <w:rsid w:val="00F87825"/>
    <w:rsid w:val="00F87838"/>
    <w:rsid w:val="00F879E8"/>
    <w:rsid w:val="00F87FCE"/>
    <w:rsid w:val="00F9008B"/>
    <w:rsid w:val="00F90820"/>
    <w:rsid w:val="00F909C7"/>
    <w:rsid w:val="00F91669"/>
    <w:rsid w:val="00F916DE"/>
    <w:rsid w:val="00F9184F"/>
    <w:rsid w:val="00F91943"/>
    <w:rsid w:val="00F9231D"/>
    <w:rsid w:val="00F92A66"/>
    <w:rsid w:val="00F931CF"/>
    <w:rsid w:val="00F936DA"/>
    <w:rsid w:val="00F93A31"/>
    <w:rsid w:val="00F93D6E"/>
    <w:rsid w:val="00F9423D"/>
    <w:rsid w:val="00F942C2"/>
    <w:rsid w:val="00F94609"/>
    <w:rsid w:val="00F94F16"/>
    <w:rsid w:val="00F95182"/>
    <w:rsid w:val="00F95410"/>
    <w:rsid w:val="00F957D2"/>
    <w:rsid w:val="00F95D94"/>
    <w:rsid w:val="00F96F86"/>
    <w:rsid w:val="00FA02B8"/>
    <w:rsid w:val="00FA0980"/>
    <w:rsid w:val="00FA1028"/>
    <w:rsid w:val="00FA157E"/>
    <w:rsid w:val="00FA181F"/>
    <w:rsid w:val="00FA1C1F"/>
    <w:rsid w:val="00FA1E82"/>
    <w:rsid w:val="00FA2137"/>
    <w:rsid w:val="00FA272D"/>
    <w:rsid w:val="00FA338D"/>
    <w:rsid w:val="00FA34A2"/>
    <w:rsid w:val="00FA3742"/>
    <w:rsid w:val="00FA3837"/>
    <w:rsid w:val="00FA39FC"/>
    <w:rsid w:val="00FA44B4"/>
    <w:rsid w:val="00FA4538"/>
    <w:rsid w:val="00FA4998"/>
    <w:rsid w:val="00FA4DC2"/>
    <w:rsid w:val="00FA57D1"/>
    <w:rsid w:val="00FA67E3"/>
    <w:rsid w:val="00FA7157"/>
    <w:rsid w:val="00FA73A6"/>
    <w:rsid w:val="00FA7698"/>
    <w:rsid w:val="00FA78C2"/>
    <w:rsid w:val="00FA7A2D"/>
    <w:rsid w:val="00FA7B4F"/>
    <w:rsid w:val="00FA7DA6"/>
    <w:rsid w:val="00FA7FF1"/>
    <w:rsid w:val="00FB02F8"/>
    <w:rsid w:val="00FB06E7"/>
    <w:rsid w:val="00FB0822"/>
    <w:rsid w:val="00FB0AC3"/>
    <w:rsid w:val="00FB1093"/>
    <w:rsid w:val="00FB13A0"/>
    <w:rsid w:val="00FB2142"/>
    <w:rsid w:val="00FB227E"/>
    <w:rsid w:val="00FB25DA"/>
    <w:rsid w:val="00FB267D"/>
    <w:rsid w:val="00FB2A18"/>
    <w:rsid w:val="00FB2BF4"/>
    <w:rsid w:val="00FB2C8D"/>
    <w:rsid w:val="00FB2DC6"/>
    <w:rsid w:val="00FB4267"/>
    <w:rsid w:val="00FB4D2D"/>
    <w:rsid w:val="00FB59D4"/>
    <w:rsid w:val="00FB5E81"/>
    <w:rsid w:val="00FB6E6C"/>
    <w:rsid w:val="00FB71B0"/>
    <w:rsid w:val="00FB7ABA"/>
    <w:rsid w:val="00FB7C21"/>
    <w:rsid w:val="00FB7C46"/>
    <w:rsid w:val="00FC04E0"/>
    <w:rsid w:val="00FC06CE"/>
    <w:rsid w:val="00FC0D98"/>
    <w:rsid w:val="00FC0E2F"/>
    <w:rsid w:val="00FC1042"/>
    <w:rsid w:val="00FC113C"/>
    <w:rsid w:val="00FC11C6"/>
    <w:rsid w:val="00FC17D8"/>
    <w:rsid w:val="00FC25E0"/>
    <w:rsid w:val="00FC279A"/>
    <w:rsid w:val="00FC2D0D"/>
    <w:rsid w:val="00FC324D"/>
    <w:rsid w:val="00FC367C"/>
    <w:rsid w:val="00FC3995"/>
    <w:rsid w:val="00FC39A1"/>
    <w:rsid w:val="00FC3BC3"/>
    <w:rsid w:val="00FC3E47"/>
    <w:rsid w:val="00FC4B53"/>
    <w:rsid w:val="00FC4BAE"/>
    <w:rsid w:val="00FC4CC8"/>
    <w:rsid w:val="00FC4F75"/>
    <w:rsid w:val="00FC5160"/>
    <w:rsid w:val="00FC5A36"/>
    <w:rsid w:val="00FC6353"/>
    <w:rsid w:val="00FC69CF"/>
    <w:rsid w:val="00FC6B0B"/>
    <w:rsid w:val="00FC713B"/>
    <w:rsid w:val="00FC747A"/>
    <w:rsid w:val="00FC7862"/>
    <w:rsid w:val="00FC79D5"/>
    <w:rsid w:val="00FC7B35"/>
    <w:rsid w:val="00FC7B53"/>
    <w:rsid w:val="00FC7BD8"/>
    <w:rsid w:val="00FD0177"/>
    <w:rsid w:val="00FD0AE7"/>
    <w:rsid w:val="00FD0B44"/>
    <w:rsid w:val="00FD0F70"/>
    <w:rsid w:val="00FD2315"/>
    <w:rsid w:val="00FD29A7"/>
    <w:rsid w:val="00FD2B15"/>
    <w:rsid w:val="00FD2C45"/>
    <w:rsid w:val="00FD2FD4"/>
    <w:rsid w:val="00FD3092"/>
    <w:rsid w:val="00FD3D48"/>
    <w:rsid w:val="00FD412E"/>
    <w:rsid w:val="00FD420F"/>
    <w:rsid w:val="00FD4339"/>
    <w:rsid w:val="00FD4B0C"/>
    <w:rsid w:val="00FD4F2F"/>
    <w:rsid w:val="00FD50FA"/>
    <w:rsid w:val="00FD51F7"/>
    <w:rsid w:val="00FD5258"/>
    <w:rsid w:val="00FD5602"/>
    <w:rsid w:val="00FD5661"/>
    <w:rsid w:val="00FD5A2A"/>
    <w:rsid w:val="00FD5AE2"/>
    <w:rsid w:val="00FD62B4"/>
    <w:rsid w:val="00FD7142"/>
    <w:rsid w:val="00FD750F"/>
    <w:rsid w:val="00FE011C"/>
    <w:rsid w:val="00FE0458"/>
    <w:rsid w:val="00FE07DC"/>
    <w:rsid w:val="00FE08FB"/>
    <w:rsid w:val="00FE1116"/>
    <w:rsid w:val="00FE2075"/>
    <w:rsid w:val="00FE2080"/>
    <w:rsid w:val="00FE27B9"/>
    <w:rsid w:val="00FE2E37"/>
    <w:rsid w:val="00FE30EF"/>
    <w:rsid w:val="00FE3640"/>
    <w:rsid w:val="00FE36B6"/>
    <w:rsid w:val="00FE3780"/>
    <w:rsid w:val="00FE3954"/>
    <w:rsid w:val="00FE3AE5"/>
    <w:rsid w:val="00FE3CF7"/>
    <w:rsid w:val="00FE4071"/>
    <w:rsid w:val="00FE42E3"/>
    <w:rsid w:val="00FE4840"/>
    <w:rsid w:val="00FE4ECD"/>
    <w:rsid w:val="00FE52B7"/>
    <w:rsid w:val="00FE53C5"/>
    <w:rsid w:val="00FE56A8"/>
    <w:rsid w:val="00FE5807"/>
    <w:rsid w:val="00FE5C39"/>
    <w:rsid w:val="00FE5C57"/>
    <w:rsid w:val="00FE60F2"/>
    <w:rsid w:val="00FE624E"/>
    <w:rsid w:val="00FE6415"/>
    <w:rsid w:val="00FE65A2"/>
    <w:rsid w:val="00FE69E7"/>
    <w:rsid w:val="00FE6BB8"/>
    <w:rsid w:val="00FE6E76"/>
    <w:rsid w:val="00FE6E96"/>
    <w:rsid w:val="00FF027B"/>
    <w:rsid w:val="00FF1174"/>
    <w:rsid w:val="00FF165A"/>
    <w:rsid w:val="00FF1B72"/>
    <w:rsid w:val="00FF1CF1"/>
    <w:rsid w:val="00FF1F4C"/>
    <w:rsid w:val="00FF1F90"/>
    <w:rsid w:val="00FF228F"/>
    <w:rsid w:val="00FF35DC"/>
    <w:rsid w:val="00FF3A6A"/>
    <w:rsid w:val="00FF3C7A"/>
    <w:rsid w:val="00FF3E09"/>
    <w:rsid w:val="00FF411C"/>
    <w:rsid w:val="00FF44C6"/>
    <w:rsid w:val="00FF456A"/>
    <w:rsid w:val="00FF4B2E"/>
    <w:rsid w:val="00FF4E4B"/>
    <w:rsid w:val="00FF4E4E"/>
    <w:rsid w:val="00FF5049"/>
    <w:rsid w:val="00FF519C"/>
    <w:rsid w:val="00FF5D1F"/>
    <w:rsid w:val="00FF5F95"/>
    <w:rsid w:val="00FF6126"/>
    <w:rsid w:val="00FF61F5"/>
    <w:rsid w:val="00FF62AA"/>
    <w:rsid w:val="00FF64D7"/>
    <w:rsid w:val="00FF6B6C"/>
    <w:rsid w:val="00FF6DD4"/>
    <w:rsid w:val="010B22B0"/>
    <w:rsid w:val="013513BB"/>
    <w:rsid w:val="014943B7"/>
    <w:rsid w:val="015B6D94"/>
    <w:rsid w:val="01A10EB5"/>
    <w:rsid w:val="01A63326"/>
    <w:rsid w:val="01AA2C10"/>
    <w:rsid w:val="01B6221C"/>
    <w:rsid w:val="01C901A1"/>
    <w:rsid w:val="01E70628"/>
    <w:rsid w:val="01E943A0"/>
    <w:rsid w:val="01F3521E"/>
    <w:rsid w:val="01FD62E0"/>
    <w:rsid w:val="0261662C"/>
    <w:rsid w:val="028D5673"/>
    <w:rsid w:val="029E49B6"/>
    <w:rsid w:val="02B81FC4"/>
    <w:rsid w:val="02C10E79"/>
    <w:rsid w:val="02D45F1D"/>
    <w:rsid w:val="02F27FB9"/>
    <w:rsid w:val="02FE0861"/>
    <w:rsid w:val="03113FAE"/>
    <w:rsid w:val="03227EF2"/>
    <w:rsid w:val="03324208"/>
    <w:rsid w:val="03355182"/>
    <w:rsid w:val="033B6E7D"/>
    <w:rsid w:val="034F2928"/>
    <w:rsid w:val="03604B36"/>
    <w:rsid w:val="036B7036"/>
    <w:rsid w:val="036F6D70"/>
    <w:rsid w:val="037738D8"/>
    <w:rsid w:val="037B371D"/>
    <w:rsid w:val="038C592B"/>
    <w:rsid w:val="038F0F77"/>
    <w:rsid w:val="039842CF"/>
    <w:rsid w:val="03AC44C9"/>
    <w:rsid w:val="03C04ED4"/>
    <w:rsid w:val="03CB1AFF"/>
    <w:rsid w:val="03FD6F94"/>
    <w:rsid w:val="04180F6C"/>
    <w:rsid w:val="041B280B"/>
    <w:rsid w:val="04272850"/>
    <w:rsid w:val="0438006D"/>
    <w:rsid w:val="04497378"/>
    <w:rsid w:val="04545D1C"/>
    <w:rsid w:val="045A77D7"/>
    <w:rsid w:val="046B6C21"/>
    <w:rsid w:val="046F04CD"/>
    <w:rsid w:val="04836851"/>
    <w:rsid w:val="04BE1F04"/>
    <w:rsid w:val="04EB760F"/>
    <w:rsid w:val="04EE560C"/>
    <w:rsid w:val="05013BDA"/>
    <w:rsid w:val="0519537F"/>
    <w:rsid w:val="052A53FB"/>
    <w:rsid w:val="054F4E62"/>
    <w:rsid w:val="05542478"/>
    <w:rsid w:val="05657AB2"/>
    <w:rsid w:val="057A4A8F"/>
    <w:rsid w:val="05995C81"/>
    <w:rsid w:val="05BE1FE7"/>
    <w:rsid w:val="05C56ED2"/>
    <w:rsid w:val="05DA2C7C"/>
    <w:rsid w:val="05F2013D"/>
    <w:rsid w:val="0654330D"/>
    <w:rsid w:val="066B5CCB"/>
    <w:rsid w:val="06874187"/>
    <w:rsid w:val="068955F4"/>
    <w:rsid w:val="06AE35DF"/>
    <w:rsid w:val="06F316D8"/>
    <w:rsid w:val="06F86E33"/>
    <w:rsid w:val="072D2F81"/>
    <w:rsid w:val="072E21AE"/>
    <w:rsid w:val="07397B77"/>
    <w:rsid w:val="07487DBA"/>
    <w:rsid w:val="075F0692"/>
    <w:rsid w:val="07D33F82"/>
    <w:rsid w:val="07DA7CD3"/>
    <w:rsid w:val="07DB054A"/>
    <w:rsid w:val="080109C6"/>
    <w:rsid w:val="08025844"/>
    <w:rsid w:val="080D2DB2"/>
    <w:rsid w:val="08227A35"/>
    <w:rsid w:val="083D2AF4"/>
    <w:rsid w:val="083F2F69"/>
    <w:rsid w:val="0849622F"/>
    <w:rsid w:val="086230FE"/>
    <w:rsid w:val="086C290A"/>
    <w:rsid w:val="088875E7"/>
    <w:rsid w:val="089C6D14"/>
    <w:rsid w:val="08AC4379"/>
    <w:rsid w:val="08AC6127"/>
    <w:rsid w:val="08F53B23"/>
    <w:rsid w:val="08F71A98"/>
    <w:rsid w:val="08FD1DEA"/>
    <w:rsid w:val="09163EDB"/>
    <w:rsid w:val="09440A55"/>
    <w:rsid w:val="096B5FE2"/>
    <w:rsid w:val="097544BA"/>
    <w:rsid w:val="09834392"/>
    <w:rsid w:val="098E3A7F"/>
    <w:rsid w:val="098F0CBF"/>
    <w:rsid w:val="09BE25B6"/>
    <w:rsid w:val="09C13E54"/>
    <w:rsid w:val="09CB6A81"/>
    <w:rsid w:val="09EB26E3"/>
    <w:rsid w:val="0A053C89"/>
    <w:rsid w:val="0A070656"/>
    <w:rsid w:val="0A40121D"/>
    <w:rsid w:val="0A486323"/>
    <w:rsid w:val="0A851326"/>
    <w:rsid w:val="0A913ED8"/>
    <w:rsid w:val="0A960BA9"/>
    <w:rsid w:val="0AB8072D"/>
    <w:rsid w:val="0AC91212"/>
    <w:rsid w:val="0AD57BB7"/>
    <w:rsid w:val="0AE40B42"/>
    <w:rsid w:val="0AF3628F"/>
    <w:rsid w:val="0AFF51D1"/>
    <w:rsid w:val="0B093D05"/>
    <w:rsid w:val="0B24171E"/>
    <w:rsid w:val="0B354AFA"/>
    <w:rsid w:val="0B3F6E6A"/>
    <w:rsid w:val="0B5C3243"/>
    <w:rsid w:val="0B5E59FA"/>
    <w:rsid w:val="0B8769D7"/>
    <w:rsid w:val="0BAD59A4"/>
    <w:rsid w:val="0BB35A1E"/>
    <w:rsid w:val="0BBD06AC"/>
    <w:rsid w:val="0C300E1D"/>
    <w:rsid w:val="0C357211"/>
    <w:rsid w:val="0C3721AC"/>
    <w:rsid w:val="0C3C3C01"/>
    <w:rsid w:val="0C466B45"/>
    <w:rsid w:val="0C5D5461"/>
    <w:rsid w:val="0C776E85"/>
    <w:rsid w:val="0C796C68"/>
    <w:rsid w:val="0C89740C"/>
    <w:rsid w:val="0CAA4779"/>
    <w:rsid w:val="0CBD45C2"/>
    <w:rsid w:val="0CC75C1F"/>
    <w:rsid w:val="0D0A004D"/>
    <w:rsid w:val="0D26294C"/>
    <w:rsid w:val="0D2C5A88"/>
    <w:rsid w:val="0D2E2BDA"/>
    <w:rsid w:val="0D305950"/>
    <w:rsid w:val="0D3106F3"/>
    <w:rsid w:val="0D342746"/>
    <w:rsid w:val="0D3A05F9"/>
    <w:rsid w:val="0D4000F2"/>
    <w:rsid w:val="0D433970"/>
    <w:rsid w:val="0D584403"/>
    <w:rsid w:val="0D597AD3"/>
    <w:rsid w:val="0D74395F"/>
    <w:rsid w:val="0DA026E6"/>
    <w:rsid w:val="0DE46363"/>
    <w:rsid w:val="0DEE7765"/>
    <w:rsid w:val="0DF30D4B"/>
    <w:rsid w:val="0E541B40"/>
    <w:rsid w:val="0E56722D"/>
    <w:rsid w:val="0E682AF0"/>
    <w:rsid w:val="0E791344"/>
    <w:rsid w:val="0E9C28C3"/>
    <w:rsid w:val="0EB67D00"/>
    <w:rsid w:val="0EC72812"/>
    <w:rsid w:val="0ECC3193"/>
    <w:rsid w:val="0ECC7523"/>
    <w:rsid w:val="0ECF2B91"/>
    <w:rsid w:val="0EE3065C"/>
    <w:rsid w:val="0EF645A0"/>
    <w:rsid w:val="0EFE5203"/>
    <w:rsid w:val="0F204221"/>
    <w:rsid w:val="0F24110D"/>
    <w:rsid w:val="0F2B5D1F"/>
    <w:rsid w:val="0F40581B"/>
    <w:rsid w:val="0F4075C9"/>
    <w:rsid w:val="0F41493F"/>
    <w:rsid w:val="0F563291"/>
    <w:rsid w:val="0F5F30E9"/>
    <w:rsid w:val="0F9A034A"/>
    <w:rsid w:val="0FAF393F"/>
    <w:rsid w:val="0FB00BF3"/>
    <w:rsid w:val="0FBE19E0"/>
    <w:rsid w:val="0FCB77DB"/>
    <w:rsid w:val="0FFB05F4"/>
    <w:rsid w:val="100B407B"/>
    <w:rsid w:val="10127F12"/>
    <w:rsid w:val="101C0A97"/>
    <w:rsid w:val="1035205D"/>
    <w:rsid w:val="10482E63"/>
    <w:rsid w:val="104B17E4"/>
    <w:rsid w:val="10614C25"/>
    <w:rsid w:val="106E1E0F"/>
    <w:rsid w:val="10772D2F"/>
    <w:rsid w:val="10A1358B"/>
    <w:rsid w:val="10CC380A"/>
    <w:rsid w:val="10E548CC"/>
    <w:rsid w:val="10EA2B1F"/>
    <w:rsid w:val="10F67974"/>
    <w:rsid w:val="11131439"/>
    <w:rsid w:val="112B4FBF"/>
    <w:rsid w:val="11447845"/>
    <w:rsid w:val="11680E76"/>
    <w:rsid w:val="116B1D07"/>
    <w:rsid w:val="117A14B8"/>
    <w:rsid w:val="118A0FD0"/>
    <w:rsid w:val="11AF3DD5"/>
    <w:rsid w:val="11C175F5"/>
    <w:rsid w:val="11E73222"/>
    <w:rsid w:val="120B525B"/>
    <w:rsid w:val="12341415"/>
    <w:rsid w:val="12485112"/>
    <w:rsid w:val="12527D3F"/>
    <w:rsid w:val="12530A8A"/>
    <w:rsid w:val="12617F82"/>
    <w:rsid w:val="12685FCD"/>
    <w:rsid w:val="129245E0"/>
    <w:rsid w:val="12955E7E"/>
    <w:rsid w:val="12A74815"/>
    <w:rsid w:val="12D616CB"/>
    <w:rsid w:val="12F47048"/>
    <w:rsid w:val="131E5E73"/>
    <w:rsid w:val="13405DEA"/>
    <w:rsid w:val="134978D8"/>
    <w:rsid w:val="13530E99"/>
    <w:rsid w:val="135A5549"/>
    <w:rsid w:val="13785584"/>
    <w:rsid w:val="13A02D2C"/>
    <w:rsid w:val="13A219EE"/>
    <w:rsid w:val="13A3647F"/>
    <w:rsid w:val="13AF13FA"/>
    <w:rsid w:val="13E83022"/>
    <w:rsid w:val="13EF0479"/>
    <w:rsid w:val="13F37300"/>
    <w:rsid w:val="141D25CF"/>
    <w:rsid w:val="142003F5"/>
    <w:rsid w:val="142B4CEC"/>
    <w:rsid w:val="146F2C7A"/>
    <w:rsid w:val="147B7924"/>
    <w:rsid w:val="149E4992"/>
    <w:rsid w:val="14C76E10"/>
    <w:rsid w:val="14CF5677"/>
    <w:rsid w:val="14FD1E12"/>
    <w:rsid w:val="150712B5"/>
    <w:rsid w:val="150C4105"/>
    <w:rsid w:val="15103AFD"/>
    <w:rsid w:val="153E0A4F"/>
    <w:rsid w:val="154C316C"/>
    <w:rsid w:val="154D7992"/>
    <w:rsid w:val="158822A5"/>
    <w:rsid w:val="158F12AA"/>
    <w:rsid w:val="15AD5965"/>
    <w:rsid w:val="15C01D83"/>
    <w:rsid w:val="160E21CF"/>
    <w:rsid w:val="161C26D4"/>
    <w:rsid w:val="162639BD"/>
    <w:rsid w:val="162C08A7"/>
    <w:rsid w:val="162C408F"/>
    <w:rsid w:val="163345A1"/>
    <w:rsid w:val="164C2CF7"/>
    <w:rsid w:val="1681779B"/>
    <w:rsid w:val="168D3A3C"/>
    <w:rsid w:val="169A175F"/>
    <w:rsid w:val="16B14184"/>
    <w:rsid w:val="16E12D3C"/>
    <w:rsid w:val="16E3365C"/>
    <w:rsid w:val="170E5D26"/>
    <w:rsid w:val="171C6B6E"/>
    <w:rsid w:val="172D2B29"/>
    <w:rsid w:val="1743129B"/>
    <w:rsid w:val="17625BEF"/>
    <w:rsid w:val="17650515"/>
    <w:rsid w:val="17694B12"/>
    <w:rsid w:val="176B0541"/>
    <w:rsid w:val="1771063C"/>
    <w:rsid w:val="17795D6E"/>
    <w:rsid w:val="177D585E"/>
    <w:rsid w:val="1787048B"/>
    <w:rsid w:val="178B0334"/>
    <w:rsid w:val="17BE59A2"/>
    <w:rsid w:val="17D67869"/>
    <w:rsid w:val="17FC5493"/>
    <w:rsid w:val="18185849"/>
    <w:rsid w:val="18652979"/>
    <w:rsid w:val="18B210E9"/>
    <w:rsid w:val="18ED07C2"/>
    <w:rsid w:val="18FC4B14"/>
    <w:rsid w:val="191F64A1"/>
    <w:rsid w:val="19202945"/>
    <w:rsid w:val="192F4936"/>
    <w:rsid w:val="194F77D8"/>
    <w:rsid w:val="196A74EF"/>
    <w:rsid w:val="198527A8"/>
    <w:rsid w:val="19946F79"/>
    <w:rsid w:val="19A2094D"/>
    <w:rsid w:val="19A846E9"/>
    <w:rsid w:val="19D159ED"/>
    <w:rsid w:val="19FB3199"/>
    <w:rsid w:val="19FD024A"/>
    <w:rsid w:val="1A204BC7"/>
    <w:rsid w:val="1A242823"/>
    <w:rsid w:val="1A246465"/>
    <w:rsid w:val="1A324CCD"/>
    <w:rsid w:val="1A442DE9"/>
    <w:rsid w:val="1A4C59BC"/>
    <w:rsid w:val="1A5D3284"/>
    <w:rsid w:val="1A6B4094"/>
    <w:rsid w:val="1A7E3C31"/>
    <w:rsid w:val="1A8C640E"/>
    <w:rsid w:val="1A937147"/>
    <w:rsid w:val="1AA152CD"/>
    <w:rsid w:val="1AA8244E"/>
    <w:rsid w:val="1AA82AB2"/>
    <w:rsid w:val="1ADE4866"/>
    <w:rsid w:val="1AE900F7"/>
    <w:rsid w:val="1AFB2E83"/>
    <w:rsid w:val="1B007AB6"/>
    <w:rsid w:val="1B2A7AAB"/>
    <w:rsid w:val="1B7D4190"/>
    <w:rsid w:val="1BA47801"/>
    <w:rsid w:val="1BB90E2F"/>
    <w:rsid w:val="1BC11A92"/>
    <w:rsid w:val="1BC305D3"/>
    <w:rsid w:val="1BE37C5A"/>
    <w:rsid w:val="1BFC2DB3"/>
    <w:rsid w:val="1C0025BA"/>
    <w:rsid w:val="1C0675AD"/>
    <w:rsid w:val="1C1E1E03"/>
    <w:rsid w:val="1C3641A0"/>
    <w:rsid w:val="1C3A096B"/>
    <w:rsid w:val="1C516464"/>
    <w:rsid w:val="1C5F3784"/>
    <w:rsid w:val="1C796E76"/>
    <w:rsid w:val="1C8E406A"/>
    <w:rsid w:val="1C914BB4"/>
    <w:rsid w:val="1CD55680"/>
    <w:rsid w:val="1CFA34AD"/>
    <w:rsid w:val="1D152095"/>
    <w:rsid w:val="1D214EDE"/>
    <w:rsid w:val="1D2D55F9"/>
    <w:rsid w:val="1D321E13"/>
    <w:rsid w:val="1D4110DC"/>
    <w:rsid w:val="1D6B43AB"/>
    <w:rsid w:val="1D8010B3"/>
    <w:rsid w:val="1DB95116"/>
    <w:rsid w:val="1DBC044E"/>
    <w:rsid w:val="1DC65F93"/>
    <w:rsid w:val="1DCB6BF8"/>
    <w:rsid w:val="1DD957B9"/>
    <w:rsid w:val="1DEA3522"/>
    <w:rsid w:val="1E124827"/>
    <w:rsid w:val="1E1F6FD4"/>
    <w:rsid w:val="1E2702D2"/>
    <w:rsid w:val="1E3B1411"/>
    <w:rsid w:val="1E520043"/>
    <w:rsid w:val="1E805723"/>
    <w:rsid w:val="1E860D4B"/>
    <w:rsid w:val="1EA717C5"/>
    <w:rsid w:val="1EC51899"/>
    <w:rsid w:val="1ECD2922"/>
    <w:rsid w:val="1ED11F7E"/>
    <w:rsid w:val="1EF36406"/>
    <w:rsid w:val="1F185E6D"/>
    <w:rsid w:val="1F4849CA"/>
    <w:rsid w:val="1F587934"/>
    <w:rsid w:val="1F5F1CED"/>
    <w:rsid w:val="1F62533A"/>
    <w:rsid w:val="1F792DAF"/>
    <w:rsid w:val="1F873477"/>
    <w:rsid w:val="1FA7472B"/>
    <w:rsid w:val="1FB97650"/>
    <w:rsid w:val="1FBA6F24"/>
    <w:rsid w:val="1FBC7140"/>
    <w:rsid w:val="1FF64400"/>
    <w:rsid w:val="20337402"/>
    <w:rsid w:val="203942EC"/>
    <w:rsid w:val="20452C91"/>
    <w:rsid w:val="206472BB"/>
    <w:rsid w:val="209F0482"/>
    <w:rsid w:val="20B00655"/>
    <w:rsid w:val="20B120D5"/>
    <w:rsid w:val="20B56069"/>
    <w:rsid w:val="20BE4F05"/>
    <w:rsid w:val="20BF2615"/>
    <w:rsid w:val="20C3378B"/>
    <w:rsid w:val="20CE3F85"/>
    <w:rsid w:val="20D364EF"/>
    <w:rsid w:val="20EC5803"/>
    <w:rsid w:val="210B41D8"/>
    <w:rsid w:val="210E7F88"/>
    <w:rsid w:val="211F0B00"/>
    <w:rsid w:val="212460B7"/>
    <w:rsid w:val="21250680"/>
    <w:rsid w:val="213845A4"/>
    <w:rsid w:val="21455F84"/>
    <w:rsid w:val="215B3A26"/>
    <w:rsid w:val="215C64E4"/>
    <w:rsid w:val="216D6944"/>
    <w:rsid w:val="219B3B11"/>
    <w:rsid w:val="21AC49EC"/>
    <w:rsid w:val="21B05F66"/>
    <w:rsid w:val="21C10A3D"/>
    <w:rsid w:val="21F42BC1"/>
    <w:rsid w:val="21F901D7"/>
    <w:rsid w:val="22274D44"/>
    <w:rsid w:val="226A4C31"/>
    <w:rsid w:val="226D64CF"/>
    <w:rsid w:val="22743D02"/>
    <w:rsid w:val="22C44415"/>
    <w:rsid w:val="22C97BAA"/>
    <w:rsid w:val="232B0864"/>
    <w:rsid w:val="23635644"/>
    <w:rsid w:val="237660B3"/>
    <w:rsid w:val="23867849"/>
    <w:rsid w:val="23A14683"/>
    <w:rsid w:val="23AB5501"/>
    <w:rsid w:val="23FC6803"/>
    <w:rsid w:val="2435722E"/>
    <w:rsid w:val="243D75AA"/>
    <w:rsid w:val="24457704"/>
    <w:rsid w:val="24521E21"/>
    <w:rsid w:val="245B6F27"/>
    <w:rsid w:val="245C4A4D"/>
    <w:rsid w:val="24977600"/>
    <w:rsid w:val="24B42017"/>
    <w:rsid w:val="24B4574D"/>
    <w:rsid w:val="24B831E2"/>
    <w:rsid w:val="24CD3108"/>
    <w:rsid w:val="24D6035C"/>
    <w:rsid w:val="24D80578"/>
    <w:rsid w:val="250B120F"/>
    <w:rsid w:val="251315B0"/>
    <w:rsid w:val="252C7220"/>
    <w:rsid w:val="25366A7A"/>
    <w:rsid w:val="253F4153"/>
    <w:rsid w:val="25446C66"/>
    <w:rsid w:val="25495A04"/>
    <w:rsid w:val="25583467"/>
    <w:rsid w:val="256F255E"/>
    <w:rsid w:val="25701241"/>
    <w:rsid w:val="25D06FD6"/>
    <w:rsid w:val="25E428B2"/>
    <w:rsid w:val="25F80F5A"/>
    <w:rsid w:val="26184C43"/>
    <w:rsid w:val="2641214D"/>
    <w:rsid w:val="26A05BAF"/>
    <w:rsid w:val="26A50560"/>
    <w:rsid w:val="26AE3829"/>
    <w:rsid w:val="26B75F6B"/>
    <w:rsid w:val="26CB1A16"/>
    <w:rsid w:val="26CC5EBA"/>
    <w:rsid w:val="26CE2F65"/>
    <w:rsid w:val="26D46B1D"/>
    <w:rsid w:val="26E31456"/>
    <w:rsid w:val="26E543C0"/>
    <w:rsid w:val="26F251F5"/>
    <w:rsid w:val="27003DB6"/>
    <w:rsid w:val="27027B2E"/>
    <w:rsid w:val="27076EF2"/>
    <w:rsid w:val="270F55EE"/>
    <w:rsid w:val="272F1A96"/>
    <w:rsid w:val="273B4AE0"/>
    <w:rsid w:val="277D71B5"/>
    <w:rsid w:val="278C7AF0"/>
    <w:rsid w:val="278F0C96"/>
    <w:rsid w:val="2790513A"/>
    <w:rsid w:val="27962024"/>
    <w:rsid w:val="27AC3A41"/>
    <w:rsid w:val="27C807B9"/>
    <w:rsid w:val="27D370BF"/>
    <w:rsid w:val="27D52B4D"/>
    <w:rsid w:val="27F52753"/>
    <w:rsid w:val="28302479"/>
    <w:rsid w:val="285337E8"/>
    <w:rsid w:val="2895052E"/>
    <w:rsid w:val="28992644"/>
    <w:rsid w:val="28D0778C"/>
    <w:rsid w:val="28D728F5"/>
    <w:rsid w:val="28E658E8"/>
    <w:rsid w:val="28FB4835"/>
    <w:rsid w:val="29080D00"/>
    <w:rsid w:val="29140081"/>
    <w:rsid w:val="29264159"/>
    <w:rsid w:val="29363ABF"/>
    <w:rsid w:val="29567CBD"/>
    <w:rsid w:val="29626024"/>
    <w:rsid w:val="29712D49"/>
    <w:rsid w:val="297B0CF7"/>
    <w:rsid w:val="299B4E03"/>
    <w:rsid w:val="29C7407A"/>
    <w:rsid w:val="29CA2459"/>
    <w:rsid w:val="29CB06AB"/>
    <w:rsid w:val="29E84D31"/>
    <w:rsid w:val="29EB48A9"/>
    <w:rsid w:val="29FC7419"/>
    <w:rsid w:val="2A094D30"/>
    <w:rsid w:val="2A225DF1"/>
    <w:rsid w:val="2A261D85"/>
    <w:rsid w:val="2A481CFC"/>
    <w:rsid w:val="2A5A5D38"/>
    <w:rsid w:val="2A5C1303"/>
    <w:rsid w:val="2A5E151F"/>
    <w:rsid w:val="2A733CC7"/>
    <w:rsid w:val="2A7A3E7F"/>
    <w:rsid w:val="2A9211C9"/>
    <w:rsid w:val="2A9246DA"/>
    <w:rsid w:val="2AB225AC"/>
    <w:rsid w:val="2AC670C5"/>
    <w:rsid w:val="2AE15CAC"/>
    <w:rsid w:val="2B2438D4"/>
    <w:rsid w:val="2B4E156E"/>
    <w:rsid w:val="2B5B18B6"/>
    <w:rsid w:val="2B606BD1"/>
    <w:rsid w:val="2B6B2C8C"/>
    <w:rsid w:val="2B822DA1"/>
    <w:rsid w:val="2BBA09D7"/>
    <w:rsid w:val="2BD601F8"/>
    <w:rsid w:val="2BD975DB"/>
    <w:rsid w:val="2BDB7AC9"/>
    <w:rsid w:val="2C19413D"/>
    <w:rsid w:val="2C1B3211"/>
    <w:rsid w:val="2C2C2F57"/>
    <w:rsid w:val="2C444745"/>
    <w:rsid w:val="2C5D75B5"/>
    <w:rsid w:val="2C6721E1"/>
    <w:rsid w:val="2C7072E8"/>
    <w:rsid w:val="2C791C68"/>
    <w:rsid w:val="2CA927FA"/>
    <w:rsid w:val="2CC246A5"/>
    <w:rsid w:val="2CC342EB"/>
    <w:rsid w:val="2CCB7772"/>
    <w:rsid w:val="2CE675AA"/>
    <w:rsid w:val="2CF96E96"/>
    <w:rsid w:val="2D0E4255"/>
    <w:rsid w:val="2D1F0559"/>
    <w:rsid w:val="2D4A5D8B"/>
    <w:rsid w:val="2D60735C"/>
    <w:rsid w:val="2D6230D5"/>
    <w:rsid w:val="2D823CB1"/>
    <w:rsid w:val="2D9B2143"/>
    <w:rsid w:val="2DC03E95"/>
    <w:rsid w:val="2DC25F06"/>
    <w:rsid w:val="2DCB2E33"/>
    <w:rsid w:val="2E0F151E"/>
    <w:rsid w:val="2E305A9C"/>
    <w:rsid w:val="2E3B66BD"/>
    <w:rsid w:val="2E3C1B78"/>
    <w:rsid w:val="2E690493"/>
    <w:rsid w:val="2E7605ED"/>
    <w:rsid w:val="2E8C5391"/>
    <w:rsid w:val="2E8C6FF7"/>
    <w:rsid w:val="2E8E7EF9"/>
    <w:rsid w:val="2E9332A2"/>
    <w:rsid w:val="2E963B2E"/>
    <w:rsid w:val="2EA133AF"/>
    <w:rsid w:val="2EA63495"/>
    <w:rsid w:val="2EC61441"/>
    <w:rsid w:val="2ED718A0"/>
    <w:rsid w:val="2ED911B1"/>
    <w:rsid w:val="2EDD2DD9"/>
    <w:rsid w:val="2F0C5DA8"/>
    <w:rsid w:val="2F4D3910"/>
    <w:rsid w:val="2F555E89"/>
    <w:rsid w:val="2F723467"/>
    <w:rsid w:val="2F73791D"/>
    <w:rsid w:val="2F7B49BE"/>
    <w:rsid w:val="2F922149"/>
    <w:rsid w:val="2FCF2577"/>
    <w:rsid w:val="2FE0591F"/>
    <w:rsid w:val="2FE30932"/>
    <w:rsid w:val="2FE73A14"/>
    <w:rsid w:val="2FEE3B30"/>
    <w:rsid w:val="300C7328"/>
    <w:rsid w:val="302A3C52"/>
    <w:rsid w:val="30515682"/>
    <w:rsid w:val="306835D0"/>
    <w:rsid w:val="309D2676"/>
    <w:rsid w:val="30B314B2"/>
    <w:rsid w:val="30FD3114"/>
    <w:rsid w:val="310961D3"/>
    <w:rsid w:val="31376626"/>
    <w:rsid w:val="314D19A6"/>
    <w:rsid w:val="31527E83"/>
    <w:rsid w:val="316E0AD0"/>
    <w:rsid w:val="31750EFD"/>
    <w:rsid w:val="318361D9"/>
    <w:rsid w:val="318964EF"/>
    <w:rsid w:val="31973569"/>
    <w:rsid w:val="31991EC2"/>
    <w:rsid w:val="31A35A6A"/>
    <w:rsid w:val="31C37EBA"/>
    <w:rsid w:val="31EE13DB"/>
    <w:rsid w:val="32153FA4"/>
    <w:rsid w:val="322D17D7"/>
    <w:rsid w:val="32322567"/>
    <w:rsid w:val="32343998"/>
    <w:rsid w:val="324A05DB"/>
    <w:rsid w:val="327A0EC0"/>
    <w:rsid w:val="32A0292F"/>
    <w:rsid w:val="32A02B99"/>
    <w:rsid w:val="32CB0DB7"/>
    <w:rsid w:val="32CD6737"/>
    <w:rsid w:val="32E7407C"/>
    <w:rsid w:val="330F2BAA"/>
    <w:rsid w:val="33317CF6"/>
    <w:rsid w:val="33355F1C"/>
    <w:rsid w:val="333C7F24"/>
    <w:rsid w:val="33424BB4"/>
    <w:rsid w:val="33513918"/>
    <w:rsid w:val="337D5F7B"/>
    <w:rsid w:val="33802506"/>
    <w:rsid w:val="33A81C4F"/>
    <w:rsid w:val="33B71CA0"/>
    <w:rsid w:val="33B73A4E"/>
    <w:rsid w:val="33C223E2"/>
    <w:rsid w:val="33C46C09"/>
    <w:rsid w:val="33C53969"/>
    <w:rsid w:val="33C817B8"/>
    <w:rsid w:val="33D414D0"/>
    <w:rsid w:val="3403482B"/>
    <w:rsid w:val="340622E0"/>
    <w:rsid w:val="3410342A"/>
    <w:rsid w:val="3411197D"/>
    <w:rsid w:val="3422536C"/>
    <w:rsid w:val="34272982"/>
    <w:rsid w:val="344D428E"/>
    <w:rsid w:val="34603E67"/>
    <w:rsid w:val="347436ED"/>
    <w:rsid w:val="347F27BE"/>
    <w:rsid w:val="34A00474"/>
    <w:rsid w:val="34A2025B"/>
    <w:rsid w:val="34AC10D9"/>
    <w:rsid w:val="34AC70A4"/>
    <w:rsid w:val="34B52DD3"/>
    <w:rsid w:val="34B718D6"/>
    <w:rsid w:val="34CA0497"/>
    <w:rsid w:val="34E00929"/>
    <w:rsid w:val="34E72111"/>
    <w:rsid w:val="34EB1C02"/>
    <w:rsid w:val="35303AB8"/>
    <w:rsid w:val="35415CC5"/>
    <w:rsid w:val="3560099A"/>
    <w:rsid w:val="35601033"/>
    <w:rsid w:val="35614737"/>
    <w:rsid w:val="3562510D"/>
    <w:rsid w:val="35CD358A"/>
    <w:rsid w:val="361C3EBD"/>
    <w:rsid w:val="36232DB0"/>
    <w:rsid w:val="362D7FF8"/>
    <w:rsid w:val="364C2B74"/>
    <w:rsid w:val="36653131"/>
    <w:rsid w:val="36670D15"/>
    <w:rsid w:val="366E242B"/>
    <w:rsid w:val="367F4CF7"/>
    <w:rsid w:val="36800B07"/>
    <w:rsid w:val="3680259B"/>
    <w:rsid w:val="369817C2"/>
    <w:rsid w:val="36A209E6"/>
    <w:rsid w:val="36A91D74"/>
    <w:rsid w:val="36AC3612"/>
    <w:rsid w:val="36D44917"/>
    <w:rsid w:val="36E56B24"/>
    <w:rsid w:val="36F823B4"/>
    <w:rsid w:val="372C63D2"/>
    <w:rsid w:val="37517D16"/>
    <w:rsid w:val="37621F23"/>
    <w:rsid w:val="3772660A"/>
    <w:rsid w:val="37773C20"/>
    <w:rsid w:val="3797590D"/>
    <w:rsid w:val="37A20C83"/>
    <w:rsid w:val="37B3277F"/>
    <w:rsid w:val="37C624B2"/>
    <w:rsid w:val="37D5272F"/>
    <w:rsid w:val="37D8441A"/>
    <w:rsid w:val="37F214F9"/>
    <w:rsid w:val="3810372D"/>
    <w:rsid w:val="38204E93"/>
    <w:rsid w:val="38237904"/>
    <w:rsid w:val="384653A1"/>
    <w:rsid w:val="385009BF"/>
    <w:rsid w:val="385F359C"/>
    <w:rsid w:val="386121DB"/>
    <w:rsid w:val="386F2B4A"/>
    <w:rsid w:val="387E0FDF"/>
    <w:rsid w:val="387E2D8D"/>
    <w:rsid w:val="38A10829"/>
    <w:rsid w:val="38B04A6F"/>
    <w:rsid w:val="38C82ED6"/>
    <w:rsid w:val="38CF183A"/>
    <w:rsid w:val="38D40FDB"/>
    <w:rsid w:val="38E76B84"/>
    <w:rsid w:val="38F95346"/>
    <w:rsid w:val="39033292"/>
    <w:rsid w:val="391D3F6D"/>
    <w:rsid w:val="39387D98"/>
    <w:rsid w:val="393B45A4"/>
    <w:rsid w:val="39512091"/>
    <w:rsid w:val="396C6DC4"/>
    <w:rsid w:val="39706B79"/>
    <w:rsid w:val="39AB5E03"/>
    <w:rsid w:val="39BA3164"/>
    <w:rsid w:val="39BD5670"/>
    <w:rsid w:val="39BF18AF"/>
    <w:rsid w:val="39CD5D7A"/>
    <w:rsid w:val="39D72754"/>
    <w:rsid w:val="39DA6FD5"/>
    <w:rsid w:val="39E906DA"/>
    <w:rsid w:val="39F81CF9"/>
    <w:rsid w:val="39FD612E"/>
    <w:rsid w:val="3A190D99"/>
    <w:rsid w:val="3A2E002F"/>
    <w:rsid w:val="3A3F416F"/>
    <w:rsid w:val="3A476BFD"/>
    <w:rsid w:val="3A4A73CA"/>
    <w:rsid w:val="3A58711A"/>
    <w:rsid w:val="3A9073CB"/>
    <w:rsid w:val="3A9C0185"/>
    <w:rsid w:val="3A9C053F"/>
    <w:rsid w:val="3A9E7716"/>
    <w:rsid w:val="3AA36ADA"/>
    <w:rsid w:val="3AA770DD"/>
    <w:rsid w:val="3AC30B19"/>
    <w:rsid w:val="3AC51A01"/>
    <w:rsid w:val="3AE0388C"/>
    <w:rsid w:val="3AE076E5"/>
    <w:rsid w:val="3AE63920"/>
    <w:rsid w:val="3AE8273F"/>
    <w:rsid w:val="3AFD268F"/>
    <w:rsid w:val="3B0A4DAB"/>
    <w:rsid w:val="3B19210F"/>
    <w:rsid w:val="3B366CEA"/>
    <w:rsid w:val="3B443E1A"/>
    <w:rsid w:val="3B6B3A9C"/>
    <w:rsid w:val="3B725E37"/>
    <w:rsid w:val="3B7A12D5"/>
    <w:rsid w:val="3B7B70D6"/>
    <w:rsid w:val="3B8121B6"/>
    <w:rsid w:val="3BA80B19"/>
    <w:rsid w:val="3BC136BC"/>
    <w:rsid w:val="3BC35686"/>
    <w:rsid w:val="3BFB4B1E"/>
    <w:rsid w:val="3C266180"/>
    <w:rsid w:val="3C2D62BB"/>
    <w:rsid w:val="3C3B6FA3"/>
    <w:rsid w:val="3C4240EC"/>
    <w:rsid w:val="3C4B11D8"/>
    <w:rsid w:val="3C562DF1"/>
    <w:rsid w:val="3C787D9B"/>
    <w:rsid w:val="3C8F37BA"/>
    <w:rsid w:val="3C9E39FD"/>
    <w:rsid w:val="3CCF005B"/>
    <w:rsid w:val="3CD647B5"/>
    <w:rsid w:val="3CE55188"/>
    <w:rsid w:val="3CFB2D1D"/>
    <w:rsid w:val="3D0A1093"/>
    <w:rsid w:val="3D103FD0"/>
    <w:rsid w:val="3D22018A"/>
    <w:rsid w:val="3D29776B"/>
    <w:rsid w:val="3D363C36"/>
    <w:rsid w:val="3D430B38"/>
    <w:rsid w:val="3D556382"/>
    <w:rsid w:val="3D5A596A"/>
    <w:rsid w:val="3D711B40"/>
    <w:rsid w:val="3D7E738B"/>
    <w:rsid w:val="3DAF5796"/>
    <w:rsid w:val="3DE47B36"/>
    <w:rsid w:val="3E014244"/>
    <w:rsid w:val="3E0A3EC6"/>
    <w:rsid w:val="3E1E2AEA"/>
    <w:rsid w:val="3E330ACA"/>
    <w:rsid w:val="3E3839DE"/>
    <w:rsid w:val="3E546448"/>
    <w:rsid w:val="3E5E1A3B"/>
    <w:rsid w:val="3E6E2FE8"/>
    <w:rsid w:val="3E7013C9"/>
    <w:rsid w:val="3E800AA6"/>
    <w:rsid w:val="3E8409D1"/>
    <w:rsid w:val="3E843743"/>
    <w:rsid w:val="3EB5502E"/>
    <w:rsid w:val="3EBB1512"/>
    <w:rsid w:val="3EC15D4E"/>
    <w:rsid w:val="3EC53667"/>
    <w:rsid w:val="3EFB5137"/>
    <w:rsid w:val="3EFD2865"/>
    <w:rsid w:val="3F1B7587"/>
    <w:rsid w:val="3F2E325B"/>
    <w:rsid w:val="3F2F615D"/>
    <w:rsid w:val="3F32254B"/>
    <w:rsid w:val="3F3A1FEB"/>
    <w:rsid w:val="3F3E55F8"/>
    <w:rsid w:val="3F8F215A"/>
    <w:rsid w:val="3F9D21C1"/>
    <w:rsid w:val="3FCF3ECE"/>
    <w:rsid w:val="3FEC0F24"/>
    <w:rsid w:val="3FEF631E"/>
    <w:rsid w:val="3FFD52D9"/>
    <w:rsid w:val="402C1320"/>
    <w:rsid w:val="40356427"/>
    <w:rsid w:val="403F3B8A"/>
    <w:rsid w:val="40532D51"/>
    <w:rsid w:val="40610FCA"/>
    <w:rsid w:val="40664832"/>
    <w:rsid w:val="406C796F"/>
    <w:rsid w:val="4070745F"/>
    <w:rsid w:val="407209E5"/>
    <w:rsid w:val="40A67243"/>
    <w:rsid w:val="40E93A85"/>
    <w:rsid w:val="40EA3BA5"/>
    <w:rsid w:val="4101455B"/>
    <w:rsid w:val="41263017"/>
    <w:rsid w:val="41270465"/>
    <w:rsid w:val="41434B73"/>
    <w:rsid w:val="4157154C"/>
    <w:rsid w:val="41596145"/>
    <w:rsid w:val="415C79E3"/>
    <w:rsid w:val="416C231C"/>
    <w:rsid w:val="41850217"/>
    <w:rsid w:val="41A27AEC"/>
    <w:rsid w:val="41D171E2"/>
    <w:rsid w:val="41DF2AEE"/>
    <w:rsid w:val="42010CB6"/>
    <w:rsid w:val="42213106"/>
    <w:rsid w:val="42253D73"/>
    <w:rsid w:val="422C7D41"/>
    <w:rsid w:val="423D5A66"/>
    <w:rsid w:val="423E6344"/>
    <w:rsid w:val="4242076E"/>
    <w:rsid w:val="425A3C21"/>
    <w:rsid w:val="425E3946"/>
    <w:rsid w:val="42660F50"/>
    <w:rsid w:val="427D40B5"/>
    <w:rsid w:val="428E62C2"/>
    <w:rsid w:val="42E81E4F"/>
    <w:rsid w:val="42EF4FB3"/>
    <w:rsid w:val="42F02AD9"/>
    <w:rsid w:val="42FE12BD"/>
    <w:rsid w:val="43000F6E"/>
    <w:rsid w:val="432602A9"/>
    <w:rsid w:val="43AD2778"/>
    <w:rsid w:val="43B51197"/>
    <w:rsid w:val="43BF6B8A"/>
    <w:rsid w:val="43C71A8C"/>
    <w:rsid w:val="43CE64CC"/>
    <w:rsid w:val="440E054D"/>
    <w:rsid w:val="444E13D2"/>
    <w:rsid w:val="445A46AE"/>
    <w:rsid w:val="445D419E"/>
    <w:rsid w:val="44612EC8"/>
    <w:rsid w:val="44711559"/>
    <w:rsid w:val="447A08AC"/>
    <w:rsid w:val="44867251"/>
    <w:rsid w:val="44974855"/>
    <w:rsid w:val="44A26055"/>
    <w:rsid w:val="44E4602A"/>
    <w:rsid w:val="45067A1F"/>
    <w:rsid w:val="453746F6"/>
    <w:rsid w:val="456E6C8C"/>
    <w:rsid w:val="456F1A12"/>
    <w:rsid w:val="45763769"/>
    <w:rsid w:val="457B04DE"/>
    <w:rsid w:val="459B49FE"/>
    <w:rsid w:val="459F626A"/>
    <w:rsid w:val="45B80788"/>
    <w:rsid w:val="45C269AF"/>
    <w:rsid w:val="45D00B17"/>
    <w:rsid w:val="45F03FBC"/>
    <w:rsid w:val="45F8417E"/>
    <w:rsid w:val="46094995"/>
    <w:rsid w:val="46237222"/>
    <w:rsid w:val="4638497A"/>
    <w:rsid w:val="465670F7"/>
    <w:rsid w:val="46696E2A"/>
    <w:rsid w:val="46845A12"/>
    <w:rsid w:val="468679DC"/>
    <w:rsid w:val="4688415A"/>
    <w:rsid w:val="46955E71"/>
    <w:rsid w:val="46BD7176"/>
    <w:rsid w:val="46C82208"/>
    <w:rsid w:val="46DD3374"/>
    <w:rsid w:val="46EC39ED"/>
    <w:rsid w:val="47033A2B"/>
    <w:rsid w:val="47331839"/>
    <w:rsid w:val="4755115C"/>
    <w:rsid w:val="476D1D47"/>
    <w:rsid w:val="4781511E"/>
    <w:rsid w:val="479A72AE"/>
    <w:rsid w:val="47AF51C8"/>
    <w:rsid w:val="47E726FC"/>
    <w:rsid w:val="47E9061B"/>
    <w:rsid w:val="482079BC"/>
    <w:rsid w:val="484245C7"/>
    <w:rsid w:val="486F26F2"/>
    <w:rsid w:val="48751F9C"/>
    <w:rsid w:val="488D7CFE"/>
    <w:rsid w:val="48CC18F2"/>
    <w:rsid w:val="48E058F5"/>
    <w:rsid w:val="48E924A4"/>
    <w:rsid w:val="491A0EBA"/>
    <w:rsid w:val="49300103"/>
    <w:rsid w:val="49323FD7"/>
    <w:rsid w:val="495C4A24"/>
    <w:rsid w:val="49660BFC"/>
    <w:rsid w:val="496B686C"/>
    <w:rsid w:val="49777AB0"/>
    <w:rsid w:val="49A21F53"/>
    <w:rsid w:val="49A35E98"/>
    <w:rsid w:val="49A40179"/>
    <w:rsid w:val="49AE42D7"/>
    <w:rsid w:val="49E54A1A"/>
    <w:rsid w:val="49EE29C3"/>
    <w:rsid w:val="49F033BE"/>
    <w:rsid w:val="4A143551"/>
    <w:rsid w:val="4A292CC6"/>
    <w:rsid w:val="4A511AC0"/>
    <w:rsid w:val="4A612F25"/>
    <w:rsid w:val="4A6718D3"/>
    <w:rsid w:val="4A696166"/>
    <w:rsid w:val="4A6F0787"/>
    <w:rsid w:val="4A7F4E6E"/>
    <w:rsid w:val="4A8C0F12"/>
    <w:rsid w:val="4AB65F54"/>
    <w:rsid w:val="4AC24D5B"/>
    <w:rsid w:val="4AD646BD"/>
    <w:rsid w:val="4AD8457E"/>
    <w:rsid w:val="4AEA24B9"/>
    <w:rsid w:val="4AFF47E8"/>
    <w:rsid w:val="4B1B4CCF"/>
    <w:rsid w:val="4B2373C3"/>
    <w:rsid w:val="4B716C29"/>
    <w:rsid w:val="4B757146"/>
    <w:rsid w:val="4B7A73E4"/>
    <w:rsid w:val="4B841923"/>
    <w:rsid w:val="4BBB4DDF"/>
    <w:rsid w:val="4BBF1D3E"/>
    <w:rsid w:val="4BF73F59"/>
    <w:rsid w:val="4C0F06E7"/>
    <w:rsid w:val="4C12409B"/>
    <w:rsid w:val="4C2537F3"/>
    <w:rsid w:val="4C2F6420"/>
    <w:rsid w:val="4C6D63AD"/>
    <w:rsid w:val="4C765DFD"/>
    <w:rsid w:val="4C9D007C"/>
    <w:rsid w:val="4CA94424"/>
    <w:rsid w:val="4CCF19B1"/>
    <w:rsid w:val="4CDE39A2"/>
    <w:rsid w:val="4D5601C7"/>
    <w:rsid w:val="4D8727D9"/>
    <w:rsid w:val="4D9C043D"/>
    <w:rsid w:val="4DA63D54"/>
    <w:rsid w:val="4DB11EDF"/>
    <w:rsid w:val="4DB27309"/>
    <w:rsid w:val="4DC4703C"/>
    <w:rsid w:val="4DCE3A17"/>
    <w:rsid w:val="4DD059E1"/>
    <w:rsid w:val="4DDD3C5A"/>
    <w:rsid w:val="4DE80F7C"/>
    <w:rsid w:val="4E107CFC"/>
    <w:rsid w:val="4E191136"/>
    <w:rsid w:val="4E1C4782"/>
    <w:rsid w:val="4E277CA8"/>
    <w:rsid w:val="4E323FA5"/>
    <w:rsid w:val="4E434405"/>
    <w:rsid w:val="4E4D3133"/>
    <w:rsid w:val="4E6B6CEB"/>
    <w:rsid w:val="4E717E75"/>
    <w:rsid w:val="4E7C16C5"/>
    <w:rsid w:val="4E9B2306"/>
    <w:rsid w:val="4E9B5FEF"/>
    <w:rsid w:val="4EA03605"/>
    <w:rsid w:val="4EAC5711"/>
    <w:rsid w:val="4ED17C62"/>
    <w:rsid w:val="4EF474AD"/>
    <w:rsid w:val="4F22401A"/>
    <w:rsid w:val="4F253B0A"/>
    <w:rsid w:val="4F383C20"/>
    <w:rsid w:val="4F3855EC"/>
    <w:rsid w:val="4F4C6AE6"/>
    <w:rsid w:val="4F583EE0"/>
    <w:rsid w:val="4F5F701C"/>
    <w:rsid w:val="4F686E1C"/>
    <w:rsid w:val="4F97380E"/>
    <w:rsid w:val="4FA47125"/>
    <w:rsid w:val="4FD51E3B"/>
    <w:rsid w:val="4FDD43E5"/>
    <w:rsid w:val="4FDF7053"/>
    <w:rsid w:val="4FE13ED5"/>
    <w:rsid w:val="4FFA6972"/>
    <w:rsid w:val="50106568"/>
    <w:rsid w:val="50277D8E"/>
    <w:rsid w:val="504D7953"/>
    <w:rsid w:val="5060304C"/>
    <w:rsid w:val="50697A27"/>
    <w:rsid w:val="506D443C"/>
    <w:rsid w:val="50834F8C"/>
    <w:rsid w:val="508A43A8"/>
    <w:rsid w:val="508C2093"/>
    <w:rsid w:val="508E62BD"/>
    <w:rsid w:val="50A82C45"/>
    <w:rsid w:val="50AC1958"/>
    <w:rsid w:val="51090DE6"/>
    <w:rsid w:val="510B3D50"/>
    <w:rsid w:val="51387B25"/>
    <w:rsid w:val="51694182"/>
    <w:rsid w:val="51A0391C"/>
    <w:rsid w:val="51A21442"/>
    <w:rsid w:val="51B2004B"/>
    <w:rsid w:val="51DC4954"/>
    <w:rsid w:val="51E67581"/>
    <w:rsid w:val="52067C23"/>
    <w:rsid w:val="52075B24"/>
    <w:rsid w:val="52100AA2"/>
    <w:rsid w:val="523A7256"/>
    <w:rsid w:val="524624B8"/>
    <w:rsid w:val="52537F4D"/>
    <w:rsid w:val="52A33A2B"/>
    <w:rsid w:val="52AA28D5"/>
    <w:rsid w:val="52C06024"/>
    <w:rsid w:val="52C65702"/>
    <w:rsid w:val="52D970E6"/>
    <w:rsid w:val="52DD71A7"/>
    <w:rsid w:val="52DE64AA"/>
    <w:rsid w:val="52E33AC0"/>
    <w:rsid w:val="52F65EE2"/>
    <w:rsid w:val="53000485"/>
    <w:rsid w:val="531225F7"/>
    <w:rsid w:val="533802B0"/>
    <w:rsid w:val="533D58C6"/>
    <w:rsid w:val="535D3873"/>
    <w:rsid w:val="536F36AB"/>
    <w:rsid w:val="538057B3"/>
    <w:rsid w:val="53964FD7"/>
    <w:rsid w:val="53AC47FA"/>
    <w:rsid w:val="53CA7A1B"/>
    <w:rsid w:val="544E743C"/>
    <w:rsid w:val="54556AEA"/>
    <w:rsid w:val="545F7ABE"/>
    <w:rsid w:val="547F3CBD"/>
    <w:rsid w:val="54AA7A8B"/>
    <w:rsid w:val="54BB3BD1"/>
    <w:rsid w:val="55000F83"/>
    <w:rsid w:val="55027C53"/>
    <w:rsid w:val="55131A57"/>
    <w:rsid w:val="55622629"/>
    <w:rsid w:val="55850EFA"/>
    <w:rsid w:val="558D41B7"/>
    <w:rsid w:val="55AF05D2"/>
    <w:rsid w:val="55B46A93"/>
    <w:rsid w:val="55BC4479"/>
    <w:rsid w:val="55C7591B"/>
    <w:rsid w:val="56002BDB"/>
    <w:rsid w:val="56061E64"/>
    <w:rsid w:val="56091A90"/>
    <w:rsid w:val="562468CA"/>
    <w:rsid w:val="563D798B"/>
    <w:rsid w:val="567201D4"/>
    <w:rsid w:val="567C04B4"/>
    <w:rsid w:val="568630E0"/>
    <w:rsid w:val="56B51C18"/>
    <w:rsid w:val="56C02A96"/>
    <w:rsid w:val="570B7A8A"/>
    <w:rsid w:val="571A78C3"/>
    <w:rsid w:val="57435475"/>
    <w:rsid w:val="577D71D5"/>
    <w:rsid w:val="57904CC8"/>
    <w:rsid w:val="57AC4DC9"/>
    <w:rsid w:val="57AE28F5"/>
    <w:rsid w:val="57E35082"/>
    <w:rsid w:val="57EF41FA"/>
    <w:rsid w:val="58044C05"/>
    <w:rsid w:val="581B1F4E"/>
    <w:rsid w:val="58360B36"/>
    <w:rsid w:val="58503A48"/>
    <w:rsid w:val="58892BEE"/>
    <w:rsid w:val="58BD1900"/>
    <w:rsid w:val="58C16652"/>
    <w:rsid w:val="58CE7E4C"/>
    <w:rsid w:val="58D04AE7"/>
    <w:rsid w:val="58D2068E"/>
    <w:rsid w:val="58E95F87"/>
    <w:rsid w:val="59103135"/>
    <w:rsid w:val="5912131A"/>
    <w:rsid w:val="591B2624"/>
    <w:rsid w:val="591E2880"/>
    <w:rsid w:val="59267823"/>
    <w:rsid w:val="592B7F6F"/>
    <w:rsid w:val="593B7266"/>
    <w:rsid w:val="596C0CB3"/>
    <w:rsid w:val="59D0569B"/>
    <w:rsid w:val="5A025174"/>
    <w:rsid w:val="5A10510F"/>
    <w:rsid w:val="5A3A2DDD"/>
    <w:rsid w:val="5A85695E"/>
    <w:rsid w:val="5A8E4C59"/>
    <w:rsid w:val="5AA239FE"/>
    <w:rsid w:val="5AB42E99"/>
    <w:rsid w:val="5ACC1F22"/>
    <w:rsid w:val="5AE218CA"/>
    <w:rsid w:val="5AF727FF"/>
    <w:rsid w:val="5B101B12"/>
    <w:rsid w:val="5B2E3D47"/>
    <w:rsid w:val="5B3E21DC"/>
    <w:rsid w:val="5B793214"/>
    <w:rsid w:val="5BB157CA"/>
    <w:rsid w:val="5BBB1A7E"/>
    <w:rsid w:val="5BCF20AD"/>
    <w:rsid w:val="5BE2700B"/>
    <w:rsid w:val="5BF918A2"/>
    <w:rsid w:val="5BFC5D6A"/>
    <w:rsid w:val="5C221AFD"/>
    <w:rsid w:val="5C2238AB"/>
    <w:rsid w:val="5C484F48"/>
    <w:rsid w:val="5C515F3F"/>
    <w:rsid w:val="5C5679F9"/>
    <w:rsid w:val="5C621BB1"/>
    <w:rsid w:val="5C642116"/>
    <w:rsid w:val="5C6914DA"/>
    <w:rsid w:val="5C6C0930"/>
    <w:rsid w:val="5CA13872"/>
    <w:rsid w:val="5CA2679A"/>
    <w:rsid w:val="5CB169DD"/>
    <w:rsid w:val="5CC2690B"/>
    <w:rsid w:val="5D0E70DE"/>
    <w:rsid w:val="5D213B63"/>
    <w:rsid w:val="5D3A60FB"/>
    <w:rsid w:val="5D3C099D"/>
    <w:rsid w:val="5D487342"/>
    <w:rsid w:val="5D6D4FFA"/>
    <w:rsid w:val="5D72616D"/>
    <w:rsid w:val="5D7925EB"/>
    <w:rsid w:val="5DCC6AFE"/>
    <w:rsid w:val="5DFB3FA8"/>
    <w:rsid w:val="5E253083"/>
    <w:rsid w:val="5E2E21CB"/>
    <w:rsid w:val="5E31427A"/>
    <w:rsid w:val="5E3E6DE2"/>
    <w:rsid w:val="5E653F23"/>
    <w:rsid w:val="5E895E64"/>
    <w:rsid w:val="5EB033F0"/>
    <w:rsid w:val="5EC04C1F"/>
    <w:rsid w:val="5ED66A25"/>
    <w:rsid w:val="5F017925"/>
    <w:rsid w:val="5F096FA4"/>
    <w:rsid w:val="5F131BD1"/>
    <w:rsid w:val="5F392547"/>
    <w:rsid w:val="5F3F6D04"/>
    <w:rsid w:val="5F876D52"/>
    <w:rsid w:val="5F916509"/>
    <w:rsid w:val="5F9A1E62"/>
    <w:rsid w:val="5FB94527"/>
    <w:rsid w:val="5FBF6DB8"/>
    <w:rsid w:val="5FDB3E7B"/>
    <w:rsid w:val="5FF649B3"/>
    <w:rsid w:val="607E751E"/>
    <w:rsid w:val="607F6974"/>
    <w:rsid w:val="60C2565D"/>
    <w:rsid w:val="60C259BA"/>
    <w:rsid w:val="60C67B0D"/>
    <w:rsid w:val="60CE5DB0"/>
    <w:rsid w:val="60DC5CFA"/>
    <w:rsid w:val="60F31CBA"/>
    <w:rsid w:val="61016185"/>
    <w:rsid w:val="611A0140"/>
    <w:rsid w:val="612C6F7A"/>
    <w:rsid w:val="612E5F1C"/>
    <w:rsid w:val="614340F9"/>
    <w:rsid w:val="617526CF"/>
    <w:rsid w:val="61854779"/>
    <w:rsid w:val="61880654"/>
    <w:rsid w:val="61BC3AF2"/>
    <w:rsid w:val="61E50144"/>
    <w:rsid w:val="61F400DD"/>
    <w:rsid w:val="62093465"/>
    <w:rsid w:val="620F6680"/>
    <w:rsid w:val="6218367B"/>
    <w:rsid w:val="62315204"/>
    <w:rsid w:val="623600B0"/>
    <w:rsid w:val="62B8336A"/>
    <w:rsid w:val="62D15745"/>
    <w:rsid w:val="62D82483"/>
    <w:rsid w:val="62DC4F3A"/>
    <w:rsid w:val="62EB414C"/>
    <w:rsid w:val="63092A34"/>
    <w:rsid w:val="632B74E9"/>
    <w:rsid w:val="63503F39"/>
    <w:rsid w:val="63516ECD"/>
    <w:rsid w:val="637D586B"/>
    <w:rsid w:val="6381535B"/>
    <w:rsid w:val="63A948B2"/>
    <w:rsid w:val="63F967A2"/>
    <w:rsid w:val="640A1472"/>
    <w:rsid w:val="64337579"/>
    <w:rsid w:val="64416899"/>
    <w:rsid w:val="64441196"/>
    <w:rsid w:val="644D7933"/>
    <w:rsid w:val="64540CC2"/>
    <w:rsid w:val="64946690"/>
    <w:rsid w:val="64CB27C0"/>
    <w:rsid w:val="64D70FAB"/>
    <w:rsid w:val="64D7579E"/>
    <w:rsid w:val="64E04304"/>
    <w:rsid w:val="64FF0C2E"/>
    <w:rsid w:val="65091B75"/>
    <w:rsid w:val="654A5C21"/>
    <w:rsid w:val="65764C68"/>
    <w:rsid w:val="65856C59"/>
    <w:rsid w:val="65A63A48"/>
    <w:rsid w:val="65BC6440"/>
    <w:rsid w:val="65C36E7F"/>
    <w:rsid w:val="65D21A26"/>
    <w:rsid w:val="662A3DEC"/>
    <w:rsid w:val="663B7430"/>
    <w:rsid w:val="66520C38"/>
    <w:rsid w:val="665E7BD6"/>
    <w:rsid w:val="666800E4"/>
    <w:rsid w:val="666B22F3"/>
    <w:rsid w:val="667A5C10"/>
    <w:rsid w:val="669929BC"/>
    <w:rsid w:val="66AF0431"/>
    <w:rsid w:val="66D24120"/>
    <w:rsid w:val="67073DC9"/>
    <w:rsid w:val="670E3E0D"/>
    <w:rsid w:val="67283D40"/>
    <w:rsid w:val="672A0BC3"/>
    <w:rsid w:val="67343515"/>
    <w:rsid w:val="67390946"/>
    <w:rsid w:val="67554D52"/>
    <w:rsid w:val="675B3101"/>
    <w:rsid w:val="676B07FC"/>
    <w:rsid w:val="676C00D0"/>
    <w:rsid w:val="678F1105"/>
    <w:rsid w:val="67A61638"/>
    <w:rsid w:val="67B90ACA"/>
    <w:rsid w:val="67BF6452"/>
    <w:rsid w:val="67E519F4"/>
    <w:rsid w:val="67E60BCD"/>
    <w:rsid w:val="67FF0F45"/>
    <w:rsid w:val="681A77FC"/>
    <w:rsid w:val="68475AD3"/>
    <w:rsid w:val="68476BE0"/>
    <w:rsid w:val="684C27A0"/>
    <w:rsid w:val="68694610"/>
    <w:rsid w:val="68751207"/>
    <w:rsid w:val="687775B2"/>
    <w:rsid w:val="6882347F"/>
    <w:rsid w:val="688651C2"/>
    <w:rsid w:val="68A12326"/>
    <w:rsid w:val="68A815DC"/>
    <w:rsid w:val="68AB6164"/>
    <w:rsid w:val="68B76601"/>
    <w:rsid w:val="68C72BE7"/>
    <w:rsid w:val="68D73C6F"/>
    <w:rsid w:val="68E51EE8"/>
    <w:rsid w:val="68E71123"/>
    <w:rsid w:val="68EC771B"/>
    <w:rsid w:val="68F17366"/>
    <w:rsid w:val="693A7F09"/>
    <w:rsid w:val="696372B1"/>
    <w:rsid w:val="698E07D2"/>
    <w:rsid w:val="69A87392"/>
    <w:rsid w:val="69CC709D"/>
    <w:rsid w:val="69D34437"/>
    <w:rsid w:val="69ED3DE4"/>
    <w:rsid w:val="6A0E36C1"/>
    <w:rsid w:val="6A1B14A7"/>
    <w:rsid w:val="6A2627B9"/>
    <w:rsid w:val="6A3053E5"/>
    <w:rsid w:val="6A3D3FA6"/>
    <w:rsid w:val="6A4E3ABD"/>
    <w:rsid w:val="6A5F4A42"/>
    <w:rsid w:val="6A7C7DDD"/>
    <w:rsid w:val="6A8D75F6"/>
    <w:rsid w:val="6ABC1EAD"/>
    <w:rsid w:val="6AC76B59"/>
    <w:rsid w:val="6AE46D6A"/>
    <w:rsid w:val="6AE5012B"/>
    <w:rsid w:val="6B086362"/>
    <w:rsid w:val="6B0A3E88"/>
    <w:rsid w:val="6B217424"/>
    <w:rsid w:val="6B241A17"/>
    <w:rsid w:val="6B3B475E"/>
    <w:rsid w:val="6B3D425E"/>
    <w:rsid w:val="6B630500"/>
    <w:rsid w:val="6B6C069F"/>
    <w:rsid w:val="6B7636D8"/>
    <w:rsid w:val="6B824366"/>
    <w:rsid w:val="6B8E2D0B"/>
    <w:rsid w:val="6BDB6090"/>
    <w:rsid w:val="6C0677CC"/>
    <w:rsid w:val="6C223454"/>
    <w:rsid w:val="6C29678A"/>
    <w:rsid w:val="6C2A440B"/>
    <w:rsid w:val="6C400C53"/>
    <w:rsid w:val="6C6770B8"/>
    <w:rsid w:val="6C7F4402"/>
    <w:rsid w:val="6C906EEE"/>
    <w:rsid w:val="6C9C1458"/>
    <w:rsid w:val="6CA34594"/>
    <w:rsid w:val="6CD41667"/>
    <w:rsid w:val="6CD80AC7"/>
    <w:rsid w:val="6CF941B4"/>
    <w:rsid w:val="6D162AC6"/>
    <w:rsid w:val="6D2401E4"/>
    <w:rsid w:val="6D327BD5"/>
    <w:rsid w:val="6D48513C"/>
    <w:rsid w:val="6D597A48"/>
    <w:rsid w:val="6D7B72BF"/>
    <w:rsid w:val="6D8048D6"/>
    <w:rsid w:val="6D8C327A"/>
    <w:rsid w:val="6D934609"/>
    <w:rsid w:val="6DE50BDD"/>
    <w:rsid w:val="6DFE7BE5"/>
    <w:rsid w:val="6E0B0643"/>
    <w:rsid w:val="6E1148C4"/>
    <w:rsid w:val="6E1D0748"/>
    <w:rsid w:val="6E3A0F28"/>
    <w:rsid w:val="6E430774"/>
    <w:rsid w:val="6E526272"/>
    <w:rsid w:val="6E5A6B1C"/>
    <w:rsid w:val="6E6935BC"/>
    <w:rsid w:val="6E6C6C08"/>
    <w:rsid w:val="6E910CC8"/>
    <w:rsid w:val="6E914282"/>
    <w:rsid w:val="6E9C0F6F"/>
    <w:rsid w:val="6EA77C40"/>
    <w:rsid w:val="6EB365E5"/>
    <w:rsid w:val="6EB81E4D"/>
    <w:rsid w:val="6EBE3907"/>
    <w:rsid w:val="6EBF0BCF"/>
    <w:rsid w:val="6EBF4F8A"/>
    <w:rsid w:val="6ED34DD3"/>
    <w:rsid w:val="6ED924EF"/>
    <w:rsid w:val="6EE77C60"/>
    <w:rsid w:val="6F0230C8"/>
    <w:rsid w:val="6F0B4148"/>
    <w:rsid w:val="6F0E4EC3"/>
    <w:rsid w:val="6F0F5F11"/>
    <w:rsid w:val="6F3D1E1C"/>
    <w:rsid w:val="6F4162E7"/>
    <w:rsid w:val="6F625E4B"/>
    <w:rsid w:val="6F71184C"/>
    <w:rsid w:val="6F8F2BAE"/>
    <w:rsid w:val="6F972386"/>
    <w:rsid w:val="6FA42FFA"/>
    <w:rsid w:val="6FA61EDA"/>
    <w:rsid w:val="6FA757F4"/>
    <w:rsid w:val="6FAF4FFE"/>
    <w:rsid w:val="6FBD596D"/>
    <w:rsid w:val="6FC04153"/>
    <w:rsid w:val="6FDA2D84"/>
    <w:rsid w:val="6FF84BF7"/>
    <w:rsid w:val="700510C2"/>
    <w:rsid w:val="70111815"/>
    <w:rsid w:val="70402138"/>
    <w:rsid w:val="70453E20"/>
    <w:rsid w:val="704716DB"/>
    <w:rsid w:val="70531E2E"/>
    <w:rsid w:val="70557737"/>
    <w:rsid w:val="705F2712"/>
    <w:rsid w:val="706672CE"/>
    <w:rsid w:val="707352C8"/>
    <w:rsid w:val="7075449A"/>
    <w:rsid w:val="709C2F5E"/>
    <w:rsid w:val="70A64653"/>
    <w:rsid w:val="70AA54D8"/>
    <w:rsid w:val="70AE52B6"/>
    <w:rsid w:val="70B21E99"/>
    <w:rsid w:val="70B31AE2"/>
    <w:rsid w:val="71096631"/>
    <w:rsid w:val="711710AD"/>
    <w:rsid w:val="71526589"/>
    <w:rsid w:val="71547983"/>
    <w:rsid w:val="71600CA6"/>
    <w:rsid w:val="71816E6E"/>
    <w:rsid w:val="718524BB"/>
    <w:rsid w:val="71AD7318"/>
    <w:rsid w:val="71B42DA0"/>
    <w:rsid w:val="71C37A53"/>
    <w:rsid w:val="71C56D5B"/>
    <w:rsid w:val="71C7125F"/>
    <w:rsid w:val="71E2790D"/>
    <w:rsid w:val="720E0702"/>
    <w:rsid w:val="723E6873"/>
    <w:rsid w:val="723F6022"/>
    <w:rsid w:val="72553376"/>
    <w:rsid w:val="725957A4"/>
    <w:rsid w:val="72645F87"/>
    <w:rsid w:val="726D70E7"/>
    <w:rsid w:val="727662A7"/>
    <w:rsid w:val="727E6F0A"/>
    <w:rsid w:val="728F1117"/>
    <w:rsid w:val="72A63D8F"/>
    <w:rsid w:val="72AC1CC9"/>
    <w:rsid w:val="72F13B80"/>
    <w:rsid w:val="73032F1C"/>
    <w:rsid w:val="73124222"/>
    <w:rsid w:val="732857F3"/>
    <w:rsid w:val="733B0348"/>
    <w:rsid w:val="73440153"/>
    <w:rsid w:val="73457323"/>
    <w:rsid w:val="73483ABA"/>
    <w:rsid w:val="737A15C4"/>
    <w:rsid w:val="737C5296"/>
    <w:rsid w:val="73832670"/>
    <w:rsid w:val="738B20FB"/>
    <w:rsid w:val="738F7621"/>
    <w:rsid w:val="73AA6208"/>
    <w:rsid w:val="73BE506A"/>
    <w:rsid w:val="73D96AEE"/>
    <w:rsid w:val="73E6120B"/>
    <w:rsid w:val="73F90F3E"/>
    <w:rsid w:val="7401345B"/>
    <w:rsid w:val="741E2752"/>
    <w:rsid w:val="74327ACF"/>
    <w:rsid w:val="744228E5"/>
    <w:rsid w:val="744F7C15"/>
    <w:rsid w:val="745A5E80"/>
    <w:rsid w:val="747C1AD0"/>
    <w:rsid w:val="747D74F0"/>
    <w:rsid w:val="74C31ECB"/>
    <w:rsid w:val="74DA16DE"/>
    <w:rsid w:val="74DF1EE2"/>
    <w:rsid w:val="750162FC"/>
    <w:rsid w:val="751A54BB"/>
    <w:rsid w:val="755B06A8"/>
    <w:rsid w:val="757C5983"/>
    <w:rsid w:val="757C7849"/>
    <w:rsid w:val="757D16FB"/>
    <w:rsid w:val="758111EB"/>
    <w:rsid w:val="75942919"/>
    <w:rsid w:val="75A872AC"/>
    <w:rsid w:val="75B23A9A"/>
    <w:rsid w:val="75E11C8A"/>
    <w:rsid w:val="75E57B3A"/>
    <w:rsid w:val="75EB48B6"/>
    <w:rsid w:val="764741E2"/>
    <w:rsid w:val="764969A6"/>
    <w:rsid w:val="76595CC4"/>
    <w:rsid w:val="765A477C"/>
    <w:rsid w:val="76913C02"/>
    <w:rsid w:val="7697757F"/>
    <w:rsid w:val="769F7746"/>
    <w:rsid w:val="76C842B2"/>
    <w:rsid w:val="76F459ED"/>
    <w:rsid w:val="770F2826"/>
    <w:rsid w:val="771B3EF6"/>
    <w:rsid w:val="771F6F0D"/>
    <w:rsid w:val="773A5AF5"/>
    <w:rsid w:val="77644920"/>
    <w:rsid w:val="777F79AC"/>
    <w:rsid w:val="779A2A38"/>
    <w:rsid w:val="779F1DFC"/>
    <w:rsid w:val="77AA57AB"/>
    <w:rsid w:val="77AD4519"/>
    <w:rsid w:val="77CB0E43"/>
    <w:rsid w:val="77D12D15"/>
    <w:rsid w:val="77F9150C"/>
    <w:rsid w:val="780A5F0F"/>
    <w:rsid w:val="78324A1E"/>
    <w:rsid w:val="785F7F87"/>
    <w:rsid w:val="78727511"/>
    <w:rsid w:val="78847E31"/>
    <w:rsid w:val="78880AE2"/>
    <w:rsid w:val="788E22F0"/>
    <w:rsid w:val="78A51C5C"/>
    <w:rsid w:val="78AC2A23"/>
    <w:rsid w:val="78B421C0"/>
    <w:rsid w:val="78DB7B06"/>
    <w:rsid w:val="790F4D60"/>
    <w:rsid w:val="7919798C"/>
    <w:rsid w:val="7940719E"/>
    <w:rsid w:val="794E6B42"/>
    <w:rsid w:val="795B7FA5"/>
    <w:rsid w:val="79674B9C"/>
    <w:rsid w:val="79951709"/>
    <w:rsid w:val="799D236B"/>
    <w:rsid w:val="79D7587D"/>
    <w:rsid w:val="7A0F14BB"/>
    <w:rsid w:val="7A1632EE"/>
    <w:rsid w:val="7A245757"/>
    <w:rsid w:val="7A7A32B9"/>
    <w:rsid w:val="7A8B2FFF"/>
    <w:rsid w:val="7AA8546C"/>
    <w:rsid w:val="7AAA36FF"/>
    <w:rsid w:val="7AAE0972"/>
    <w:rsid w:val="7AC73B44"/>
    <w:rsid w:val="7AD34B39"/>
    <w:rsid w:val="7B343F9E"/>
    <w:rsid w:val="7B3D5BB4"/>
    <w:rsid w:val="7B8C08E9"/>
    <w:rsid w:val="7BBB055C"/>
    <w:rsid w:val="7BC938EC"/>
    <w:rsid w:val="7BDD2EF3"/>
    <w:rsid w:val="7BDF4EBD"/>
    <w:rsid w:val="7BE95D3C"/>
    <w:rsid w:val="7C597451"/>
    <w:rsid w:val="7C8E270A"/>
    <w:rsid w:val="7C920181"/>
    <w:rsid w:val="7C9C4E59"/>
    <w:rsid w:val="7C9C65D2"/>
    <w:rsid w:val="7CAD7BF0"/>
    <w:rsid w:val="7CCC5E07"/>
    <w:rsid w:val="7CFB7AD5"/>
    <w:rsid w:val="7D3A189F"/>
    <w:rsid w:val="7D436A60"/>
    <w:rsid w:val="7D7D60D2"/>
    <w:rsid w:val="7D8C4BD1"/>
    <w:rsid w:val="7D935F5F"/>
    <w:rsid w:val="7D985324"/>
    <w:rsid w:val="7DA912DF"/>
    <w:rsid w:val="7DB67EA0"/>
    <w:rsid w:val="7DBA7990"/>
    <w:rsid w:val="7DC95A51"/>
    <w:rsid w:val="7DD56578"/>
    <w:rsid w:val="7DDA2CEF"/>
    <w:rsid w:val="7DDD5892"/>
    <w:rsid w:val="7DF6021C"/>
    <w:rsid w:val="7E0510D3"/>
    <w:rsid w:val="7E0522D0"/>
    <w:rsid w:val="7E2F1D63"/>
    <w:rsid w:val="7E3A462D"/>
    <w:rsid w:val="7E576C9C"/>
    <w:rsid w:val="7E59203F"/>
    <w:rsid w:val="7E794692"/>
    <w:rsid w:val="7E995585"/>
    <w:rsid w:val="7E9C0E44"/>
    <w:rsid w:val="7EA60879"/>
    <w:rsid w:val="7EA63A70"/>
    <w:rsid w:val="7EAE1BE4"/>
    <w:rsid w:val="7EC62364"/>
    <w:rsid w:val="7EDB5991"/>
    <w:rsid w:val="7EF82E56"/>
    <w:rsid w:val="7F0C1437"/>
    <w:rsid w:val="7F3F18CD"/>
    <w:rsid w:val="7FAA28D7"/>
    <w:rsid w:val="7FBB248D"/>
    <w:rsid w:val="7FC06DB4"/>
    <w:rsid w:val="7FF11AF3"/>
    <w:rsid w:val="7FF75A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2"/>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63"/>
    <w:qFormat/>
    <w:uiPriority w:val="0"/>
    <w:pPr>
      <w:keepNext/>
      <w:keepLines/>
      <w:spacing w:before="260" w:after="260" w:line="416" w:lineRule="auto"/>
      <w:outlineLvl w:val="2"/>
    </w:pPr>
    <w:rPr>
      <w:b/>
      <w:bCs/>
      <w:kern w:val="0"/>
      <w:sz w:val="32"/>
      <w:szCs w:val="32"/>
    </w:rPr>
  </w:style>
  <w:style w:type="paragraph" w:styleId="5">
    <w:name w:val="heading 4"/>
    <w:basedOn w:val="1"/>
    <w:next w:val="1"/>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1"/>
    <w:link w:val="64"/>
    <w:qFormat/>
    <w:uiPriority w:val="0"/>
    <w:pPr>
      <w:keepNext/>
      <w:keepLines/>
      <w:numPr>
        <w:ilvl w:val="4"/>
        <w:numId w:val="1"/>
      </w:numPr>
      <w:spacing w:before="280" w:after="290" w:line="376" w:lineRule="auto"/>
      <w:outlineLvl w:val="4"/>
    </w:pPr>
    <w:rPr>
      <w:b/>
      <w:sz w:val="28"/>
    </w:rPr>
  </w:style>
  <w:style w:type="paragraph" w:styleId="7">
    <w:name w:val="heading 6"/>
    <w:basedOn w:val="1"/>
    <w:next w:val="8"/>
    <w:link w:val="65"/>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8"/>
    <w:link w:val="66"/>
    <w:qFormat/>
    <w:uiPriority w:val="0"/>
    <w:pPr>
      <w:keepNext/>
      <w:keepLines/>
      <w:numPr>
        <w:ilvl w:val="6"/>
        <w:numId w:val="1"/>
      </w:numPr>
      <w:spacing w:before="240" w:after="64" w:line="320" w:lineRule="auto"/>
      <w:outlineLvl w:val="6"/>
    </w:pPr>
    <w:rPr>
      <w:b/>
      <w:sz w:val="24"/>
    </w:rPr>
  </w:style>
  <w:style w:type="paragraph" w:styleId="10">
    <w:name w:val="heading 8"/>
    <w:basedOn w:val="1"/>
    <w:next w:val="8"/>
    <w:link w:val="67"/>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8"/>
    <w:link w:val="68"/>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8">
    <w:name w:val="Normal Indent"/>
    <w:basedOn w:val="1"/>
    <w:qFormat/>
    <w:uiPriority w:val="0"/>
    <w:pPr>
      <w:ind w:firstLine="420"/>
    </w:pPr>
    <w:rPr>
      <w:szCs w:val="20"/>
    </w:rPr>
  </w:style>
  <w:style w:type="paragraph" w:styleId="12">
    <w:name w:val="toc 7"/>
    <w:basedOn w:val="1"/>
    <w:next w:val="1"/>
    <w:qFormat/>
    <w:uiPriority w:val="0"/>
    <w:pPr>
      <w:ind w:left="2520" w:leftChars="1200"/>
    </w:pPr>
    <w:rPr>
      <w:rFonts w:ascii="Calibri" w:hAnsi="Calibri"/>
      <w:szCs w:val="22"/>
    </w:rPr>
  </w:style>
  <w:style w:type="paragraph" w:styleId="13">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link w:val="69"/>
    <w:qFormat/>
    <w:uiPriority w:val="0"/>
    <w:pPr>
      <w:shd w:val="clear" w:color="auto" w:fill="000080"/>
    </w:pPr>
    <w:rPr>
      <w:rFonts w:hint="eastAsia" w:ascii="宋体" w:hAnsi="宋体"/>
      <w:kern w:val="0"/>
      <w:sz w:val="20"/>
      <w:szCs w:val="20"/>
    </w:rPr>
  </w:style>
  <w:style w:type="paragraph" w:styleId="16">
    <w:name w:val="annotation text"/>
    <w:basedOn w:val="1"/>
    <w:link w:val="70"/>
    <w:qFormat/>
    <w:uiPriority w:val="0"/>
    <w:pPr>
      <w:jc w:val="left"/>
    </w:pPr>
  </w:style>
  <w:style w:type="paragraph" w:styleId="17">
    <w:name w:val="Body Text 3"/>
    <w:basedOn w:val="1"/>
    <w:link w:val="71"/>
    <w:qFormat/>
    <w:uiPriority w:val="0"/>
    <w:pPr>
      <w:spacing w:line="500" w:lineRule="exact"/>
    </w:pPr>
    <w:rPr>
      <w:b/>
      <w:bCs/>
      <w:kern w:val="0"/>
      <w:sz w:val="24"/>
    </w:rPr>
  </w:style>
  <w:style w:type="paragraph" w:styleId="18">
    <w:name w:val="Body Text"/>
    <w:basedOn w:val="1"/>
    <w:next w:val="19"/>
    <w:link w:val="72"/>
    <w:qFormat/>
    <w:uiPriority w:val="0"/>
    <w:pPr>
      <w:spacing w:line="380" w:lineRule="exact"/>
    </w:pPr>
    <w:rPr>
      <w:kern w:val="0"/>
      <w:sz w:val="24"/>
    </w:rPr>
  </w:style>
  <w:style w:type="paragraph" w:styleId="19">
    <w:name w:val="Title"/>
    <w:basedOn w:val="1"/>
    <w:next w:val="1"/>
    <w:link w:val="84"/>
    <w:qFormat/>
    <w:uiPriority w:val="0"/>
    <w:pPr>
      <w:spacing w:before="240" w:after="60"/>
      <w:jc w:val="center"/>
      <w:outlineLvl w:val="0"/>
    </w:pPr>
    <w:rPr>
      <w:rFonts w:ascii="Cambria" w:hAnsi="Cambria"/>
      <w:b/>
      <w:bCs/>
      <w:sz w:val="32"/>
      <w:szCs w:val="32"/>
    </w:rPr>
  </w:style>
  <w:style w:type="paragraph" w:styleId="20">
    <w:name w:val="Body Text Indent"/>
    <w:basedOn w:val="1"/>
    <w:link w:val="73"/>
    <w:qFormat/>
    <w:uiPriority w:val="0"/>
    <w:pPr>
      <w:ind w:firstLine="830" w:firstLineChars="352"/>
    </w:pPr>
    <w:rPr>
      <w:rFonts w:ascii="仿宋_GB2312" w:eastAsia="仿宋_GB2312"/>
      <w:kern w:val="0"/>
      <w:sz w:val="32"/>
      <w:szCs w:val="20"/>
    </w:rPr>
  </w:style>
  <w:style w:type="paragraph" w:styleId="21">
    <w:name w:val="List Number 3"/>
    <w:basedOn w:val="1"/>
    <w:qFormat/>
    <w:uiPriority w:val="0"/>
    <w:pPr>
      <w:numPr>
        <w:ilvl w:val="0"/>
        <w:numId w:val="2"/>
      </w:numPr>
    </w:pPr>
  </w:style>
  <w:style w:type="paragraph" w:styleId="22">
    <w:name w:val="List 2"/>
    <w:basedOn w:val="1"/>
    <w:qFormat/>
    <w:uiPriority w:val="0"/>
    <w:pPr>
      <w:ind w:left="100" w:leftChars="200" w:hanging="200" w:hangingChars="200"/>
    </w:pPr>
    <w:rPr>
      <w:sz w:val="28"/>
    </w:rPr>
  </w:style>
  <w:style w:type="paragraph" w:styleId="23">
    <w:name w:val="toc 5"/>
    <w:basedOn w:val="1"/>
    <w:next w:val="1"/>
    <w:qFormat/>
    <w:uiPriority w:val="0"/>
    <w:pPr>
      <w:ind w:left="1680" w:leftChars="800"/>
    </w:pPr>
    <w:rPr>
      <w:rFonts w:ascii="Calibri" w:hAnsi="Calibri"/>
      <w:szCs w:val="22"/>
    </w:rPr>
  </w:style>
  <w:style w:type="paragraph" w:styleId="24">
    <w:name w:val="toc 3"/>
    <w:basedOn w:val="1"/>
    <w:next w:val="1"/>
    <w:qFormat/>
    <w:uiPriority w:val="0"/>
    <w:pPr>
      <w:ind w:left="840" w:leftChars="400"/>
    </w:pPr>
    <w:rPr>
      <w:rFonts w:ascii="Calibri" w:hAnsi="Calibri"/>
      <w:szCs w:val="22"/>
    </w:rPr>
  </w:style>
  <w:style w:type="paragraph" w:styleId="25">
    <w:name w:val="Plain Text"/>
    <w:basedOn w:val="1"/>
    <w:link w:val="74"/>
    <w:qFormat/>
    <w:uiPriority w:val="0"/>
    <w:rPr>
      <w:rFonts w:ascii="宋体" w:hAnsi="Courier New"/>
      <w:kern w:val="0"/>
      <w:sz w:val="20"/>
      <w:szCs w:val="21"/>
    </w:rPr>
  </w:style>
  <w:style w:type="paragraph" w:styleId="26">
    <w:name w:val="toc 8"/>
    <w:basedOn w:val="1"/>
    <w:next w:val="1"/>
    <w:qFormat/>
    <w:uiPriority w:val="0"/>
    <w:pPr>
      <w:ind w:left="2940" w:leftChars="1400"/>
    </w:pPr>
    <w:rPr>
      <w:rFonts w:ascii="Calibri" w:hAnsi="Calibri"/>
      <w:szCs w:val="22"/>
    </w:rPr>
  </w:style>
  <w:style w:type="paragraph" w:styleId="27">
    <w:name w:val="Date"/>
    <w:basedOn w:val="1"/>
    <w:next w:val="1"/>
    <w:link w:val="75"/>
    <w:qFormat/>
    <w:uiPriority w:val="0"/>
    <w:pPr>
      <w:ind w:left="100" w:leftChars="2500"/>
    </w:pPr>
    <w:rPr>
      <w:rFonts w:ascii="宋体" w:hAnsi="Courier New"/>
      <w:kern w:val="0"/>
      <w:sz w:val="20"/>
      <w:szCs w:val="21"/>
    </w:rPr>
  </w:style>
  <w:style w:type="paragraph" w:styleId="28">
    <w:name w:val="Body Text Indent 2"/>
    <w:basedOn w:val="1"/>
    <w:link w:val="76"/>
    <w:qFormat/>
    <w:uiPriority w:val="0"/>
    <w:pPr>
      <w:ind w:firstLine="630"/>
    </w:pPr>
    <w:rPr>
      <w:kern w:val="0"/>
      <w:sz w:val="32"/>
      <w:szCs w:val="20"/>
    </w:rPr>
  </w:style>
  <w:style w:type="paragraph" w:styleId="29">
    <w:name w:val="endnote text"/>
    <w:basedOn w:val="1"/>
    <w:link w:val="77"/>
    <w:qFormat/>
    <w:uiPriority w:val="0"/>
    <w:pPr>
      <w:snapToGrid w:val="0"/>
      <w:jc w:val="left"/>
    </w:pPr>
  </w:style>
  <w:style w:type="paragraph" w:styleId="30">
    <w:name w:val="Balloon Text"/>
    <w:basedOn w:val="1"/>
    <w:link w:val="78"/>
    <w:qFormat/>
    <w:uiPriority w:val="0"/>
    <w:rPr>
      <w:kern w:val="0"/>
      <w:sz w:val="18"/>
      <w:szCs w:val="18"/>
    </w:rPr>
  </w:style>
  <w:style w:type="paragraph" w:styleId="31">
    <w:name w:val="footer"/>
    <w:basedOn w:val="1"/>
    <w:link w:val="79"/>
    <w:qFormat/>
    <w:uiPriority w:val="99"/>
    <w:pPr>
      <w:tabs>
        <w:tab w:val="center" w:pos="4153"/>
        <w:tab w:val="right" w:pos="8306"/>
      </w:tabs>
      <w:snapToGrid w:val="0"/>
      <w:jc w:val="left"/>
    </w:pPr>
    <w:rPr>
      <w:kern w:val="0"/>
      <w:sz w:val="18"/>
      <w:szCs w:val="18"/>
    </w:rPr>
  </w:style>
  <w:style w:type="paragraph" w:styleId="32">
    <w:name w:val="envelope return"/>
    <w:basedOn w:val="1"/>
    <w:qFormat/>
    <w:uiPriority w:val="0"/>
    <w:pPr>
      <w:snapToGrid w:val="0"/>
    </w:pPr>
    <w:rPr>
      <w:rFonts w:ascii="Arial" w:hAnsi="Arial"/>
    </w:rPr>
  </w:style>
  <w:style w:type="paragraph" w:styleId="33">
    <w:name w:val="header"/>
    <w:basedOn w:val="1"/>
    <w:link w:val="80"/>
    <w:qFormat/>
    <w:uiPriority w:val="0"/>
    <w:pPr>
      <w:pBdr>
        <w:bottom w:val="single" w:color="auto" w:sz="6" w:space="1"/>
      </w:pBdr>
      <w:tabs>
        <w:tab w:val="center" w:pos="0"/>
        <w:tab w:val="left" w:pos="8306"/>
      </w:tabs>
      <w:snapToGrid w:val="0"/>
      <w:jc w:val="center"/>
    </w:pPr>
    <w:rPr>
      <w:sz w:val="18"/>
      <w:szCs w:val="18"/>
    </w:rPr>
  </w:style>
  <w:style w:type="paragraph" w:styleId="34">
    <w:name w:val="toc 1"/>
    <w:basedOn w:val="1"/>
    <w:next w:val="1"/>
    <w:qFormat/>
    <w:uiPriority w:val="0"/>
    <w:pPr>
      <w:tabs>
        <w:tab w:val="right" w:leader="dot" w:pos="8398"/>
      </w:tabs>
      <w:spacing w:before="120" w:after="120"/>
      <w:ind w:firstLine="240" w:firstLineChars="100"/>
      <w:jc w:val="left"/>
    </w:pPr>
    <w:rPr>
      <w:rFonts w:ascii="宋体" w:hAnsi="宋体"/>
      <w:b/>
      <w:bCs/>
      <w:caps/>
      <w:sz w:val="24"/>
    </w:rPr>
  </w:style>
  <w:style w:type="paragraph" w:styleId="35">
    <w:name w:val="toc 4"/>
    <w:basedOn w:val="1"/>
    <w:next w:val="1"/>
    <w:qFormat/>
    <w:uiPriority w:val="0"/>
    <w:pPr>
      <w:ind w:left="1260" w:leftChars="600"/>
    </w:pPr>
    <w:rPr>
      <w:rFonts w:ascii="Calibri" w:hAnsi="Calibri"/>
      <w:szCs w:val="22"/>
    </w:rPr>
  </w:style>
  <w:style w:type="paragraph" w:styleId="36">
    <w:name w:val="List"/>
    <w:basedOn w:val="1"/>
    <w:qFormat/>
    <w:uiPriority w:val="0"/>
    <w:pPr>
      <w:ind w:left="200" w:hanging="200" w:hangingChars="200"/>
    </w:pPr>
    <w:rPr>
      <w:sz w:val="28"/>
    </w:rPr>
  </w:style>
  <w:style w:type="paragraph" w:styleId="37">
    <w:name w:val="footnote text"/>
    <w:basedOn w:val="1"/>
    <w:link w:val="81"/>
    <w:qFormat/>
    <w:uiPriority w:val="0"/>
    <w:pPr>
      <w:snapToGrid w:val="0"/>
      <w:jc w:val="left"/>
    </w:pPr>
    <w:rPr>
      <w:sz w:val="18"/>
      <w:szCs w:val="18"/>
    </w:rPr>
  </w:style>
  <w:style w:type="paragraph" w:styleId="38">
    <w:name w:val="toc 6"/>
    <w:basedOn w:val="1"/>
    <w:next w:val="1"/>
    <w:qFormat/>
    <w:uiPriority w:val="0"/>
    <w:pPr>
      <w:ind w:left="2100" w:leftChars="1000"/>
    </w:pPr>
    <w:rPr>
      <w:rFonts w:ascii="Calibri" w:hAnsi="Calibri"/>
      <w:szCs w:val="22"/>
    </w:rPr>
  </w:style>
  <w:style w:type="paragraph" w:styleId="39">
    <w:name w:val="Body Text Indent 3"/>
    <w:basedOn w:val="1"/>
    <w:link w:val="82"/>
    <w:qFormat/>
    <w:uiPriority w:val="0"/>
    <w:pPr>
      <w:spacing w:after="120"/>
      <w:ind w:left="420" w:leftChars="200"/>
    </w:pPr>
    <w:rPr>
      <w:kern w:val="0"/>
      <w:sz w:val="16"/>
      <w:szCs w:val="16"/>
    </w:rPr>
  </w:style>
  <w:style w:type="paragraph" w:styleId="40">
    <w:name w:val="toc 2"/>
    <w:basedOn w:val="1"/>
    <w:next w:val="1"/>
    <w:qFormat/>
    <w:uiPriority w:val="0"/>
    <w:pPr>
      <w:ind w:left="420" w:leftChars="200"/>
    </w:pPr>
  </w:style>
  <w:style w:type="paragraph" w:styleId="41">
    <w:name w:val="toc 9"/>
    <w:basedOn w:val="1"/>
    <w:next w:val="1"/>
    <w:qFormat/>
    <w:uiPriority w:val="0"/>
    <w:pPr>
      <w:ind w:left="3360" w:leftChars="1600"/>
    </w:pPr>
    <w:rPr>
      <w:rFonts w:ascii="Calibri" w:hAnsi="Calibri"/>
      <w:szCs w:val="22"/>
    </w:rPr>
  </w:style>
  <w:style w:type="paragraph" w:styleId="42">
    <w:name w:val="Body Text 2"/>
    <w:basedOn w:val="1"/>
    <w:link w:val="83"/>
    <w:qFormat/>
    <w:uiPriority w:val="0"/>
    <w:pPr>
      <w:spacing w:after="120" w:line="480" w:lineRule="auto"/>
    </w:pPr>
    <w:rPr>
      <w:kern w:val="0"/>
      <w:sz w:val="20"/>
    </w:rPr>
  </w:style>
  <w:style w:type="paragraph" w:styleId="43">
    <w:name w:val="Normal (Web)"/>
    <w:basedOn w:val="1"/>
    <w:qFormat/>
    <w:uiPriority w:val="0"/>
    <w:pPr>
      <w:widowControl/>
      <w:spacing w:before="100" w:beforeAutospacing="1" w:after="100" w:afterAutospacing="1"/>
      <w:jc w:val="left"/>
    </w:pPr>
    <w:rPr>
      <w:rFonts w:ascii="宋体" w:hAnsi="宋体"/>
      <w:kern w:val="0"/>
      <w:sz w:val="24"/>
    </w:rPr>
  </w:style>
  <w:style w:type="paragraph" w:styleId="44">
    <w:name w:val="index 1"/>
    <w:basedOn w:val="1"/>
    <w:next w:val="1"/>
    <w:qFormat/>
    <w:uiPriority w:val="0"/>
    <w:pPr>
      <w:spacing w:line="400" w:lineRule="exact"/>
      <w:ind w:firstLine="420" w:firstLineChars="200"/>
    </w:pPr>
    <w:rPr>
      <w:rFonts w:ascii="宋体" w:hAnsi="Courier New"/>
      <w:b/>
      <w:szCs w:val="20"/>
    </w:rPr>
  </w:style>
  <w:style w:type="paragraph" w:styleId="45">
    <w:name w:val="annotation subject"/>
    <w:basedOn w:val="16"/>
    <w:next w:val="16"/>
    <w:link w:val="85"/>
    <w:qFormat/>
    <w:uiPriority w:val="0"/>
    <w:rPr>
      <w:b/>
      <w:bCs/>
    </w:rPr>
  </w:style>
  <w:style w:type="paragraph" w:styleId="46">
    <w:name w:val="Body Text First Indent"/>
    <w:basedOn w:val="18"/>
    <w:next w:val="1"/>
    <w:qFormat/>
    <w:uiPriority w:val="0"/>
    <w:pPr>
      <w:ind w:firstLine="420" w:firstLineChars="100"/>
    </w:pPr>
  </w:style>
  <w:style w:type="paragraph" w:styleId="47">
    <w:name w:val="Body Text First Indent 2"/>
    <w:basedOn w:val="20"/>
    <w:qFormat/>
    <w:uiPriority w:val="0"/>
    <w:pPr>
      <w:spacing w:after="120"/>
      <w:ind w:left="420" w:leftChars="200" w:firstLine="420" w:firstLineChars="200"/>
    </w:pPr>
    <w:rPr>
      <w:szCs w:val="24"/>
    </w:rPr>
  </w:style>
  <w:style w:type="table" w:styleId="49">
    <w:name w:val="Table Grid"/>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basedOn w:val="50"/>
    <w:qFormat/>
    <w:uiPriority w:val="0"/>
    <w:rPr>
      <w:b/>
    </w:rPr>
  </w:style>
  <w:style w:type="character" w:styleId="52">
    <w:name w:val="endnote reference"/>
    <w:qFormat/>
    <w:uiPriority w:val="0"/>
    <w:rPr>
      <w:rFonts w:ascii="Times New Roman" w:hAnsi="Times New Roman" w:eastAsia="宋体" w:cs="Times New Roman"/>
      <w:vertAlign w:val="superscript"/>
    </w:rPr>
  </w:style>
  <w:style w:type="character" w:styleId="53">
    <w:name w:val="page number"/>
    <w:qFormat/>
    <w:uiPriority w:val="0"/>
    <w:rPr>
      <w:rFonts w:ascii="Times New Roman" w:hAnsi="Times New Roman" w:eastAsia="宋体" w:cs="Times New Roman"/>
    </w:rPr>
  </w:style>
  <w:style w:type="character" w:styleId="54">
    <w:name w:val="FollowedHyperlink"/>
    <w:qFormat/>
    <w:uiPriority w:val="0"/>
    <w:rPr>
      <w:rFonts w:ascii="Times New Roman" w:hAnsi="Times New Roman" w:eastAsia="宋体" w:cs="Times New Roman"/>
      <w:color w:val="000000"/>
      <w:u w:val="none"/>
    </w:rPr>
  </w:style>
  <w:style w:type="character" w:styleId="55">
    <w:name w:val="Emphasis"/>
    <w:qFormat/>
    <w:uiPriority w:val="0"/>
    <w:rPr>
      <w:color w:val="CC0000"/>
    </w:rPr>
  </w:style>
  <w:style w:type="character" w:styleId="56">
    <w:name w:val="Hyperlink"/>
    <w:qFormat/>
    <w:uiPriority w:val="0"/>
    <w:rPr>
      <w:rFonts w:ascii="Times New Roman" w:hAnsi="Times New Roman" w:eastAsia="宋体" w:cs="Times New Roman"/>
      <w:color w:val="000000"/>
      <w:u w:val="none"/>
    </w:rPr>
  </w:style>
  <w:style w:type="character" w:styleId="57">
    <w:name w:val="annotation reference"/>
    <w:qFormat/>
    <w:uiPriority w:val="0"/>
    <w:rPr>
      <w:rFonts w:ascii="Times New Roman" w:hAnsi="Times New Roman" w:eastAsia="宋体" w:cs="Times New Roman"/>
      <w:sz w:val="21"/>
      <w:szCs w:val="21"/>
    </w:rPr>
  </w:style>
  <w:style w:type="character" w:styleId="58">
    <w:name w:val="footnote reference"/>
    <w:qFormat/>
    <w:uiPriority w:val="0"/>
    <w:rPr>
      <w:rFonts w:ascii="Times New Roman" w:hAnsi="Times New Roman" w:eastAsia="宋体" w:cs="Times New Roman"/>
      <w:vertAlign w:val="superscript"/>
    </w:rPr>
  </w:style>
  <w:style w:type="character" w:styleId="59">
    <w:name w:val="HTML Sample"/>
    <w:qFormat/>
    <w:uiPriority w:val="0"/>
    <w:rPr>
      <w:rFonts w:ascii="Courier New" w:hAnsi="Courier New"/>
    </w:rPr>
  </w:style>
  <w:style w:type="paragraph" w:customStyle="1" w:styleId="6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61">
    <w:name w:val="标题 1 Char"/>
    <w:link w:val="2"/>
    <w:qFormat/>
    <w:uiPriority w:val="0"/>
    <w:rPr>
      <w:rFonts w:ascii="Times New Roman" w:hAnsi="Times New Roman" w:eastAsia="宋体" w:cs="Times New Roman"/>
      <w:b/>
      <w:bCs/>
      <w:kern w:val="44"/>
      <w:sz w:val="44"/>
      <w:szCs w:val="44"/>
    </w:rPr>
  </w:style>
  <w:style w:type="character" w:customStyle="1" w:styleId="62">
    <w:name w:val="标题 2 Char"/>
    <w:link w:val="3"/>
    <w:qFormat/>
    <w:uiPriority w:val="0"/>
    <w:rPr>
      <w:rFonts w:ascii="Arial" w:hAnsi="Arial" w:eastAsia="黑体" w:cs="Times New Roman"/>
      <w:b/>
      <w:bCs/>
      <w:sz w:val="32"/>
      <w:szCs w:val="32"/>
    </w:rPr>
  </w:style>
  <w:style w:type="character" w:customStyle="1" w:styleId="63">
    <w:name w:val="标题 3 Char"/>
    <w:link w:val="4"/>
    <w:qFormat/>
    <w:uiPriority w:val="0"/>
    <w:rPr>
      <w:rFonts w:ascii="Times New Roman" w:hAnsi="Times New Roman" w:eastAsia="宋体" w:cs="Times New Roman"/>
      <w:b/>
      <w:bCs/>
      <w:sz w:val="32"/>
      <w:szCs w:val="32"/>
    </w:rPr>
  </w:style>
  <w:style w:type="character" w:customStyle="1" w:styleId="64">
    <w:name w:val="标题 5 Char1"/>
    <w:link w:val="6"/>
    <w:qFormat/>
    <w:uiPriority w:val="0"/>
    <w:rPr>
      <w:rFonts w:ascii="Times New Roman" w:hAnsi="Times New Roman" w:eastAsia="宋体" w:cs="Times New Roman"/>
      <w:b/>
      <w:kern w:val="2"/>
      <w:sz w:val="28"/>
      <w:szCs w:val="24"/>
    </w:rPr>
  </w:style>
  <w:style w:type="character" w:customStyle="1" w:styleId="65">
    <w:name w:val="标题 6 Char"/>
    <w:link w:val="7"/>
    <w:qFormat/>
    <w:uiPriority w:val="0"/>
    <w:rPr>
      <w:rFonts w:ascii="Arial" w:hAnsi="Arial" w:eastAsia="黑体" w:cs="Times New Roman"/>
      <w:b/>
      <w:kern w:val="2"/>
      <w:sz w:val="24"/>
      <w:szCs w:val="24"/>
    </w:rPr>
  </w:style>
  <w:style w:type="character" w:customStyle="1" w:styleId="66">
    <w:name w:val="标题 7 Char"/>
    <w:link w:val="9"/>
    <w:qFormat/>
    <w:uiPriority w:val="0"/>
    <w:rPr>
      <w:rFonts w:ascii="Times New Roman" w:hAnsi="Times New Roman" w:eastAsia="宋体" w:cs="Times New Roman"/>
      <w:b/>
      <w:kern w:val="2"/>
      <w:sz w:val="24"/>
      <w:szCs w:val="24"/>
    </w:rPr>
  </w:style>
  <w:style w:type="character" w:customStyle="1" w:styleId="67">
    <w:name w:val="标题 8 Char"/>
    <w:link w:val="10"/>
    <w:qFormat/>
    <w:uiPriority w:val="0"/>
    <w:rPr>
      <w:rFonts w:ascii="Arial" w:hAnsi="Arial" w:eastAsia="黑体" w:cs="Times New Roman"/>
      <w:kern w:val="2"/>
      <w:sz w:val="24"/>
      <w:szCs w:val="24"/>
    </w:rPr>
  </w:style>
  <w:style w:type="character" w:customStyle="1" w:styleId="68">
    <w:name w:val="标题 9 Char"/>
    <w:link w:val="11"/>
    <w:qFormat/>
    <w:uiPriority w:val="0"/>
    <w:rPr>
      <w:rFonts w:ascii="Arial" w:hAnsi="Arial" w:eastAsia="黑体" w:cs="Times New Roman"/>
      <w:kern w:val="2"/>
      <w:sz w:val="21"/>
      <w:szCs w:val="24"/>
    </w:rPr>
  </w:style>
  <w:style w:type="character" w:customStyle="1" w:styleId="69">
    <w:name w:val="文档结构图 Char"/>
    <w:link w:val="15"/>
    <w:qFormat/>
    <w:uiPriority w:val="0"/>
    <w:rPr>
      <w:rFonts w:hint="eastAsia" w:ascii="宋体" w:hAnsi="宋体" w:eastAsia="宋体" w:cs="宋体"/>
    </w:rPr>
  </w:style>
  <w:style w:type="character" w:customStyle="1" w:styleId="70">
    <w:name w:val="批注文字 Char2"/>
    <w:link w:val="16"/>
    <w:qFormat/>
    <w:uiPriority w:val="0"/>
    <w:rPr>
      <w:rFonts w:ascii="Times New Roman" w:hAnsi="Times New Roman" w:eastAsia="宋体" w:cs="Times New Roman"/>
      <w:kern w:val="2"/>
      <w:sz w:val="21"/>
      <w:szCs w:val="24"/>
    </w:rPr>
  </w:style>
  <w:style w:type="character" w:customStyle="1" w:styleId="71">
    <w:name w:val="正文文本 3 Char"/>
    <w:link w:val="17"/>
    <w:qFormat/>
    <w:uiPriority w:val="0"/>
    <w:rPr>
      <w:rFonts w:ascii="Times New Roman" w:hAnsi="Times New Roman" w:eastAsia="宋体" w:cs="Times New Roman"/>
      <w:b/>
      <w:bCs/>
      <w:sz w:val="24"/>
      <w:szCs w:val="24"/>
    </w:rPr>
  </w:style>
  <w:style w:type="character" w:customStyle="1" w:styleId="72">
    <w:name w:val="正文文本 Char"/>
    <w:link w:val="18"/>
    <w:qFormat/>
    <w:uiPriority w:val="0"/>
    <w:rPr>
      <w:rFonts w:ascii="Times New Roman" w:hAnsi="Times New Roman" w:eastAsia="宋体" w:cs="Times New Roman"/>
      <w:sz w:val="24"/>
      <w:szCs w:val="24"/>
    </w:rPr>
  </w:style>
  <w:style w:type="character" w:customStyle="1" w:styleId="73">
    <w:name w:val="正文文本缩进 Char"/>
    <w:link w:val="20"/>
    <w:qFormat/>
    <w:uiPriority w:val="0"/>
    <w:rPr>
      <w:rFonts w:ascii="仿宋_GB2312" w:hAnsi="Times New Roman" w:eastAsia="仿宋_GB2312" w:cs="Times New Roman"/>
      <w:sz w:val="32"/>
      <w:szCs w:val="20"/>
    </w:rPr>
  </w:style>
  <w:style w:type="character" w:customStyle="1" w:styleId="74">
    <w:name w:val="纯文本 Char1"/>
    <w:link w:val="25"/>
    <w:qFormat/>
    <w:uiPriority w:val="0"/>
    <w:rPr>
      <w:rFonts w:ascii="宋体" w:hAnsi="Courier New" w:eastAsia="宋体" w:cs="Courier New"/>
      <w:szCs w:val="21"/>
    </w:rPr>
  </w:style>
  <w:style w:type="character" w:customStyle="1" w:styleId="75">
    <w:name w:val="日期 Char"/>
    <w:link w:val="27"/>
    <w:qFormat/>
    <w:uiPriority w:val="0"/>
    <w:rPr>
      <w:rFonts w:ascii="宋体" w:hAnsi="Courier New" w:eastAsia="宋体" w:cs="Courier New"/>
      <w:szCs w:val="21"/>
    </w:rPr>
  </w:style>
  <w:style w:type="character" w:customStyle="1" w:styleId="76">
    <w:name w:val="正文文本缩进 2 Char"/>
    <w:link w:val="28"/>
    <w:qFormat/>
    <w:uiPriority w:val="0"/>
    <w:rPr>
      <w:rFonts w:ascii="Times New Roman" w:hAnsi="Times New Roman" w:eastAsia="宋体" w:cs="Times New Roman"/>
      <w:sz w:val="32"/>
      <w:szCs w:val="20"/>
    </w:rPr>
  </w:style>
  <w:style w:type="character" w:customStyle="1" w:styleId="77">
    <w:name w:val="尾注文本 Char"/>
    <w:link w:val="29"/>
    <w:qFormat/>
    <w:uiPriority w:val="0"/>
    <w:rPr>
      <w:rFonts w:ascii="Times New Roman" w:hAnsi="Times New Roman" w:eastAsia="宋体" w:cs="Times New Roman"/>
      <w:kern w:val="2"/>
      <w:sz w:val="21"/>
      <w:szCs w:val="24"/>
    </w:rPr>
  </w:style>
  <w:style w:type="character" w:customStyle="1" w:styleId="78">
    <w:name w:val="批注框文本 Char"/>
    <w:link w:val="30"/>
    <w:qFormat/>
    <w:uiPriority w:val="0"/>
    <w:rPr>
      <w:rFonts w:ascii="Times New Roman" w:hAnsi="Times New Roman" w:eastAsia="宋体" w:cs="Times New Roman"/>
      <w:sz w:val="18"/>
      <w:szCs w:val="18"/>
    </w:rPr>
  </w:style>
  <w:style w:type="character" w:customStyle="1" w:styleId="79">
    <w:name w:val="页脚 Char"/>
    <w:link w:val="31"/>
    <w:qFormat/>
    <w:uiPriority w:val="99"/>
    <w:rPr>
      <w:rFonts w:ascii="Times New Roman" w:hAnsi="Times New Roman" w:eastAsia="宋体" w:cs="Times New Roman"/>
      <w:sz w:val="18"/>
      <w:szCs w:val="18"/>
    </w:rPr>
  </w:style>
  <w:style w:type="character" w:customStyle="1" w:styleId="80">
    <w:name w:val="页眉 Char"/>
    <w:link w:val="33"/>
    <w:qFormat/>
    <w:uiPriority w:val="0"/>
    <w:rPr>
      <w:rFonts w:ascii="Times New Roman" w:hAnsi="Times New Roman" w:eastAsia="宋体" w:cs="Times New Roman"/>
      <w:kern w:val="2"/>
      <w:sz w:val="18"/>
      <w:szCs w:val="18"/>
    </w:rPr>
  </w:style>
  <w:style w:type="character" w:customStyle="1" w:styleId="81">
    <w:name w:val="脚注文本 Char"/>
    <w:link w:val="37"/>
    <w:qFormat/>
    <w:uiPriority w:val="0"/>
    <w:rPr>
      <w:rFonts w:ascii="Times New Roman" w:hAnsi="Times New Roman" w:eastAsia="宋体" w:cs="Times New Roman"/>
      <w:kern w:val="2"/>
      <w:sz w:val="18"/>
      <w:szCs w:val="18"/>
    </w:rPr>
  </w:style>
  <w:style w:type="character" w:customStyle="1" w:styleId="82">
    <w:name w:val="正文文本缩进 3 Char"/>
    <w:link w:val="39"/>
    <w:qFormat/>
    <w:uiPriority w:val="0"/>
    <w:rPr>
      <w:rFonts w:ascii="Times New Roman" w:hAnsi="Times New Roman" w:eastAsia="宋体" w:cs="Times New Roman"/>
      <w:sz w:val="16"/>
      <w:szCs w:val="16"/>
    </w:rPr>
  </w:style>
  <w:style w:type="character" w:customStyle="1" w:styleId="83">
    <w:name w:val="正文文本 2 Char"/>
    <w:link w:val="42"/>
    <w:qFormat/>
    <w:uiPriority w:val="0"/>
    <w:rPr>
      <w:rFonts w:ascii="Times New Roman" w:hAnsi="Times New Roman" w:eastAsia="宋体" w:cs="Times New Roman"/>
      <w:szCs w:val="24"/>
    </w:rPr>
  </w:style>
  <w:style w:type="character" w:customStyle="1" w:styleId="84">
    <w:name w:val="标题 Char"/>
    <w:link w:val="19"/>
    <w:qFormat/>
    <w:uiPriority w:val="0"/>
    <w:rPr>
      <w:rFonts w:ascii="Cambria" w:hAnsi="Cambria" w:eastAsia="宋体" w:cs="Times New Roman"/>
      <w:b/>
      <w:bCs/>
      <w:kern w:val="2"/>
      <w:sz w:val="32"/>
      <w:szCs w:val="32"/>
    </w:rPr>
  </w:style>
  <w:style w:type="character" w:customStyle="1" w:styleId="85">
    <w:name w:val="批注主题 Char"/>
    <w:link w:val="45"/>
    <w:qFormat/>
    <w:uiPriority w:val="0"/>
    <w:rPr>
      <w:rFonts w:ascii="Times New Roman" w:hAnsi="Times New Roman" w:eastAsia="宋体" w:cs="Times New Roman"/>
      <w:b/>
      <w:bCs/>
      <w:kern w:val="2"/>
      <w:sz w:val="21"/>
      <w:szCs w:val="24"/>
    </w:rPr>
  </w:style>
  <w:style w:type="character" w:customStyle="1" w:styleId="86">
    <w:name w:val="批注文字 Char1"/>
    <w:qFormat/>
    <w:uiPriority w:val="0"/>
    <w:rPr>
      <w:rFonts w:ascii="Times New Roman" w:hAnsi="Times New Roman" w:eastAsia="宋体" w:cs="Times New Roman"/>
      <w:kern w:val="2"/>
      <w:sz w:val="21"/>
      <w:szCs w:val="24"/>
    </w:rPr>
  </w:style>
  <w:style w:type="character" w:customStyle="1" w:styleId="87">
    <w:name w:val="case31"/>
    <w:qFormat/>
    <w:uiPriority w:val="0"/>
    <w:rPr>
      <w:rFonts w:hint="default" w:ascii="_x000B__x000C_" w:hAnsi="_x000B__x000C_" w:eastAsia="宋体" w:cs="Times New Roman"/>
      <w:sz w:val="21"/>
      <w:szCs w:val="21"/>
    </w:rPr>
  </w:style>
  <w:style w:type="character" w:customStyle="1" w:styleId="88">
    <w:name w:val="批注文字 Char"/>
    <w:qFormat/>
    <w:uiPriority w:val="0"/>
    <w:rPr>
      <w:rFonts w:ascii="Times New Roman" w:hAnsi="Times New Roman" w:eastAsia="宋体" w:cs="Times New Roman"/>
      <w:kern w:val="2"/>
      <w:sz w:val="21"/>
      <w:szCs w:val="24"/>
    </w:rPr>
  </w:style>
  <w:style w:type="character" w:customStyle="1" w:styleId="89">
    <w:name w:val="纯文本 Char"/>
    <w:qFormat/>
    <w:uiPriority w:val="0"/>
    <w:rPr>
      <w:rFonts w:ascii="宋体" w:hAnsi="Courier New" w:eastAsia="宋体" w:cs="Times New Roman"/>
      <w:kern w:val="2"/>
      <w:sz w:val="21"/>
      <w:lang w:val="en-US" w:eastAsia="zh-CN" w:bidi="ar-SA"/>
    </w:rPr>
  </w:style>
  <w:style w:type="character" w:customStyle="1" w:styleId="90">
    <w:name w:val="纯文本 字符1"/>
    <w:qFormat/>
    <w:uiPriority w:val="0"/>
    <w:rPr>
      <w:rFonts w:ascii="宋体" w:hAnsi="Courier New" w:eastAsia="宋体" w:cs="Times New Roman"/>
    </w:rPr>
  </w:style>
  <w:style w:type="character" w:customStyle="1" w:styleId="91">
    <w:name w:val="批注文字 字符1"/>
    <w:qFormat/>
    <w:uiPriority w:val="0"/>
    <w:rPr>
      <w:rFonts w:ascii="Times New Roman" w:hAnsi="Times New Roman" w:eastAsia="宋体" w:cs="Times New Roman"/>
      <w:kern w:val="2"/>
      <w:sz w:val="21"/>
      <w:szCs w:val="24"/>
    </w:rPr>
  </w:style>
  <w:style w:type="character" w:customStyle="1" w:styleId="92">
    <w:name w:val="正文文本 Char1"/>
    <w:qFormat/>
    <w:uiPriority w:val="0"/>
    <w:rPr>
      <w:rFonts w:ascii="Times New Roman" w:hAnsi="Times New Roman" w:eastAsia="宋体" w:cs="Times New Roman"/>
      <w:sz w:val="24"/>
      <w:szCs w:val="24"/>
    </w:rPr>
  </w:style>
  <w:style w:type="character" w:customStyle="1" w:styleId="93">
    <w:name w:val="apple-style-span"/>
    <w:qFormat/>
    <w:uiPriority w:val="0"/>
    <w:rPr>
      <w:rFonts w:ascii="Times New Roman" w:hAnsi="Times New Roman" w:eastAsia="宋体" w:cs="Times New Roman"/>
    </w:rPr>
  </w:style>
  <w:style w:type="character" w:customStyle="1" w:styleId="94">
    <w:name w:val="textcontents"/>
    <w:qFormat/>
    <w:uiPriority w:val="0"/>
    <w:rPr>
      <w:rFonts w:ascii="Times New Roman" w:hAnsi="Times New Roman" w:eastAsia="宋体" w:cs="Times New Roman"/>
    </w:rPr>
  </w:style>
  <w:style w:type="character" w:customStyle="1" w:styleId="95">
    <w:name w:val="普通文字 Char Char2"/>
    <w:qFormat/>
    <w:uiPriority w:val="0"/>
    <w:rPr>
      <w:rFonts w:ascii="宋体" w:hAnsi="Courier New" w:eastAsia="宋体" w:cs="Times New Roman"/>
      <w:kern w:val="2"/>
      <w:sz w:val="21"/>
      <w:lang w:val="en-US" w:eastAsia="zh-CN" w:bidi="ar-SA"/>
    </w:rPr>
  </w:style>
  <w:style w:type="character" w:customStyle="1" w:styleId="96">
    <w:name w:val="标题 5 Char"/>
    <w:qFormat/>
    <w:uiPriority w:val="0"/>
    <w:rPr>
      <w:rFonts w:ascii="Times New Roman" w:hAnsi="Times New Roman" w:eastAsia="宋体" w:cs="Times New Roman"/>
      <w:b/>
      <w:kern w:val="2"/>
      <w:sz w:val="28"/>
      <w:szCs w:val="24"/>
    </w:rPr>
  </w:style>
  <w:style w:type="character" w:customStyle="1" w:styleId="97">
    <w:name w:val="批注文字 字符"/>
    <w:qFormat/>
    <w:uiPriority w:val="0"/>
    <w:rPr>
      <w:rFonts w:ascii="Times New Roman" w:hAnsi="Times New Roman" w:eastAsia="宋体" w:cs="Times New Roman"/>
      <w:kern w:val="2"/>
      <w:sz w:val="21"/>
      <w:szCs w:val="24"/>
    </w:rPr>
  </w:style>
  <w:style w:type="character" w:customStyle="1" w:styleId="98">
    <w:name w:val="标题 1 字符"/>
    <w:qFormat/>
    <w:uiPriority w:val="0"/>
    <w:rPr>
      <w:rFonts w:ascii="Times New Roman" w:hAnsi="Times New Roman" w:eastAsia="宋体" w:cs="Times New Roman"/>
      <w:b/>
      <w:bCs/>
      <w:kern w:val="44"/>
      <w:sz w:val="44"/>
      <w:szCs w:val="44"/>
    </w:rPr>
  </w:style>
  <w:style w:type="character" w:customStyle="1" w:styleId="99">
    <w:name w:val="纯文本 字符"/>
    <w:qFormat/>
    <w:uiPriority w:val="0"/>
    <w:rPr>
      <w:rFonts w:ascii="宋体" w:hAnsi="Courier New" w:eastAsia="宋体" w:cs="Courier New"/>
      <w:szCs w:val="21"/>
    </w:rPr>
  </w:style>
  <w:style w:type="character" w:customStyle="1" w:styleId="100">
    <w:name w:val="headline-content4"/>
    <w:qFormat/>
    <w:uiPriority w:val="0"/>
    <w:rPr>
      <w:rFonts w:ascii="Times New Roman" w:hAnsi="Times New Roman" w:eastAsia="宋体" w:cs="Times New Roman"/>
    </w:rPr>
  </w:style>
  <w:style w:type="character" w:customStyle="1" w:styleId="101">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102">
    <w:name w:val="正文文本缩进 字符"/>
    <w:qFormat/>
    <w:uiPriority w:val="0"/>
    <w:rPr>
      <w:rFonts w:ascii="仿宋_GB2312" w:hAnsi="Times New Roman" w:eastAsia="仿宋_GB2312" w:cs="Times New Roman"/>
      <w:sz w:val="32"/>
      <w:szCs w:val="20"/>
    </w:rPr>
  </w:style>
  <w:style w:type="paragraph" w:customStyle="1" w:styleId="103">
    <w:name w:val="Char1"/>
    <w:basedOn w:val="1"/>
    <w:qFormat/>
    <w:uiPriority w:val="0"/>
    <w:rPr>
      <w:szCs w:val="21"/>
    </w:rPr>
  </w:style>
  <w:style w:type="paragraph" w:styleId="104">
    <w:name w:val="List Paragraph"/>
    <w:basedOn w:val="1"/>
    <w:qFormat/>
    <w:uiPriority w:val="0"/>
    <w:pPr>
      <w:ind w:firstLine="420" w:firstLineChars="200"/>
    </w:pPr>
  </w:style>
  <w:style w:type="paragraph" w:customStyle="1" w:styleId="105">
    <w:name w:val="样式 标题 2 + Times New Roman 四号 非加粗 段前: 5 磅 段后: 0 磅 行距: 固定值 20..."/>
    <w:basedOn w:val="3"/>
    <w:qFormat/>
    <w:uiPriority w:val="0"/>
    <w:pPr>
      <w:spacing w:before="100" w:after="0" w:line="400" w:lineRule="exact"/>
    </w:pPr>
    <w:rPr>
      <w:rFonts w:ascii="Times New Roman" w:hAnsi="Times New Roman" w:eastAsia="宋体" w:cs="宋体"/>
      <w:b w:val="0"/>
      <w:bCs w:val="0"/>
      <w:sz w:val="28"/>
      <w:szCs w:val="20"/>
    </w:rPr>
  </w:style>
  <w:style w:type="paragraph" w:customStyle="1" w:styleId="106">
    <w:name w:val="默认段落字体 Para Char Char Char Char Char Char Char Char Char1 Char Char Char Char"/>
    <w:basedOn w:val="1"/>
    <w:qFormat/>
    <w:uiPriority w:val="0"/>
    <w:rPr>
      <w:rFonts w:ascii="Tahoma" w:hAnsi="Tahoma"/>
      <w:sz w:val="24"/>
      <w:szCs w:val="20"/>
    </w:rPr>
  </w:style>
  <w:style w:type="paragraph" w:customStyle="1" w:styleId="107">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08">
    <w:name w:val="纯文本1"/>
    <w:basedOn w:val="1"/>
    <w:qFormat/>
    <w:uiPriority w:val="0"/>
    <w:rPr>
      <w:rFonts w:ascii="宋体" w:hAnsi="Courier New" w:cs="Century"/>
      <w:szCs w:val="21"/>
    </w:rPr>
  </w:style>
  <w:style w:type="paragraph" w:customStyle="1" w:styleId="109">
    <w:name w:val="Table Paragraph"/>
    <w:basedOn w:val="1"/>
    <w:qFormat/>
    <w:uiPriority w:val="0"/>
    <w:pPr>
      <w:jc w:val="left"/>
    </w:pPr>
    <w:rPr>
      <w:rFonts w:ascii="Calibri" w:hAnsi="Calibri"/>
      <w:kern w:val="0"/>
      <w:sz w:val="22"/>
      <w:szCs w:val="22"/>
      <w:lang w:eastAsia="en-US"/>
    </w:rPr>
  </w:style>
  <w:style w:type="paragraph" w:customStyle="1" w:styleId="110">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11">
    <w:name w:val="表格"/>
    <w:basedOn w:val="1"/>
    <w:qFormat/>
    <w:uiPriority w:val="0"/>
    <w:pPr>
      <w:spacing w:line="400" w:lineRule="exact"/>
    </w:pPr>
    <w:rPr>
      <w:sz w:val="24"/>
    </w:rPr>
  </w:style>
  <w:style w:type="paragraph" w:customStyle="1" w:styleId="112">
    <w:name w:val="样式 首行缩进:  2 字符"/>
    <w:basedOn w:val="1"/>
    <w:qFormat/>
    <w:uiPriority w:val="0"/>
    <w:pPr>
      <w:spacing w:line="400" w:lineRule="exact"/>
      <w:ind w:firstLine="200" w:firstLineChars="200"/>
    </w:pPr>
    <w:rPr>
      <w:rFonts w:cs="宋体"/>
      <w:sz w:val="24"/>
    </w:rPr>
  </w:style>
  <w:style w:type="paragraph" w:customStyle="1" w:styleId="113">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14">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15">
    <w:name w:val="正文首行缩进两字符"/>
    <w:basedOn w:val="1"/>
    <w:qFormat/>
    <w:uiPriority w:val="0"/>
    <w:pPr>
      <w:spacing w:line="360" w:lineRule="auto"/>
      <w:ind w:firstLine="200" w:firstLineChars="200"/>
    </w:pPr>
  </w:style>
  <w:style w:type="paragraph" w:customStyle="1" w:styleId="116">
    <w:name w:val="正文段"/>
    <w:basedOn w:val="1"/>
    <w:qFormat/>
    <w:uiPriority w:val="0"/>
    <w:pPr>
      <w:widowControl/>
      <w:snapToGrid w:val="0"/>
      <w:spacing w:after="50" w:afterLines="50"/>
      <w:ind w:firstLine="200" w:firstLineChars="200"/>
    </w:pPr>
    <w:rPr>
      <w:kern w:val="0"/>
      <w:sz w:val="24"/>
      <w:szCs w:val="20"/>
    </w:rPr>
  </w:style>
  <w:style w:type="table" w:customStyle="1" w:styleId="117">
    <w:name w:val="Table Normal"/>
    <w:qFormat/>
    <w:uiPriority w:val="0"/>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character" w:customStyle="1" w:styleId="118">
    <w:name w:val="页脚 字符"/>
    <w:qFormat/>
    <w:uiPriority w:val="0"/>
    <w:rPr>
      <w:rFonts w:ascii="Times New Roman" w:hAnsi="Times New Roman" w:eastAsia="宋体" w:cs="Times New Roman"/>
    </w:rPr>
  </w:style>
  <w:style w:type="character" w:customStyle="1" w:styleId="119">
    <w:name w:val="标题 1 Char1"/>
    <w:qFormat/>
    <w:uiPriority w:val="0"/>
    <w:rPr>
      <w:rFonts w:ascii="Times New Roman" w:hAnsi="Times New Roman" w:eastAsia="宋体" w:cs="Times New Roman"/>
      <w:b/>
      <w:bCs/>
      <w:kern w:val="44"/>
      <w:sz w:val="44"/>
      <w:szCs w:val="44"/>
      <w:lang w:val="en-US" w:eastAsia="zh-CN" w:bidi="ar-SA"/>
    </w:rPr>
  </w:style>
  <w:style w:type="character" w:customStyle="1" w:styleId="120">
    <w:name w:val="font21"/>
    <w:qFormat/>
    <w:uiPriority w:val="0"/>
    <w:rPr>
      <w:rFonts w:hint="eastAsia" w:ascii="宋体" w:hAnsi="宋体" w:eastAsia="宋体" w:cs="宋体"/>
      <w:color w:val="000000"/>
      <w:sz w:val="16"/>
      <w:szCs w:val="16"/>
      <w:u w:val="none"/>
    </w:rPr>
  </w:style>
  <w:style w:type="paragraph" w:customStyle="1" w:styleId="121">
    <w:name w:val="l正文"/>
    <w:qFormat/>
    <w:uiPriority w:val="0"/>
    <w:pPr>
      <w:spacing w:line="360" w:lineRule="auto"/>
      <w:ind w:firstLine="200" w:firstLineChars="200"/>
    </w:pPr>
    <w:rPr>
      <w:rFonts w:ascii="Times New Roman" w:hAnsi="Times New Roman" w:eastAsia="宋体" w:cs="Times New Roman"/>
      <w:bCs/>
      <w:kern w:val="2"/>
      <w:sz w:val="24"/>
      <w:szCs w:val="22"/>
      <w:lang w:val="en-US" w:eastAsia="zh-CN" w:bidi="ar-SA"/>
    </w:rPr>
  </w:style>
  <w:style w:type="paragraph" w:customStyle="1" w:styleId="122">
    <w:name w:val="CM26"/>
    <w:basedOn w:val="1"/>
    <w:next w:val="1"/>
    <w:qFormat/>
    <w:uiPriority w:val="0"/>
    <w:pPr>
      <w:autoSpaceDE w:val="0"/>
      <w:autoSpaceDN w:val="0"/>
      <w:adjustRightInd w:val="0"/>
      <w:spacing w:after="173"/>
      <w:jc w:val="left"/>
    </w:pPr>
    <w:rPr>
      <w:rFonts w:ascii="隶书" w:eastAsia="隶书"/>
      <w:kern w:val="0"/>
      <w:sz w:val="24"/>
    </w:rPr>
  </w:style>
  <w:style w:type="paragraph" w:styleId="12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4">
    <w:name w:val="font81"/>
    <w:qFormat/>
    <w:uiPriority w:val="0"/>
    <w:rPr>
      <w:rFonts w:ascii="Symbol" w:hAnsi="Symbol" w:eastAsia="宋体" w:cs="Symbol"/>
      <w:color w:val="000000"/>
      <w:sz w:val="20"/>
      <w:szCs w:val="20"/>
      <w:u w:val="none"/>
    </w:rPr>
  </w:style>
  <w:style w:type="paragraph" w:customStyle="1" w:styleId="125">
    <w:name w:val="Normal Indent1"/>
    <w:basedOn w:val="1"/>
    <w:qFormat/>
    <w:uiPriority w:val="0"/>
    <w:pPr>
      <w:widowControl/>
      <w:ind w:firstLine="420" w:firstLineChars="200"/>
    </w:pPr>
  </w:style>
  <w:style w:type="character" w:customStyle="1" w:styleId="126">
    <w:name w:val="font61"/>
    <w:qFormat/>
    <w:uiPriority w:val="0"/>
    <w:rPr>
      <w:rFonts w:hint="eastAsia" w:ascii="仿宋" w:hAnsi="仿宋" w:eastAsia="仿宋" w:cs="仿宋"/>
      <w:color w:val="000000"/>
      <w:sz w:val="20"/>
      <w:szCs w:val="20"/>
      <w:u w:val="none"/>
    </w:rPr>
  </w:style>
  <w:style w:type="character" w:customStyle="1" w:styleId="127">
    <w:name w:val="font191"/>
    <w:qFormat/>
    <w:uiPriority w:val="0"/>
    <w:rPr>
      <w:rFonts w:hint="eastAsia" w:ascii="宋体" w:hAnsi="宋体" w:eastAsia="宋体" w:cs="宋体"/>
      <w:color w:val="000000"/>
      <w:sz w:val="20"/>
      <w:szCs w:val="20"/>
      <w:u w:val="none"/>
    </w:rPr>
  </w:style>
  <w:style w:type="character" w:customStyle="1" w:styleId="128">
    <w:name w:val="font141"/>
    <w:qFormat/>
    <w:uiPriority w:val="0"/>
    <w:rPr>
      <w:rFonts w:hint="eastAsia" w:ascii="仿宋" w:hAnsi="仿宋" w:eastAsia="仿宋" w:cs="仿宋"/>
      <w:b/>
      <w:bCs/>
      <w:color w:val="000000"/>
      <w:sz w:val="20"/>
      <w:szCs w:val="20"/>
      <w:u w:val="none"/>
    </w:rPr>
  </w:style>
  <w:style w:type="character" w:customStyle="1" w:styleId="129">
    <w:name w:val="font201"/>
    <w:qFormat/>
    <w:uiPriority w:val="0"/>
    <w:rPr>
      <w:rFonts w:ascii="Arial" w:hAnsi="Arial" w:cs="Arial"/>
      <w:color w:val="000000"/>
      <w:sz w:val="20"/>
      <w:szCs w:val="20"/>
      <w:u w:val="none"/>
    </w:rPr>
  </w:style>
  <w:style w:type="character" w:customStyle="1" w:styleId="130">
    <w:name w:val="font181"/>
    <w:qFormat/>
    <w:uiPriority w:val="0"/>
    <w:rPr>
      <w:rFonts w:ascii="Calibri" w:hAnsi="Calibri" w:cs="Calibri"/>
      <w:color w:val="000000"/>
      <w:sz w:val="20"/>
      <w:szCs w:val="20"/>
      <w:u w:val="none"/>
    </w:rPr>
  </w:style>
  <w:style w:type="paragraph" w:customStyle="1" w:styleId="131">
    <w:name w:val="正文2"/>
    <w:basedOn w:val="1"/>
    <w:qFormat/>
    <w:uiPriority w:val="0"/>
    <w:pPr>
      <w:adjustRightInd w:val="0"/>
      <w:spacing w:before="156" w:line="360" w:lineRule="auto"/>
      <w:ind w:firstLine="510" w:firstLineChars="200"/>
    </w:pPr>
    <w:rPr>
      <w:sz w:val="24"/>
      <w:szCs w:val="20"/>
    </w:rPr>
  </w:style>
  <w:style w:type="paragraph" w:customStyle="1" w:styleId="13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33">
    <w:name w:val="列出段落1"/>
    <w:basedOn w:val="1"/>
    <w:qFormat/>
    <w:uiPriority w:val="34"/>
    <w:pPr>
      <w:spacing w:before="100" w:beforeAutospacing="1" w:after="100" w:afterAutospacing="1" w:line="360" w:lineRule="auto"/>
      <w:ind w:firstLine="420" w:firstLineChars="200"/>
    </w:pPr>
  </w:style>
  <w:style w:type="paragraph" w:customStyle="1" w:styleId="134">
    <w:name w:val="null3"/>
    <w:qFormat/>
    <w:uiPriority w:val="0"/>
    <w:rPr>
      <w:rFonts w:hint="eastAsia" w:ascii="Calibri" w:hAnsi="Calibri" w:eastAsia="宋体" w:cs="Times New Roman"/>
      <w:lang w:val="en-US" w:eastAsia="zh-Hans" w:bidi="ar-SA"/>
    </w:rPr>
  </w:style>
  <w:style w:type="paragraph" w:customStyle="1" w:styleId="135">
    <w:name w:val="Heading1"/>
    <w:basedOn w:val="1"/>
    <w:next w:val="1"/>
    <w:unhideWhenUsed/>
    <w:qFormat/>
    <w:uiPriority w:val="0"/>
    <w:pPr>
      <w:spacing w:before="43"/>
      <w:jc w:val="center"/>
      <w:textAlignment w:val="baseline"/>
    </w:pPr>
    <w:rPr>
      <w:rFonts w:hint="eastAsia" w:ascii="黑体" w:hAnsi="黑体" w:eastAsia="黑体" w:cs="黑体"/>
      <w:b/>
      <w:sz w:val="32"/>
      <w:szCs w:val="32"/>
      <w:lang w:val="zh-CN" w:bidi="zh-CN"/>
    </w:rPr>
  </w:style>
  <w:style w:type="paragraph" w:customStyle="1" w:styleId="136">
    <w:name w:val="正文缩进1"/>
    <w:basedOn w:val="1"/>
    <w:next w:val="20"/>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137">
    <w:name w:val="模板普通正文"/>
    <w:basedOn w:val="20"/>
    <w:qFormat/>
    <w:uiPriority w:val="0"/>
    <w:pPr>
      <w:spacing w:beforeLines="50" w:after="10"/>
      <w:ind w:firstLine="490" w:firstLineChars="175"/>
      <w:jc w:val="left"/>
    </w:pPr>
  </w:style>
  <w:style w:type="character" w:customStyle="1" w:styleId="138">
    <w:name w:val="font01"/>
    <w:basedOn w:val="50"/>
    <w:qFormat/>
    <w:uiPriority w:val="0"/>
    <w:rPr>
      <w:rFonts w:hint="eastAsia" w:ascii="宋体" w:hAnsi="宋体" w:eastAsia="宋体" w:cs="宋体"/>
      <w:color w:val="000000"/>
      <w:sz w:val="22"/>
      <w:szCs w:val="22"/>
      <w:u w:val="none"/>
    </w:rPr>
  </w:style>
  <w:style w:type="character" w:customStyle="1" w:styleId="139">
    <w:name w:val="font11"/>
    <w:basedOn w:val="50"/>
    <w:qFormat/>
    <w:uiPriority w:val="0"/>
    <w:rPr>
      <w:rFonts w:ascii="Arial" w:hAnsi="Arial" w:cs="Arial"/>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107</Pages>
  <Words>22850</Words>
  <Characters>25373</Characters>
  <Lines>594</Lines>
  <Paragraphs>167</Paragraphs>
  <TotalTime>3</TotalTime>
  <ScaleCrop>false</ScaleCrop>
  <LinksUpToDate>false</LinksUpToDate>
  <CharactersWithSpaces>25769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2025-04-03T08:01:00Z</dcterms:created>
  <dc:creator>广西国泰招标</dc:creator>
  <cp:lastModifiedBy>代理</cp:lastModifiedBy>
  <cp:lastPrinted>2026-07-01T12:16:00Z</cp:lastPrinted>
  <dcterms:modified xsi:type="dcterms:W3CDTF">2026-08-17T07:09:55Z</dcterms:modified>
  <dc:title>公开招标采购文件范本</dc:title>
  <cp:revision>140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4F5D83567F7D4DF4A32F972899578611_13</vt:lpwstr>
  </property>
  <property fmtid="{D5CDD505-2E9C-101B-9397-08002B2CF9AE}" pid="4" name="KSOTemplateDocerSaveRecord">
    <vt:lpwstr>eyJoZGlkIjoiZWVmMGRlZmJkMmYyNWZiZjc4ZmU1MWI4YzAxZDlhNjgiLCJ1c2VySWQiOiIzNjQ5MTc2OTQifQ==</vt:lpwstr>
  </property>
</Properties>
</file>