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C937A">
      <w:pPr>
        <w:jc w:val="center"/>
        <w:rPr>
          <w:rFonts w:hint="eastAsia" w:asciiTheme="minorEastAsia" w:hAnsiTheme="minorEastAsia" w:eastAsiaTheme="minorEastAsia" w:cstheme="minorEastAsia"/>
          <w:color w:val="auto"/>
          <w:sz w:val="28"/>
          <w:szCs w:val="28"/>
        </w:rPr>
      </w:pPr>
      <w:bookmarkStart w:id="0" w:name="_Toc35393813"/>
      <w:r>
        <w:rPr>
          <w:rFonts w:hint="eastAsia" w:asciiTheme="minorEastAsia" w:hAnsiTheme="minorEastAsia" w:eastAsiaTheme="minorEastAsia" w:cstheme="minorEastAsia"/>
          <w:color w:val="auto"/>
          <w:sz w:val="28"/>
          <w:szCs w:val="28"/>
        </w:rPr>
        <w:t>广西国力招标有限公司</w:t>
      </w:r>
      <w:r>
        <w:rPr>
          <w:rFonts w:hint="eastAsia" w:asciiTheme="minorEastAsia" w:hAnsiTheme="minorEastAsia" w:eastAsiaTheme="minorEastAsia" w:cstheme="minorEastAsia"/>
          <w:color w:val="auto"/>
          <w:sz w:val="28"/>
          <w:szCs w:val="28"/>
          <w:lang w:val="en-US" w:eastAsia="zh-CN"/>
        </w:rPr>
        <w:t>关于</w:t>
      </w:r>
      <w:r>
        <w:rPr>
          <w:rFonts w:hint="eastAsia" w:asciiTheme="minorEastAsia" w:hAnsiTheme="minorEastAsia" w:eastAsiaTheme="minorEastAsia" w:cstheme="minorEastAsia"/>
          <w:color w:val="auto"/>
          <w:sz w:val="28"/>
          <w:szCs w:val="28"/>
          <w:lang w:eastAsia="zh-CN"/>
        </w:rPr>
        <w:t>动物科技学院动物营养与繁殖实验室教学实训设备采购项目</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eastAsia="zh-CN"/>
        </w:rPr>
        <w:t>GXZC2026-G1-002696-GLZB</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的</w:t>
      </w:r>
      <w:r>
        <w:rPr>
          <w:rFonts w:hint="eastAsia" w:asciiTheme="minorEastAsia" w:hAnsiTheme="minorEastAsia" w:eastAsiaTheme="minorEastAsia" w:cstheme="minorEastAsia"/>
          <w:color w:val="auto"/>
          <w:sz w:val="28"/>
          <w:szCs w:val="28"/>
          <w:lang w:eastAsia="zh-CN"/>
        </w:rPr>
        <w:t>更正</w:t>
      </w:r>
      <w:r>
        <w:rPr>
          <w:rFonts w:hint="eastAsia" w:asciiTheme="minorEastAsia" w:hAnsiTheme="minorEastAsia" w:eastAsiaTheme="minorEastAsia" w:cstheme="minorEastAsia"/>
          <w:color w:val="auto"/>
          <w:sz w:val="28"/>
          <w:szCs w:val="28"/>
        </w:rPr>
        <w:t>公告</w:t>
      </w:r>
      <w:bookmarkEnd w:id="0"/>
      <w:r>
        <w:rPr>
          <w:rFonts w:hint="eastAsia" w:asciiTheme="minorEastAsia" w:hAnsiTheme="minorEastAsia" w:eastAsiaTheme="minorEastAsia" w:cstheme="minorEastAsia"/>
          <w:color w:val="auto"/>
          <w:sz w:val="28"/>
          <w:szCs w:val="28"/>
        </w:rPr>
        <w:t>（一）</w:t>
      </w:r>
    </w:p>
    <w:p w14:paraId="36D12462">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sz w:val="21"/>
          <w:szCs w:val="21"/>
        </w:rPr>
      </w:pPr>
      <w:bookmarkStart w:id="1" w:name="_Toc28359104"/>
      <w:bookmarkStart w:id="2" w:name="_Toc35393814"/>
      <w:bookmarkStart w:id="3" w:name="_Toc28359027"/>
      <w:bookmarkStart w:id="4" w:name="_Toc35393645"/>
      <w:r>
        <w:rPr>
          <w:rFonts w:hint="eastAsia" w:ascii="宋体" w:hAnsi="宋体" w:eastAsia="宋体" w:cs="宋体"/>
          <w:b/>
          <w:color w:val="auto"/>
          <w:sz w:val="21"/>
          <w:szCs w:val="21"/>
        </w:rPr>
        <w:t>一、项目基本情况</w:t>
      </w:r>
      <w:bookmarkEnd w:id="1"/>
      <w:bookmarkEnd w:id="2"/>
      <w:bookmarkEnd w:id="3"/>
      <w:bookmarkEnd w:id="4"/>
    </w:p>
    <w:p w14:paraId="4EDE06F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原公告的采购项目编号：</w:t>
      </w:r>
      <w:r>
        <w:rPr>
          <w:rFonts w:hint="eastAsia" w:ascii="宋体" w:hAnsi="宋体" w:cs="宋体"/>
          <w:color w:val="auto"/>
          <w:sz w:val="21"/>
          <w:szCs w:val="21"/>
          <w:u w:val="single"/>
          <w:lang w:eastAsia="zh-CN"/>
        </w:rPr>
        <w:t>GXZC2026-G1-002696-GLZB</w:t>
      </w:r>
    </w:p>
    <w:p w14:paraId="2D3E0B22">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rPr>
        <w:t>原公告的采购项目名称：</w:t>
      </w:r>
      <w:r>
        <w:rPr>
          <w:rFonts w:hint="eastAsia" w:ascii="宋体" w:hAnsi="宋体" w:cs="宋体"/>
          <w:color w:val="auto"/>
          <w:sz w:val="21"/>
          <w:szCs w:val="21"/>
          <w:u w:val="single"/>
          <w:lang w:eastAsia="zh-CN"/>
        </w:rPr>
        <w:t>动物科技学院动物营养与繁殖实验室教学实训设备采购项目</w:t>
      </w:r>
    </w:p>
    <w:p w14:paraId="6369FB3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首次公告日期：2026年8月24日</w:t>
      </w:r>
    </w:p>
    <w:p w14:paraId="16B08C36">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sz w:val="21"/>
          <w:szCs w:val="21"/>
        </w:rPr>
      </w:pPr>
      <w:bookmarkStart w:id="5" w:name="_Toc28359105"/>
      <w:bookmarkStart w:id="6" w:name="_Toc35393646"/>
      <w:bookmarkStart w:id="7" w:name="_Toc35393815"/>
      <w:bookmarkStart w:id="8" w:name="_Toc28359028"/>
      <w:r>
        <w:rPr>
          <w:rFonts w:hint="eastAsia" w:ascii="宋体" w:hAnsi="宋体" w:eastAsia="宋体" w:cs="宋体"/>
          <w:b/>
          <w:color w:val="auto"/>
          <w:sz w:val="21"/>
          <w:szCs w:val="21"/>
        </w:rPr>
        <w:t>二、更正信息</w:t>
      </w:r>
      <w:bookmarkEnd w:id="5"/>
      <w:bookmarkEnd w:id="6"/>
      <w:bookmarkEnd w:id="7"/>
      <w:bookmarkEnd w:id="8"/>
    </w:p>
    <w:p w14:paraId="6E86D78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更正事项：</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采购公告 ☑采购文件 □采购结果     </w:t>
      </w:r>
    </w:p>
    <w:p w14:paraId="3F37C47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更正内容：</w:t>
      </w:r>
    </w:p>
    <w:tbl>
      <w:tblPr>
        <w:tblStyle w:val="14"/>
        <w:tblW w:w="9832" w:type="dxa"/>
        <w:tblInd w:w="-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83"/>
        <w:gridCol w:w="3562"/>
        <w:gridCol w:w="4220"/>
      </w:tblGrid>
      <w:tr w14:paraId="4F02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67" w:type="dxa"/>
            <w:vAlign w:val="center"/>
          </w:tcPr>
          <w:p w14:paraId="4ABF43C3">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83" w:type="dxa"/>
            <w:vAlign w:val="center"/>
          </w:tcPr>
          <w:p w14:paraId="149C3A17">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更正项</w:t>
            </w:r>
          </w:p>
        </w:tc>
        <w:tc>
          <w:tcPr>
            <w:tcW w:w="3562" w:type="dxa"/>
            <w:vAlign w:val="center"/>
          </w:tcPr>
          <w:p w14:paraId="14475594">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更正前内容</w:t>
            </w:r>
          </w:p>
        </w:tc>
        <w:tc>
          <w:tcPr>
            <w:tcW w:w="4220" w:type="dxa"/>
            <w:vAlign w:val="center"/>
          </w:tcPr>
          <w:p w14:paraId="56790536">
            <w:pPr>
              <w:keepNext w:val="0"/>
              <w:keepLines w:val="0"/>
              <w:pageBreakBefore w:val="0"/>
              <w:kinsoku/>
              <w:wordWrap/>
              <w:overflowPunct/>
              <w:topLinePunct w:val="0"/>
              <w:autoSpaceDE/>
              <w:autoSpaceDN/>
              <w:bidi w:val="0"/>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更正后内容</w:t>
            </w:r>
          </w:p>
        </w:tc>
      </w:tr>
      <w:tr w14:paraId="26C8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Align w:val="center"/>
          </w:tcPr>
          <w:p w14:paraId="1C11311F">
            <w:pPr>
              <w:keepNext w:val="0"/>
              <w:keepLines w:val="0"/>
              <w:pageBreakBefore w:val="0"/>
              <w:kinsoku/>
              <w:wordWrap/>
              <w:overflowPunct/>
              <w:topLinePunct w:val="0"/>
              <w:autoSpaceDE/>
              <w:autoSpaceDN/>
              <w:bidi w:val="0"/>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483" w:type="dxa"/>
            <w:vAlign w:val="center"/>
          </w:tcPr>
          <w:p w14:paraId="08C53FCA">
            <w:pPr>
              <w:keepNext w:val="0"/>
              <w:keepLines w:val="0"/>
              <w:pageBreakBefore w:val="0"/>
              <w:kinsoku/>
              <w:wordWrap/>
              <w:overflowPunct/>
              <w:topLinePunct w:val="0"/>
              <w:autoSpaceDE/>
              <w:autoSpaceDN/>
              <w:bidi w:val="0"/>
              <w:spacing w:line="400" w:lineRule="exact"/>
              <w:jc w:val="center"/>
              <w:rPr>
                <w:rFonts w:hint="eastAsia"/>
                <w:b w:val="0"/>
                <w:bCs w:val="0"/>
                <w:color w:val="auto"/>
                <w:sz w:val="21"/>
                <w:szCs w:val="21"/>
              </w:rPr>
            </w:pPr>
            <w:r>
              <w:rPr>
                <w:rFonts w:hint="eastAsia" w:ascii="Times New Roman" w:hAnsi="Times New Roman" w:eastAsia="宋体" w:cs="Times New Roman"/>
                <w:b w:val="0"/>
                <w:bCs w:val="0"/>
                <w:color w:val="auto"/>
                <w:sz w:val="21"/>
                <w:szCs w:val="21"/>
              </w:rPr>
              <w:t>第</w:t>
            </w:r>
            <w:r>
              <w:rPr>
                <w:rFonts w:hint="eastAsia" w:ascii="Times New Roman" w:hAnsi="Times New Roman" w:eastAsia="宋体" w:cs="Times New Roman"/>
                <w:b w:val="0"/>
                <w:bCs w:val="0"/>
                <w:color w:val="auto"/>
                <w:sz w:val="21"/>
                <w:szCs w:val="21"/>
                <w:lang w:val="en-US" w:eastAsia="zh-CN"/>
              </w:rPr>
              <w:t>二</w:t>
            </w:r>
            <w:r>
              <w:rPr>
                <w:rFonts w:hint="eastAsia" w:ascii="Times New Roman" w:hAnsi="Times New Roman" w:eastAsia="宋体" w:cs="Times New Roman"/>
                <w:b w:val="0"/>
                <w:bCs w:val="0"/>
                <w:color w:val="auto"/>
                <w:sz w:val="21"/>
                <w:szCs w:val="21"/>
              </w:rPr>
              <w:t>章“ 招标项目采购需求”</w:t>
            </w:r>
            <w:r>
              <w:rPr>
                <w:rFonts w:hint="eastAsia" w:ascii="Times New Roman" w:hAnsi="Times New Roman" w:eastAsia="宋体" w:cs="Times New Roman"/>
                <w:b w:val="0"/>
                <w:bCs w:val="0"/>
                <w:color w:val="auto"/>
                <w:sz w:val="21"/>
                <w:szCs w:val="21"/>
                <w:lang w:val="en-US" w:eastAsia="zh-CN"/>
              </w:rPr>
              <w:t>项号2“厌氧微好氧工作站”</w:t>
            </w:r>
          </w:p>
        </w:tc>
        <w:tc>
          <w:tcPr>
            <w:tcW w:w="3562" w:type="dxa"/>
            <w:vAlign w:val="center"/>
          </w:tcPr>
          <w:p w14:paraId="539C88F7">
            <w:pPr>
              <w:keepNext w:val="0"/>
              <w:keepLines w:val="0"/>
              <w:pageBreakBefore w:val="0"/>
              <w:kinsoku/>
              <w:wordWrap/>
              <w:overflowPunct/>
              <w:topLinePunct w:val="0"/>
              <w:autoSpaceDE/>
              <w:autoSpaceDN/>
              <w:bidi w:val="0"/>
              <w:snapToGrid/>
              <w:spacing w:line="400" w:lineRule="exact"/>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2、采用人体工程学设计，观察屏倾斜角度可在5°～10°区间内设置，适配不同操作人员视角；</w:t>
            </w:r>
          </w:p>
          <w:p w14:paraId="261B7791">
            <w:pPr>
              <w:keepNext w:val="0"/>
              <w:keepLines w:val="0"/>
              <w:pageBreakBefore w:val="0"/>
              <w:kinsoku/>
              <w:wordWrap/>
              <w:overflowPunct/>
              <w:topLinePunct w:val="0"/>
              <w:autoSpaceDE/>
              <w:autoSpaceDN/>
              <w:bidi w:val="0"/>
              <w:spacing w:line="400" w:lineRule="exact"/>
              <w:jc w:val="both"/>
              <w:rPr>
                <w:rFonts w:hint="eastAsia"/>
                <w:b w:val="0"/>
                <w:bCs w:val="0"/>
                <w:color w:val="auto"/>
                <w:sz w:val="21"/>
                <w:szCs w:val="21"/>
                <w:lang w:eastAsia="zh-CN"/>
              </w:rPr>
            </w:pPr>
          </w:p>
        </w:tc>
        <w:tc>
          <w:tcPr>
            <w:tcW w:w="4220" w:type="dxa"/>
            <w:vAlign w:val="center"/>
          </w:tcPr>
          <w:p w14:paraId="403806EE">
            <w:pPr>
              <w:keepNext w:val="0"/>
              <w:keepLines w:val="0"/>
              <w:pageBreakBefore w:val="0"/>
              <w:kinsoku/>
              <w:wordWrap/>
              <w:overflowPunct/>
              <w:topLinePunct w:val="0"/>
              <w:autoSpaceDE/>
              <w:autoSpaceDN/>
              <w:bidi w:val="0"/>
              <w:spacing w:line="400" w:lineRule="exact"/>
              <w:jc w:val="both"/>
              <w:rPr>
                <w:rFonts w:hint="eastAsia"/>
                <w:b w:val="0"/>
                <w:bCs w:val="0"/>
                <w:color w:val="auto"/>
                <w:sz w:val="21"/>
                <w:szCs w:val="21"/>
                <w:lang w:eastAsia="zh-CN"/>
              </w:rPr>
            </w:pPr>
            <w:r>
              <w:rPr>
                <w:rFonts w:hint="eastAsia"/>
                <w:b w:val="0"/>
                <w:bCs w:val="0"/>
                <w:color w:val="auto"/>
                <w:sz w:val="21"/>
                <w:szCs w:val="21"/>
                <w:lang w:eastAsia="zh-CN"/>
              </w:rPr>
              <w:t>■2、采用人体工程学设计，观察屏倾斜角度可在5°～10°区间内设置，适配不同操作人员视角；</w:t>
            </w:r>
          </w:p>
        </w:tc>
      </w:tr>
      <w:tr w14:paraId="2020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Align w:val="center"/>
          </w:tcPr>
          <w:p w14:paraId="6B9021FC">
            <w:pPr>
              <w:keepNext w:val="0"/>
              <w:keepLines w:val="0"/>
              <w:pageBreakBefore w:val="0"/>
              <w:kinsoku/>
              <w:wordWrap/>
              <w:overflowPunct/>
              <w:topLinePunct w:val="0"/>
              <w:autoSpaceDE/>
              <w:autoSpaceDN/>
              <w:bidi w:val="0"/>
              <w:spacing w:line="40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3" w:type="dxa"/>
            <w:vAlign w:val="center"/>
          </w:tcPr>
          <w:p w14:paraId="0C8AB50F">
            <w:pPr>
              <w:keepNext w:val="0"/>
              <w:keepLines w:val="0"/>
              <w:pageBreakBefore w:val="0"/>
              <w:kinsoku/>
              <w:wordWrap/>
              <w:overflowPunct/>
              <w:topLinePunct w:val="0"/>
              <w:autoSpaceDE/>
              <w:autoSpaceDN/>
              <w:bidi w:val="0"/>
              <w:adjustRightInd w:val="0"/>
              <w:snapToGrid w:val="0"/>
              <w:spacing w:line="400" w:lineRule="exact"/>
              <w:jc w:val="center"/>
              <w:rPr>
                <w:rFonts w:hint="eastAsia" w:ascii="宋体" w:hAnsi="宋体" w:eastAsia="宋体" w:cs="宋体"/>
                <w:color w:val="auto"/>
                <w:sz w:val="21"/>
                <w:szCs w:val="21"/>
                <w:highlight w:val="none"/>
              </w:rPr>
            </w:pPr>
            <w:r>
              <w:rPr>
                <w:rFonts w:hint="eastAsia" w:ascii="Times New Roman" w:hAnsi="Times New Roman" w:eastAsia="宋体" w:cs="Times New Roman"/>
                <w:b w:val="0"/>
                <w:bCs w:val="0"/>
                <w:color w:val="auto"/>
                <w:sz w:val="21"/>
                <w:szCs w:val="21"/>
              </w:rPr>
              <w:t>第</w:t>
            </w:r>
            <w:r>
              <w:rPr>
                <w:rFonts w:hint="eastAsia" w:ascii="Times New Roman" w:hAnsi="Times New Roman" w:eastAsia="宋体" w:cs="Times New Roman"/>
                <w:b w:val="0"/>
                <w:bCs w:val="0"/>
                <w:color w:val="auto"/>
                <w:sz w:val="21"/>
                <w:szCs w:val="21"/>
                <w:lang w:val="en-US" w:eastAsia="zh-CN"/>
              </w:rPr>
              <w:t>二</w:t>
            </w:r>
            <w:r>
              <w:rPr>
                <w:rFonts w:hint="eastAsia" w:ascii="Times New Roman" w:hAnsi="Times New Roman" w:eastAsia="宋体" w:cs="Times New Roman"/>
                <w:b w:val="0"/>
                <w:bCs w:val="0"/>
                <w:color w:val="auto"/>
                <w:sz w:val="21"/>
                <w:szCs w:val="21"/>
              </w:rPr>
              <w:t>章“ 招标项目采购需求”</w:t>
            </w:r>
            <w:r>
              <w:rPr>
                <w:rFonts w:hint="eastAsia" w:ascii="Times New Roman" w:hAnsi="Times New Roman" w:eastAsia="宋体" w:cs="Times New Roman"/>
                <w:b w:val="0"/>
                <w:bCs w:val="0"/>
                <w:color w:val="auto"/>
                <w:sz w:val="21"/>
                <w:szCs w:val="21"/>
                <w:lang w:val="en-US" w:eastAsia="zh-CN"/>
              </w:rPr>
              <w:t>项号11“全自动高精度杜马斯燃烧快速蛋白质测定仪”</w:t>
            </w:r>
          </w:p>
        </w:tc>
        <w:tc>
          <w:tcPr>
            <w:tcW w:w="3562" w:type="dxa"/>
            <w:vAlign w:val="top"/>
          </w:tcPr>
          <w:p w14:paraId="7F9F70B6">
            <w:pPr>
              <w:pStyle w:val="12"/>
              <w:keepNext w:val="0"/>
              <w:keepLines w:val="0"/>
              <w:pageBreakBefore w:val="0"/>
              <w:widowControl/>
              <w:kinsoku/>
              <w:wordWrap/>
              <w:overflowPunct/>
              <w:topLinePunct w:val="0"/>
              <w:autoSpaceDE/>
              <w:autoSpaceDN/>
              <w:bidi w:val="0"/>
              <w:spacing w:beforeAutospacing="0" w:afterAutospacing="0" w:line="400" w:lineRule="exact"/>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■2.26 若使用进口产品进行投标，投标时需要提供设备生产厂商针对本项目盖章确认的本产品的所有参数确认函和售后服务承诺书复印件复印件或扫描件（若由授权代理商出具，还须提供有效的代理关系证明文件）。</w:t>
            </w:r>
          </w:p>
          <w:p w14:paraId="3D5E530A">
            <w:pPr>
              <w:keepNext w:val="0"/>
              <w:keepLines w:val="0"/>
              <w:pageBreakBefore w:val="0"/>
              <w:widowControl/>
              <w:kinsoku/>
              <w:wordWrap/>
              <w:overflowPunct/>
              <w:topLinePunct w:val="0"/>
              <w:autoSpaceDE/>
              <w:autoSpaceDN/>
              <w:bidi w:val="0"/>
              <w:spacing w:line="400" w:lineRule="exact"/>
              <w:rPr>
                <w:rFonts w:hint="eastAsia"/>
                <w:color w:val="auto"/>
                <w:sz w:val="21"/>
                <w:szCs w:val="21"/>
              </w:rPr>
            </w:pPr>
          </w:p>
        </w:tc>
        <w:tc>
          <w:tcPr>
            <w:tcW w:w="4220" w:type="dxa"/>
            <w:vAlign w:val="top"/>
          </w:tcPr>
          <w:p w14:paraId="3CA43070">
            <w:pPr>
              <w:pStyle w:val="12"/>
              <w:keepNext w:val="0"/>
              <w:keepLines w:val="0"/>
              <w:pageBreakBefore w:val="0"/>
              <w:widowControl/>
              <w:kinsoku/>
              <w:wordWrap/>
              <w:overflowPunct/>
              <w:topLinePunct w:val="0"/>
              <w:autoSpaceDE/>
              <w:autoSpaceDN/>
              <w:bidi w:val="0"/>
              <w:spacing w:beforeAutospacing="0" w:afterAutospacing="0" w:line="400" w:lineRule="exact"/>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highlight w:val="none"/>
              </w:rPr>
              <w:t>▲</w:t>
            </w:r>
            <w:r>
              <w:rPr>
                <w:rFonts w:hint="eastAsia" w:ascii="宋体" w:hAnsi="宋体" w:eastAsia="宋体" w:cs="宋体"/>
                <w:color w:val="auto"/>
                <w:kern w:val="2"/>
                <w:sz w:val="21"/>
                <w:szCs w:val="21"/>
                <w:lang w:val="en-US" w:eastAsia="zh-CN" w:bidi="ar-SA"/>
              </w:rPr>
              <w:t>2.26 若使用进口产品进行投标，投标时需要提供设备生产厂商针对本项目盖章确认的本产品的所有参数确认函和售后服务承诺书复印件复印件或扫描件（若由授权代理商出具，还须提供有效的代理关系证明文件）。</w:t>
            </w:r>
          </w:p>
          <w:p w14:paraId="03875A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val="0"/>
                <w:bCs w:val="0"/>
                <w:color w:val="auto"/>
                <w:sz w:val="21"/>
                <w:szCs w:val="21"/>
              </w:rPr>
            </w:pPr>
          </w:p>
        </w:tc>
      </w:tr>
      <w:tr w14:paraId="6EC9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Align w:val="center"/>
          </w:tcPr>
          <w:p w14:paraId="2BA3FF97">
            <w:pPr>
              <w:keepNext w:val="0"/>
              <w:keepLines w:val="0"/>
              <w:pageBreakBefore w:val="0"/>
              <w:kinsoku/>
              <w:wordWrap/>
              <w:overflowPunct/>
              <w:topLinePunct w:val="0"/>
              <w:autoSpaceDE/>
              <w:autoSpaceDN/>
              <w:bidi w:val="0"/>
              <w:spacing w:line="40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83" w:type="dxa"/>
            <w:vAlign w:val="center"/>
          </w:tcPr>
          <w:p w14:paraId="6E44FF62">
            <w:pPr>
              <w:keepNext w:val="0"/>
              <w:keepLines w:val="0"/>
              <w:pageBreakBefore w:val="0"/>
              <w:kinsoku/>
              <w:wordWrap/>
              <w:overflowPunct/>
              <w:topLinePunct w:val="0"/>
              <w:autoSpaceDE/>
              <w:autoSpaceDN/>
              <w:bidi w:val="0"/>
              <w:spacing w:line="400" w:lineRule="exact"/>
              <w:jc w:val="center"/>
              <w:rPr>
                <w:rFonts w:hint="eastAsia" w:ascii="Times New Roman" w:hAnsi="Times New Roman" w:eastAsia="宋体" w:cs="Times New Roman"/>
                <w:b w:val="0"/>
                <w:bCs w:val="0"/>
                <w:color w:val="auto"/>
                <w:sz w:val="21"/>
                <w:szCs w:val="21"/>
              </w:rPr>
            </w:pPr>
            <w:r>
              <w:rPr>
                <w:rFonts w:hint="eastAsia"/>
                <w:b w:val="0"/>
                <w:bCs w:val="0"/>
                <w:color w:val="auto"/>
                <w:sz w:val="21"/>
                <w:szCs w:val="21"/>
              </w:rPr>
              <w:t>第</w:t>
            </w:r>
            <w:r>
              <w:rPr>
                <w:rFonts w:hint="eastAsia"/>
                <w:b w:val="0"/>
                <w:bCs w:val="0"/>
                <w:color w:val="auto"/>
                <w:sz w:val="21"/>
                <w:szCs w:val="21"/>
                <w:lang w:val="en-US" w:eastAsia="zh-CN"/>
              </w:rPr>
              <w:t>二</w:t>
            </w:r>
            <w:r>
              <w:rPr>
                <w:rFonts w:hint="eastAsia"/>
                <w:b w:val="0"/>
                <w:bCs w:val="0"/>
                <w:color w:val="auto"/>
                <w:sz w:val="21"/>
                <w:szCs w:val="21"/>
              </w:rPr>
              <w:t>章“ 招标项目采购需求”▲二、商务要求</w:t>
            </w:r>
          </w:p>
        </w:tc>
        <w:tc>
          <w:tcPr>
            <w:tcW w:w="3562" w:type="dxa"/>
            <w:vAlign w:val="center"/>
          </w:tcPr>
          <w:p w14:paraId="6CED598B">
            <w:pPr>
              <w:keepNext w:val="0"/>
              <w:keepLines w:val="0"/>
              <w:pageBreakBefore w:val="0"/>
              <w:kinsoku/>
              <w:wordWrap/>
              <w:overflowPunct/>
              <w:topLinePunct w:val="0"/>
              <w:autoSpaceDE/>
              <w:autoSpaceDN/>
              <w:bidi w:val="0"/>
              <w:snapToGrid/>
              <w:spacing w:line="400" w:lineRule="exact"/>
              <w:ind w:left="0"/>
              <w:rPr>
                <w:rFonts w:hint="eastAsia"/>
                <w:b w:val="0"/>
                <w:bCs w:val="0"/>
                <w:color w:val="auto"/>
                <w:sz w:val="21"/>
                <w:szCs w:val="21"/>
              </w:rPr>
            </w:pPr>
            <w:r>
              <w:rPr>
                <w:rFonts w:hint="eastAsia"/>
                <w:b w:val="0"/>
                <w:bCs w:val="0"/>
                <w:color w:val="auto"/>
                <w:sz w:val="21"/>
                <w:szCs w:val="21"/>
              </w:rPr>
              <w:t>付款条件</w:t>
            </w:r>
          </w:p>
          <w:p w14:paraId="4BB43C95">
            <w:pPr>
              <w:keepNext w:val="0"/>
              <w:keepLines w:val="0"/>
              <w:pageBreakBefore w:val="0"/>
              <w:kinsoku/>
              <w:wordWrap/>
              <w:overflowPunct/>
              <w:topLinePunct w:val="0"/>
              <w:autoSpaceDE/>
              <w:autoSpaceDN/>
              <w:bidi w:val="0"/>
              <w:spacing w:line="400" w:lineRule="exact"/>
              <w:jc w:val="both"/>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rPr>
              <w:t>1.</w:t>
            </w:r>
            <w:r>
              <w:rPr>
                <w:rFonts w:hint="eastAsia" w:ascii="Times New Roman" w:hAnsi="Times New Roman" w:eastAsia="宋体" w:cs="Times New Roman"/>
                <w:b w:val="0"/>
                <w:bCs w:val="0"/>
                <w:color w:val="auto"/>
                <w:sz w:val="21"/>
                <w:szCs w:val="21"/>
                <w:lang w:val="en-US" w:eastAsia="zh-CN"/>
              </w:rPr>
              <w:t>中标</w:t>
            </w:r>
            <w:r>
              <w:rPr>
                <w:rFonts w:hint="eastAsia" w:ascii="Times New Roman" w:hAnsi="Times New Roman" w:eastAsia="宋体" w:cs="Times New Roman"/>
                <w:b w:val="0"/>
                <w:bCs w:val="0"/>
                <w:color w:val="auto"/>
                <w:sz w:val="21"/>
                <w:szCs w:val="21"/>
              </w:rPr>
              <w:t>人在要求的交付期内，可分批交付</w:t>
            </w:r>
            <w:r>
              <w:rPr>
                <w:rFonts w:hint="eastAsia" w:ascii="Times New Roman" w:hAnsi="Times New Roman" w:eastAsia="宋体" w:cs="Times New Roman"/>
                <w:b w:val="0"/>
                <w:bCs w:val="0"/>
                <w:color w:val="auto"/>
                <w:sz w:val="21"/>
                <w:szCs w:val="21"/>
                <w:lang w:eastAsia="zh-CN"/>
              </w:rPr>
              <w:t>，每批次货物供货、安装、验收合格</w:t>
            </w:r>
            <w:r>
              <w:rPr>
                <w:rFonts w:hint="eastAsia" w:ascii="Times New Roman" w:hAnsi="Times New Roman" w:eastAsia="宋体" w:cs="Times New Roman"/>
                <w:b w:val="0"/>
                <w:bCs w:val="0"/>
                <w:color w:val="auto"/>
                <w:sz w:val="21"/>
                <w:szCs w:val="21"/>
              </w:rPr>
              <w:t>，中标人开具对应批次全额正规发票送达采购人后，采购人在收到发票后30日历日内按发票面额付款</w:t>
            </w:r>
            <w:r>
              <w:rPr>
                <w:rFonts w:hint="eastAsia" w:ascii="Times New Roman" w:hAnsi="Times New Roman" w:eastAsia="宋体" w:cs="Times New Roman"/>
                <w:b w:val="0"/>
                <w:bCs w:val="0"/>
                <w:color w:val="auto"/>
                <w:sz w:val="21"/>
                <w:szCs w:val="21"/>
                <w:lang w:eastAsia="zh-CN"/>
              </w:rPr>
              <w:t>（无预付款）</w:t>
            </w:r>
            <w:r>
              <w:rPr>
                <w:rFonts w:hint="eastAsia" w:ascii="Times New Roman" w:hAnsi="Times New Roman" w:eastAsia="宋体" w:cs="Times New Roman"/>
                <w:b w:val="0"/>
                <w:bCs w:val="0"/>
                <w:color w:val="auto"/>
                <w:sz w:val="21"/>
                <w:szCs w:val="21"/>
              </w:rPr>
              <w:t>。如</w:t>
            </w:r>
            <w:r>
              <w:rPr>
                <w:rFonts w:hint="eastAsia" w:ascii="Times New Roman" w:hAnsi="Times New Roman" w:eastAsia="宋体" w:cs="Times New Roman"/>
                <w:b w:val="0"/>
                <w:bCs w:val="0"/>
                <w:color w:val="auto"/>
                <w:sz w:val="21"/>
                <w:szCs w:val="21"/>
                <w:lang w:val="en-US" w:eastAsia="zh-CN"/>
              </w:rPr>
              <w:t>中标</w:t>
            </w:r>
            <w:r>
              <w:rPr>
                <w:rFonts w:hint="eastAsia" w:ascii="Times New Roman" w:hAnsi="Times New Roman" w:eastAsia="宋体" w:cs="Times New Roman"/>
                <w:b w:val="0"/>
                <w:bCs w:val="0"/>
                <w:color w:val="auto"/>
                <w:sz w:val="21"/>
                <w:szCs w:val="21"/>
              </w:rPr>
              <w:t>人未按国家要求开具发票，或未按合同履约的，视为违约，采购人有权扣减履约保证金，或要求解除合同，并追究</w:t>
            </w:r>
            <w:r>
              <w:rPr>
                <w:rFonts w:hint="eastAsia" w:ascii="Times New Roman" w:hAnsi="Times New Roman" w:eastAsia="宋体" w:cs="Times New Roman"/>
                <w:b w:val="0"/>
                <w:bCs w:val="0"/>
                <w:color w:val="auto"/>
                <w:sz w:val="21"/>
                <w:szCs w:val="21"/>
                <w:lang w:val="en-US" w:eastAsia="zh-CN"/>
              </w:rPr>
              <w:t>中标</w:t>
            </w:r>
            <w:r>
              <w:rPr>
                <w:rFonts w:hint="eastAsia" w:ascii="Times New Roman" w:hAnsi="Times New Roman" w:eastAsia="宋体" w:cs="Times New Roman"/>
                <w:b w:val="0"/>
                <w:bCs w:val="0"/>
                <w:color w:val="auto"/>
                <w:sz w:val="21"/>
                <w:szCs w:val="21"/>
              </w:rPr>
              <w:t>人法律责任。</w:t>
            </w:r>
          </w:p>
          <w:p w14:paraId="636E8370">
            <w:pPr>
              <w:keepNext w:val="0"/>
              <w:keepLines w:val="0"/>
              <w:pageBreakBefore w:val="0"/>
              <w:kinsoku/>
              <w:wordWrap/>
              <w:overflowPunct/>
              <w:topLinePunct w:val="0"/>
              <w:autoSpaceDE/>
              <w:autoSpaceDN/>
              <w:bidi w:val="0"/>
              <w:spacing w:line="400" w:lineRule="exact"/>
              <w:jc w:val="both"/>
              <w:rPr>
                <w:rFonts w:hint="eastAsia"/>
                <w:color w:val="auto"/>
                <w:sz w:val="21"/>
                <w:szCs w:val="21"/>
              </w:rPr>
            </w:pPr>
            <w:r>
              <w:rPr>
                <w:rFonts w:hint="eastAsia" w:ascii="Times New Roman" w:hAnsi="Times New Roman" w:eastAsia="宋体" w:cs="Times New Roman"/>
                <w:b w:val="0"/>
                <w:bCs w:val="0"/>
                <w:color w:val="auto"/>
                <w:sz w:val="21"/>
                <w:szCs w:val="21"/>
              </w:rPr>
              <w:t>2.本项目收取履约保证金，成交人须在合同签订前向采购人账户转付成交金额2%的履约保证金，否则不予签订合同。履约保证金在采购内容全部交付验收完成之后（或服务期满后）无息退付。</w:t>
            </w:r>
          </w:p>
        </w:tc>
        <w:tc>
          <w:tcPr>
            <w:tcW w:w="4220" w:type="dxa"/>
            <w:vAlign w:val="top"/>
          </w:tcPr>
          <w:p w14:paraId="6C4BA7FE">
            <w:pPr>
              <w:keepNext w:val="0"/>
              <w:keepLines w:val="0"/>
              <w:pageBreakBefore w:val="0"/>
              <w:kinsoku/>
              <w:wordWrap/>
              <w:overflowPunct/>
              <w:topLinePunct w:val="0"/>
              <w:autoSpaceDE/>
              <w:autoSpaceDN/>
              <w:bidi w:val="0"/>
              <w:snapToGrid/>
              <w:spacing w:line="400" w:lineRule="exact"/>
              <w:ind w:left="0"/>
              <w:rPr>
                <w:rFonts w:hint="eastAsia"/>
                <w:b w:val="0"/>
                <w:bCs w:val="0"/>
                <w:color w:val="auto"/>
                <w:sz w:val="21"/>
                <w:szCs w:val="21"/>
              </w:rPr>
            </w:pPr>
            <w:r>
              <w:rPr>
                <w:rFonts w:hint="eastAsia"/>
                <w:b w:val="0"/>
                <w:bCs w:val="0"/>
                <w:color w:val="auto"/>
                <w:sz w:val="21"/>
                <w:szCs w:val="21"/>
              </w:rPr>
              <w:t>付款条件</w:t>
            </w:r>
          </w:p>
          <w:p w14:paraId="1EFA5977">
            <w:pPr>
              <w:keepNext w:val="0"/>
              <w:keepLines w:val="0"/>
              <w:pageBreakBefore w:val="0"/>
              <w:kinsoku/>
              <w:wordWrap/>
              <w:overflowPunct/>
              <w:topLinePunct w:val="0"/>
              <w:autoSpaceDE/>
              <w:autoSpaceDN/>
              <w:bidi w:val="0"/>
              <w:spacing w:line="400" w:lineRule="exact"/>
              <w:jc w:val="both"/>
              <w:rPr>
                <w:rFonts w:hint="eastAsia"/>
                <w:b w:val="0"/>
                <w:bCs w:val="0"/>
                <w:color w:val="auto"/>
                <w:sz w:val="21"/>
                <w:szCs w:val="21"/>
              </w:rPr>
            </w:pPr>
            <w:r>
              <w:rPr>
                <w:rFonts w:hint="eastAsia"/>
                <w:b w:val="0"/>
                <w:bCs w:val="0"/>
                <w:color w:val="auto"/>
                <w:sz w:val="21"/>
                <w:szCs w:val="21"/>
              </w:rPr>
              <w:t>1.合同签订后 10 个工作日内，采购人向中标人支付合同总额的 50% 作为预付款。中标人完成合同列明全部货物供货并送达采购人指定地点，经采购人清点无误、初步验收合格后，采购人向中标人支付合同总额的 10% 作为进度款。所有货物安装调试完毕、达到正常使用标准，经采购人组织验收合格后 15 个工作日内，采购人向中标人支付剩余 40% 款项，付至合同总价款的 100%。</w:t>
            </w:r>
          </w:p>
          <w:p w14:paraId="46E2C231">
            <w:pPr>
              <w:keepNext w:val="0"/>
              <w:keepLines w:val="0"/>
              <w:pageBreakBefore w:val="0"/>
              <w:kinsoku/>
              <w:wordWrap/>
              <w:overflowPunct/>
              <w:topLinePunct w:val="0"/>
              <w:autoSpaceDE/>
              <w:autoSpaceDN/>
              <w:bidi w:val="0"/>
              <w:spacing w:line="400" w:lineRule="exact"/>
              <w:jc w:val="both"/>
              <w:rPr>
                <w:rFonts w:hint="eastAsia"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rPr>
              <w:t>每一期款项支付前，中标人应当开具符合国家财税规定及采购人财务管理要求、与当期付款金额相对应的发票。如中标人未按国家规定开具合规发票，或存在其他不按合同约定履约的违约行为，采购人有权依照合同约定扣减履约保证金，或要求解除合同，并追究中标人法律责任。</w:t>
            </w:r>
          </w:p>
          <w:p w14:paraId="46386A75">
            <w:pPr>
              <w:keepNext w:val="0"/>
              <w:keepLines w:val="0"/>
              <w:pageBreakBefore w:val="0"/>
              <w:kinsoku/>
              <w:wordWrap/>
              <w:overflowPunct/>
              <w:topLinePunct w:val="0"/>
              <w:autoSpaceDE/>
              <w:autoSpaceDN/>
              <w:bidi w:val="0"/>
              <w:spacing w:line="400" w:lineRule="exact"/>
              <w:jc w:val="both"/>
              <w:rPr>
                <w:rFonts w:hint="eastAsia"/>
                <w:b w:val="0"/>
                <w:bCs w:val="0"/>
                <w:color w:val="auto"/>
                <w:sz w:val="21"/>
                <w:szCs w:val="21"/>
              </w:rPr>
            </w:pPr>
            <w:r>
              <w:rPr>
                <w:rFonts w:hint="eastAsia" w:ascii="Times New Roman" w:hAnsi="Times New Roman" w:eastAsia="宋体" w:cs="Times New Roman"/>
                <w:b w:val="0"/>
                <w:bCs w:val="0"/>
                <w:color w:val="auto"/>
                <w:sz w:val="21"/>
                <w:szCs w:val="21"/>
                <w:lang w:val="en-US" w:eastAsia="zh-CN"/>
              </w:rPr>
              <w:t>3</w:t>
            </w:r>
            <w:r>
              <w:rPr>
                <w:rFonts w:hint="eastAsia" w:ascii="Times New Roman" w:hAnsi="Times New Roman" w:eastAsia="宋体" w:cs="Times New Roman"/>
                <w:b w:val="0"/>
                <w:bCs w:val="0"/>
                <w:color w:val="auto"/>
                <w:sz w:val="21"/>
                <w:szCs w:val="21"/>
              </w:rPr>
              <w:t>.本项目收取履约保证金，成交人须在合同签订前向采购人账户转付成交金额2%的履约保证金，否则不予签订合同。履约保证金在采购内容全部交付验收完成之后（或服务期满后）无息退付。</w:t>
            </w:r>
          </w:p>
        </w:tc>
      </w:tr>
      <w:tr w14:paraId="516B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1" w:hRule="atLeast"/>
        </w:trPr>
        <w:tc>
          <w:tcPr>
            <w:tcW w:w="567" w:type="dxa"/>
            <w:vAlign w:val="center"/>
          </w:tcPr>
          <w:p w14:paraId="5F6A9232">
            <w:pPr>
              <w:keepNext w:val="0"/>
              <w:keepLines w:val="0"/>
              <w:pageBreakBefore w:val="0"/>
              <w:kinsoku/>
              <w:wordWrap/>
              <w:overflowPunct/>
              <w:topLinePunct w:val="0"/>
              <w:autoSpaceDE/>
              <w:autoSpaceDN/>
              <w:bidi w:val="0"/>
              <w:spacing w:line="40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1483" w:type="dxa"/>
            <w:vAlign w:val="center"/>
          </w:tcPr>
          <w:p w14:paraId="4AFD90C0">
            <w:pPr>
              <w:keepNext w:val="0"/>
              <w:keepLines w:val="0"/>
              <w:pageBreakBefore w:val="0"/>
              <w:kinsoku/>
              <w:wordWrap/>
              <w:overflowPunct/>
              <w:topLinePunct w:val="0"/>
              <w:autoSpaceDE/>
              <w:autoSpaceDN/>
              <w:bidi w:val="0"/>
              <w:adjustRightInd w:val="0"/>
              <w:snapToGrid w:val="0"/>
              <w:spacing w:line="400" w:lineRule="exact"/>
              <w:jc w:val="center"/>
              <w:rPr>
                <w:rFonts w:hint="default" w:ascii="宋体" w:hAnsi="宋体" w:eastAsia="宋体" w:cs="宋体"/>
                <w:color w:val="auto"/>
                <w:sz w:val="21"/>
                <w:szCs w:val="21"/>
                <w:highlight w:val="none"/>
                <w:lang w:val="en-US" w:eastAsia="zh-CN"/>
              </w:rPr>
            </w:pPr>
            <w:r>
              <w:rPr>
                <w:rFonts w:hint="eastAsia" w:ascii="Times New Roman" w:hAnsi="Times New Roman" w:eastAsia="宋体" w:cs="Times New Roman"/>
                <w:b w:val="0"/>
                <w:bCs w:val="0"/>
                <w:color w:val="auto"/>
                <w:sz w:val="21"/>
                <w:szCs w:val="21"/>
              </w:rPr>
              <w:t>第</w:t>
            </w:r>
            <w:r>
              <w:rPr>
                <w:rFonts w:hint="eastAsia" w:ascii="Times New Roman" w:hAnsi="Times New Roman" w:eastAsia="宋体" w:cs="Times New Roman"/>
                <w:b w:val="0"/>
                <w:bCs w:val="0"/>
                <w:color w:val="auto"/>
                <w:sz w:val="21"/>
                <w:szCs w:val="21"/>
                <w:lang w:val="en-US" w:eastAsia="zh-CN"/>
              </w:rPr>
              <w:t>四</w:t>
            </w:r>
            <w:r>
              <w:rPr>
                <w:rFonts w:hint="eastAsia" w:ascii="Times New Roman" w:hAnsi="Times New Roman" w:eastAsia="宋体" w:cs="Times New Roman"/>
                <w:b w:val="0"/>
                <w:bCs w:val="0"/>
                <w:color w:val="auto"/>
                <w:sz w:val="21"/>
                <w:szCs w:val="21"/>
              </w:rPr>
              <w:t>章“评标方法及评分标准”</w:t>
            </w:r>
          </w:p>
        </w:tc>
        <w:tc>
          <w:tcPr>
            <w:tcW w:w="3562" w:type="dxa"/>
            <w:vAlign w:val="top"/>
          </w:tcPr>
          <w:p w14:paraId="541098DE">
            <w:pPr>
              <w:pStyle w:val="11"/>
              <w:keepNext w:val="0"/>
              <w:keepLines w:val="0"/>
              <w:pageBreakBefore w:val="0"/>
              <w:kinsoku/>
              <w:wordWrap/>
              <w:overflowPunct/>
              <w:topLinePunct w:val="0"/>
              <w:autoSpaceDE/>
              <w:autoSpaceDN/>
              <w:bidi w:val="0"/>
              <w:spacing w:line="400" w:lineRule="exact"/>
              <w:ind w:left="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2、设备性能及配置分</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27</w:t>
            </w:r>
            <w:r>
              <w:rPr>
                <w:rFonts w:hint="eastAsia" w:ascii="宋体" w:hAnsi="宋体" w:eastAsia="宋体" w:cs="宋体"/>
                <w:b w:val="0"/>
                <w:bCs/>
                <w:color w:val="auto"/>
                <w:sz w:val="21"/>
                <w:szCs w:val="21"/>
              </w:rPr>
              <w:t>分</w:t>
            </w:r>
          </w:p>
          <w:p w14:paraId="0460D3AC">
            <w:pPr>
              <w:keepNext w:val="0"/>
              <w:keepLines w:val="0"/>
              <w:pageBreakBefore w:val="0"/>
              <w:kinsoku/>
              <w:wordWrap/>
              <w:overflowPunct/>
              <w:topLinePunct w:val="0"/>
              <w:autoSpaceDE/>
              <w:autoSpaceDN/>
              <w:bidi w:val="0"/>
              <w:spacing w:line="400" w:lineRule="exact"/>
              <w:jc w:val="both"/>
              <w:rPr>
                <w:rFonts w:hint="eastAsia"/>
                <w:b w:val="0"/>
                <w:bCs/>
                <w:color w:val="auto"/>
                <w:sz w:val="21"/>
                <w:szCs w:val="21"/>
              </w:rPr>
            </w:pPr>
            <w:r>
              <w:rPr>
                <w:rFonts w:hint="eastAsia" w:ascii="宋体" w:hAnsi="宋体" w:eastAsia="宋体" w:cs="宋体"/>
                <w:b w:val="0"/>
                <w:bCs/>
                <w:color w:val="auto"/>
                <w:sz w:val="21"/>
                <w:szCs w:val="21"/>
              </w:rPr>
              <w:t>本标项重要参数总计有</w:t>
            </w:r>
            <w:r>
              <w:rPr>
                <w:rFonts w:hint="eastAsia" w:ascii="宋体" w:hAnsi="宋体" w:eastAsia="宋体" w:cs="宋体"/>
                <w:b w:val="0"/>
                <w:bCs/>
                <w:color w:val="auto"/>
                <w:sz w:val="21"/>
                <w:szCs w:val="21"/>
                <w:lang w:val="en-US" w:eastAsia="zh-CN"/>
              </w:rPr>
              <w:t>27</w:t>
            </w:r>
            <w:r>
              <w:rPr>
                <w:rFonts w:hint="eastAsia" w:ascii="宋体" w:hAnsi="宋体" w:eastAsia="宋体" w:cs="宋体"/>
                <w:b w:val="0"/>
                <w:bCs/>
                <w:color w:val="auto"/>
                <w:sz w:val="21"/>
                <w:szCs w:val="21"/>
              </w:rPr>
              <w:t>项</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highlight w:val="none"/>
              </w:rPr>
              <w:t>重要参数是指技术参数中标注“■”的技术参数</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，所提供产品性能或技术参数经评标委员会审核，每有一项完全满足或优于采购需求的</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得</w:t>
            </w: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sz w:val="21"/>
                <w:szCs w:val="21"/>
              </w:rPr>
              <w:t>分，满分</w:t>
            </w:r>
            <w:r>
              <w:rPr>
                <w:rFonts w:hint="eastAsia" w:ascii="宋体" w:hAnsi="宋体" w:eastAsia="宋体" w:cs="宋体"/>
                <w:b w:val="0"/>
                <w:bCs/>
                <w:color w:val="auto"/>
                <w:sz w:val="21"/>
                <w:szCs w:val="21"/>
                <w:lang w:val="en-US" w:eastAsia="zh-CN"/>
              </w:rPr>
              <w:t>27</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val="en-US" w:eastAsia="zh-CN"/>
              </w:rPr>
              <w:t>需</w:t>
            </w:r>
            <w:r>
              <w:rPr>
                <w:rFonts w:hint="eastAsia" w:ascii="宋体" w:hAnsi="宋体" w:eastAsia="宋体" w:cs="宋体"/>
                <w:b w:val="0"/>
                <w:bCs/>
                <w:color w:val="auto"/>
                <w:sz w:val="21"/>
                <w:szCs w:val="21"/>
              </w:rPr>
              <w:t>提供相关证明材料，否则不予认可。证明材料可以是由国家认可的第三方检测机构出具的检测报告或厂家官网截图或产品说明书或产品界面截图，</w:t>
            </w:r>
            <w:r>
              <w:rPr>
                <w:rFonts w:hint="eastAsia" w:ascii="宋体" w:hAnsi="宋体" w:eastAsia="宋体" w:cs="宋体"/>
                <w:b w:val="0"/>
                <w:bCs/>
                <w:color w:val="auto"/>
                <w:sz w:val="21"/>
                <w:szCs w:val="21"/>
                <w:lang w:val="en-US" w:eastAsia="zh-CN"/>
              </w:rPr>
              <w:t>未</w:t>
            </w:r>
            <w:r>
              <w:rPr>
                <w:rFonts w:hint="eastAsia" w:ascii="宋体" w:hAnsi="宋体" w:eastAsia="宋体" w:cs="宋体"/>
                <w:b w:val="0"/>
                <w:bCs/>
                <w:color w:val="auto"/>
                <w:sz w:val="21"/>
                <w:szCs w:val="21"/>
              </w:rPr>
              <w:t>完全满足或</w:t>
            </w:r>
            <w:r>
              <w:rPr>
                <w:rFonts w:hint="eastAsia" w:ascii="宋体" w:hAnsi="宋体" w:eastAsia="宋体" w:cs="宋体"/>
                <w:b w:val="0"/>
                <w:bCs/>
                <w:color w:val="auto"/>
                <w:sz w:val="21"/>
                <w:szCs w:val="21"/>
                <w:lang w:val="en-US" w:eastAsia="zh-CN"/>
              </w:rPr>
              <w:t>未</w:t>
            </w:r>
            <w:r>
              <w:rPr>
                <w:rFonts w:hint="eastAsia" w:ascii="宋体" w:hAnsi="宋体" w:eastAsia="宋体" w:cs="宋体"/>
                <w:b w:val="0"/>
                <w:bCs/>
                <w:color w:val="auto"/>
                <w:sz w:val="21"/>
                <w:szCs w:val="21"/>
              </w:rPr>
              <w:t>优于采购需求</w:t>
            </w:r>
            <w:r>
              <w:rPr>
                <w:rFonts w:hint="eastAsia" w:ascii="宋体" w:hAnsi="宋体" w:eastAsia="宋体" w:cs="宋体"/>
                <w:b w:val="0"/>
                <w:bCs/>
                <w:color w:val="auto"/>
                <w:sz w:val="21"/>
                <w:szCs w:val="21"/>
                <w:lang w:val="en-US" w:eastAsia="zh-CN"/>
              </w:rPr>
              <w:t>或未提供相关证明材料的不予计分</w:t>
            </w:r>
            <w:r>
              <w:rPr>
                <w:rFonts w:hint="eastAsia" w:ascii="宋体" w:hAnsi="宋体" w:eastAsia="宋体" w:cs="宋体"/>
                <w:b w:val="0"/>
                <w:bCs/>
                <w:color w:val="auto"/>
                <w:sz w:val="21"/>
                <w:szCs w:val="21"/>
              </w:rPr>
              <w:t>）。</w:t>
            </w:r>
          </w:p>
        </w:tc>
        <w:tc>
          <w:tcPr>
            <w:tcW w:w="4220" w:type="dxa"/>
            <w:vAlign w:val="top"/>
          </w:tcPr>
          <w:p w14:paraId="4BD9A26A">
            <w:pPr>
              <w:pStyle w:val="11"/>
              <w:keepNext w:val="0"/>
              <w:keepLines w:val="0"/>
              <w:pageBreakBefore w:val="0"/>
              <w:kinsoku/>
              <w:wordWrap/>
              <w:overflowPunct/>
              <w:topLinePunct w:val="0"/>
              <w:autoSpaceDE/>
              <w:autoSpaceDN/>
              <w:bidi w:val="0"/>
              <w:spacing w:line="400" w:lineRule="exact"/>
              <w:ind w:left="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2、设备性能及配置分</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lang w:val="en-US" w:eastAsia="zh-CN"/>
              </w:rPr>
              <w:t>27</w:t>
            </w:r>
            <w:r>
              <w:rPr>
                <w:rFonts w:hint="eastAsia" w:ascii="宋体" w:hAnsi="宋体" w:eastAsia="宋体" w:cs="宋体"/>
                <w:b w:val="0"/>
                <w:bCs/>
                <w:color w:val="auto"/>
                <w:sz w:val="21"/>
                <w:szCs w:val="21"/>
              </w:rPr>
              <w:t>分</w:t>
            </w:r>
          </w:p>
          <w:p w14:paraId="72E957BF">
            <w:pPr>
              <w:keepNext w:val="0"/>
              <w:keepLines w:val="0"/>
              <w:pageBreakBefore w:val="0"/>
              <w:kinsoku/>
              <w:wordWrap/>
              <w:overflowPunct/>
              <w:topLinePunct w:val="0"/>
              <w:autoSpaceDE/>
              <w:autoSpaceDN/>
              <w:bidi w:val="0"/>
              <w:spacing w:line="400" w:lineRule="exact"/>
              <w:jc w:val="both"/>
              <w:rPr>
                <w:rFonts w:hint="eastAsia"/>
                <w:b w:val="0"/>
                <w:bCs/>
                <w:color w:val="auto"/>
                <w:sz w:val="21"/>
                <w:szCs w:val="21"/>
                <w:lang w:eastAsia="zh-CN"/>
              </w:rPr>
            </w:pPr>
            <w:r>
              <w:rPr>
                <w:rFonts w:hint="eastAsia"/>
                <w:b w:val="0"/>
                <w:bCs/>
                <w:color w:val="auto"/>
                <w:sz w:val="21"/>
                <w:szCs w:val="21"/>
                <w:lang w:val="en-US" w:eastAsia="zh-CN"/>
              </w:rPr>
              <w:t>本标项重要参数总计有27项（重要参数是指技术参数中标注“■”的技术参数），所提供产品性能或技术参数经评标委员会审核，每有一项完全满足或优于采购需求的，得1分，满分27分（需提供相关证明材料，否则不予认可。证明材料可以是由国家认可的第三方检测机构出具的检测报告或厂家官网截图或产品说明书或产品界面截图，</w:t>
            </w:r>
            <w:r>
              <w:rPr>
                <w:rFonts w:hint="eastAsia"/>
                <w:b w:val="0"/>
                <w:bCs/>
                <w:color w:val="auto"/>
                <w:sz w:val="21"/>
                <w:szCs w:val="21"/>
                <w:lang w:eastAsia="zh-CN"/>
              </w:rPr>
              <w:t>采购需求中有要求按照采购需求中的要求，没有要求的按照该评标方法及评分标准中的要求提供证明材料。</w:t>
            </w:r>
            <w:r>
              <w:rPr>
                <w:rFonts w:hint="eastAsia"/>
                <w:b w:val="0"/>
                <w:bCs/>
                <w:color w:val="auto"/>
                <w:sz w:val="21"/>
                <w:szCs w:val="21"/>
                <w:lang w:val="en-US" w:eastAsia="zh-CN"/>
              </w:rPr>
              <w:t>未完全满足或未优于采购需求或未提供相关证明材料的不予计分）。</w:t>
            </w:r>
          </w:p>
        </w:tc>
      </w:tr>
    </w:tbl>
    <w:p w14:paraId="3C23BF0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rPr>
        <w:t>更正日期：</w:t>
      </w:r>
      <w:r>
        <w:rPr>
          <w:rFonts w:hint="eastAsia" w:ascii="宋体" w:hAnsi="宋体" w:eastAsia="宋体" w:cs="宋体"/>
          <w:color w:val="auto"/>
          <w:sz w:val="21"/>
          <w:szCs w:val="21"/>
          <w:u w:val="none"/>
          <w:lang w:val="en-US" w:eastAsia="zh-CN"/>
        </w:rPr>
        <w:t>202</w:t>
      </w:r>
      <w:r>
        <w:rPr>
          <w:rFonts w:hint="eastAsia" w:ascii="宋体" w:hAnsi="宋体" w:cs="宋体"/>
          <w:color w:val="auto"/>
          <w:sz w:val="21"/>
          <w:szCs w:val="21"/>
          <w:u w:val="none"/>
          <w:lang w:val="en-US" w:eastAsia="zh-CN"/>
        </w:rPr>
        <w:t>6</w:t>
      </w:r>
      <w:r>
        <w:rPr>
          <w:rFonts w:hint="eastAsia" w:ascii="宋体" w:hAnsi="宋体" w:eastAsia="宋体" w:cs="宋体"/>
          <w:color w:val="auto"/>
          <w:sz w:val="21"/>
          <w:szCs w:val="21"/>
          <w:u w:val="none"/>
          <w:lang w:val="en-US" w:eastAsia="zh-CN"/>
        </w:rPr>
        <w:t>年</w:t>
      </w:r>
      <w:r>
        <w:rPr>
          <w:rFonts w:hint="eastAsia" w:ascii="宋体" w:hAnsi="宋体" w:cs="宋体"/>
          <w:color w:val="auto"/>
          <w:sz w:val="21"/>
          <w:szCs w:val="21"/>
          <w:u w:val="none"/>
          <w:lang w:val="en-US" w:eastAsia="zh-CN"/>
        </w:rPr>
        <w:t>8</w:t>
      </w:r>
      <w:r>
        <w:rPr>
          <w:rFonts w:hint="eastAsia" w:ascii="宋体" w:hAnsi="宋体" w:eastAsia="宋体" w:cs="宋体"/>
          <w:color w:val="auto"/>
          <w:sz w:val="21"/>
          <w:szCs w:val="21"/>
          <w:u w:val="none"/>
          <w:lang w:val="en-US" w:eastAsia="zh-CN"/>
        </w:rPr>
        <w:t>月</w:t>
      </w:r>
      <w:r>
        <w:rPr>
          <w:rFonts w:hint="eastAsia" w:ascii="宋体" w:hAnsi="宋体" w:cs="宋体"/>
          <w:color w:val="auto"/>
          <w:sz w:val="21"/>
          <w:szCs w:val="21"/>
          <w:u w:val="none"/>
          <w:lang w:val="en-US" w:eastAsia="zh-CN"/>
        </w:rPr>
        <w:t>28</w:t>
      </w:r>
      <w:r>
        <w:rPr>
          <w:rFonts w:hint="eastAsia" w:ascii="宋体" w:hAnsi="宋体" w:eastAsia="宋体" w:cs="宋体"/>
          <w:color w:val="auto"/>
          <w:sz w:val="21"/>
          <w:szCs w:val="21"/>
          <w:u w:val="none"/>
          <w:lang w:val="en-US" w:eastAsia="zh-CN"/>
        </w:rPr>
        <w:t>日</w:t>
      </w:r>
    </w:p>
    <w:p w14:paraId="4DF95505">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sz w:val="21"/>
          <w:szCs w:val="21"/>
          <w:u w:val="none"/>
        </w:rPr>
      </w:pPr>
      <w:bookmarkStart w:id="9" w:name="_Toc35393647"/>
      <w:bookmarkStart w:id="10" w:name="_Toc35393816"/>
      <w:r>
        <w:rPr>
          <w:rFonts w:hint="eastAsia" w:ascii="宋体" w:hAnsi="宋体" w:eastAsia="宋体" w:cs="宋体"/>
          <w:b/>
          <w:color w:val="auto"/>
          <w:sz w:val="21"/>
          <w:szCs w:val="21"/>
          <w:u w:val="none"/>
        </w:rPr>
        <w:t>三、其他补充事宜</w:t>
      </w:r>
      <w:bookmarkEnd w:id="9"/>
      <w:bookmarkEnd w:id="10"/>
    </w:p>
    <w:p w14:paraId="166DC5E9">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sz w:val="21"/>
          <w:szCs w:val="21"/>
          <w:u w:val="none"/>
        </w:rPr>
      </w:pPr>
      <w:r>
        <w:rPr>
          <w:rFonts w:hint="eastAsia" w:ascii="宋体" w:hAnsi="宋体" w:cs="宋体"/>
          <w:color w:val="auto"/>
          <w:sz w:val="21"/>
          <w:szCs w:val="21"/>
          <w:u w:val="none"/>
          <w:lang w:val="en-US" w:eastAsia="zh-CN"/>
        </w:rPr>
        <w:t>1、</w:t>
      </w:r>
      <w:r>
        <w:rPr>
          <w:rFonts w:hint="eastAsia" w:ascii="宋体" w:hAnsi="宋体" w:eastAsia="宋体" w:cs="宋体"/>
          <w:color w:val="auto"/>
          <w:sz w:val="21"/>
          <w:szCs w:val="21"/>
          <w:u w:val="none"/>
        </w:rPr>
        <w:t>网上查询地址</w:t>
      </w:r>
    </w:p>
    <w:p w14:paraId="12C639DA">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sz w:val="21"/>
          <w:szCs w:val="21"/>
          <w:u w:val="none"/>
          <w:lang w:eastAsia="zh-CN"/>
        </w:rPr>
      </w:pPr>
      <w:bookmarkStart w:id="11" w:name="_Toc28359029"/>
      <w:bookmarkStart w:id="12" w:name="_Toc35393817"/>
      <w:bookmarkStart w:id="13" w:name="_Toc35393648"/>
      <w:bookmarkStart w:id="14" w:name="_Toc28359106"/>
      <w:r>
        <w:rPr>
          <w:rFonts w:hint="eastAsia" w:ascii="宋体" w:hAnsi="宋体" w:cs="宋体"/>
          <w:color w:val="auto"/>
          <w:sz w:val="21"/>
          <w:szCs w:val="21"/>
          <w:u w:val="none"/>
          <w:lang w:eastAsia="zh-CN"/>
        </w:rPr>
        <w:t>中国政府采购网（www.ccgp.gov.cn）、广西壮族自治区政府采购网（zfcg.gxzf.gov.cn）、广西壮族自治区公共资源交易中心网（gxggzy.gxzf.gov.cn）。</w:t>
      </w:r>
    </w:p>
    <w:p w14:paraId="6F3490B2">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sz w:val="21"/>
          <w:szCs w:val="21"/>
          <w:u w:val="none"/>
        </w:rPr>
      </w:pPr>
      <w:r>
        <w:rPr>
          <w:rFonts w:hint="eastAsia" w:ascii="宋体" w:hAnsi="宋体" w:eastAsia="宋体" w:cs="宋体"/>
          <w:b/>
          <w:color w:val="auto"/>
          <w:sz w:val="21"/>
          <w:szCs w:val="21"/>
          <w:u w:val="none"/>
        </w:rPr>
        <w:t>四、凡对本次公告内容提出询问，请按以下方式联系。</w:t>
      </w:r>
      <w:bookmarkEnd w:id="11"/>
      <w:bookmarkEnd w:id="12"/>
      <w:bookmarkEnd w:id="13"/>
      <w:bookmarkEnd w:id="14"/>
    </w:p>
    <w:p w14:paraId="0C56FFA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1.采购人信息</w:t>
      </w:r>
    </w:p>
    <w:p w14:paraId="6F0EEC87">
      <w:pPr>
        <w:keepNext w:val="0"/>
        <w:keepLines w:val="0"/>
        <w:pageBreakBefore w:val="0"/>
        <w:shd w:val="clear" w:color="auto" w:fill="auto"/>
        <w:kinsoku/>
        <w:wordWrap/>
        <w:overflowPunct/>
        <w:topLinePunct w:val="0"/>
        <w:autoSpaceDE/>
        <w:autoSpaceDN/>
        <w:bidi w:val="0"/>
        <w:spacing w:line="400" w:lineRule="exact"/>
        <w:ind w:firstLine="420" w:firstLineChars="200"/>
        <w:rPr>
          <w:rFonts w:hint="eastAsia" w:ascii="宋体" w:hAnsi="宋体"/>
          <w:color w:val="auto"/>
          <w:highlight w:val="none"/>
        </w:rPr>
      </w:pPr>
      <w:bookmarkStart w:id="15" w:name="_Toc28359009"/>
      <w:bookmarkStart w:id="16" w:name="_Toc28359086"/>
      <w:r>
        <w:rPr>
          <w:rFonts w:hint="eastAsia" w:ascii="宋体" w:hAnsi="宋体"/>
          <w:color w:val="auto"/>
          <w:highlight w:val="none"/>
        </w:rPr>
        <w:t>名    称：</w:t>
      </w:r>
      <w:bookmarkStart w:id="17" w:name="_Toc54276879"/>
      <w:bookmarkStart w:id="18" w:name="_Toc11120"/>
      <w:r>
        <w:rPr>
          <w:rFonts w:hint="eastAsia"/>
          <w:color w:val="auto"/>
          <w:highlight w:val="none"/>
        </w:rPr>
        <w:t>广西农业职业技术</w:t>
      </w:r>
      <w:bookmarkEnd w:id="17"/>
      <w:bookmarkEnd w:id="18"/>
      <w:r>
        <w:rPr>
          <w:rFonts w:hint="eastAsia"/>
          <w:color w:val="auto"/>
          <w:highlight w:val="none"/>
        </w:rPr>
        <w:t>大学</w:t>
      </w:r>
    </w:p>
    <w:p w14:paraId="71A1B8BE">
      <w:pPr>
        <w:keepNext w:val="0"/>
        <w:keepLines w:val="0"/>
        <w:pageBreakBefore w:val="0"/>
        <w:shd w:val="clear" w:color="auto" w:fill="auto"/>
        <w:kinsoku/>
        <w:wordWrap/>
        <w:overflowPunct/>
        <w:topLinePunct w:val="0"/>
        <w:autoSpaceDE/>
        <w:autoSpaceDN/>
        <w:bidi w:val="0"/>
        <w:spacing w:line="400" w:lineRule="exact"/>
        <w:ind w:firstLine="420" w:firstLineChars="200"/>
        <w:rPr>
          <w:rFonts w:hint="eastAsia" w:ascii="宋体" w:hAnsi="宋体"/>
          <w:color w:val="auto"/>
          <w:highlight w:val="none"/>
        </w:rPr>
      </w:pPr>
      <w:r>
        <w:rPr>
          <w:rFonts w:hint="eastAsia" w:ascii="宋体" w:hAnsi="宋体"/>
          <w:color w:val="auto"/>
          <w:highlight w:val="none"/>
        </w:rPr>
        <w:t>地    址：南宁市西乡塘区大学东路176号</w:t>
      </w:r>
    </w:p>
    <w:p w14:paraId="67B5E981">
      <w:pPr>
        <w:keepNext w:val="0"/>
        <w:keepLines w:val="0"/>
        <w:pageBreakBefore w:val="0"/>
        <w:shd w:val="clear" w:color="auto" w:fill="auto"/>
        <w:kinsoku/>
        <w:wordWrap/>
        <w:overflowPunct/>
        <w:topLinePunct w:val="0"/>
        <w:autoSpaceDE/>
        <w:autoSpaceDN/>
        <w:bidi w:val="0"/>
        <w:spacing w:line="400" w:lineRule="exact"/>
        <w:ind w:firstLine="420" w:firstLineChars="200"/>
        <w:rPr>
          <w:rFonts w:hint="eastAsia" w:ascii="宋体" w:hAnsi="宋体" w:eastAsia="宋体" w:cs="宋体"/>
          <w:color w:val="auto"/>
          <w:kern w:val="0"/>
          <w:szCs w:val="21"/>
          <w:highlight w:val="none"/>
          <w:lang w:val="en-US" w:eastAsia="zh-CN"/>
        </w:rPr>
      </w:pPr>
      <w:r>
        <w:rPr>
          <w:rFonts w:ascii="宋体" w:hAnsi="宋体" w:cs="宋体"/>
          <w:color w:val="auto"/>
          <w:kern w:val="0"/>
          <w:szCs w:val="21"/>
          <w:highlight w:val="none"/>
        </w:rPr>
        <w:t>项目联系人：</w:t>
      </w:r>
      <w:r>
        <w:rPr>
          <w:rFonts w:hint="eastAsia" w:ascii="宋体" w:hAnsi="宋体" w:cs="宋体"/>
          <w:color w:val="auto"/>
          <w:kern w:val="0"/>
          <w:szCs w:val="21"/>
          <w:highlight w:val="none"/>
          <w:lang w:val="en-US" w:eastAsia="zh-CN"/>
        </w:rPr>
        <w:t>陈宇</w:t>
      </w:r>
    </w:p>
    <w:p w14:paraId="4193CEC1">
      <w:pPr>
        <w:keepNext w:val="0"/>
        <w:keepLines w:val="0"/>
        <w:pageBreakBefore w:val="0"/>
        <w:shd w:val="clear" w:color="auto" w:fill="auto"/>
        <w:kinsoku/>
        <w:wordWrap/>
        <w:overflowPunct/>
        <w:topLinePunct w:val="0"/>
        <w:autoSpaceDE/>
        <w:autoSpaceDN/>
        <w:bidi w:val="0"/>
        <w:spacing w:line="400" w:lineRule="exact"/>
        <w:ind w:firstLine="420" w:firstLineChars="200"/>
        <w:rPr>
          <w:rFonts w:hint="default" w:ascii="宋体" w:hAnsi="宋体" w:eastAsia="宋体" w:cs="宋体"/>
          <w:color w:val="auto"/>
          <w:kern w:val="0"/>
          <w:szCs w:val="21"/>
          <w:highlight w:val="none"/>
          <w:lang w:val="en-US" w:eastAsia="zh-CN"/>
        </w:rPr>
      </w:pPr>
      <w:r>
        <w:rPr>
          <w:rFonts w:ascii="宋体" w:hAnsi="宋体" w:cs="宋体"/>
          <w:color w:val="auto"/>
          <w:kern w:val="0"/>
          <w:szCs w:val="21"/>
          <w:highlight w:val="none"/>
        </w:rPr>
        <w:t>项目联系方式：</w:t>
      </w:r>
      <w:r>
        <w:rPr>
          <w:rFonts w:hint="eastAsia" w:ascii="宋体" w:hAnsi="宋体" w:cs="宋体"/>
          <w:color w:val="auto"/>
          <w:kern w:val="0"/>
          <w:szCs w:val="21"/>
          <w:highlight w:val="none"/>
        </w:rPr>
        <w:t>0771-</w:t>
      </w:r>
      <w:r>
        <w:rPr>
          <w:rFonts w:hint="eastAsia" w:ascii="宋体" w:hAnsi="宋体" w:cs="宋体"/>
          <w:color w:val="auto"/>
          <w:kern w:val="0"/>
          <w:szCs w:val="21"/>
          <w:highlight w:val="none"/>
          <w:lang w:val="en-US" w:eastAsia="zh-CN"/>
        </w:rPr>
        <w:t>4714671</w:t>
      </w:r>
    </w:p>
    <w:p w14:paraId="67493932">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    </w:t>
      </w:r>
    </w:p>
    <w:p w14:paraId="6773447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val="en-US" w:eastAsia="zh-CN"/>
        </w:rPr>
        <w:t>2</w:t>
      </w:r>
      <w:r>
        <w:rPr>
          <w:rFonts w:hint="eastAsia" w:ascii="宋体" w:hAnsi="宋体" w:eastAsia="宋体" w:cs="宋体"/>
          <w:color w:val="auto"/>
          <w:sz w:val="21"/>
          <w:szCs w:val="21"/>
          <w:u w:val="none"/>
        </w:rPr>
        <w:t>.采购代理机构信息</w:t>
      </w:r>
      <w:bookmarkEnd w:id="15"/>
      <w:bookmarkEnd w:id="16"/>
    </w:p>
    <w:p w14:paraId="5D599DC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名称：广西国力招标有限公司</w:t>
      </w:r>
    </w:p>
    <w:p w14:paraId="3400D6A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地址：广西南宁市白沙大道53号松宇时代13楼</w:t>
      </w:r>
    </w:p>
    <w:p w14:paraId="17008A7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联系方式：</w:t>
      </w:r>
      <w:bookmarkStart w:id="19" w:name="_Toc28359010"/>
      <w:bookmarkStart w:id="20" w:name="_Toc28359087"/>
      <w:r>
        <w:rPr>
          <w:rFonts w:hint="eastAsia" w:ascii="宋体" w:hAnsi="宋体" w:eastAsia="宋体" w:cs="宋体"/>
          <w:color w:val="auto"/>
          <w:sz w:val="21"/>
          <w:szCs w:val="21"/>
          <w:u w:val="none"/>
        </w:rPr>
        <w:t>0771-4915558</w:t>
      </w:r>
    </w:p>
    <w:p w14:paraId="7D7A001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cs="宋体"/>
          <w:color w:val="auto"/>
          <w:sz w:val="21"/>
          <w:szCs w:val="21"/>
          <w:u w:val="none"/>
          <w:lang w:val="en-US" w:eastAsia="zh-CN"/>
        </w:rPr>
        <w:t>3</w:t>
      </w:r>
      <w:r>
        <w:rPr>
          <w:rFonts w:hint="eastAsia" w:ascii="宋体" w:hAnsi="宋体" w:eastAsia="宋体" w:cs="宋体"/>
          <w:color w:val="auto"/>
          <w:sz w:val="21"/>
          <w:szCs w:val="21"/>
          <w:u w:val="none"/>
        </w:rPr>
        <w:t>.项目联系方式</w:t>
      </w:r>
      <w:bookmarkEnd w:id="19"/>
      <w:bookmarkEnd w:id="20"/>
    </w:p>
    <w:p w14:paraId="4C02E659">
      <w:pPr>
        <w:keepNext w:val="0"/>
        <w:keepLines w:val="0"/>
        <w:pageBreakBefore w:val="0"/>
        <w:shd w:val="clear" w:color="auto" w:fill="auto"/>
        <w:kinsoku/>
        <w:wordWrap/>
        <w:overflowPunct/>
        <w:topLinePunct w:val="0"/>
        <w:autoSpaceDE/>
        <w:autoSpaceDN/>
        <w:bidi w:val="0"/>
        <w:spacing w:line="400" w:lineRule="exact"/>
        <w:ind w:firstLine="420" w:firstLineChars="200"/>
        <w:rPr>
          <w:rFonts w:hint="eastAsia" w:ascii="宋体" w:hAnsi="宋体"/>
          <w:color w:val="auto"/>
          <w:highlight w:val="none"/>
        </w:rPr>
      </w:pPr>
      <w:r>
        <w:rPr>
          <w:rFonts w:hint="eastAsia" w:ascii="宋体" w:hAnsi="宋体" w:eastAsia="宋体" w:cs="宋体"/>
          <w:color w:val="auto"/>
          <w:sz w:val="21"/>
          <w:szCs w:val="21"/>
          <w:u w:val="none"/>
        </w:rPr>
        <w:t>项目联系人：</w:t>
      </w:r>
      <w:r>
        <w:rPr>
          <w:rFonts w:hint="eastAsia" w:ascii="宋体" w:hAnsi="宋体"/>
          <w:color w:val="auto"/>
          <w:highlight w:val="none"/>
        </w:rPr>
        <w:t>覃阳、李宁芳、覃荟茯</w:t>
      </w:r>
    </w:p>
    <w:p w14:paraId="18208DF9">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eastAsia="zh-CN"/>
        </w:rPr>
        <w:drawing>
          <wp:anchor distT="0" distB="0" distL="114300" distR="114300" simplePos="0" relativeHeight="251659264" behindDoc="1" locked="0" layoutInCell="1" allowOverlap="1">
            <wp:simplePos x="0" y="0"/>
            <wp:positionH relativeFrom="column">
              <wp:posOffset>3274695</wp:posOffset>
            </wp:positionH>
            <wp:positionV relativeFrom="paragraph">
              <wp:posOffset>163195</wp:posOffset>
            </wp:positionV>
            <wp:extent cx="2362200" cy="2028825"/>
            <wp:effectExtent l="0" t="0" r="0" b="9525"/>
            <wp:wrapNone/>
            <wp:docPr id="1" name="图片 1" descr="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章"/>
                    <pic:cNvPicPr>
                      <a:picLocks noChangeAspect="1"/>
                    </pic:cNvPicPr>
                  </pic:nvPicPr>
                  <pic:blipFill>
                    <a:blip r:embed="rId4"/>
                    <a:stretch>
                      <a:fillRect/>
                    </a:stretch>
                  </pic:blipFill>
                  <pic:spPr>
                    <a:xfrm>
                      <a:off x="0" y="0"/>
                      <a:ext cx="2362200" cy="2028825"/>
                    </a:xfrm>
                    <a:prstGeom prst="rect">
                      <a:avLst/>
                    </a:prstGeom>
                  </pic:spPr>
                </pic:pic>
              </a:graphicData>
            </a:graphic>
          </wp:anchor>
        </w:drawing>
      </w:r>
      <w:r>
        <w:rPr>
          <w:rFonts w:hint="eastAsia" w:ascii="宋体" w:hAnsi="宋体" w:eastAsia="宋体" w:cs="宋体"/>
          <w:color w:val="auto"/>
          <w:sz w:val="21"/>
          <w:szCs w:val="21"/>
          <w:u w:val="none"/>
        </w:rPr>
        <w:t>　电话：0771-4915558</w:t>
      </w:r>
    </w:p>
    <w:p w14:paraId="1043A75E">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sz w:val="21"/>
          <w:szCs w:val="21"/>
          <w:u w:val="none"/>
          <w:lang w:eastAsia="zh-CN"/>
        </w:rPr>
      </w:pPr>
    </w:p>
    <w:p w14:paraId="7AC96A4E">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sz w:val="21"/>
          <w:szCs w:val="21"/>
          <w:u w:val="none"/>
        </w:rPr>
      </w:pPr>
    </w:p>
    <w:p w14:paraId="7A24562B">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sz w:val="21"/>
          <w:szCs w:val="21"/>
          <w:u w:val="none"/>
        </w:rPr>
      </w:pPr>
    </w:p>
    <w:p w14:paraId="1859946D">
      <w:pPr>
        <w:keepNext w:val="0"/>
        <w:keepLines w:val="0"/>
        <w:pageBreakBefore w:val="0"/>
        <w:kinsoku/>
        <w:wordWrap/>
        <w:overflowPunct/>
        <w:topLinePunct w:val="0"/>
        <w:autoSpaceDE/>
        <w:autoSpaceDN/>
        <w:bidi w:val="0"/>
        <w:spacing w:line="400" w:lineRule="exact"/>
        <w:jc w:val="right"/>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广西国力招标有限公司</w:t>
      </w:r>
    </w:p>
    <w:p w14:paraId="4F2E1FAB">
      <w:pPr>
        <w:keepNext w:val="0"/>
        <w:keepLines w:val="0"/>
        <w:pageBreakBefore w:val="0"/>
        <w:kinsoku/>
        <w:wordWrap/>
        <w:overflowPunct/>
        <w:topLinePunct w:val="0"/>
        <w:autoSpaceDE/>
        <w:autoSpaceDN/>
        <w:bidi w:val="0"/>
        <w:spacing w:line="400" w:lineRule="exact"/>
        <w:ind w:right="210" w:firstLine="420" w:firstLineChars="200"/>
        <w:jc w:val="right"/>
        <w:rPr>
          <w:rFonts w:ascii="宋体" w:hAnsi="宋体"/>
          <w:color w:val="auto"/>
          <w:u w:val="single"/>
        </w:rPr>
      </w:pPr>
      <w:r>
        <w:rPr>
          <w:rFonts w:hint="eastAsia" w:ascii="宋体" w:hAnsi="宋体" w:cs="Arial"/>
          <w:color w:val="auto"/>
          <w:lang w:eastAsia="zh-CN"/>
        </w:rPr>
        <w:t>2026</w:t>
      </w:r>
      <w:r>
        <w:rPr>
          <w:rFonts w:hint="eastAsia" w:ascii="宋体" w:hAnsi="宋体" w:cs="Arial"/>
          <w:color w:val="auto"/>
        </w:rPr>
        <w:t>年</w:t>
      </w:r>
      <w:r>
        <w:rPr>
          <w:rFonts w:hint="eastAsia" w:ascii="宋体" w:hAnsi="宋体" w:cs="Arial"/>
          <w:color w:val="auto"/>
          <w:lang w:val="en-US" w:eastAsia="zh-CN"/>
        </w:rPr>
        <w:t>8</w:t>
      </w:r>
      <w:r>
        <w:rPr>
          <w:rFonts w:hint="eastAsia" w:ascii="宋体" w:hAnsi="宋体" w:cs="Arial"/>
          <w:color w:val="auto"/>
        </w:rPr>
        <w:t>月</w:t>
      </w:r>
      <w:r>
        <w:rPr>
          <w:rFonts w:hint="eastAsia" w:ascii="宋体" w:hAnsi="宋体" w:cs="Arial"/>
          <w:color w:val="auto"/>
          <w:lang w:val="en-US" w:eastAsia="zh-CN"/>
        </w:rPr>
        <w:t>28</w:t>
      </w:r>
      <w:r>
        <w:rPr>
          <w:rFonts w:hint="eastAsia" w:ascii="宋体" w:hAnsi="宋体" w:cs="Arial"/>
          <w:color w:val="auto"/>
        </w:rPr>
        <w:t>日</w:t>
      </w:r>
    </w:p>
    <w:p w14:paraId="6C7C67CF">
      <w:pPr>
        <w:wordWrap w:val="0"/>
        <w:jc w:val="right"/>
        <w:rPr>
          <w:rFonts w:hint="eastAsia" w:ascii="宋体" w:hAnsi="宋体" w:eastAsia="宋体" w:cs="宋体"/>
          <w:color w:val="auto"/>
          <w:sz w:val="21"/>
          <w:szCs w:val="21"/>
        </w:rPr>
      </w:pPr>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xODQzZjQ5YTU3MTM4YTNkYTA0NmFlMzViMDUzZWMifQ=="/>
    <w:docVar w:name="KSO_WPS_MARK_KEY" w:val="02020c88-8cd4-4f61-9436-e960d51e9db4"/>
  </w:docVars>
  <w:rsids>
    <w:rsidRoot w:val="005208BA"/>
    <w:rsid w:val="000D4A56"/>
    <w:rsid w:val="00153F43"/>
    <w:rsid w:val="001C1FFC"/>
    <w:rsid w:val="002C4456"/>
    <w:rsid w:val="002C7C5F"/>
    <w:rsid w:val="003A7CD3"/>
    <w:rsid w:val="005208BA"/>
    <w:rsid w:val="005A438A"/>
    <w:rsid w:val="00703DF3"/>
    <w:rsid w:val="00764A84"/>
    <w:rsid w:val="00812B7B"/>
    <w:rsid w:val="009C5EC6"/>
    <w:rsid w:val="00A943D2"/>
    <w:rsid w:val="00B56810"/>
    <w:rsid w:val="00BC6D98"/>
    <w:rsid w:val="00D54948"/>
    <w:rsid w:val="00E23D21"/>
    <w:rsid w:val="00EB6608"/>
    <w:rsid w:val="00FF1887"/>
    <w:rsid w:val="045A3333"/>
    <w:rsid w:val="08052E07"/>
    <w:rsid w:val="082962EA"/>
    <w:rsid w:val="15A935CF"/>
    <w:rsid w:val="1C1642E7"/>
    <w:rsid w:val="225B401D"/>
    <w:rsid w:val="29AA4EE3"/>
    <w:rsid w:val="2DAB3815"/>
    <w:rsid w:val="2DE23924"/>
    <w:rsid w:val="31E77EE9"/>
    <w:rsid w:val="325A04F8"/>
    <w:rsid w:val="350A2624"/>
    <w:rsid w:val="3A3C733D"/>
    <w:rsid w:val="3A6A5E11"/>
    <w:rsid w:val="410A1661"/>
    <w:rsid w:val="46FE43DE"/>
    <w:rsid w:val="47C127A7"/>
    <w:rsid w:val="4B555BCF"/>
    <w:rsid w:val="4C8229F4"/>
    <w:rsid w:val="50B12AA0"/>
    <w:rsid w:val="51A46B8E"/>
    <w:rsid w:val="541D74A6"/>
    <w:rsid w:val="59EC5950"/>
    <w:rsid w:val="5BFD1CED"/>
    <w:rsid w:val="62703CF7"/>
    <w:rsid w:val="696E6523"/>
    <w:rsid w:val="6C297548"/>
    <w:rsid w:val="6E53547C"/>
    <w:rsid w:val="700207DF"/>
    <w:rsid w:val="7D93316A"/>
    <w:rsid w:val="7E5A185C"/>
    <w:rsid w:val="7FB53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next w:val="1"/>
    <w:qFormat/>
    <w:uiPriority w:val="0"/>
    <w:pPr>
      <w:widowControl w:val="0"/>
      <w:spacing w:before="100" w:beforeLines="0" w:beforeAutospacing="1" w:after="100" w:afterLines="0" w:afterAutospacing="1"/>
      <w:jc w:val="left"/>
      <w:outlineLvl w:val="2"/>
    </w:pPr>
    <w:rPr>
      <w:rFonts w:ascii="宋体" w:hAnsi="宋体" w:eastAsia="宋体" w:cs="Times New Roman"/>
      <w:b/>
      <w:kern w:val="0"/>
      <w:sz w:val="27"/>
      <w:szCs w:val="27"/>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Plain Text"/>
    <w:basedOn w:val="1"/>
    <w:next w:val="5"/>
    <w:link w:val="20"/>
    <w:qFormat/>
    <w:uiPriority w:val="0"/>
    <w:rPr>
      <w:rFonts w:ascii="宋体" w:hAnsi="Courier New" w:eastAsiaTheme="minorEastAsia" w:cstheme="minorBidi"/>
      <w:szCs w:val="22"/>
    </w:rPr>
  </w:style>
  <w:style w:type="paragraph" w:styleId="7">
    <w:name w:val="footer"/>
    <w:basedOn w:val="1"/>
    <w:link w:val="17"/>
    <w:semiHidden/>
    <w:unhideWhenUsed/>
    <w:qFormat/>
    <w:uiPriority w:val="99"/>
    <w:pPr>
      <w:tabs>
        <w:tab w:val="center" w:pos="4153"/>
        <w:tab w:val="right" w:pos="8306"/>
      </w:tabs>
      <w:snapToGrid w:val="0"/>
      <w:jc w:val="left"/>
    </w:pPr>
    <w:rPr>
      <w:sz w:val="18"/>
      <w:szCs w:val="18"/>
    </w:rPr>
  </w:style>
  <w:style w:type="paragraph" w:styleId="8">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0"/>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10">
    <w:name w:val="index 1"/>
    <w:basedOn w:val="1"/>
    <w:next w:val="1"/>
    <w:qFormat/>
    <w:uiPriority w:val="0"/>
    <w:pPr>
      <w:spacing w:line="400" w:lineRule="exact"/>
      <w:ind w:firstLine="200" w:firstLineChars="200"/>
    </w:pPr>
    <w:rPr>
      <w:rFonts w:ascii="宋体"/>
      <w:b/>
      <w:szCs w:val="20"/>
    </w:rPr>
  </w:style>
  <w:style w:type="paragraph" w:styleId="1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12">
    <w:name w:val="Normal (Web)"/>
    <w:basedOn w:val="1"/>
    <w:qFormat/>
    <w:uiPriority w:val="0"/>
    <w:pPr>
      <w:widowControl/>
      <w:spacing w:before="100" w:beforeAutospacing="1" w:after="100" w:afterAutospacing="1"/>
      <w:jc w:val="left"/>
    </w:pPr>
    <w:rPr>
      <w:rFonts w:ascii="宋体"/>
      <w:kern w:val="0"/>
      <w:sz w:val="24"/>
    </w:rPr>
  </w:style>
  <w:style w:type="paragraph" w:styleId="13">
    <w:name w:val="Title"/>
    <w:basedOn w:val="1"/>
    <w:qFormat/>
    <w:uiPriority w:val="0"/>
    <w:pPr>
      <w:spacing w:before="240" w:after="60"/>
      <w:jc w:val="center"/>
      <w:outlineLvl w:val="0"/>
    </w:pPr>
    <w:rPr>
      <w:rFonts w:ascii="Arial" w:hAnsi="Arial"/>
      <w:b/>
      <w:bCs/>
      <w:sz w:val="32"/>
      <w:szCs w:val="32"/>
    </w:rPr>
  </w:style>
  <w:style w:type="character" w:customStyle="1" w:styleId="16">
    <w:name w:val="页眉 Char"/>
    <w:basedOn w:val="15"/>
    <w:link w:val="8"/>
    <w:semiHidden/>
    <w:qFormat/>
    <w:uiPriority w:val="99"/>
    <w:rPr>
      <w:sz w:val="18"/>
      <w:szCs w:val="18"/>
    </w:rPr>
  </w:style>
  <w:style w:type="character" w:customStyle="1" w:styleId="17">
    <w:name w:val="页脚 Char"/>
    <w:basedOn w:val="15"/>
    <w:link w:val="7"/>
    <w:semiHidden/>
    <w:qFormat/>
    <w:uiPriority w:val="99"/>
    <w:rPr>
      <w:sz w:val="18"/>
      <w:szCs w:val="18"/>
    </w:rPr>
  </w:style>
  <w:style w:type="character" w:customStyle="1" w:styleId="18">
    <w:name w:val="标题 1 Char"/>
    <w:basedOn w:val="15"/>
    <w:link w:val="2"/>
    <w:qFormat/>
    <w:uiPriority w:val="9"/>
    <w:rPr>
      <w:rFonts w:ascii="Times New Roman" w:hAnsi="Times New Roman" w:eastAsia="宋体" w:cs="Times New Roman"/>
      <w:b/>
      <w:bCs/>
      <w:kern w:val="44"/>
      <w:sz w:val="44"/>
      <w:szCs w:val="44"/>
    </w:rPr>
  </w:style>
  <w:style w:type="character" w:customStyle="1" w:styleId="19">
    <w:name w:val="标题 2 Char"/>
    <w:basedOn w:val="15"/>
    <w:link w:val="3"/>
    <w:qFormat/>
    <w:uiPriority w:val="0"/>
    <w:rPr>
      <w:rFonts w:ascii="Arial" w:hAnsi="Arial" w:eastAsia="黑体" w:cs="Arial"/>
      <w:b/>
      <w:bCs/>
      <w:sz w:val="32"/>
      <w:szCs w:val="32"/>
    </w:rPr>
  </w:style>
  <w:style w:type="character" w:customStyle="1" w:styleId="20">
    <w:name w:val="纯文本 Char"/>
    <w:basedOn w:val="15"/>
    <w:link w:val="6"/>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1822</Words>
  <Characters>1998</Characters>
  <Lines>9</Lines>
  <Paragraphs>2</Paragraphs>
  <TotalTime>9</TotalTime>
  <ScaleCrop>false</ScaleCrop>
  <LinksUpToDate>false</LinksUpToDate>
  <CharactersWithSpaces>2034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2020-06-29T10:00:00Z</dcterms:created>
  <dc:creator>Windows 用户</dc:creator>
  <cp:lastModifiedBy>代理</cp:lastModifiedBy>
  <dcterms:modified xsi:type="dcterms:W3CDTF">2026-08-28T11:36:35Z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1D4849BB8A204E9C9C8AD7F2AC5DBFF7_13</vt:lpwstr>
  </property>
  <property fmtid="{D5CDD505-2E9C-101B-9397-08002B2CF9AE}" pid="4" name="KSOTemplateDocerSaveRecord">
    <vt:lpwstr>eyJoZGlkIjoiZWVmMGRlZmJkMmYyNWZiZjc4ZmU1MWI4YzAxZDlhNjgiLCJ1c2VySWQiOiIzNjQ5MTc2OTQifQ==</vt:lpwstr>
  </property>
</Properties>
</file>