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E4866">
      <w:pPr>
        <w:ind w:firstLine="422"/>
        <w:rPr>
          <w:rFonts w:hint="eastAsia" w:cs="仿宋" w:asciiTheme="minorEastAsia" w:hAnsiTheme="minorEastAsia" w:eastAsiaTheme="minorEastAsia"/>
          <w:b/>
          <w:color w:val="auto"/>
        </w:rPr>
      </w:pPr>
      <w:r>
        <w:rPr>
          <w:rFonts w:hint="eastAsia" w:cs="仿宋" w:asciiTheme="minorEastAsia" w:hAnsiTheme="minorEastAsia" w:eastAsiaTheme="minorEastAsia"/>
          <w:b/>
          <w:color w:val="auto"/>
        </w:rPr>
        <w:t>其他补充事宜</w:t>
      </w:r>
    </w:p>
    <w:p w14:paraId="134866D7">
      <w:pPr>
        <w:ind w:firstLine="422"/>
        <w:rPr>
          <w:rFonts w:hint="eastAsia" w:cs="仿宋" w:asciiTheme="minorEastAsia" w:hAnsiTheme="minorEastAsia" w:eastAsiaTheme="minorEastAsia"/>
          <w:b/>
          <w:color w:val="auto"/>
        </w:rPr>
      </w:pPr>
    </w:p>
    <w:p w14:paraId="3454C865">
      <w:pP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 xml:space="preserve">    1.网上公告媒体查询</w:t>
      </w:r>
    </w:p>
    <w:p w14:paraId="14B1CEE4">
      <w:pPr>
        <w:ind w:firstLine="420" w:firstLineChars="2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中国政府采购网（www.ccgp.gov.cn）、广西壮族自治区政府采购网（zfcg.gxzf.gov.cn）、全国公共资源交易平台（广西·南宁）（http://ggzy.jgswj.gxzf.gov.cn/nnggzy）。</w:t>
      </w:r>
    </w:p>
    <w:p w14:paraId="54FF38C5">
      <w:pPr>
        <w:ind w:firstLine="420" w:firstLineChars="200"/>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2.未通过资格审查的投</w:t>
      </w:r>
      <w:bookmarkStart w:id="0" w:name="_GoBack"/>
      <w:bookmarkEnd w:id="0"/>
      <w:r>
        <w:rPr>
          <w:rFonts w:hint="eastAsia" w:cs="宋体" w:asciiTheme="minorEastAsia" w:hAnsiTheme="minorEastAsia" w:eastAsiaTheme="minorEastAsia"/>
          <w:color w:val="auto"/>
          <w:kern w:val="0"/>
        </w:rPr>
        <w:t>标单位及原因：广西广纳广告传媒有限公司标项一、标项二、标项三的资格证明文件未按要求提供财务状况报告的附注，根据招标文件第38页资格证明文件组成“投标人财务状况报告：[2024年或2025年]财务状况报告复印件；供应商成立不满一年的应按提供截标之日上一个月的财务状况报告复印件。（上述财务状况报告包括：供应商执行 《企业会计准则》的，提供资产负债表、利润表、现金流量表、所有者权益变动表及其附注（以下称“四表一注”）；供应 商执行《小企业会计准则》的，提供资产负债表、利润表、现金流量表及其附注（以下称“三表一注”）；供应商执行《政府会计制度》的，提供资产负债表、收入费用表和净资产变动表及其附注)。（必须提供，否则作无效投标处理）”的规定，广西广纳广告传媒有限公司标项一、标项二、标项三的投标文件作无效投标处理。</w:t>
      </w:r>
    </w:p>
    <w:p w14:paraId="3F26451F">
      <w:pPr>
        <w:ind w:firstLine="420" w:firstLineChars="200"/>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3.标项一中标供应商的评审总得分：9</w:t>
      </w:r>
      <w:r>
        <w:rPr>
          <w:rFonts w:hint="eastAsia" w:cs="宋体" w:asciiTheme="minorEastAsia" w:hAnsiTheme="minorEastAsia" w:eastAsiaTheme="minorEastAsia"/>
          <w:color w:val="auto"/>
          <w:kern w:val="0"/>
          <w:lang w:val="en-US" w:eastAsia="zh-CN"/>
        </w:rPr>
        <w:t>5</w:t>
      </w:r>
      <w:r>
        <w:rPr>
          <w:rFonts w:hint="eastAsia" w:cs="宋体" w:asciiTheme="minorEastAsia" w:hAnsiTheme="minorEastAsia" w:eastAsiaTheme="minorEastAsia"/>
          <w:color w:val="auto"/>
          <w:kern w:val="0"/>
        </w:rPr>
        <w:t>.00分</w:t>
      </w:r>
    </w:p>
    <w:p w14:paraId="4E6C6769">
      <w:pPr>
        <w:ind w:firstLine="630" w:firstLineChars="300"/>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标项二中标供应商的评审总得分：</w:t>
      </w:r>
      <w:r>
        <w:rPr>
          <w:rFonts w:hint="eastAsia" w:cs="宋体" w:asciiTheme="minorEastAsia" w:hAnsiTheme="minorEastAsia" w:eastAsiaTheme="minorEastAsia"/>
          <w:color w:val="auto"/>
          <w:kern w:val="0"/>
          <w:lang w:val="en-US" w:eastAsia="zh-CN"/>
        </w:rPr>
        <w:t>82.87</w:t>
      </w:r>
      <w:r>
        <w:rPr>
          <w:rFonts w:hint="eastAsia" w:cs="宋体" w:asciiTheme="minorEastAsia" w:hAnsiTheme="minorEastAsia" w:eastAsiaTheme="minorEastAsia"/>
          <w:color w:val="auto"/>
          <w:kern w:val="0"/>
        </w:rPr>
        <w:t>分</w:t>
      </w:r>
    </w:p>
    <w:p w14:paraId="7BA3B5A3">
      <w:pPr>
        <w:ind w:firstLine="630" w:firstLineChars="30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标项三中标供应商的评审总得分：</w:t>
      </w:r>
      <w:r>
        <w:rPr>
          <w:rFonts w:hint="eastAsia" w:cs="宋体" w:asciiTheme="minorEastAsia" w:hAnsiTheme="minorEastAsia" w:eastAsiaTheme="minorEastAsia"/>
          <w:color w:val="auto"/>
          <w:kern w:val="0"/>
          <w:lang w:val="en-US" w:eastAsia="zh-CN"/>
        </w:rPr>
        <w:t>84.90</w:t>
      </w:r>
      <w:r>
        <w:rPr>
          <w:rFonts w:hint="eastAsia" w:cs="宋体" w:asciiTheme="minorEastAsia" w:hAnsiTheme="minorEastAsia" w:eastAsiaTheme="minorEastAsia"/>
          <w:color w:val="auto"/>
          <w:kern w:val="0"/>
        </w:rPr>
        <w:t>分</w:t>
      </w:r>
    </w:p>
    <w:p w14:paraId="24AF0CC1">
      <w:pPr>
        <w:ind w:firstLine="420" w:firstLineChars="200"/>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4.未中标的投标单位得分与排名：</w:t>
      </w:r>
    </w:p>
    <w:p w14:paraId="0537243A">
      <w:pPr>
        <w:ind w:firstLine="422" w:firstLineChars="200"/>
        <w:rPr>
          <w:rFonts w:cs="宋体" w:asciiTheme="minorEastAsia" w:hAnsiTheme="minorEastAsia" w:eastAsiaTheme="minorEastAsia"/>
          <w:b/>
          <w:bCs/>
          <w:color w:val="auto"/>
          <w:kern w:val="0"/>
        </w:rPr>
      </w:pPr>
      <w:r>
        <w:rPr>
          <w:rFonts w:hint="eastAsia" w:cs="宋体" w:asciiTheme="minorEastAsia" w:hAnsiTheme="minorEastAsia" w:eastAsiaTheme="minorEastAsia"/>
          <w:b/>
          <w:bCs/>
          <w:color w:val="auto"/>
          <w:kern w:val="0"/>
        </w:rPr>
        <w:t>标项一：</w:t>
      </w:r>
    </w:p>
    <w:tbl>
      <w:tblPr>
        <w:tblStyle w:val="8"/>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1215"/>
        <w:gridCol w:w="1113"/>
      </w:tblGrid>
      <w:tr w14:paraId="442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7FDD6D94">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未中标投标单位</w:t>
            </w:r>
          </w:p>
        </w:tc>
        <w:tc>
          <w:tcPr>
            <w:tcW w:w="1215" w:type="dxa"/>
            <w:vAlign w:val="center"/>
          </w:tcPr>
          <w:p w14:paraId="6BA65904">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得分</w:t>
            </w:r>
          </w:p>
        </w:tc>
        <w:tc>
          <w:tcPr>
            <w:tcW w:w="1113" w:type="dxa"/>
            <w:vAlign w:val="center"/>
          </w:tcPr>
          <w:p w14:paraId="58821541">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排名</w:t>
            </w:r>
          </w:p>
        </w:tc>
      </w:tr>
      <w:tr w14:paraId="129A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574926DB">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广西引路通广告有限公司</w:t>
            </w:r>
          </w:p>
        </w:tc>
        <w:tc>
          <w:tcPr>
            <w:tcW w:w="1215" w:type="dxa"/>
            <w:vAlign w:val="center"/>
          </w:tcPr>
          <w:p w14:paraId="102B6ECD">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77.86</w:t>
            </w:r>
          </w:p>
        </w:tc>
        <w:tc>
          <w:tcPr>
            <w:tcW w:w="1113" w:type="dxa"/>
            <w:vAlign w:val="center"/>
          </w:tcPr>
          <w:p w14:paraId="69347C55">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2</w:t>
            </w:r>
          </w:p>
        </w:tc>
      </w:tr>
      <w:tr w14:paraId="466E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26F1FBE3">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广西博创档案管理服务有限公司</w:t>
            </w:r>
          </w:p>
        </w:tc>
        <w:tc>
          <w:tcPr>
            <w:tcW w:w="1215" w:type="dxa"/>
            <w:vAlign w:val="center"/>
          </w:tcPr>
          <w:p w14:paraId="2B6DA11C">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76.75</w:t>
            </w:r>
          </w:p>
        </w:tc>
        <w:tc>
          <w:tcPr>
            <w:tcW w:w="1113" w:type="dxa"/>
            <w:vAlign w:val="center"/>
          </w:tcPr>
          <w:p w14:paraId="0E332099">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3</w:t>
            </w:r>
          </w:p>
        </w:tc>
      </w:tr>
      <w:tr w14:paraId="5205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11E25F86">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广西远景国际会展服务有限公司</w:t>
            </w:r>
          </w:p>
        </w:tc>
        <w:tc>
          <w:tcPr>
            <w:tcW w:w="1215" w:type="dxa"/>
            <w:vAlign w:val="center"/>
          </w:tcPr>
          <w:p w14:paraId="48D366B9">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75.76</w:t>
            </w:r>
          </w:p>
        </w:tc>
        <w:tc>
          <w:tcPr>
            <w:tcW w:w="1113" w:type="dxa"/>
            <w:vAlign w:val="center"/>
          </w:tcPr>
          <w:p w14:paraId="0197E1CD">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4</w:t>
            </w:r>
          </w:p>
        </w:tc>
      </w:tr>
      <w:tr w14:paraId="36A1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21ACB1DB">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南宁众德文化传播有限公司</w:t>
            </w:r>
          </w:p>
        </w:tc>
        <w:tc>
          <w:tcPr>
            <w:tcW w:w="1215" w:type="dxa"/>
            <w:vAlign w:val="center"/>
          </w:tcPr>
          <w:p w14:paraId="1D781D04">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74.82</w:t>
            </w:r>
          </w:p>
        </w:tc>
        <w:tc>
          <w:tcPr>
            <w:tcW w:w="1113" w:type="dxa"/>
            <w:vAlign w:val="center"/>
          </w:tcPr>
          <w:p w14:paraId="57498EDA">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5</w:t>
            </w:r>
          </w:p>
        </w:tc>
      </w:tr>
      <w:tr w14:paraId="3E80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2D3A6A9E">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广西南宁邹记行图文设计制作有限公司</w:t>
            </w:r>
          </w:p>
        </w:tc>
        <w:tc>
          <w:tcPr>
            <w:tcW w:w="1215" w:type="dxa"/>
            <w:vAlign w:val="center"/>
          </w:tcPr>
          <w:p w14:paraId="6064D3AB">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72.80</w:t>
            </w:r>
          </w:p>
        </w:tc>
        <w:tc>
          <w:tcPr>
            <w:tcW w:w="1113" w:type="dxa"/>
            <w:vAlign w:val="center"/>
          </w:tcPr>
          <w:p w14:paraId="6E2BFA0B">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6</w:t>
            </w:r>
          </w:p>
        </w:tc>
      </w:tr>
      <w:tr w14:paraId="7062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7482F5AF">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广西南宁构享广告传播有限公司</w:t>
            </w:r>
          </w:p>
        </w:tc>
        <w:tc>
          <w:tcPr>
            <w:tcW w:w="1215" w:type="dxa"/>
            <w:vAlign w:val="center"/>
          </w:tcPr>
          <w:p w14:paraId="5AAFF8F9">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70.94</w:t>
            </w:r>
          </w:p>
        </w:tc>
        <w:tc>
          <w:tcPr>
            <w:tcW w:w="1113" w:type="dxa"/>
            <w:vAlign w:val="center"/>
          </w:tcPr>
          <w:p w14:paraId="1CAD3CE9">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7</w:t>
            </w:r>
          </w:p>
        </w:tc>
      </w:tr>
      <w:tr w14:paraId="29EA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65F27277">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南宁新觉文化传播有限公司</w:t>
            </w:r>
          </w:p>
        </w:tc>
        <w:tc>
          <w:tcPr>
            <w:tcW w:w="1215" w:type="dxa"/>
            <w:vAlign w:val="center"/>
          </w:tcPr>
          <w:p w14:paraId="7A2EBC54">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70.37</w:t>
            </w:r>
          </w:p>
        </w:tc>
        <w:tc>
          <w:tcPr>
            <w:tcW w:w="1113" w:type="dxa"/>
            <w:vAlign w:val="center"/>
          </w:tcPr>
          <w:p w14:paraId="7939F466">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8</w:t>
            </w:r>
          </w:p>
        </w:tc>
      </w:tr>
      <w:tr w14:paraId="5481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20157984">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广西蓝智广告有限公司</w:t>
            </w:r>
          </w:p>
        </w:tc>
        <w:tc>
          <w:tcPr>
            <w:tcW w:w="1215" w:type="dxa"/>
            <w:vAlign w:val="center"/>
          </w:tcPr>
          <w:p w14:paraId="18EA01FB">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65.53</w:t>
            </w:r>
          </w:p>
        </w:tc>
        <w:tc>
          <w:tcPr>
            <w:tcW w:w="1113" w:type="dxa"/>
            <w:vAlign w:val="center"/>
          </w:tcPr>
          <w:p w14:paraId="7659CB7C">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9</w:t>
            </w:r>
          </w:p>
        </w:tc>
      </w:tr>
      <w:tr w14:paraId="4A98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3B880F82">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广西宏坤广告有限公司</w:t>
            </w:r>
          </w:p>
        </w:tc>
        <w:tc>
          <w:tcPr>
            <w:tcW w:w="1215" w:type="dxa"/>
            <w:vAlign w:val="center"/>
          </w:tcPr>
          <w:p w14:paraId="675C41D7">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59.45</w:t>
            </w:r>
          </w:p>
        </w:tc>
        <w:tc>
          <w:tcPr>
            <w:tcW w:w="1113" w:type="dxa"/>
            <w:vAlign w:val="center"/>
          </w:tcPr>
          <w:p w14:paraId="75DDE313">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10</w:t>
            </w:r>
          </w:p>
        </w:tc>
      </w:tr>
      <w:tr w14:paraId="5B7C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51B9D4E2">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广西南宁宁翔广告有限公司</w:t>
            </w:r>
          </w:p>
        </w:tc>
        <w:tc>
          <w:tcPr>
            <w:tcW w:w="1215" w:type="dxa"/>
            <w:vAlign w:val="center"/>
          </w:tcPr>
          <w:p w14:paraId="4B4EB4CC">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58.00</w:t>
            </w:r>
          </w:p>
        </w:tc>
        <w:tc>
          <w:tcPr>
            <w:tcW w:w="1113" w:type="dxa"/>
            <w:vAlign w:val="center"/>
          </w:tcPr>
          <w:p w14:paraId="15A36663">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11</w:t>
            </w:r>
          </w:p>
        </w:tc>
      </w:tr>
      <w:tr w14:paraId="1C5D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758470EC">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广西壮美品牌管理有限责任公司</w:t>
            </w:r>
          </w:p>
        </w:tc>
        <w:tc>
          <w:tcPr>
            <w:tcW w:w="1215" w:type="dxa"/>
            <w:vAlign w:val="center"/>
          </w:tcPr>
          <w:p w14:paraId="25D831A8">
            <w:pPr>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49.71</w:t>
            </w:r>
          </w:p>
        </w:tc>
        <w:tc>
          <w:tcPr>
            <w:tcW w:w="1113" w:type="dxa"/>
            <w:vAlign w:val="center"/>
          </w:tcPr>
          <w:p w14:paraId="770012D1">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12</w:t>
            </w:r>
          </w:p>
        </w:tc>
      </w:tr>
    </w:tbl>
    <w:p w14:paraId="21DAAD77">
      <w:pPr>
        <w:rPr>
          <w:rFonts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rPr>
        <w:t>标项</w:t>
      </w:r>
      <w:r>
        <w:rPr>
          <w:rFonts w:hint="eastAsia" w:cs="宋体" w:asciiTheme="minorEastAsia" w:hAnsiTheme="minorEastAsia" w:eastAsiaTheme="minorEastAsia"/>
          <w:b/>
          <w:color w:val="auto"/>
          <w:kern w:val="0"/>
          <w:lang w:eastAsia="zh-CN"/>
        </w:rPr>
        <w:t>二</w:t>
      </w:r>
      <w:r>
        <w:rPr>
          <w:rFonts w:hint="eastAsia" w:cs="宋体" w:asciiTheme="minorEastAsia" w:hAnsiTheme="minorEastAsia" w:eastAsiaTheme="minorEastAsia"/>
          <w:b/>
          <w:color w:val="auto"/>
          <w:kern w:val="0"/>
        </w:rPr>
        <w:t>：</w:t>
      </w:r>
    </w:p>
    <w:tbl>
      <w:tblPr>
        <w:tblStyle w:val="8"/>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1215"/>
        <w:gridCol w:w="1113"/>
      </w:tblGrid>
      <w:tr w14:paraId="49EC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743A91D8">
            <w:pPr>
              <w:jc w:val="center"/>
              <w:rPr>
                <w:rFonts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rPr>
              <w:t>未中标投标单位</w:t>
            </w:r>
          </w:p>
        </w:tc>
        <w:tc>
          <w:tcPr>
            <w:tcW w:w="1215" w:type="dxa"/>
            <w:vAlign w:val="center"/>
          </w:tcPr>
          <w:p w14:paraId="2509ED08">
            <w:pPr>
              <w:jc w:val="center"/>
              <w:rPr>
                <w:rFonts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rPr>
              <w:t>得分</w:t>
            </w:r>
          </w:p>
        </w:tc>
        <w:tc>
          <w:tcPr>
            <w:tcW w:w="1113" w:type="dxa"/>
            <w:vAlign w:val="center"/>
          </w:tcPr>
          <w:p w14:paraId="72BEC5F5">
            <w:pPr>
              <w:jc w:val="center"/>
              <w:rPr>
                <w:rFonts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rPr>
              <w:t>排名</w:t>
            </w:r>
          </w:p>
        </w:tc>
      </w:tr>
      <w:tr w14:paraId="4B90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617E1890">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广西南宁欧仕达广告装饰有限公司</w:t>
            </w:r>
          </w:p>
        </w:tc>
        <w:tc>
          <w:tcPr>
            <w:tcW w:w="1215" w:type="dxa"/>
            <w:vAlign w:val="center"/>
          </w:tcPr>
          <w:p w14:paraId="2DD67BB1">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95.00</w:t>
            </w:r>
          </w:p>
        </w:tc>
        <w:tc>
          <w:tcPr>
            <w:tcW w:w="1113" w:type="dxa"/>
            <w:vAlign w:val="center"/>
          </w:tcPr>
          <w:p w14:paraId="246E62CD">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1</w:t>
            </w:r>
          </w:p>
        </w:tc>
      </w:tr>
      <w:tr w14:paraId="514E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5EDB5ABC">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广西博创档案管理服务有限公司</w:t>
            </w:r>
          </w:p>
        </w:tc>
        <w:tc>
          <w:tcPr>
            <w:tcW w:w="1215" w:type="dxa"/>
            <w:vAlign w:val="center"/>
          </w:tcPr>
          <w:p w14:paraId="5D258D2A">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80.10</w:t>
            </w:r>
          </w:p>
        </w:tc>
        <w:tc>
          <w:tcPr>
            <w:tcW w:w="1113" w:type="dxa"/>
            <w:vAlign w:val="center"/>
          </w:tcPr>
          <w:p w14:paraId="49E4840C">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3</w:t>
            </w:r>
          </w:p>
        </w:tc>
      </w:tr>
      <w:tr w14:paraId="7365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2D789CFA">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广西远景国际会展服务有限公司</w:t>
            </w:r>
          </w:p>
        </w:tc>
        <w:tc>
          <w:tcPr>
            <w:tcW w:w="1215" w:type="dxa"/>
            <w:vAlign w:val="center"/>
          </w:tcPr>
          <w:p w14:paraId="108CBF20">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79.28</w:t>
            </w:r>
          </w:p>
        </w:tc>
        <w:tc>
          <w:tcPr>
            <w:tcW w:w="1113" w:type="dxa"/>
            <w:vAlign w:val="center"/>
          </w:tcPr>
          <w:p w14:paraId="43A423C7">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4</w:t>
            </w:r>
          </w:p>
        </w:tc>
      </w:tr>
      <w:tr w14:paraId="4315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6004FC29">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广西南宁邹记行图文设计制作有限公司</w:t>
            </w:r>
          </w:p>
        </w:tc>
        <w:tc>
          <w:tcPr>
            <w:tcW w:w="1215" w:type="dxa"/>
            <w:vAlign w:val="center"/>
          </w:tcPr>
          <w:p w14:paraId="37C0D2BF">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76.01</w:t>
            </w:r>
          </w:p>
        </w:tc>
        <w:tc>
          <w:tcPr>
            <w:tcW w:w="1113" w:type="dxa"/>
            <w:vAlign w:val="center"/>
          </w:tcPr>
          <w:p w14:paraId="7982E2CB">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5</w:t>
            </w:r>
          </w:p>
        </w:tc>
      </w:tr>
      <w:tr w14:paraId="39E0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0D56CA60">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广西艾迪嘉广告有限公司</w:t>
            </w:r>
          </w:p>
        </w:tc>
        <w:tc>
          <w:tcPr>
            <w:tcW w:w="1215" w:type="dxa"/>
            <w:vAlign w:val="center"/>
          </w:tcPr>
          <w:p w14:paraId="5F2D89D0">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61.20</w:t>
            </w:r>
          </w:p>
        </w:tc>
        <w:tc>
          <w:tcPr>
            <w:tcW w:w="1113" w:type="dxa"/>
            <w:vAlign w:val="center"/>
          </w:tcPr>
          <w:p w14:paraId="3FB0C677">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6</w:t>
            </w:r>
          </w:p>
        </w:tc>
      </w:tr>
      <w:tr w14:paraId="139C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5CAF18C4">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广西宏坤广告有限公司</w:t>
            </w:r>
          </w:p>
        </w:tc>
        <w:tc>
          <w:tcPr>
            <w:tcW w:w="1215" w:type="dxa"/>
            <w:vAlign w:val="center"/>
          </w:tcPr>
          <w:p w14:paraId="755E204E">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61.17</w:t>
            </w:r>
          </w:p>
        </w:tc>
        <w:tc>
          <w:tcPr>
            <w:tcW w:w="1113" w:type="dxa"/>
            <w:vAlign w:val="center"/>
          </w:tcPr>
          <w:p w14:paraId="5A4BFE92">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7</w:t>
            </w:r>
          </w:p>
        </w:tc>
      </w:tr>
      <w:tr w14:paraId="08DD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2EE74169">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广西壮美品牌管理有限责任公司</w:t>
            </w:r>
          </w:p>
        </w:tc>
        <w:tc>
          <w:tcPr>
            <w:tcW w:w="1215" w:type="dxa"/>
            <w:vAlign w:val="center"/>
          </w:tcPr>
          <w:p w14:paraId="25E8B429">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53.36</w:t>
            </w:r>
          </w:p>
        </w:tc>
        <w:tc>
          <w:tcPr>
            <w:tcW w:w="1113" w:type="dxa"/>
            <w:vAlign w:val="center"/>
          </w:tcPr>
          <w:p w14:paraId="1A6D724B">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8</w:t>
            </w:r>
          </w:p>
        </w:tc>
      </w:tr>
    </w:tbl>
    <w:p w14:paraId="2F3F7FD5">
      <w:pPr>
        <w:rPr>
          <w:rFonts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rPr>
        <w:t>标项</w:t>
      </w:r>
      <w:r>
        <w:rPr>
          <w:rFonts w:hint="eastAsia" w:cs="宋体" w:asciiTheme="minorEastAsia" w:hAnsiTheme="minorEastAsia" w:eastAsiaTheme="minorEastAsia"/>
          <w:b/>
          <w:color w:val="auto"/>
          <w:kern w:val="0"/>
          <w:lang w:eastAsia="zh-CN"/>
        </w:rPr>
        <w:t>三</w:t>
      </w:r>
      <w:r>
        <w:rPr>
          <w:rFonts w:hint="eastAsia" w:cs="宋体" w:asciiTheme="minorEastAsia" w:hAnsiTheme="minorEastAsia" w:eastAsiaTheme="minorEastAsia"/>
          <w:b/>
          <w:color w:val="auto"/>
          <w:kern w:val="0"/>
        </w:rPr>
        <w:t>：</w:t>
      </w:r>
    </w:p>
    <w:tbl>
      <w:tblPr>
        <w:tblStyle w:val="8"/>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1215"/>
        <w:gridCol w:w="1113"/>
      </w:tblGrid>
      <w:tr w14:paraId="4606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268AAB1F">
            <w:pPr>
              <w:jc w:val="center"/>
              <w:rPr>
                <w:rFonts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rPr>
              <w:t>未中标投标单位</w:t>
            </w:r>
          </w:p>
        </w:tc>
        <w:tc>
          <w:tcPr>
            <w:tcW w:w="1215" w:type="dxa"/>
            <w:vAlign w:val="center"/>
          </w:tcPr>
          <w:p w14:paraId="24B2E4A4">
            <w:pPr>
              <w:jc w:val="center"/>
              <w:rPr>
                <w:rFonts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rPr>
              <w:t>得分</w:t>
            </w:r>
          </w:p>
        </w:tc>
        <w:tc>
          <w:tcPr>
            <w:tcW w:w="1113" w:type="dxa"/>
            <w:vAlign w:val="center"/>
          </w:tcPr>
          <w:p w14:paraId="22E23CCE">
            <w:pPr>
              <w:jc w:val="center"/>
              <w:rPr>
                <w:rFonts w:cs="宋体" w:asciiTheme="minorEastAsia" w:hAnsiTheme="minorEastAsia" w:eastAsiaTheme="minorEastAsia"/>
                <w:b/>
                <w:color w:val="auto"/>
                <w:kern w:val="0"/>
              </w:rPr>
            </w:pPr>
            <w:r>
              <w:rPr>
                <w:rFonts w:hint="eastAsia" w:cs="宋体" w:asciiTheme="minorEastAsia" w:hAnsiTheme="minorEastAsia" w:eastAsiaTheme="minorEastAsia"/>
                <w:b/>
                <w:color w:val="auto"/>
                <w:kern w:val="0"/>
              </w:rPr>
              <w:t>排名</w:t>
            </w:r>
          </w:p>
        </w:tc>
      </w:tr>
      <w:tr w14:paraId="590C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11" w:type="dxa"/>
            <w:vAlign w:val="center"/>
          </w:tcPr>
          <w:p w14:paraId="55228FFE">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广西引路通广告有限公司</w:t>
            </w:r>
          </w:p>
        </w:tc>
        <w:tc>
          <w:tcPr>
            <w:tcW w:w="1215" w:type="dxa"/>
            <w:vAlign w:val="center"/>
          </w:tcPr>
          <w:p w14:paraId="140196B4">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86.53</w:t>
            </w:r>
          </w:p>
        </w:tc>
        <w:tc>
          <w:tcPr>
            <w:tcW w:w="1113" w:type="dxa"/>
            <w:vAlign w:val="center"/>
          </w:tcPr>
          <w:p w14:paraId="76DF8ED0">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1</w:t>
            </w:r>
          </w:p>
        </w:tc>
      </w:tr>
      <w:tr w14:paraId="30F1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25BF5278">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广西远景国际会展服务有限公司</w:t>
            </w:r>
          </w:p>
        </w:tc>
        <w:tc>
          <w:tcPr>
            <w:tcW w:w="1215" w:type="dxa"/>
            <w:vAlign w:val="center"/>
          </w:tcPr>
          <w:p w14:paraId="511CFBEC">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83.67</w:t>
            </w:r>
          </w:p>
        </w:tc>
        <w:tc>
          <w:tcPr>
            <w:tcW w:w="1113" w:type="dxa"/>
            <w:vAlign w:val="center"/>
          </w:tcPr>
          <w:p w14:paraId="431C6973">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3</w:t>
            </w:r>
          </w:p>
        </w:tc>
      </w:tr>
      <w:tr w14:paraId="1A6B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3B4D4B2E">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广西南宁邹记行图文设计制作有限公司</w:t>
            </w:r>
          </w:p>
        </w:tc>
        <w:tc>
          <w:tcPr>
            <w:tcW w:w="1215" w:type="dxa"/>
            <w:vAlign w:val="center"/>
          </w:tcPr>
          <w:p w14:paraId="4AD337B8">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80.67</w:t>
            </w:r>
          </w:p>
        </w:tc>
        <w:tc>
          <w:tcPr>
            <w:tcW w:w="1113" w:type="dxa"/>
            <w:vAlign w:val="center"/>
          </w:tcPr>
          <w:p w14:paraId="58E41EB2">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4</w:t>
            </w:r>
          </w:p>
        </w:tc>
      </w:tr>
      <w:tr w14:paraId="2B61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11" w:type="dxa"/>
            <w:vAlign w:val="center"/>
          </w:tcPr>
          <w:p w14:paraId="6A72745D">
            <w:pPr>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广西南宁宁翔广告有限公司</w:t>
            </w:r>
          </w:p>
        </w:tc>
        <w:tc>
          <w:tcPr>
            <w:tcW w:w="1215" w:type="dxa"/>
            <w:vAlign w:val="center"/>
          </w:tcPr>
          <w:p w14:paraId="26A0598A">
            <w:pPr>
              <w:jc w:val="center"/>
              <w:rPr>
                <w:rFonts w:hint="eastAsia"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63.98</w:t>
            </w:r>
          </w:p>
        </w:tc>
        <w:tc>
          <w:tcPr>
            <w:tcW w:w="1113" w:type="dxa"/>
            <w:vAlign w:val="center"/>
          </w:tcPr>
          <w:p w14:paraId="6FD2DB80">
            <w:pPr>
              <w:jc w:val="center"/>
              <w:rPr>
                <w:rFonts w:hint="default" w:cs="宋体" w:asciiTheme="minorEastAsia" w:hAnsiTheme="minorEastAsia" w:eastAsiaTheme="minorEastAsia"/>
                <w:color w:val="auto"/>
                <w:kern w:val="0"/>
                <w:lang w:val="en-US" w:eastAsia="zh-CN"/>
              </w:rPr>
            </w:pPr>
            <w:r>
              <w:rPr>
                <w:rFonts w:hint="eastAsia" w:cs="宋体" w:asciiTheme="minorEastAsia" w:hAnsiTheme="minorEastAsia" w:eastAsiaTheme="minorEastAsia"/>
                <w:color w:val="auto"/>
                <w:kern w:val="0"/>
                <w:lang w:val="en-US" w:eastAsia="zh-CN"/>
              </w:rPr>
              <w:t>5</w:t>
            </w:r>
          </w:p>
        </w:tc>
      </w:tr>
    </w:tbl>
    <w:p w14:paraId="771DBCFA">
      <w:pPr>
        <w:ind w:firstLine="420" w:firstLineChars="200"/>
        <w:rPr>
          <w:rFonts w:cs="宋体" w:asciiTheme="minorEastAsia" w:hAnsiTheme="minorEastAsia" w:eastAsiaTheme="minorEastAsia"/>
          <w:color w:val="auto"/>
          <w:kern w:val="0"/>
        </w:rPr>
      </w:pPr>
      <w:r>
        <w:rPr>
          <w:rFonts w:hint="eastAsia" w:hAnsi="宋体" w:cs="Arial"/>
          <w:color w:val="auto"/>
          <w:lang w:val="en-US" w:eastAsia="zh-CN"/>
        </w:rPr>
        <w:t>5.</w:t>
      </w:r>
      <w:r>
        <w:rPr>
          <w:rFonts w:hint="eastAsia" w:hAnsi="宋体" w:cs="Arial"/>
          <w:color w:val="auto"/>
        </w:rPr>
        <w:t>供应商认为中标结果使自己的权益受到损害的，可以在中标结果公告期限届满之日起七个工作日内以书面形式向广西国力招标有限公司提出质疑，逾期将不再受理。</w:t>
      </w:r>
    </w:p>
    <w:p w14:paraId="25403D62">
      <w:pPr>
        <w:rPr>
          <w:rFonts w:asciiTheme="minorEastAsia" w:hAnsiTheme="minorEastAsia" w:eastAsiaTheme="min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2E4026-AA8D-43F2-A5B5-1D3A0757ECE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2EC71F3-F6C4-4A97-8704-36AF9B2679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ODQzZjQ5YTU3MTM4YTNkYTA0NmFlMzViMDUzZWMifQ=="/>
  </w:docVars>
  <w:rsids>
    <w:rsidRoot w:val="00CD1A81"/>
    <w:rsid w:val="000345A0"/>
    <w:rsid w:val="000725B7"/>
    <w:rsid w:val="000C3DE7"/>
    <w:rsid w:val="000E27D3"/>
    <w:rsid w:val="00156334"/>
    <w:rsid w:val="00170791"/>
    <w:rsid w:val="001D6A18"/>
    <w:rsid w:val="002104CB"/>
    <w:rsid w:val="002B0F7D"/>
    <w:rsid w:val="003001F0"/>
    <w:rsid w:val="003A19F9"/>
    <w:rsid w:val="003B1F7E"/>
    <w:rsid w:val="00462AE4"/>
    <w:rsid w:val="004A02E4"/>
    <w:rsid w:val="00580CD6"/>
    <w:rsid w:val="00597563"/>
    <w:rsid w:val="005A7F38"/>
    <w:rsid w:val="00612047"/>
    <w:rsid w:val="006E25DC"/>
    <w:rsid w:val="006E4790"/>
    <w:rsid w:val="006F40D9"/>
    <w:rsid w:val="00723668"/>
    <w:rsid w:val="007557B5"/>
    <w:rsid w:val="008933A1"/>
    <w:rsid w:val="008B5DF5"/>
    <w:rsid w:val="009103EC"/>
    <w:rsid w:val="00A274E9"/>
    <w:rsid w:val="00A33B1E"/>
    <w:rsid w:val="00A64976"/>
    <w:rsid w:val="00A70C4B"/>
    <w:rsid w:val="00AB4E98"/>
    <w:rsid w:val="00B272E4"/>
    <w:rsid w:val="00B51DCC"/>
    <w:rsid w:val="00BB07D0"/>
    <w:rsid w:val="00BE3D5B"/>
    <w:rsid w:val="00C50AF4"/>
    <w:rsid w:val="00C572E5"/>
    <w:rsid w:val="00C84F6E"/>
    <w:rsid w:val="00CC26D6"/>
    <w:rsid w:val="00CC3283"/>
    <w:rsid w:val="00CD1A81"/>
    <w:rsid w:val="00CE317F"/>
    <w:rsid w:val="00DC208B"/>
    <w:rsid w:val="00E46F65"/>
    <w:rsid w:val="00F11DB2"/>
    <w:rsid w:val="00FC0FA5"/>
    <w:rsid w:val="1BBF5A6F"/>
    <w:rsid w:val="1E0C16EA"/>
    <w:rsid w:val="2173738B"/>
    <w:rsid w:val="23C26DBF"/>
    <w:rsid w:val="26C474FF"/>
    <w:rsid w:val="29257895"/>
    <w:rsid w:val="2A4B1B94"/>
    <w:rsid w:val="33017470"/>
    <w:rsid w:val="345F744C"/>
    <w:rsid w:val="349E4519"/>
    <w:rsid w:val="35CF6FD1"/>
    <w:rsid w:val="37F45271"/>
    <w:rsid w:val="3C447660"/>
    <w:rsid w:val="3C956732"/>
    <w:rsid w:val="469B662D"/>
    <w:rsid w:val="4AAB7AC0"/>
    <w:rsid w:val="512056EC"/>
    <w:rsid w:val="54134709"/>
    <w:rsid w:val="5C295257"/>
    <w:rsid w:val="6062494D"/>
    <w:rsid w:val="64D76719"/>
    <w:rsid w:val="6C190095"/>
    <w:rsid w:val="73084F06"/>
    <w:rsid w:val="7765352B"/>
    <w:rsid w:val="7B337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4"/>
    <w:autoRedefine/>
    <w:qFormat/>
    <w:uiPriority w:val="0"/>
    <w:rPr>
      <w:rFonts w:ascii="宋体" w:hAnsi="Courier New" w:eastAsiaTheme="minorEastAsia" w:cstheme="minorBidi"/>
      <w:szCs w:val="22"/>
    </w:rPr>
  </w:style>
  <w:style w:type="paragraph" w:styleId="5">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autoRedefine/>
    <w:semiHidden/>
    <w:qFormat/>
    <w:uiPriority w:val="99"/>
    <w:rPr>
      <w:sz w:val="18"/>
      <w:szCs w:val="18"/>
    </w:rPr>
  </w:style>
  <w:style w:type="character" w:customStyle="1" w:styleId="11">
    <w:name w:val="页脚 Char"/>
    <w:basedOn w:val="9"/>
    <w:link w:val="5"/>
    <w:autoRedefine/>
    <w:semiHidden/>
    <w:qFormat/>
    <w:uiPriority w:val="99"/>
    <w:rPr>
      <w:sz w:val="18"/>
      <w:szCs w:val="18"/>
    </w:rPr>
  </w:style>
  <w:style w:type="character" w:customStyle="1" w:styleId="12">
    <w:name w:val="标题 1 Char"/>
    <w:basedOn w:val="9"/>
    <w:link w:val="2"/>
    <w:autoRedefine/>
    <w:qFormat/>
    <w:uiPriority w:val="9"/>
    <w:rPr>
      <w:rFonts w:ascii="Times New Roman" w:hAnsi="Times New Roman" w:eastAsia="宋体" w:cs="Times New Roman"/>
      <w:b/>
      <w:bCs/>
      <w:kern w:val="44"/>
      <w:sz w:val="44"/>
      <w:szCs w:val="44"/>
    </w:rPr>
  </w:style>
  <w:style w:type="character" w:customStyle="1" w:styleId="13">
    <w:name w:val="标题 2 Char"/>
    <w:basedOn w:val="9"/>
    <w:link w:val="3"/>
    <w:autoRedefine/>
    <w:qFormat/>
    <w:uiPriority w:val="0"/>
    <w:rPr>
      <w:rFonts w:ascii="Arial" w:hAnsi="Arial" w:eastAsia="黑体" w:cs="Arial"/>
      <w:b/>
      <w:bCs/>
      <w:sz w:val="32"/>
      <w:szCs w:val="32"/>
    </w:rPr>
  </w:style>
  <w:style w:type="character" w:customStyle="1" w:styleId="14">
    <w:name w:val="纯文本 Char"/>
    <w:basedOn w:val="9"/>
    <w:link w:val="4"/>
    <w:autoRedefine/>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E2392-1992-472B-A7B4-4EDCF064AFB8}">
  <ds:schemaRefs/>
</ds:datastoreItem>
</file>

<file path=docProps/app.xml><?xml version="1.0" encoding="utf-8"?>
<Properties xmlns="http://schemas.openxmlformats.org/officeDocument/2006/extended-properties" xmlns:vt="http://schemas.openxmlformats.org/officeDocument/2006/docPropsVTypes">
  <Template>Normal</Template>
  <Pages>2</Pages>
  <Words>1997</Words>
  <Characters>2362</Characters>
  <Lines>17</Lines>
  <Paragraphs>5</Paragraphs>
  <TotalTime>3</TotalTime>
  <ScaleCrop>false</ScaleCrop>
  <LinksUpToDate>false</LinksUpToDate>
  <CharactersWithSpaces>2379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2020-06-29T09:51:00Z</dcterms:created>
  <dc:creator>Windows 用户</dc:creator>
  <cp:lastModifiedBy>招标代理</cp:lastModifiedBy>
  <dcterms:modified xsi:type="dcterms:W3CDTF">2026-07-02T09:44:48Z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494DC9E245824479A1256C60778C6B32_13</vt:lpwstr>
  </property>
  <property fmtid="{D5CDD505-2E9C-101B-9397-08002B2CF9AE}" pid="4" name="KSOTemplateDocerSaveRecord">
    <vt:lpwstr>eyJoZGlkIjoiNThhMGNjNzRjODA1MzlmOTNhODQ1NTg4YWM3YjQ2ZjQiLCJ1c2VySWQiOiIxNjUxMjY0MDU4In0=</vt:lpwstr>
  </property>
</Properties>
</file>